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FCD939" w14:textId="4645B763" w:rsidR="00307C23" w:rsidRDefault="00000000" w:rsidP="004C0C34">
      <w:pPr>
        <w:pStyle w:val="Ttulo"/>
      </w:pPr>
      <w:sdt>
        <w:sdtPr>
          <w:rPr>
            <w:i/>
            <w:iCs w:val="0"/>
            <w:u w:val="single"/>
          </w:rPr>
          <w:alias w:val="Title"/>
          <w:tag w:val=""/>
          <w:id w:val="-780801520"/>
          <w:placeholder>
            <w:docPart w:val="566305F001154F7B83E076D8EC6AC77B"/>
          </w:placeholder>
          <w:dataBinding w:prefixMappings="xmlns:ns0='http://purl.org/dc/elements/1.1/' xmlns:ns1='http://schemas.openxmlformats.org/package/2006/metadata/core-properties' " w:xpath="/ns1:coreProperties[1]/ns0:title[1]" w:storeItemID="{6C3C8BC8-F283-45AE-878A-BAB7291924A1}"/>
          <w:text/>
        </w:sdtPr>
        <w:sdtContent>
          <w:r w:rsidR="00341137">
            <w:rPr>
              <w:i/>
              <w:iCs w:val="0"/>
              <w:u w:val="single"/>
            </w:rPr>
            <w:t>3.B.2</w:t>
          </w:r>
          <w:r w:rsidR="00A000DF">
            <w:rPr>
              <w:i/>
              <w:iCs w:val="0"/>
              <w:u w:val="single"/>
            </w:rPr>
            <w:t>5</w:t>
          </w:r>
        </w:sdtContent>
      </w:sdt>
      <w:r w:rsidR="00C851DA">
        <w:t xml:space="preserve"> :</w:t>
      </w:r>
      <w:r w:rsidR="00C81078" w:rsidRPr="004C0C34">
        <w:t xml:space="preserve"> </w:t>
      </w:r>
      <w:sdt>
        <w:sdtPr>
          <w:alias w:val="Subject"/>
          <w:tag w:val=""/>
          <w:id w:val="-1903059896"/>
          <w:placeholder>
            <w:docPart w:val="751F97C1CCE441D2A8B0143AE86EACFE"/>
          </w:placeholder>
          <w:dataBinding w:prefixMappings="xmlns:ns0='http://purl.org/dc/elements/1.1/' xmlns:ns1='http://schemas.openxmlformats.org/package/2006/metadata/core-properties' " w:xpath="/ns1:coreProperties[1]/ns0:subject[1]" w:storeItemID="{6C3C8BC8-F283-45AE-878A-BAB7291924A1}"/>
          <w:text/>
        </w:sdtPr>
        <w:sdtContent>
          <w:r w:rsidR="00341137">
            <w:t>Análisis de los instrumentos y de los mercados de derivados</w:t>
          </w:r>
          <w:r w:rsidR="00F40CFC">
            <w:t>.</w:t>
          </w:r>
        </w:sdtContent>
      </w:sdt>
    </w:p>
    <w:p w14:paraId="78E2EBAC" w14:textId="77777777" w:rsidR="000D039C" w:rsidRDefault="000D039C" w:rsidP="000D039C">
      <w:pPr>
        <w:pStyle w:val="Notaalopositor"/>
        <w:spacing w:after="0"/>
      </w:pPr>
      <w:bookmarkStart w:id="0" w:name="_Hlk111398052"/>
      <w:bookmarkStart w:id="1" w:name="_Hlk123131219"/>
      <w:r>
        <w:t>Con el cambio de temario, a partir de la convocatoria de 2023 este tema pasará a ser:</w:t>
      </w:r>
    </w:p>
    <w:p w14:paraId="3478307A" w14:textId="41D50612" w:rsidR="000D039C" w:rsidRDefault="000D039C" w:rsidP="000D039C">
      <w:pPr>
        <w:pStyle w:val="Notaalopositor"/>
      </w:pPr>
      <w:r>
        <w:t>3.B.25: Análisis de los instrumentos y de los mercados de derivados.</w:t>
      </w:r>
    </w:p>
    <w:p w14:paraId="01E89011" w14:textId="6452FA3F" w:rsidR="000D039C" w:rsidRDefault="000D039C" w:rsidP="000D039C">
      <w:pPr>
        <w:pStyle w:val="Notaalopositor"/>
        <w:spacing w:after="0"/>
      </w:pPr>
      <w:r>
        <w:t xml:space="preserve">De este modo, con lo escrito en este documento estaría </w:t>
      </w:r>
      <w:r>
        <w:rPr>
          <w:b/>
          <w:bCs/>
        </w:rPr>
        <w:t>actualizado</w:t>
      </w:r>
      <w:r w:rsidRPr="00CC188F">
        <w:rPr>
          <w:bCs/>
        </w:rPr>
        <w:t>.</w:t>
      </w:r>
      <w:bookmarkEnd w:id="0"/>
    </w:p>
    <w:bookmarkEnd w:id="1"/>
    <w:p w14:paraId="275CAB27" w14:textId="21E936C1" w:rsidR="000D039C" w:rsidRDefault="000D039C" w:rsidP="000D039C">
      <w:pPr>
        <w:pStyle w:val="Notaalopositor"/>
        <w:jc w:val="center"/>
      </w:pPr>
      <w:r w:rsidRPr="000D039C">
        <w:rPr>
          <w:noProof/>
        </w:rPr>
        <w:drawing>
          <wp:inline distT="0" distB="0" distL="0" distR="0" wp14:anchorId="02723844" wp14:editId="426D46A2">
            <wp:extent cx="2880000" cy="1999785"/>
            <wp:effectExtent l="0" t="0" r="0" b="635"/>
            <wp:docPr id="10" name="Imagen 10"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abla&#10;&#10;Descripción generada automáticamente"/>
                    <pic:cNvPicPr/>
                  </pic:nvPicPr>
                  <pic:blipFill>
                    <a:blip r:embed="rId8"/>
                    <a:stretch>
                      <a:fillRect/>
                    </a:stretch>
                  </pic:blipFill>
                  <pic:spPr>
                    <a:xfrm>
                      <a:off x="0" y="0"/>
                      <a:ext cx="2880000" cy="1999785"/>
                    </a:xfrm>
                    <a:prstGeom prst="rect">
                      <a:avLst/>
                    </a:prstGeom>
                  </pic:spPr>
                </pic:pic>
              </a:graphicData>
            </a:graphic>
          </wp:inline>
        </w:drawing>
      </w:r>
    </w:p>
    <w:p w14:paraId="0E265619" w14:textId="3D6900C2" w:rsidR="0021774E" w:rsidRDefault="0021774E" w:rsidP="00F5787C">
      <w:pPr>
        <w:pStyle w:val="Introduccinyconclusin"/>
      </w:pPr>
      <w:bookmarkStart w:id="2" w:name="_Toc55382054"/>
      <w:bookmarkStart w:id="3" w:name="_Toc55382089"/>
      <w:bookmarkStart w:id="4" w:name="_Toc55382517"/>
      <w:bookmarkStart w:id="5" w:name="_Toc55382751"/>
      <w:r w:rsidRPr="00F5787C">
        <w:t>INTRODUCCIÓN</w:t>
      </w:r>
      <w:bookmarkEnd w:id="2"/>
      <w:bookmarkEnd w:id="3"/>
      <w:bookmarkEnd w:id="4"/>
      <w:bookmarkEnd w:id="5"/>
    </w:p>
    <w:p w14:paraId="2401A50E" w14:textId="064C615C" w:rsidR="000D039C" w:rsidRPr="00832EBC" w:rsidRDefault="00000000" w:rsidP="000D039C">
      <w:pPr>
        <w:pStyle w:val="Cajadeanotaciones"/>
        <w:rPr>
          <w:sz w:val="19"/>
          <w:szCs w:val="19"/>
        </w:rPr>
      </w:pPr>
      <w:hyperlink r:id="rId9" w:history="1">
        <w:r w:rsidR="000D039C" w:rsidRPr="00832EBC">
          <w:rPr>
            <w:rStyle w:val="Hipervnculo"/>
            <w:sz w:val="19"/>
            <w:szCs w:val="19"/>
            <w:lang w:val="fr-FR"/>
          </w:rPr>
          <w:t>https://youtu.be/G1dUA80d58w</w:t>
        </w:r>
      </w:hyperlink>
    </w:p>
    <w:p w14:paraId="6FC1B041" w14:textId="3A6CFD8D" w:rsidR="00B77C0F" w:rsidRPr="00CB2BE0" w:rsidRDefault="00B77C0F" w:rsidP="00832EBC">
      <w:pPr>
        <w:pStyle w:val="Nivel1"/>
        <w:keepNext/>
        <w:spacing w:before="0" w:after="0"/>
        <w:rPr>
          <w:lang w:val="fr-FR"/>
        </w:rPr>
      </w:pPr>
      <w:proofErr w:type="spellStart"/>
      <w:r w:rsidRPr="004A2CDA">
        <w:rPr>
          <w:b/>
          <w:bCs/>
          <w:i/>
          <w:iCs/>
          <w:lang w:val="fr-FR"/>
        </w:rPr>
        <w:t>Enganche</w:t>
      </w:r>
      <w:proofErr w:type="spellEnd"/>
      <w:r w:rsidRPr="004A2CDA">
        <w:rPr>
          <w:lang w:val="fr-FR"/>
        </w:rPr>
        <w:t>:</w:t>
      </w:r>
    </w:p>
    <w:p w14:paraId="235A5D2C" w14:textId="7DC4E778" w:rsidR="00CB2BE0" w:rsidRDefault="00CB2BE0" w:rsidP="00CB2BE0">
      <w:pPr>
        <w:pStyle w:val="Nivel2"/>
      </w:pPr>
      <w:bookmarkStart w:id="6" w:name="_Hlk124407223"/>
      <w:r>
        <w:t>Imaginemos a un individuo que actualmente trabaja y recibe una renta por ello, pero que no</w:t>
      </w:r>
      <w:r w:rsidR="00B51E90">
        <w:t> </w:t>
      </w:r>
      <w:r>
        <w:t>desea gastarla completamente para poder continuar consumiendo sus bienes preferidos en el futuro</w:t>
      </w:r>
      <w:r w:rsidR="00DE4328">
        <w:t xml:space="preserve"> y</w:t>
      </w:r>
      <w:r>
        <w:t xml:space="preserve"> le gustaría obtener una rentabilidad por su ahorro.</w:t>
      </w:r>
    </w:p>
    <w:p w14:paraId="5CB535CD" w14:textId="1B0704A6" w:rsidR="00CB2BE0" w:rsidRPr="00DE4328" w:rsidRDefault="00CB2BE0" w:rsidP="004F6460">
      <w:pPr>
        <w:pStyle w:val="Nivel2"/>
        <w:keepNext/>
        <w:spacing w:after="0"/>
        <w:rPr>
          <w:spacing w:val="-3"/>
        </w:rPr>
      </w:pPr>
      <w:r w:rsidRPr="00DE4328">
        <w:rPr>
          <w:spacing w:val="-3"/>
        </w:rPr>
        <w:t>Imaginemos una empresa que acaba de idear un nuevo producto, pero que necesita de liquidez para poder comprar la maquinaria necesaria para poder hacer su proyecto realidad.</w:t>
      </w:r>
    </w:p>
    <w:p w14:paraId="2EDDEAFE" w14:textId="77777777" w:rsidR="00CB2BE0" w:rsidRDefault="00CB2BE0" w:rsidP="004F6460">
      <w:pPr>
        <w:pStyle w:val="Nivel3"/>
        <w:keepNext/>
      </w:pPr>
      <w:r>
        <w:t>Si este individuo pudiera prestar a la empresa a cambio de obtener la rentabilidad deseada en el futuro, ambos agentes saldrían beneficiados de la operación.</w:t>
      </w:r>
    </w:p>
    <w:p w14:paraId="128CCCDF" w14:textId="77777777" w:rsidR="00CB2BE0" w:rsidRDefault="00CB2BE0" w:rsidP="004F6460">
      <w:pPr>
        <w:pStyle w:val="Nivel4"/>
      </w:pPr>
      <w:r>
        <w:t>El individuo obtendría una rentabilidad positiva de sus ahorros en el futuro.</w:t>
      </w:r>
    </w:p>
    <w:p w14:paraId="3E9C3C23" w14:textId="219E2893" w:rsidR="00CB2BE0" w:rsidRDefault="00CB2BE0" w:rsidP="004F6460">
      <w:pPr>
        <w:pStyle w:val="Nivel4"/>
      </w:pPr>
      <w:r>
        <w:t>La empresa conseguiría la liquidez necesaria para poder llevar a cabo su proyecto hoy y obtener beneficios por ello.</w:t>
      </w:r>
    </w:p>
    <w:p w14:paraId="63FCDB9C" w14:textId="11F61CD3" w:rsidR="00CB2BE0" w:rsidRDefault="00B027A2" w:rsidP="00372B0F">
      <w:pPr>
        <w:pStyle w:val="Nivel2"/>
      </w:pPr>
      <w:bookmarkStart w:id="7" w:name="_Hlk143097545"/>
      <w:bookmarkEnd w:id="6"/>
      <w:r>
        <w:t>E</w:t>
      </w:r>
      <w:r w:rsidRPr="008D6988">
        <w:t xml:space="preserve">n sentido general, el </w:t>
      </w:r>
      <w:r w:rsidRPr="00B027A2">
        <w:rPr>
          <w:i/>
          <w:iCs/>
        </w:rPr>
        <w:t>sistema financiero</w:t>
      </w:r>
      <w:r w:rsidRPr="008D6988">
        <w:t xml:space="preserve"> está formado por el conjunto de instituciones, medios y mercados, cuyo fin primordial es canalizar el ahorro que generan las unidades de gasto con superávit hacia los prestatarios o unidades de gasto con déficit.</w:t>
      </w:r>
      <w:r>
        <w:t xml:space="preserve"> </w:t>
      </w:r>
      <w:r w:rsidR="00CB2BE0">
        <w:t xml:space="preserve">Del estudio de estas cuestiones se encarga la </w:t>
      </w:r>
      <w:r w:rsidR="00CB2BE0" w:rsidRPr="00B027A2">
        <w:rPr>
          <w:b/>
          <w:bCs/>
          <w:i/>
          <w:iCs/>
        </w:rPr>
        <w:t>economía financiera</w:t>
      </w:r>
      <w:r w:rsidR="00CB2BE0">
        <w:t>.</w:t>
      </w:r>
    </w:p>
    <w:p w14:paraId="656189FA" w14:textId="62A72B45" w:rsidR="00C81912" w:rsidRDefault="00CD45F2" w:rsidP="00C81912">
      <w:pPr>
        <w:pStyle w:val="Nivel2"/>
        <w:keepNext/>
        <w:spacing w:after="0"/>
      </w:pPr>
      <w:bookmarkStart w:id="8" w:name="_Hlk101255577"/>
      <w:bookmarkEnd w:id="7"/>
      <w:r>
        <w:t>E</w:t>
      </w:r>
      <w:r w:rsidR="00C81912">
        <w:t xml:space="preserve">n los </w:t>
      </w:r>
      <w:r w:rsidR="00C81912" w:rsidRPr="006454BF">
        <w:rPr>
          <w:i/>
          <w:iCs/>
          <w:u w:val="single"/>
        </w:rPr>
        <w:t>mercados financieros</w:t>
      </w:r>
      <w:r w:rsidR="00C81912">
        <w:t xml:space="preserve"> se encuentran distintos tipos de agentes:</w:t>
      </w:r>
    </w:p>
    <w:p w14:paraId="69F72F6F" w14:textId="34142A92" w:rsidR="00C81912" w:rsidRPr="00BD7C5D" w:rsidRDefault="00C81912" w:rsidP="00C81912">
      <w:pPr>
        <w:pStyle w:val="Nivel3"/>
        <w:ind w:left="1560"/>
      </w:pPr>
      <w:r w:rsidRPr="00BD7C5D">
        <w:t xml:space="preserve">Por un lado, existen agentes que poseen ahorros y que desean invertir, por lo que toman </w:t>
      </w:r>
      <w:r w:rsidRPr="00BD7C5D">
        <w:rPr>
          <w:b/>
          <w:bCs/>
        </w:rPr>
        <w:t>decisiones de inversión</w:t>
      </w:r>
      <w:r w:rsidRPr="00BD7C5D">
        <w:t xml:space="preserve"> en activos financieros</w:t>
      </w:r>
      <w:r w:rsidR="00832EBC">
        <w:rPr>
          <w:rStyle w:val="Refdenotaalpie"/>
        </w:rPr>
        <w:footnoteReference w:id="2"/>
      </w:r>
      <w:r w:rsidRPr="00BD7C5D">
        <w:t>.</w:t>
      </w:r>
    </w:p>
    <w:p w14:paraId="4AE39994" w14:textId="77777777" w:rsidR="00C81912" w:rsidRPr="00946D45" w:rsidRDefault="00C81912" w:rsidP="00C81912">
      <w:pPr>
        <w:pStyle w:val="Nivel3"/>
        <w:ind w:left="1560"/>
        <w:rPr>
          <w:spacing w:val="-5"/>
        </w:rPr>
      </w:pPr>
      <w:r w:rsidRPr="00946D45">
        <w:rPr>
          <w:spacing w:val="-5"/>
        </w:rPr>
        <w:t xml:space="preserve">Por otro lado, existen un conjunto de agentes que demandan liquidez y buscan financiación, por lo que toman </w:t>
      </w:r>
      <w:r w:rsidRPr="00946D45">
        <w:rPr>
          <w:b/>
          <w:bCs/>
          <w:spacing w:val="-5"/>
        </w:rPr>
        <w:t>decisiones de financiación</w:t>
      </w:r>
      <w:r w:rsidRPr="00946D45">
        <w:rPr>
          <w:spacing w:val="-5"/>
        </w:rPr>
        <w:t xml:space="preserve"> mediante activos financieros.</w:t>
      </w:r>
    </w:p>
    <w:p w14:paraId="18879DF5" w14:textId="772238AF" w:rsidR="00C81912" w:rsidRDefault="00C81912" w:rsidP="00C81912">
      <w:pPr>
        <w:pStyle w:val="Nivel2"/>
        <w:keepNext/>
        <w:spacing w:after="0"/>
      </w:pPr>
      <w:r>
        <w:t xml:space="preserve">Comúnmente, distinguimos </w:t>
      </w:r>
      <w:r w:rsidR="00832EBC">
        <w:t>3 </w:t>
      </w:r>
      <w:r>
        <w:t>tipos de activos financieros:</w:t>
      </w:r>
    </w:p>
    <w:p w14:paraId="25C375A8" w14:textId="6F5DF72F" w:rsidR="00C81912" w:rsidRDefault="00C81912" w:rsidP="006F148B">
      <w:pPr>
        <w:pStyle w:val="Nivel3"/>
      </w:pPr>
      <w:bookmarkStart w:id="9" w:name="_Hlk94901612"/>
      <w:r w:rsidRPr="008330D9">
        <w:rPr>
          <w:i/>
          <w:iCs/>
          <w:u w:val="single"/>
        </w:rPr>
        <w:t>Activos financieros de renta variable</w:t>
      </w:r>
      <w:r w:rsidR="002C4291" w:rsidRPr="009E04AF">
        <w:t xml:space="preserve"> </w:t>
      </w:r>
      <w:r w:rsidR="002C4291" w:rsidRPr="002058C9">
        <w:rPr>
          <w:color w:val="767171" w:themeColor="background2" w:themeShade="80"/>
          <w:sz w:val="19"/>
          <w:szCs w:val="19"/>
        </w:rPr>
        <w:t>[</w:t>
      </w:r>
      <w:r w:rsidR="002C4291">
        <w:rPr>
          <w:color w:val="767171" w:themeColor="background2" w:themeShade="80"/>
          <w:sz w:val="19"/>
          <w:szCs w:val="19"/>
        </w:rPr>
        <w:t>3.B.2</w:t>
      </w:r>
      <w:r w:rsidR="00BE3150">
        <w:rPr>
          <w:color w:val="767171" w:themeColor="background2" w:themeShade="80"/>
          <w:sz w:val="19"/>
          <w:szCs w:val="19"/>
        </w:rPr>
        <w:t>3</w:t>
      </w:r>
      <w:r w:rsidR="002C4291" w:rsidRPr="002058C9">
        <w:rPr>
          <w:color w:val="767171" w:themeColor="background2" w:themeShade="80"/>
          <w:sz w:val="19"/>
          <w:szCs w:val="19"/>
        </w:rPr>
        <w:t>]</w:t>
      </w:r>
      <w:r>
        <w:t>:</w:t>
      </w:r>
      <w:r w:rsidRPr="008330D9">
        <w:t xml:space="preserve"> </w:t>
      </w:r>
      <w:r w:rsidR="00015840">
        <w:t>C</w:t>
      </w:r>
      <w:r w:rsidRPr="008330D9">
        <w:t>onllevan derechos de propiedad y su remuneración depende de la evolución económico-financiera del emisor.</w:t>
      </w:r>
    </w:p>
    <w:p w14:paraId="5685639B" w14:textId="5DC04E8B" w:rsidR="00C81912" w:rsidRDefault="00C81912" w:rsidP="006F148B">
      <w:pPr>
        <w:pStyle w:val="Nivel3"/>
      </w:pPr>
      <w:r w:rsidRPr="008330D9">
        <w:rPr>
          <w:i/>
          <w:iCs/>
          <w:u w:val="single"/>
        </w:rPr>
        <w:lastRenderedPageBreak/>
        <w:t>Activos financieros de renta fija</w:t>
      </w:r>
      <w:r w:rsidR="002C4291" w:rsidRPr="009E04AF">
        <w:t xml:space="preserve"> </w:t>
      </w:r>
      <w:r w:rsidR="002C4291" w:rsidRPr="002058C9">
        <w:rPr>
          <w:color w:val="767171" w:themeColor="background2" w:themeShade="80"/>
          <w:sz w:val="19"/>
          <w:szCs w:val="19"/>
        </w:rPr>
        <w:t>[</w:t>
      </w:r>
      <w:r w:rsidR="002C4291">
        <w:rPr>
          <w:color w:val="767171" w:themeColor="background2" w:themeShade="80"/>
          <w:sz w:val="19"/>
          <w:szCs w:val="19"/>
        </w:rPr>
        <w:t>3.B.2</w:t>
      </w:r>
      <w:r w:rsidR="00BE3150">
        <w:rPr>
          <w:color w:val="767171" w:themeColor="background2" w:themeShade="80"/>
          <w:sz w:val="19"/>
          <w:szCs w:val="19"/>
        </w:rPr>
        <w:t>4</w:t>
      </w:r>
      <w:r w:rsidR="002C4291" w:rsidRPr="002058C9">
        <w:rPr>
          <w:color w:val="767171" w:themeColor="background2" w:themeShade="80"/>
          <w:sz w:val="19"/>
          <w:szCs w:val="19"/>
        </w:rPr>
        <w:t>]</w:t>
      </w:r>
      <w:r>
        <w:t xml:space="preserve">: </w:t>
      </w:r>
      <w:r w:rsidR="00015840">
        <w:rPr>
          <w:spacing w:val="-4"/>
        </w:rPr>
        <w:t>N</w:t>
      </w:r>
      <w:r w:rsidRPr="00BD18ED">
        <w:rPr>
          <w:spacing w:val="-4"/>
        </w:rPr>
        <w:t>o</w:t>
      </w:r>
      <w:r w:rsidRPr="008330D9">
        <w:rPr>
          <w:spacing w:val="-4"/>
        </w:rPr>
        <w:t xml:space="preserve"> conllevan derechos de propiedad y su remuneración </w:t>
      </w:r>
      <w:r w:rsidRPr="005B6BD6">
        <w:t>no</w:t>
      </w:r>
      <w:r w:rsidRPr="004D196A">
        <w:t xml:space="preserve"> depende de la evolución económico-financiera del emisor</w:t>
      </w:r>
      <w:r>
        <w:t>, sino que viene especificada por una fórmula</w:t>
      </w:r>
      <w:r w:rsidRPr="004D196A">
        <w:t>.</w:t>
      </w:r>
    </w:p>
    <w:p w14:paraId="564B0647" w14:textId="597FFA6E" w:rsidR="00C81912" w:rsidRDefault="00C81912" w:rsidP="006F148B">
      <w:pPr>
        <w:pStyle w:val="Nivel3"/>
      </w:pPr>
      <w:bookmarkStart w:id="10" w:name="_Hlk94901810"/>
      <w:r>
        <w:rPr>
          <w:i/>
          <w:iCs/>
          <w:u w:val="single"/>
        </w:rPr>
        <w:t>Instrumentos d</w:t>
      </w:r>
      <w:r w:rsidRPr="00737BBA">
        <w:rPr>
          <w:i/>
          <w:iCs/>
          <w:u w:val="single"/>
        </w:rPr>
        <w:t>erivados</w:t>
      </w:r>
      <w:r w:rsidR="002C4291" w:rsidRPr="009E04AF">
        <w:t xml:space="preserve"> </w:t>
      </w:r>
      <w:r w:rsidR="002C4291" w:rsidRPr="002058C9">
        <w:rPr>
          <w:color w:val="767171" w:themeColor="background2" w:themeShade="80"/>
          <w:sz w:val="19"/>
          <w:szCs w:val="19"/>
        </w:rPr>
        <w:t>[</w:t>
      </w:r>
      <w:r w:rsidR="002C4291">
        <w:rPr>
          <w:color w:val="767171" w:themeColor="background2" w:themeShade="80"/>
          <w:sz w:val="19"/>
          <w:szCs w:val="19"/>
        </w:rPr>
        <w:t>3.B.2</w:t>
      </w:r>
      <w:r w:rsidR="00BE3150">
        <w:rPr>
          <w:color w:val="767171" w:themeColor="background2" w:themeShade="80"/>
          <w:sz w:val="19"/>
          <w:szCs w:val="19"/>
        </w:rPr>
        <w:t>5</w:t>
      </w:r>
      <w:r w:rsidR="002C4291" w:rsidRPr="002058C9">
        <w:rPr>
          <w:color w:val="767171" w:themeColor="background2" w:themeShade="80"/>
          <w:sz w:val="19"/>
          <w:szCs w:val="19"/>
        </w:rPr>
        <w:t>]</w:t>
      </w:r>
      <w:r>
        <w:t xml:space="preserve">: </w:t>
      </w:r>
      <w:bookmarkStart w:id="11" w:name="_Hlk94901835"/>
      <w:r w:rsidR="00015840">
        <w:t>S</w:t>
      </w:r>
      <w:r>
        <w:t>on instrumentos financieros cuyo valor está en función (se deriva</w:t>
      </w:r>
      <w:r w:rsidR="007B6003">
        <w:t>)</w:t>
      </w:r>
      <w:r>
        <w:t xml:space="preserve"> de la rentabilidad o valor de otro activo llamado </w:t>
      </w:r>
      <w:r>
        <w:rPr>
          <w:i/>
          <w:iCs/>
        </w:rPr>
        <w:t>subyacente</w:t>
      </w:r>
      <w:r>
        <w:t>.</w:t>
      </w:r>
      <w:bookmarkEnd w:id="9"/>
      <w:bookmarkEnd w:id="11"/>
    </w:p>
    <w:p w14:paraId="64960130" w14:textId="77777777" w:rsidR="00614B4A" w:rsidRDefault="00614B4A" w:rsidP="00614B4A">
      <w:pPr>
        <w:pStyle w:val="Nivel2"/>
        <w:keepNext/>
        <w:spacing w:after="0"/>
      </w:pPr>
      <w:r w:rsidRPr="005B6BD6">
        <w:rPr>
          <w:i/>
          <w:iCs/>
        </w:rPr>
        <w:t>En esta exposición</w:t>
      </w:r>
      <w:r>
        <w:t xml:space="preserve">, nos vamos a centrar en el </w:t>
      </w:r>
      <w:r w:rsidRPr="00C62709">
        <w:rPr>
          <w:b/>
          <w:bCs/>
        </w:rPr>
        <w:t>mercado de</w:t>
      </w:r>
      <w:r w:rsidRPr="00C81912">
        <w:rPr>
          <w:b/>
          <w:bCs/>
        </w:rPr>
        <w:t xml:space="preserve"> instrumentos </w:t>
      </w:r>
      <w:r>
        <w:rPr>
          <w:b/>
          <w:bCs/>
        </w:rPr>
        <w:t>derivados</w:t>
      </w:r>
      <w:r>
        <w:t>.</w:t>
      </w:r>
    </w:p>
    <w:p w14:paraId="69B884D2" w14:textId="77777777" w:rsidR="00614B4A" w:rsidRDefault="00614B4A" w:rsidP="00614B4A">
      <w:pPr>
        <w:pStyle w:val="Nivel3"/>
        <w:keepNext/>
      </w:pPr>
      <w:r>
        <w:t>Son instrumentos que pueden ser enormemente complejos o muy sencillos, y su enorme flexibilidad aumenta su atractivo. Por ejemplo:</w:t>
      </w:r>
    </w:p>
    <w:p w14:paraId="66CC6C31" w14:textId="61777F83" w:rsidR="00614B4A" w:rsidRDefault="00614B4A" w:rsidP="00614B4A">
      <w:pPr>
        <w:pStyle w:val="Nivel4"/>
      </w:pPr>
      <w:r>
        <w:t>Cuando una familia solicita una hipoteca a tipo de interés fijo, la familia está transfiriendo al banco el riesgo de que los tipos de interés suban en el futuro;</w:t>
      </w:r>
    </w:p>
    <w:p w14:paraId="4B5F6FF6" w14:textId="7D3FD915" w:rsidR="00614B4A" w:rsidRDefault="00614B4A" w:rsidP="00614B4A">
      <w:pPr>
        <w:pStyle w:val="Nivel4"/>
      </w:pPr>
      <w:r>
        <w:t>Cuando un agricultor pacta con una cadena de supermercados el precio del kilogramo de tomate se cubre ante posibles caídas futuras de su precio;</w:t>
      </w:r>
    </w:p>
    <w:p w14:paraId="27571A3E" w14:textId="0BC78785" w:rsidR="00614B4A" w:rsidRDefault="00614B4A" w:rsidP="00614B4A">
      <w:pPr>
        <w:pStyle w:val="Nivel4"/>
        <w:keepNext/>
      </w:pPr>
      <w:r>
        <w:t>Cuando el Tesoro Público español hace una subasta emitiendo deuda en dólares, lo acompaña de un derivado para cubrir el riesgo cambiario.</w:t>
      </w:r>
    </w:p>
    <w:p w14:paraId="53968940" w14:textId="6E6A513E" w:rsidR="00614B4A" w:rsidRDefault="00614B4A" w:rsidP="00614B4A">
      <w:pPr>
        <w:pStyle w:val="Nivel5"/>
      </w:pPr>
      <w:r>
        <w:t>En estos ejemplos, los derivados no parecen dañinos.</w:t>
      </w:r>
    </w:p>
    <w:p w14:paraId="511C3617" w14:textId="4FE9CF2B" w:rsidR="00614B4A" w:rsidRDefault="00614B4A" w:rsidP="00614B4A">
      <w:pPr>
        <w:pStyle w:val="Nivel3"/>
        <w:keepNext/>
      </w:pPr>
      <w:r>
        <w:t xml:space="preserve">Sin embargo, </w:t>
      </w:r>
      <w:r>
        <w:rPr>
          <w:smallCaps/>
        </w:rPr>
        <w:t>Warren Buffett</w:t>
      </w:r>
      <w:r>
        <w:t xml:space="preserve">, en relación a la crisis financiera de 2008, describió los derivados como un </w:t>
      </w:r>
      <w:r w:rsidRPr="00E332F6">
        <w:rPr>
          <w:i/>
          <w:iCs/>
        </w:rPr>
        <w:t>arma financiera de destrucción masiva</w:t>
      </w:r>
      <w:r>
        <w:t>.</w:t>
      </w:r>
    </w:p>
    <w:p w14:paraId="4253E207" w14:textId="65DFE0A8" w:rsidR="00614B4A" w:rsidRDefault="00614B4A" w:rsidP="00614B4A">
      <w:pPr>
        <w:pStyle w:val="Nivel4"/>
      </w:pPr>
      <w:r>
        <w:t xml:space="preserve">Y es que los derivados tienen una capacidad enorme de movilización de fondos, y se suelen emplear acompañados de un elevado grado de apalancamiento. Por ello, aumentan la interconexión entre los gigantes financieros y acentúan la </w:t>
      </w:r>
      <w:proofErr w:type="spellStart"/>
      <w:r>
        <w:t>prociclicidad</w:t>
      </w:r>
      <w:proofErr w:type="spellEnd"/>
      <w:r>
        <w:t xml:space="preserve"> de los movimientos de precios.</w:t>
      </w:r>
    </w:p>
    <w:p w14:paraId="2712FFEF" w14:textId="14369F82" w:rsidR="00614B4A" w:rsidRPr="005012C6" w:rsidRDefault="00614B4A" w:rsidP="00614B4A">
      <w:pPr>
        <w:pStyle w:val="Nivel4"/>
        <w:rPr>
          <w:spacing w:val="-2"/>
        </w:rPr>
      </w:pPr>
      <w:r w:rsidRPr="005012C6">
        <w:rPr>
          <w:spacing w:val="-2"/>
        </w:rPr>
        <w:t xml:space="preserve">Según </w:t>
      </w:r>
      <w:r w:rsidRPr="005012C6">
        <w:rPr>
          <w:smallCaps/>
          <w:spacing w:val="-2"/>
        </w:rPr>
        <w:t xml:space="preserve">Ben </w:t>
      </w:r>
      <w:proofErr w:type="spellStart"/>
      <w:r w:rsidRPr="005012C6">
        <w:rPr>
          <w:smallCaps/>
          <w:spacing w:val="-2"/>
        </w:rPr>
        <w:t>Bernanke</w:t>
      </w:r>
      <w:proofErr w:type="spellEnd"/>
      <w:r w:rsidRPr="005012C6">
        <w:rPr>
          <w:spacing w:val="-2"/>
        </w:rPr>
        <w:t xml:space="preserve"> (expresidente de la Reserva Federal de los Estados Unidos), no fue la burbuja y consiguiente caída de los precios inmobiliarios en el país lo que provocó la crisis, sino que el verdadero detonante fue la destrucción de valor de los productos derivados ligados al valor de las hipotecas con las que se compraron dichas casas. Además, fueron justamente estos instrumentos derivados los que trasladaron la crisis a Europa y al resto del mundo.</w:t>
      </w:r>
    </w:p>
    <w:bookmarkEnd w:id="8"/>
    <w:bookmarkEnd w:id="10"/>
    <w:p w14:paraId="0906B91F" w14:textId="3B2FA890" w:rsidR="006D21C4" w:rsidRDefault="006D21C4" w:rsidP="006D21C4">
      <w:pPr>
        <w:pStyle w:val="Nivel1"/>
        <w:keepNext/>
        <w:spacing w:after="0"/>
      </w:pPr>
      <w:r>
        <w:rPr>
          <w:b/>
          <w:bCs/>
          <w:i/>
          <w:iCs/>
        </w:rPr>
        <w:t>Relevancia</w:t>
      </w:r>
      <w:r>
        <w:t>:</w:t>
      </w:r>
    </w:p>
    <w:p w14:paraId="61011FD2" w14:textId="4FB6DDCC" w:rsidR="00B027A2" w:rsidRDefault="00B027A2" w:rsidP="00B027A2">
      <w:pPr>
        <w:pStyle w:val="Nivel2"/>
        <w:keepNext/>
        <w:spacing w:after="0"/>
      </w:pPr>
      <w:r>
        <w:t>Podemos considerar que esta materia es de doble importancia:</w:t>
      </w:r>
    </w:p>
    <w:p w14:paraId="032EB4D4" w14:textId="7FA5CA64" w:rsidR="00B027A2" w:rsidRDefault="00B027A2" w:rsidP="00B027A2">
      <w:pPr>
        <w:pStyle w:val="Nivel3"/>
        <w:keepNext/>
        <w:ind w:left="1560"/>
      </w:pPr>
      <w:r w:rsidRPr="00116C0C">
        <w:rPr>
          <w:i/>
          <w:iCs/>
          <w:u w:val="single"/>
        </w:rPr>
        <w:t>A nivel microeconómico</w:t>
      </w:r>
      <w:r>
        <w:t>, ya que los mercados financieros van a jugar un papel fundamental a la hora de permitir a los agentes transferir recursos entre periodos.</w:t>
      </w:r>
    </w:p>
    <w:p w14:paraId="31DBCDF5" w14:textId="656C9B32" w:rsidR="00B027A2" w:rsidRDefault="00B027A2" w:rsidP="00B027A2">
      <w:pPr>
        <w:pStyle w:val="Nivel4"/>
      </w:pPr>
      <w:r>
        <w:t xml:space="preserve">Esto implicará que las inversiones dependan fundamentalmente de 2 conceptos económicos fundamentales: el </w:t>
      </w:r>
      <w:r>
        <w:rPr>
          <w:i/>
          <w:iCs/>
        </w:rPr>
        <w:t>tiempo</w:t>
      </w:r>
      <w:r>
        <w:t xml:space="preserve"> y el </w:t>
      </w:r>
      <w:r>
        <w:rPr>
          <w:i/>
          <w:iCs/>
        </w:rPr>
        <w:t>riesgo</w:t>
      </w:r>
      <w:r>
        <w:t>.</w:t>
      </w:r>
    </w:p>
    <w:p w14:paraId="5878F889" w14:textId="51666AA3" w:rsidR="00B027A2" w:rsidRPr="00065E48" w:rsidRDefault="00B027A2" w:rsidP="00B027A2">
      <w:pPr>
        <w:pStyle w:val="Nivel3"/>
        <w:ind w:left="1560"/>
      </w:pPr>
      <w:r>
        <w:rPr>
          <w:i/>
          <w:iCs/>
          <w:u w:val="single"/>
        </w:rPr>
        <w:t xml:space="preserve">A </w:t>
      </w:r>
      <w:r w:rsidRPr="00116C0C">
        <w:rPr>
          <w:i/>
          <w:iCs/>
          <w:u w:val="single"/>
        </w:rPr>
        <w:t>nivel macroeconómico</w:t>
      </w:r>
      <w:r>
        <w:t>, ya que a nivel agregado estos mercados pueden ser claves para la evolución de los agregados económicos y en última instancia para el bienestar de los individuos.</w:t>
      </w:r>
    </w:p>
    <w:p w14:paraId="5BB1D9DA" w14:textId="66D7CE3E" w:rsidR="00614B4A" w:rsidRDefault="00614B4A" w:rsidP="00614B4A">
      <w:pPr>
        <w:pStyle w:val="Nivel2"/>
        <w:keepNext/>
        <w:spacing w:after="0"/>
      </w:pPr>
      <w:r>
        <w:t xml:space="preserve">En particular, los </w:t>
      </w:r>
      <w:r w:rsidRPr="005C59C7">
        <w:rPr>
          <w:b/>
          <w:bCs/>
        </w:rPr>
        <w:t>mercados de derivados</w:t>
      </w:r>
      <w:r>
        <w:t xml:space="preserve"> juegan un papel esencial y su estudio es de gran relevancia en la actualidad:</w:t>
      </w:r>
    </w:p>
    <w:p w14:paraId="54EE5F08" w14:textId="6AD18A8A" w:rsidR="007340BE" w:rsidRDefault="007340BE" w:rsidP="00614B4A">
      <w:pPr>
        <w:pStyle w:val="Nivel3"/>
        <w:keepNext/>
      </w:pPr>
      <w:r w:rsidRPr="007340BE">
        <w:rPr>
          <w:i/>
          <w:iCs/>
        </w:rPr>
        <w:t>Desde un punto de vista práctico</w:t>
      </w:r>
      <w:r>
        <w:t>, debido a su creciente importancia en los mercados financieros (debido a su gran crecimiento, ya que los derivados han asumido un papel protagonista con el desarrollo de la innovación financiera) y a la relación de los derivados con las crisis financieras.</w:t>
      </w:r>
      <w:r w:rsidR="00614B4A">
        <w:t xml:space="preserve"> Conocer correctamente el funcionamiento de éstos es fundamental para todo regulador.</w:t>
      </w:r>
    </w:p>
    <w:p w14:paraId="7A6FFCFB" w14:textId="7E6B8D1A" w:rsidR="00614B4A" w:rsidRPr="00F62595" w:rsidRDefault="00614B4A" w:rsidP="00614B4A">
      <w:pPr>
        <w:pStyle w:val="Nivel4"/>
        <w:keepNext/>
      </w:pPr>
      <w:r w:rsidRPr="00F62595">
        <w:t>De hecho, una de las iniciativas discutidas en la Unión Europea durante los últimos años ha sido la creación de un impuesto sobre las transacciones financieras, y ante la falta de acuerdo por parte de los Estados de la U</w:t>
      </w:r>
      <w:r>
        <w:t xml:space="preserve">nión </w:t>
      </w:r>
      <w:r w:rsidRPr="00F62595">
        <w:t>E</w:t>
      </w:r>
      <w:r>
        <w:t>uropea</w:t>
      </w:r>
      <w:r w:rsidRPr="00F62595">
        <w:t xml:space="preserve">, dicho impuesto fue incorporado en España en enero de 2021 y pretende </w:t>
      </w:r>
      <w:r w:rsidRPr="00F62595">
        <w:lastRenderedPageBreak/>
        <w:t>gravar la adquisición onerosa de las acciones de determinadas sociedades españolas cotizadas</w:t>
      </w:r>
      <w:r w:rsidRPr="00F62595">
        <w:rPr>
          <w:rStyle w:val="Refdenotaalpie"/>
          <w:spacing w:val="-3"/>
        </w:rPr>
        <w:footnoteReference w:id="3"/>
      </w:r>
      <w:r w:rsidRPr="00F62595">
        <w:t>.</w:t>
      </w:r>
    </w:p>
    <w:p w14:paraId="35492005" w14:textId="1467956F" w:rsidR="00614B4A" w:rsidRPr="008D6988" w:rsidRDefault="00614B4A" w:rsidP="00614B4A">
      <w:pPr>
        <w:pStyle w:val="Nivel5"/>
      </w:pPr>
      <w:r>
        <w:t>Además de la finalidad recaudatoria, el objetivo de dicha medida es reducir el uso especulativo y cortoplacista de los instrumentos derivados, para reconducir su actividad hacia usos que fortalezcan la eficiencia de los mercados y sean menos dañinos para la estabilidad financiera.</w:t>
      </w:r>
    </w:p>
    <w:p w14:paraId="57C09237" w14:textId="1D96949A" w:rsidR="007340BE" w:rsidRDefault="007340BE" w:rsidP="007340BE">
      <w:pPr>
        <w:pStyle w:val="Nivel3"/>
      </w:pPr>
      <w:r w:rsidRPr="007053E8">
        <w:rPr>
          <w:i/>
          <w:iCs/>
        </w:rPr>
        <w:t>Desde un punto de vista teórico</w:t>
      </w:r>
      <w:r>
        <w:t xml:space="preserve">, porque su estudio por parte de la literatura es amplio, donde cabe destacar las aportaciones de </w:t>
      </w:r>
      <w:r>
        <w:rPr>
          <w:smallCaps/>
        </w:rPr>
        <w:t>Merton</w:t>
      </w:r>
      <w:r>
        <w:t xml:space="preserve"> y </w:t>
      </w:r>
      <w:r>
        <w:rPr>
          <w:smallCaps/>
        </w:rPr>
        <w:t>Scholes</w:t>
      </w:r>
      <w:r>
        <w:t>, cuyas contribuciones les valieron el Premio Nobel de Economía</w:t>
      </w:r>
      <w:r>
        <w:rPr>
          <w:rStyle w:val="Refdenotaalpie"/>
        </w:rPr>
        <w:footnoteReference w:id="4"/>
      </w:r>
      <w:r>
        <w:t>.</w:t>
      </w:r>
    </w:p>
    <w:p w14:paraId="7493B023" w14:textId="04B6411A" w:rsidR="00A51B24" w:rsidRDefault="00F23726" w:rsidP="006D21C4">
      <w:pPr>
        <w:pStyle w:val="Nivel1"/>
        <w:keepNext/>
        <w:spacing w:after="0"/>
      </w:pPr>
      <w:r w:rsidRPr="00F23726">
        <w:rPr>
          <w:b/>
          <w:bCs/>
          <w:i/>
          <w:iCs/>
        </w:rPr>
        <w:t>Contextualización</w:t>
      </w:r>
      <w:r w:rsidR="00A51B24">
        <w:t>:</w:t>
      </w:r>
    </w:p>
    <w:p w14:paraId="05A5C3D8" w14:textId="2C407A39" w:rsidR="005C59C7" w:rsidRDefault="005C59C7" w:rsidP="005C59C7">
      <w:pPr>
        <w:pStyle w:val="Nivel2"/>
        <w:keepNext/>
        <w:spacing w:after="0"/>
      </w:pPr>
      <w:r w:rsidRPr="005C59C7">
        <w:rPr>
          <w:i/>
          <w:iCs/>
          <w:u w:val="single"/>
        </w:rPr>
        <w:t>Desde un punto de vista histórico</w:t>
      </w:r>
      <w:r>
        <w:t>,</w:t>
      </w:r>
    </w:p>
    <w:p w14:paraId="684DA918" w14:textId="7405A0F8" w:rsidR="005C59C7" w:rsidRPr="00B51E90" w:rsidRDefault="00AD0E1B" w:rsidP="005C59C7">
      <w:pPr>
        <w:pStyle w:val="Nivel3"/>
        <w:keepNext/>
        <w:rPr>
          <w:spacing w:val="-2"/>
        </w:rPr>
      </w:pPr>
      <w:r w:rsidRPr="00B51E90">
        <w:rPr>
          <w:spacing w:val="-2"/>
        </w:rPr>
        <w:t xml:space="preserve">El </w:t>
      </w:r>
      <w:r w:rsidRPr="00B51E90">
        <w:rPr>
          <w:b/>
          <w:bCs/>
          <w:spacing w:val="-2"/>
        </w:rPr>
        <w:t>origen</w:t>
      </w:r>
      <w:r w:rsidRPr="00B51E90">
        <w:rPr>
          <w:spacing w:val="-2"/>
        </w:rPr>
        <w:t xml:space="preserve"> de los derivados está en la </w:t>
      </w:r>
      <w:r w:rsidRPr="00B51E90">
        <w:rPr>
          <w:i/>
          <w:iCs/>
          <w:spacing w:val="-2"/>
        </w:rPr>
        <w:t>necesidad de los agricultores y compradores de cubrirse del riesgo</w:t>
      </w:r>
      <w:r w:rsidRPr="00B51E90">
        <w:rPr>
          <w:spacing w:val="-2"/>
        </w:rPr>
        <w:t xml:space="preserve"> sistémico de la evolución de los precios de la cosecha.</w:t>
      </w:r>
      <w:r w:rsidR="00B51E90" w:rsidRPr="00B51E90">
        <w:rPr>
          <w:spacing w:val="-2"/>
        </w:rPr>
        <w:t xml:space="preserve"> En particular, desde el siglo XVI ya se conocen </w:t>
      </w:r>
      <w:r w:rsidR="00B51E90" w:rsidRPr="003F5133">
        <w:rPr>
          <w:spacing w:val="-2"/>
          <w:u w:val="single"/>
        </w:rPr>
        <w:t>mercados de futuros sobre materias primas</w:t>
      </w:r>
      <w:r w:rsidR="00B51E90" w:rsidRPr="00B51E90">
        <w:rPr>
          <w:spacing w:val="-2"/>
        </w:rPr>
        <w:t xml:space="preserve"> en Inglaterra.</w:t>
      </w:r>
    </w:p>
    <w:p w14:paraId="0742B739" w14:textId="44AD58CE" w:rsidR="00AD0E1B" w:rsidRDefault="00AD0E1B" w:rsidP="005C59C7">
      <w:pPr>
        <w:pStyle w:val="Nivel4"/>
      </w:pPr>
      <w:r>
        <w:t xml:space="preserve">La incertidumbre provocada por las futuras condiciones climáticas exponía a los participantes en el mercado a un </w:t>
      </w:r>
      <w:r w:rsidRPr="005C59C7">
        <w:rPr>
          <w:i/>
          <w:iCs/>
        </w:rPr>
        <w:t>futuro riesgo de precio</w:t>
      </w:r>
      <w:r>
        <w:t xml:space="preserve"> (si caía para los agricultores, si aumentaba para los industriales). Los derivados permitían a los participantes pactar hoy unos precios para un intercambio futuro, de manera que se elimina la incertidumbre y permite aumentar la predictibilidad de ingresos y costes futuros.</w:t>
      </w:r>
    </w:p>
    <w:p w14:paraId="3C093AE7" w14:textId="66A10ADE" w:rsidR="00AD0E1B" w:rsidRPr="00B51E90" w:rsidRDefault="00AD0E1B" w:rsidP="005C59C7">
      <w:pPr>
        <w:pStyle w:val="Nivel3"/>
        <w:keepNext/>
        <w:rPr>
          <w:spacing w:val="-2"/>
        </w:rPr>
      </w:pPr>
      <w:r w:rsidRPr="00B51E90">
        <w:rPr>
          <w:spacing w:val="-2"/>
        </w:rPr>
        <w:t xml:space="preserve">A lo largo del tiempo, el </w:t>
      </w:r>
      <w:r w:rsidRPr="003F5133">
        <w:rPr>
          <w:spacing w:val="-2"/>
          <w:u w:val="single"/>
        </w:rPr>
        <w:t>desarrollo de los mercados financieros</w:t>
      </w:r>
      <w:r w:rsidRPr="00B51E90">
        <w:rPr>
          <w:spacing w:val="-2"/>
        </w:rPr>
        <w:t xml:space="preserve"> y el aumento del volumen de negociación de derivados han supuesto la estandarización de </w:t>
      </w:r>
      <w:proofErr w:type="gramStart"/>
      <w:r w:rsidRPr="00B51E90">
        <w:rPr>
          <w:spacing w:val="-2"/>
        </w:rPr>
        <w:t>los mismos</w:t>
      </w:r>
      <w:proofErr w:type="gramEnd"/>
      <w:r w:rsidRPr="00B51E90">
        <w:rPr>
          <w:spacing w:val="-2"/>
        </w:rPr>
        <w:t>.</w:t>
      </w:r>
    </w:p>
    <w:p w14:paraId="2BC26B50" w14:textId="33960D5E" w:rsidR="006100D0" w:rsidRPr="003F5133" w:rsidRDefault="006100D0" w:rsidP="00072AB1">
      <w:pPr>
        <w:pStyle w:val="Nivel4"/>
      </w:pPr>
      <w:r w:rsidRPr="003F5133">
        <w:rPr>
          <w:spacing w:val="-1"/>
        </w:rPr>
        <w:t>El desarrollo de los mercados financieros vivió una época dorada en la actual Holanda durante el siglo</w:t>
      </w:r>
      <w:r w:rsidR="00E9501F" w:rsidRPr="003F5133">
        <w:rPr>
          <w:spacing w:val="-1"/>
        </w:rPr>
        <w:t> </w:t>
      </w:r>
      <w:r w:rsidRPr="003F5133">
        <w:rPr>
          <w:spacing w:val="-1"/>
        </w:rPr>
        <w:t>XVII.</w:t>
      </w:r>
      <w:r w:rsidR="003F5133">
        <w:rPr>
          <w:spacing w:val="-1"/>
        </w:rPr>
        <w:t xml:space="preserve"> </w:t>
      </w:r>
      <w:r w:rsidRPr="003F5133">
        <w:t xml:space="preserve">A principios de siglo, en plena </w:t>
      </w:r>
      <w:r w:rsidRPr="003F5133">
        <w:rPr>
          <w:i/>
          <w:iCs/>
        </w:rPr>
        <w:t xml:space="preserve">guerra de los </w:t>
      </w:r>
      <w:r w:rsidR="00BB5331" w:rsidRPr="003F5133">
        <w:rPr>
          <w:i/>
          <w:iCs/>
        </w:rPr>
        <w:t>80 </w:t>
      </w:r>
      <w:r w:rsidRPr="003F5133">
        <w:rPr>
          <w:i/>
          <w:iCs/>
        </w:rPr>
        <w:t>años</w:t>
      </w:r>
      <w:r w:rsidRPr="003F5133">
        <w:t xml:space="preserve"> entre España y los rebeldes protestantes de las Provincias Unidas, éstas desarrollaron unos mercados financieros muy potentes y nacieron las primeras bolsas donde negociar activos financieros. El potente comercio marítimo enriqueció sobremanera a ciertas ciudades neerlandesas.</w:t>
      </w:r>
    </w:p>
    <w:p w14:paraId="5C9B96BB" w14:textId="7816D5B2" w:rsidR="006100D0" w:rsidRDefault="00E22354" w:rsidP="003F5133">
      <w:pPr>
        <w:pStyle w:val="Nivel4"/>
        <w:keepNext/>
      </w:pPr>
      <w:r>
        <w:rPr>
          <w:noProof/>
        </w:rPr>
        <w:drawing>
          <wp:anchor distT="0" distB="0" distL="114300" distR="114300" simplePos="0" relativeHeight="251658240" behindDoc="1" locked="0" layoutInCell="1" allowOverlap="1" wp14:anchorId="6FBF4C91" wp14:editId="5EC53AD5">
            <wp:simplePos x="0" y="0"/>
            <wp:positionH relativeFrom="column">
              <wp:posOffset>-537210</wp:posOffset>
            </wp:positionH>
            <wp:positionV relativeFrom="paragraph">
              <wp:posOffset>473075</wp:posOffset>
            </wp:positionV>
            <wp:extent cx="1600200" cy="838200"/>
            <wp:effectExtent l="0" t="0" r="0" b="0"/>
            <wp:wrapTight wrapText="bothSides">
              <wp:wrapPolygon edited="0">
                <wp:start x="0" y="0"/>
                <wp:lineTo x="0" y="21109"/>
                <wp:lineTo x="21343" y="21109"/>
                <wp:lineTo x="21343" y="0"/>
                <wp:lineTo x="0" y="0"/>
              </wp:wrapPolygon>
            </wp:wrapTight>
            <wp:docPr id="1" name="Imagen 1" descr="Tulipmania: La primera burbuja financiera – Empre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lipmania: La primera burbuja financiera – Empre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5133">
        <w:t>Sin embargo, e</w:t>
      </w:r>
      <w:r w:rsidR="006100D0">
        <w:t xml:space="preserve">n medio de esta exuberancia financiera, </w:t>
      </w:r>
      <w:r w:rsidR="003F5133">
        <w:t>los activos subyacentes en los mercados de derivados se limitaban a activos reales. En particular, l</w:t>
      </w:r>
      <w:r w:rsidR="006100D0">
        <w:t>a atención de los holandeses se centró en unas exóticas flores venidas de</w:t>
      </w:r>
      <w:r w:rsidR="00BB5331">
        <w:t>l Imperio Otomano</w:t>
      </w:r>
      <w:r w:rsidR="00BB5331">
        <w:rPr>
          <w:rStyle w:val="Refdenotaalpie"/>
        </w:rPr>
        <w:footnoteReference w:id="5"/>
      </w:r>
      <w:r w:rsidR="006100D0">
        <w:t xml:space="preserve">: los </w:t>
      </w:r>
      <w:r w:rsidR="006100D0" w:rsidRPr="00B608AE">
        <w:rPr>
          <w:b/>
          <w:bCs/>
        </w:rPr>
        <w:t>tulipanes</w:t>
      </w:r>
      <w:r w:rsidR="006100D0">
        <w:t xml:space="preserve">. Poco a poco, las clases nobles fueron coleccionándolos, y se convirtieron en un símbolo de riqueza. Se trataba de un mercado propio del verano, por lo que los intercambios estaban muy limitados por la estación. Para evitar estos problemas, los comerciantes fueron capaces de idear algo muy similar a lo que hoy sería un </w:t>
      </w:r>
      <w:r w:rsidR="006100D0">
        <w:rPr>
          <w:b/>
          <w:bCs/>
        </w:rPr>
        <w:t>mercado de forwards</w:t>
      </w:r>
      <w:r w:rsidR="006100D0">
        <w:t>:</w:t>
      </w:r>
    </w:p>
    <w:p w14:paraId="57F26663" w14:textId="77777777" w:rsidR="006100D0" w:rsidRPr="002B3B7E" w:rsidRDefault="006100D0" w:rsidP="005C59C7">
      <w:pPr>
        <w:pStyle w:val="Nivel5"/>
      </w:pPr>
      <w:r w:rsidRPr="002B3B7E">
        <w:t xml:space="preserve">Los </w:t>
      </w:r>
      <w:r w:rsidRPr="002B3B7E">
        <w:rPr>
          <w:i/>
          <w:iCs/>
        </w:rPr>
        <w:t>productores</w:t>
      </w:r>
      <w:r w:rsidRPr="002B3B7E">
        <w:t xml:space="preserve"> prometían entregar un bulbo determinado en la época que floreciese.</w:t>
      </w:r>
    </w:p>
    <w:p w14:paraId="094ED7BC" w14:textId="77777777" w:rsidR="006100D0" w:rsidRDefault="006100D0" w:rsidP="005C59C7">
      <w:pPr>
        <w:pStyle w:val="Nivel5"/>
      </w:pPr>
      <w:r>
        <w:t xml:space="preserve">Los </w:t>
      </w:r>
      <w:r w:rsidRPr="002B3B7E">
        <w:rPr>
          <w:i/>
          <w:iCs/>
        </w:rPr>
        <w:t>compradores</w:t>
      </w:r>
      <w:r>
        <w:t xml:space="preserve"> adquirían por adelantado el derecho de entrega.</w:t>
      </w:r>
    </w:p>
    <w:p w14:paraId="30B6ECC3" w14:textId="61290E75" w:rsidR="006100D0" w:rsidRDefault="006100D0" w:rsidP="005C59C7">
      <w:pPr>
        <w:pStyle w:val="Nivel4"/>
      </w:pPr>
      <w:r>
        <w:t xml:space="preserve">El uso de dichos contratos permitió acelerar las compraventas, con lo que comenzó a convertirse en un proceso especulativo, que abocó en lo que hoy conocemos como </w:t>
      </w:r>
      <w:r w:rsidRPr="00E91714">
        <w:rPr>
          <w:i/>
          <w:iCs/>
          <w:u w:val="single"/>
        </w:rPr>
        <w:t>la burbuja de los tulipanes</w:t>
      </w:r>
      <w:r w:rsidRPr="00FC7D76">
        <w:t xml:space="preserve"> </w:t>
      </w:r>
      <w:r>
        <w:t xml:space="preserve">(o </w:t>
      </w:r>
      <w:proofErr w:type="spellStart"/>
      <w:r>
        <w:rPr>
          <w:i/>
          <w:iCs/>
        </w:rPr>
        <w:t>tulipomanía</w:t>
      </w:r>
      <w:proofErr w:type="spellEnd"/>
      <w:r>
        <w:t>)</w:t>
      </w:r>
      <w:r w:rsidR="00BB5331">
        <w:rPr>
          <w:rStyle w:val="Refdenotaalpie"/>
        </w:rPr>
        <w:footnoteReference w:id="6"/>
      </w:r>
      <w:r>
        <w:t xml:space="preserve">. En el verano de 1636, </w:t>
      </w:r>
      <w:r>
        <w:lastRenderedPageBreak/>
        <w:t>los derechos sobre determinados bulbos se vendían a precios equivalentes al de una casa. En 1637, las malas cosechas explotaron la burbuja, y desencadenó una grave crisis económica por la inmensa destrucción de valor.</w:t>
      </w:r>
    </w:p>
    <w:p w14:paraId="74A5C7C8" w14:textId="77777777" w:rsidR="006100D0" w:rsidRDefault="006100D0" w:rsidP="005C59C7">
      <w:pPr>
        <w:pStyle w:val="Nivel4"/>
      </w:pPr>
      <w:r>
        <w:t xml:space="preserve">Este es uno de los ejemplos más conocidos de </w:t>
      </w:r>
      <w:r>
        <w:rPr>
          <w:b/>
          <w:bCs/>
        </w:rPr>
        <w:t>burbuja económica</w:t>
      </w:r>
      <w:r>
        <w:t xml:space="preserve">, y como suele repetirse los </w:t>
      </w:r>
      <w:r w:rsidRPr="00E91714">
        <w:rPr>
          <w:b/>
          <w:bCs/>
          <w:i/>
          <w:iCs/>
        </w:rPr>
        <w:t>instrumentos derivados</w:t>
      </w:r>
      <w:r>
        <w:t xml:space="preserve"> están en el centro de la polémica.</w:t>
      </w:r>
    </w:p>
    <w:p w14:paraId="09360D0D" w14:textId="77777777" w:rsidR="003F5133" w:rsidRDefault="00AD0E1B" w:rsidP="003F5133">
      <w:pPr>
        <w:pStyle w:val="Nivel3"/>
        <w:keepNext/>
      </w:pPr>
      <w:r>
        <w:t>Desde el siglo</w:t>
      </w:r>
      <w:r w:rsidR="00E9501F">
        <w:t> </w:t>
      </w:r>
      <w:r>
        <w:t>XVI</w:t>
      </w:r>
      <w:r w:rsidR="000F5789">
        <w:t>,</w:t>
      </w:r>
      <w:r>
        <w:t xml:space="preserve"> </w:t>
      </w:r>
      <w:r w:rsidRPr="003F5133">
        <w:rPr>
          <w:u w:val="single"/>
        </w:rPr>
        <w:t>este tipo de mercados financieros se va desarrollando y el interés de los instrumentos derivados se va desviando de las materias primas al uso de activos financieros como activos subyacentes</w:t>
      </w:r>
      <w:r>
        <w:t>.</w:t>
      </w:r>
    </w:p>
    <w:p w14:paraId="257BC818" w14:textId="223292CA" w:rsidR="00AD0E1B" w:rsidRDefault="00AD0E1B" w:rsidP="003F5133">
      <w:pPr>
        <w:pStyle w:val="Nivel4"/>
      </w:pPr>
      <w:r>
        <w:t xml:space="preserve">En 1970 se crea el </w:t>
      </w:r>
      <w:r>
        <w:rPr>
          <w:i/>
          <w:iCs/>
        </w:rPr>
        <w:t xml:space="preserve">Chicago </w:t>
      </w:r>
      <w:proofErr w:type="spellStart"/>
      <w:r>
        <w:rPr>
          <w:i/>
          <w:iCs/>
        </w:rPr>
        <w:t>Mercantile</w:t>
      </w:r>
      <w:proofErr w:type="spellEnd"/>
      <w:r>
        <w:rPr>
          <w:i/>
          <w:iCs/>
        </w:rPr>
        <w:t xml:space="preserve"> Exchange</w:t>
      </w:r>
      <w:r>
        <w:t xml:space="preserve"> que empieza ofreciendo futuros sobre divisas.</w:t>
      </w:r>
    </w:p>
    <w:p w14:paraId="18B81803" w14:textId="77777777" w:rsidR="00AD0E1B" w:rsidRDefault="00AD0E1B" w:rsidP="003F5133">
      <w:pPr>
        <w:pStyle w:val="Nivel4"/>
      </w:pPr>
      <w:r>
        <w:t>A partir de 1973, se suceden una serie de acontecimientos históricos que aumentan la volatilidad de los precios de los activos financieros (caída del sistema de Bretton Woods, procesos inflacionistas provocados por shocks de oferta, aumento de la competencia en los mercados financieros, desarrollo tecnológico…), por lo que comienzan a demandarse instrumentos con los que asegurarse ante estas variaciones. Esto genera un proceso de innovación financiera en la que se desarrollan enormemente los instrumentos derivados.</w:t>
      </w:r>
    </w:p>
    <w:p w14:paraId="697DF604" w14:textId="70956FF5" w:rsidR="00AD0E1B" w:rsidRDefault="00AD0E1B" w:rsidP="003F5133">
      <w:pPr>
        <w:pStyle w:val="Nivel4"/>
      </w:pPr>
      <w:r>
        <w:t>En España, la creación de los mercados de futuros y opciones financieros se produjo en 1989,</w:t>
      </w:r>
      <w:r w:rsidR="00CD6C75">
        <w:t xml:space="preserve"> </w:t>
      </w:r>
      <w:r>
        <w:t>poco antes de la plena entrada en Vigor de la Ley del Mercado de Valores. Desde entonces, dichos mercados se han ido ampliando.</w:t>
      </w:r>
    </w:p>
    <w:p w14:paraId="29D0A3B9" w14:textId="77777777" w:rsidR="006D21C4" w:rsidRDefault="00B77C0F" w:rsidP="006D21C4">
      <w:pPr>
        <w:pStyle w:val="Nivel1"/>
        <w:keepNext/>
        <w:spacing w:after="0"/>
      </w:pPr>
      <w:r w:rsidRPr="00F23726">
        <w:rPr>
          <w:b/>
          <w:bCs/>
          <w:i/>
          <w:iCs/>
        </w:rPr>
        <w:t>Problemática</w:t>
      </w:r>
      <w:r w:rsidR="00F23726" w:rsidRPr="00F23726">
        <w:rPr>
          <w:b/>
          <w:bCs/>
          <w:i/>
          <w:iCs/>
        </w:rPr>
        <w:t xml:space="preserve"> (Preguntas clave)</w:t>
      </w:r>
      <w:r w:rsidRPr="000A3137">
        <w:t>:</w:t>
      </w:r>
    </w:p>
    <w:p w14:paraId="549986C2" w14:textId="77777777" w:rsidR="00AD0E1B" w:rsidRDefault="00ED646B" w:rsidP="00AD0E1B">
      <w:pPr>
        <w:pStyle w:val="Nivel2"/>
        <w:keepNext/>
        <w:spacing w:after="0"/>
      </w:pPr>
      <w:r w:rsidRPr="000A3137">
        <w:t>¿</w:t>
      </w:r>
      <w:r w:rsidR="00AD0E1B">
        <w:t>Qué son los instrumentos derivados?</w:t>
      </w:r>
    </w:p>
    <w:p w14:paraId="04783206" w14:textId="4E38FAF8" w:rsidR="00AD0E1B" w:rsidRDefault="00AD0E1B" w:rsidP="00AD0E1B">
      <w:pPr>
        <w:pStyle w:val="Nivel3"/>
      </w:pPr>
      <w:r>
        <w:t>¿Qué tipos de instrumentos derivados existen?</w:t>
      </w:r>
    </w:p>
    <w:p w14:paraId="34398519" w14:textId="77777777" w:rsidR="00AD0E1B" w:rsidRDefault="00AD0E1B" w:rsidP="00AD0E1B">
      <w:pPr>
        <w:pStyle w:val="Nivel3"/>
      </w:pPr>
      <w:r>
        <w:t>¿Para qué se usan?</w:t>
      </w:r>
    </w:p>
    <w:p w14:paraId="4EEB529F" w14:textId="064316F0" w:rsidR="00A42628" w:rsidRPr="000A3137" w:rsidRDefault="007F2B9E" w:rsidP="006100D0">
      <w:pPr>
        <w:pStyle w:val="Nivel3"/>
      </w:pPr>
      <w:r>
        <w:t>¿Cómo se negocian</w:t>
      </w:r>
      <w:r w:rsidR="006100D0">
        <w:t>?</w:t>
      </w:r>
    </w:p>
    <w:p w14:paraId="34CD6C10" w14:textId="2D335FF7" w:rsidR="00A42628" w:rsidRDefault="00F23726" w:rsidP="006D21C4">
      <w:pPr>
        <w:pStyle w:val="Nivel1"/>
        <w:keepNext/>
        <w:spacing w:after="0"/>
      </w:pPr>
      <w:r w:rsidRPr="00F23726">
        <w:rPr>
          <w:b/>
          <w:bCs/>
          <w:i/>
          <w:iCs/>
        </w:rPr>
        <w:lastRenderedPageBreak/>
        <w:t>Estructura</w:t>
      </w:r>
      <w:r w:rsidR="00B77C0F" w:rsidRPr="000A3137">
        <w:t>:</w:t>
      </w:r>
    </w:p>
    <w:tbl>
      <w:tblPr>
        <w:tblStyle w:val="Tablaconcuadrcula"/>
        <w:tblW w:w="10205" w:type="dxa"/>
        <w:jc w:val="center"/>
        <w:tblLook w:val="04A0" w:firstRow="1" w:lastRow="0" w:firstColumn="1" w:lastColumn="0" w:noHBand="0" w:noVBand="1"/>
      </w:tblPr>
      <w:tblGrid>
        <w:gridCol w:w="10205"/>
      </w:tblGrid>
      <w:tr w:rsidR="0021774E" w14:paraId="15973E80" w14:textId="77777777" w:rsidTr="00946D45">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2D78F49" w14:textId="77777777" w:rsidR="0081544B" w:rsidRPr="00341137" w:rsidRDefault="0081544B">
      <w:pPr>
        <w:rPr>
          <w:sz w:val="20"/>
          <w:highlight w:val="lightGray"/>
        </w:rPr>
      </w:pPr>
      <w:r w:rsidRPr="00341137">
        <w:rPr>
          <w:highlight w:val="lightGray"/>
        </w:rPr>
        <w:br w:type="page"/>
      </w:r>
    </w:p>
    <w:p w14:paraId="509F0206" w14:textId="551868B3" w:rsidR="006910DD" w:rsidRDefault="006910DD" w:rsidP="005676CE">
      <w:pPr>
        <w:pStyle w:val="Apartado0"/>
      </w:pPr>
      <w:bookmarkStart w:id="12" w:name="_Toc131840453"/>
      <w:r>
        <w:lastRenderedPageBreak/>
        <w:t>CONCE</w:t>
      </w:r>
      <w:r w:rsidRPr="005676CE">
        <w:t>P</w:t>
      </w:r>
      <w:r>
        <w:t>TOS GENERALES</w:t>
      </w:r>
      <w:r w:rsidR="007340BE">
        <w:t>: ¿QUÉ SON LOS INSTRUMENTOS DERIVADOS?</w:t>
      </w:r>
      <w:bookmarkEnd w:id="12"/>
    </w:p>
    <w:p w14:paraId="13A589E6" w14:textId="2EEDEAC7" w:rsidR="00EA3770" w:rsidRDefault="00EA3770" w:rsidP="00EA3770">
      <w:pPr>
        <w:pStyle w:val="Notaalopositor"/>
      </w:pPr>
      <w:r>
        <w:t>Apartado cero, contar brevemente</w:t>
      </w:r>
    </w:p>
    <w:p w14:paraId="23E15DDF" w14:textId="1BDDC075" w:rsidR="00E07E1E" w:rsidRDefault="00E07E1E" w:rsidP="001B765B">
      <w:pPr>
        <w:pStyle w:val="Cajadeanotaciones"/>
        <w:spacing w:after="0"/>
      </w:pPr>
      <w:r>
        <w:t xml:space="preserve">Para practicar el </w:t>
      </w:r>
      <w:r w:rsidRPr="00E07E1E">
        <w:rPr>
          <w:i/>
          <w:iCs/>
        </w:rPr>
        <w:t>francés</w:t>
      </w:r>
      <w:r>
        <w:t xml:space="preserve"> y entender los </w:t>
      </w:r>
      <w:r w:rsidRPr="00E07E1E">
        <w:rPr>
          <w:i/>
          <w:iCs/>
        </w:rPr>
        <w:t>derivados</w:t>
      </w:r>
      <w:r>
        <w:t xml:space="preserve">: </w:t>
      </w:r>
      <w:hyperlink r:id="rId11" w:history="1">
        <w:r w:rsidRPr="00633860">
          <w:rPr>
            <w:rStyle w:val="Hipervnculo"/>
          </w:rPr>
          <w:t>https://youtu.be/t-6MyCpL9yU</w:t>
        </w:r>
      </w:hyperlink>
    </w:p>
    <w:p w14:paraId="273DA17A" w14:textId="61511C92" w:rsidR="001B765B" w:rsidRDefault="001B765B" w:rsidP="00E07E1E">
      <w:pPr>
        <w:pStyle w:val="Cajadeanotaciones"/>
      </w:pPr>
      <w:r>
        <w:t xml:space="preserve">Y otro en </w:t>
      </w:r>
      <w:r w:rsidRPr="001B765B">
        <w:rPr>
          <w:i/>
          <w:iCs/>
        </w:rPr>
        <w:t>español</w:t>
      </w:r>
      <w:r>
        <w:t xml:space="preserve">: </w:t>
      </w:r>
      <w:hyperlink r:id="rId12" w:history="1">
        <w:r w:rsidRPr="00633860">
          <w:rPr>
            <w:rStyle w:val="Hipervnculo"/>
          </w:rPr>
          <w:t>https://youtu.be/U1qvH5roZ5U</w:t>
        </w:r>
      </w:hyperlink>
    </w:p>
    <w:p w14:paraId="08CC1263" w14:textId="762E4049" w:rsidR="00C87B45" w:rsidRPr="00B66639" w:rsidRDefault="00C87B45">
      <w:pPr>
        <w:pStyle w:val="Ttulo2"/>
        <w:numPr>
          <w:ilvl w:val="1"/>
          <w:numId w:val="27"/>
        </w:numPr>
        <w:ind w:left="788" w:hanging="431"/>
      </w:pPr>
      <w:bookmarkStart w:id="13" w:name="_Toc131840454"/>
      <w:r w:rsidRPr="00B66639">
        <w:t>Definición</w:t>
      </w:r>
      <w:bookmarkEnd w:id="13"/>
    </w:p>
    <w:p w14:paraId="4A4E405B" w14:textId="2996C7BF" w:rsidR="00AC54B6" w:rsidRDefault="00AC54B6" w:rsidP="00E9501F">
      <w:pPr>
        <w:pStyle w:val="Nivel1SM"/>
        <w:keepNext/>
        <w:spacing w:before="0" w:after="0"/>
      </w:pPr>
      <w:r>
        <w:t xml:space="preserve">Podemos definir los </w:t>
      </w:r>
      <w:r w:rsidRPr="008836D7">
        <w:rPr>
          <w:b/>
          <w:bCs/>
          <w:i/>
          <w:iCs/>
        </w:rPr>
        <w:t>productos derivados</w:t>
      </w:r>
      <w:r>
        <w:t xml:space="preserve"> como aquellos cuyo valor depende o se deriva del precio de otro activo llamado </w:t>
      </w:r>
      <w:r w:rsidRPr="008836D7">
        <w:rPr>
          <w:i/>
          <w:iCs/>
        </w:rPr>
        <w:t>subyacente</w:t>
      </w:r>
      <w:r>
        <w:t>.</w:t>
      </w:r>
      <w:r w:rsidR="008836D7">
        <w:t xml:space="preserve"> En comparación con los instrumentos financieros de renta fija y de renta variable, los productos derivados cuentan con una serie de </w:t>
      </w:r>
      <w:r w:rsidR="008836D7" w:rsidRPr="008836D7">
        <w:rPr>
          <w:b/>
          <w:bCs/>
        </w:rPr>
        <w:t>características peculiares</w:t>
      </w:r>
      <w:r w:rsidR="008836D7">
        <w:rPr>
          <w:rStyle w:val="Refdenotaalpie"/>
        </w:rPr>
        <w:footnoteReference w:id="7"/>
      </w:r>
      <w:r w:rsidR="008836D7">
        <w:t>:</w:t>
      </w:r>
    </w:p>
    <w:p w14:paraId="228911EF" w14:textId="77777777" w:rsidR="008836D7" w:rsidRDefault="008836D7">
      <w:pPr>
        <w:pStyle w:val="Prrafodelista"/>
        <w:keepNext/>
        <w:numPr>
          <w:ilvl w:val="0"/>
          <w:numId w:val="31"/>
        </w:numPr>
        <w:spacing w:after="0"/>
        <w:ind w:left="567" w:hanging="113"/>
      </w:pPr>
      <w:r w:rsidRPr="008836D7">
        <w:rPr>
          <w:i/>
          <w:iCs/>
          <w:u w:val="single"/>
        </w:rPr>
        <w:t>S</w:t>
      </w:r>
      <w:r w:rsidR="00AC54B6" w:rsidRPr="008836D7">
        <w:rPr>
          <w:i/>
          <w:iCs/>
          <w:u w:val="single"/>
        </w:rPr>
        <w:t>on instrumentos inexorablemente ligados a otro</w:t>
      </w:r>
      <w:r w:rsidR="00AC54B6">
        <w:t xml:space="preserve"> (</w:t>
      </w:r>
      <w:r>
        <w:t xml:space="preserve">i.e. </w:t>
      </w:r>
      <w:r w:rsidR="00AC54B6" w:rsidRPr="008836D7">
        <w:rPr>
          <w:i/>
          <w:iCs/>
        </w:rPr>
        <w:t>sin el subyacente el derivado no podría existir</w:t>
      </w:r>
      <w:r w:rsidR="00AC54B6">
        <w:t>).</w:t>
      </w:r>
    </w:p>
    <w:p w14:paraId="1AF4E5B7" w14:textId="65E4F6EF" w:rsidR="008836D7" w:rsidRDefault="00AC54B6" w:rsidP="00630AF2">
      <w:pPr>
        <w:pStyle w:val="Nivel3SM"/>
      </w:pPr>
      <w:r>
        <w:t>El subyacente puede ser cualquier tipo de activo.</w:t>
      </w:r>
      <w:r w:rsidR="008836D7">
        <w:t xml:space="preserve"> Es decir, el subyacente es otro activo que puede ser </w:t>
      </w:r>
      <w:r w:rsidR="008836D7" w:rsidRPr="008836D7">
        <w:rPr>
          <w:i/>
          <w:iCs/>
        </w:rPr>
        <w:t>real</w:t>
      </w:r>
      <w:r w:rsidR="008836D7">
        <w:t xml:space="preserve"> o </w:t>
      </w:r>
      <w:r w:rsidR="008836D7" w:rsidRPr="008836D7">
        <w:rPr>
          <w:i/>
          <w:iCs/>
        </w:rPr>
        <w:t>financiero</w:t>
      </w:r>
      <w:r w:rsidR="008836D7">
        <w:t xml:space="preserve"> (acción, obligación, cotización del petróleo, índice, valor del dólar con respecto al dólar, etc.).</w:t>
      </w:r>
    </w:p>
    <w:p w14:paraId="60722A38" w14:textId="1FFF29D7" w:rsidR="008836D7" w:rsidRDefault="008836D7" w:rsidP="008836D7">
      <w:pPr>
        <w:pStyle w:val="Nivel3SM"/>
      </w:pPr>
      <w:r>
        <w:t xml:space="preserve">En esta exposición nos centraremos en los </w:t>
      </w:r>
      <w:r w:rsidRPr="008836D7">
        <w:rPr>
          <w:i/>
          <w:iCs/>
        </w:rPr>
        <w:t>derivados financieros</w:t>
      </w:r>
      <w:r>
        <w:t>.</w:t>
      </w:r>
    </w:p>
    <w:p w14:paraId="0ED65094" w14:textId="77777777" w:rsidR="008836D7" w:rsidRDefault="00AC54B6">
      <w:pPr>
        <w:pStyle w:val="Prrafodelista"/>
        <w:keepNext/>
        <w:numPr>
          <w:ilvl w:val="0"/>
          <w:numId w:val="31"/>
        </w:numPr>
        <w:spacing w:after="0"/>
        <w:ind w:left="567" w:hanging="113"/>
      </w:pPr>
      <w:r w:rsidRPr="008836D7">
        <w:rPr>
          <w:i/>
          <w:iCs/>
          <w:u w:val="single"/>
        </w:rPr>
        <w:t>El valor de un derivado se deriva del precio del activo subyacente</w:t>
      </w:r>
      <w:r>
        <w:t>.</w:t>
      </w:r>
    </w:p>
    <w:p w14:paraId="6C14EC4B" w14:textId="0FF6EC5C" w:rsidR="00AC54B6" w:rsidRDefault="007F6759" w:rsidP="008836D7">
      <w:pPr>
        <w:pStyle w:val="Nivel3SM"/>
      </w:pPr>
      <w:r>
        <w:t>De este mod</w:t>
      </w:r>
      <w:r w:rsidR="00AC54B6">
        <w:t xml:space="preserve">o, una de las partes realiza una “apuesta” sobre </w:t>
      </w:r>
      <w:r w:rsidR="00CF785C">
        <w:t>lo</w:t>
      </w:r>
      <w:r w:rsidR="00AC54B6">
        <w:t xml:space="preserve">s movimientos </w:t>
      </w:r>
      <w:r w:rsidR="00CF785C">
        <w:t xml:space="preserve">del valor de dicho activo subyacente en un lapso temporal </w:t>
      </w:r>
      <w:r w:rsidR="00AC54B6">
        <w:t xml:space="preserve">y la otra la contraria. </w:t>
      </w:r>
      <w:r>
        <w:t>Por tanto</w:t>
      </w:r>
      <w:r w:rsidR="00AC54B6">
        <w:t xml:space="preserve">, es un </w:t>
      </w:r>
      <w:r w:rsidR="00AC54B6" w:rsidRPr="008836D7">
        <w:rPr>
          <w:i/>
          <w:iCs/>
        </w:rPr>
        <w:t>juego de suma cero</w:t>
      </w:r>
      <w:r w:rsidR="00AC54B6">
        <w:t>.</w:t>
      </w:r>
    </w:p>
    <w:p w14:paraId="419B4B91" w14:textId="43864064" w:rsidR="00E97D47" w:rsidRPr="008836D7" w:rsidRDefault="005643BC">
      <w:pPr>
        <w:pStyle w:val="Prrafodelista"/>
        <w:keepNext/>
        <w:numPr>
          <w:ilvl w:val="0"/>
          <w:numId w:val="31"/>
        </w:numPr>
        <w:spacing w:after="0"/>
        <w:ind w:left="567" w:hanging="113"/>
        <w:rPr>
          <w:spacing w:val="-2"/>
        </w:rPr>
      </w:pPr>
      <w:r w:rsidRPr="008836D7">
        <w:rPr>
          <w:spacing w:val="-2"/>
        </w:rPr>
        <w:t>A diferencia de la renta fija</w:t>
      </w:r>
      <w:r w:rsidR="007254D5" w:rsidRPr="008836D7">
        <w:rPr>
          <w:rStyle w:val="Refdenotaalpie"/>
          <w:spacing w:val="-2"/>
        </w:rPr>
        <w:footnoteReference w:id="8"/>
      </w:r>
      <w:r w:rsidRPr="008836D7">
        <w:rPr>
          <w:spacing w:val="-2"/>
        </w:rPr>
        <w:t xml:space="preserve"> o la renta variable</w:t>
      </w:r>
      <w:r w:rsidR="008836D7" w:rsidRPr="008836D7">
        <w:rPr>
          <w:spacing w:val="-2"/>
        </w:rPr>
        <w:t xml:space="preserve">, </w:t>
      </w:r>
      <w:r w:rsidR="008836D7" w:rsidRPr="008836D7">
        <w:rPr>
          <w:i/>
          <w:iCs/>
          <w:spacing w:val="-2"/>
          <w:u w:val="single"/>
        </w:rPr>
        <w:t>s</w:t>
      </w:r>
      <w:r w:rsidRPr="008836D7">
        <w:rPr>
          <w:i/>
          <w:iCs/>
          <w:spacing w:val="-2"/>
          <w:u w:val="single"/>
        </w:rPr>
        <w:t>on instrumentos que no permiten la obtención de financiación</w:t>
      </w:r>
      <w:r w:rsidR="004A379B" w:rsidRPr="008836D7">
        <w:rPr>
          <w:rStyle w:val="Refdenotaalpie"/>
          <w:spacing w:val="-2"/>
        </w:rPr>
        <w:footnoteReference w:id="9"/>
      </w:r>
      <w:r w:rsidR="008836D7" w:rsidRPr="008836D7">
        <w:rPr>
          <w:spacing w:val="-2"/>
        </w:rPr>
        <w:t xml:space="preserve"> (i.e. contablemente no son ni un pasivo ni capital, sino que son instrumentos fuera de balance)</w:t>
      </w:r>
      <w:r w:rsidR="00E97D47" w:rsidRPr="008836D7">
        <w:rPr>
          <w:spacing w:val="-2"/>
        </w:rPr>
        <w:t>.</w:t>
      </w:r>
    </w:p>
    <w:p w14:paraId="27281F04" w14:textId="77777777" w:rsidR="00B67C58" w:rsidRDefault="00E97D47" w:rsidP="00B67C58">
      <w:pPr>
        <w:pStyle w:val="Nivel3"/>
        <w:keepNext/>
        <w:ind w:left="1037"/>
      </w:pPr>
      <w:r>
        <w:t>Los derivado</w:t>
      </w:r>
      <w:r w:rsidR="009A12F1">
        <w:t>s</w:t>
      </w:r>
      <w:r>
        <w:t xml:space="preserve"> financieros no devengan ningún ingreso primario, sino que todo monto devengado se clasifica como revalorizaciones.</w:t>
      </w:r>
    </w:p>
    <w:p w14:paraId="6760AA17" w14:textId="4B33DE57" w:rsidR="005643BC" w:rsidRDefault="00E97D47" w:rsidP="00B67C58">
      <w:pPr>
        <w:pStyle w:val="Nivel4"/>
        <w:ind w:left="1474"/>
      </w:pPr>
      <w:r>
        <w:t xml:space="preserve">Por ello, en la </w:t>
      </w:r>
      <w:r w:rsidRPr="00B67C58">
        <w:rPr>
          <w:i/>
          <w:iCs/>
        </w:rPr>
        <w:t>balanza de pagos</w:t>
      </w:r>
      <w:r>
        <w:t xml:space="preserve"> </w:t>
      </w:r>
      <w:r w:rsidR="00B67C58">
        <w:t xml:space="preserve">tan solo </w:t>
      </w:r>
      <w:r>
        <w:t xml:space="preserve">se registran </w:t>
      </w:r>
      <w:r w:rsidR="00B67C58">
        <w:t xml:space="preserve">en la </w:t>
      </w:r>
      <w:r w:rsidR="00B67C58" w:rsidRPr="00B67C58">
        <w:rPr>
          <w:i/>
          <w:iCs/>
        </w:rPr>
        <w:t>cuenta financiera</w:t>
      </w:r>
      <w:r w:rsidR="00B67C58">
        <w:t xml:space="preserve"> </w:t>
      </w:r>
      <w:r>
        <w:t>como variación neta de activos (VNA) y variación neta de pasivos (VNP)</w:t>
      </w:r>
      <w:r w:rsidR="001B0AAE">
        <w:rPr>
          <w:rStyle w:val="Refdenotaalpie"/>
        </w:rPr>
        <w:footnoteReference w:id="10"/>
      </w:r>
      <w:r w:rsidR="007D1085">
        <w:t xml:space="preserve"> </w:t>
      </w:r>
      <w:r w:rsidR="007D1085" w:rsidRPr="007D1085">
        <w:rPr>
          <w:color w:val="767171" w:themeColor="background2" w:themeShade="80"/>
          <w:sz w:val="19"/>
          <w:szCs w:val="19"/>
        </w:rPr>
        <w:t>[ver tema 3.B.1</w:t>
      </w:r>
      <w:r w:rsidR="00BE3150">
        <w:rPr>
          <w:color w:val="767171" w:themeColor="background2" w:themeShade="80"/>
          <w:sz w:val="19"/>
          <w:szCs w:val="19"/>
        </w:rPr>
        <w:t>1</w:t>
      </w:r>
      <w:r w:rsidR="007D1085" w:rsidRPr="007D1085">
        <w:rPr>
          <w:color w:val="767171" w:themeColor="background2" w:themeShade="80"/>
          <w:sz w:val="19"/>
          <w:szCs w:val="19"/>
        </w:rPr>
        <w:t>]</w:t>
      </w:r>
      <w:r>
        <w:t>.</w:t>
      </w:r>
    </w:p>
    <w:p w14:paraId="2F044285" w14:textId="6E36DC14" w:rsidR="00C87B45" w:rsidRPr="00B66639" w:rsidRDefault="00C87B45">
      <w:pPr>
        <w:pStyle w:val="Ttulo2"/>
        <w:numPr>
          <w:ilvl w:val="1"/>
          <w:numId w:val="27"/>
        </w:numPr>
        <w:ind w:left="788" w:hanging="431"/>
      </w:pPr>
      <w:bookmarkStart w:id="14" w:name="_Toc131840455"/>
      <w:r w:rsidRPr="00B66639">
        <w:t>Tipos</w:t>
      </w:r>
      <w:bookmarkEnd w:id="14"/>
    </w:p>
    <w:p w14:paraId="0F85B168" w14:textId="19E5F046" w:rsidR="0071503B" w:rsidRDefault="0071503B" w:rsidP="00E9501F">
      <w:pPr>
        <w:pStyle w:val="Nivel1SM"/>
        <w:keepNext/>
        <w:spacing w:before="0" w:after="0"/>
      </w:pPr>
      <w:r>
        <w:t>Como veremos más en detalle a lo largo de</w:t>
      </w:r>
      <w:r w:rsidR="00AC54B6">
        <w:t xml:space="preserve"> </w:t>
      </w:r>
      <w:r>
        <w:t>l</w:t>
      </w:r>
      <w:r w:rsidR="00AC54B6">
        <w:t>a</w:t>
      </w:r>
      <w:r>
        <w:t xml:space="preserve"> </w:t>
      </w:r>
      <w:r w:rsidR="00AC54B6">
        <w:t>exposición</w:t>
      </w:r>
      <w:r>
        <w:t>, existe una gran variedad de instrumentos derivados, y a su vez estos pueden utilizar como activo subyacente activos de toda clase. Las principales categorías de instrumentos derivados, en cuyo estudio nos centraremos en los subsiguientes apartados son:</w:t>
      </w:r>
    </w:p>
    <w:p w14:paraId="678D5E6A" w14:textId="431CC342" w:rsidR="0071503B" w:rsidRDefault="0071503B" w:rsidP="005B6BD6">
      <w:pPr>
        <w:pStyle w:val="Nivel2SM"/>
      </w:pPr>
      <w:r>
        <w:rPr>
          <w:i/>
          <w:iCs/>
          <w:u w:val="single"/>
        </w:rPr>
        <w:t>Forward</w:t>
      </w:r>
      <w:r w:rsidR="00C715EE">
        <w:t xml:space="preserve"> y </w:t>
      </w:r>
      <w:r w:rsidR="00C715EE">
        <w:rPr>
          <w:i/>
          <w:iCs/>
          <w:u w:val="single"/>
        </w:rPr>
        <w:t>futuros</w:t>
      </w:r>
      <w:r>
        <w:t xml:space="preserve">: </w:t>
      </w:r>
      <w:r w:rsidR="005B6BD6">
        <w:t>C</w:t>
      </w:r>
      <w:r>
        <w:t>ontratos que obligan a una de las partes a comprar y a la otra a vender, un activo concreto a un precio fijado en un momento concreto en el futuro.</w:t>
      </w:r>
      <w:r w:rsidR="00C715EE">
        <w:t xml:space="preserve"> La diferencia reside en que el </w:t>
      </w:r>
      <w:r w:rsidR="00C715EE">
        <w:rPr>
          <w:i/>
          <w:iCs/>
        </w:rPr>
        <w:t>forward</w:t>
      </w:r>
      <w:r w:rsidR="00C715EE">
        <w:t xml:space="preserve"> es un contrato no estandarizado que se negocia en mercados </w:t>
      </w:r>
      <w:proofErr w:type="spellStart"/>
      <w:r w:rsidR="00C715EE" w:rsidRPr="00C715EE">
        <w:t>over-the-counter</w:t>
      </w:r>
      <w:proofErr w:type="spellEnd"/>
      <w:r w:rsidR="00C715EE">
        <w:t xml:space="preserve"> (OTC) y el </w:t>
      </w:r>
      <w:r w:rsidR="00C715EE">
        <w:rPr>
          <w:i/>
          <w:iCs/>
        </w:rPr>
        <w:t>futuro</w:t>
      </w:r>
      <w:r w:rsidR="00C715EE">
        <w:t xml:space="preserve"> es un contrato que se negocia en mercados </w:t>
      </w:r>
      <w:r w:rsidR="00B0093D">
        <w:t>organiza</w:t>
      </w:r>
      <w:r w:rsidR="00C715EE">
        <w:t xml:space="preserve">dos y por lo tanto es </w:t>
      </w:r>
      <w:r w:rsidR="00C715EE">
        <w:lastRenderedPageBreak/>
        <w:t>estandarizado, cotizado, líquido y las posiciones deudora y acreedora son neteadas diariamente a través de una cámara de compensación.</w:t>
      </w:r>
    </w:p>
    <w:p w14:paraId="35EB7B7D" w14:textId="77777777" w:rsidR="00875950" w:rsidRDefault="00875950" w:rsidP="00875950">
      <w:pPr>
        <w:pStyle w:val="Nivel2SM"/>
      </w:pPr>
      <w:r>
        <w:rPr>
          <w:i/>
          <w:iCs/>
          <w:u w:val="single"/>
        </w:rPr>
        <w:t>Opciones</w:t>
      </w:r>
      <w:r>
        <w:t>: Da al poseedor el derecho (pero no la obligación) de comprar o vender un activo a un precio fijado en un momento concreto del futuro.</w:t>
      </w:r>
    </w:p>
    <w:p w14:paraId="0F07CE9F" w14:textId="77777777" w:rsidR="003F4934" w:rsidRDefault="003F4934" w:rsidP="003F4934">
      <w:pPr>
        <w:pStyle w:val="Nivel2SM"/>
      </w:pPr>
      <w:r>
        <w:rPr>
          <w:i/>
          <w:iCs/>
          <w:u w:val="single"/>
        </w:rPr>
        <w:t>Swaps</w:t>
      </w:r>
      <w:r>
        <w:t>: Equivale generalmente al intercambio de una serie de contratos forward. Implica el intercambio de flujos financieros entre los participantes.</w:t>
      </w:r>
    </w:p>
    <w:p w14:paraId="766B577A" w14:textId="398E616F" w:rsidR="003F4934" w:rsidRDefault="003F4934" w:rsidP="003F4934">
      <w:pPr>
        <w:pStyle w:val="Nivel2SM"/>
      </w:pPr>
      <w:r>
        <w:rPr>
          <w:i/>
          <w:iCs/>
          <w:u w:val="single"/>
        </w:rPr>
        <w:t>Derivados sobre crédito</w:t>
      </w:r>
      <w:r>
        <w:t>: Contrato que implica un pago si se materializa un evento de crédito concreto previamente especificado.</w:t>
      </w:r>
    </w:p>
    <w:p w14:paraId="3ED0892E" w14:textId="19FF4B2D" w:rsidR="00C715EE" w:rsidRDefault="00C715EE" w:rsidP="005B6BD6">
      <w:pPr>
        <w:pStyle w:val="Nivel1SM"/>
      </w:pPr>
      <w:r>
        <w:t>Mientras que las opciones y los derivados sobre crédito dependen de que se produzca un determinado evento, las otras clases de derivados (futuros, forward, swaps) conllevan la obligación preestablecida de efectuar una determinada acción en el futuro.</w:t>
      </w:r>
    </w:p>
    <w:p w14:paraId="71F3B2FE" w14:textId="376480C5" w:rsidR="00C87B45" w:rsidRPr="00B66639" w:rsidRDefault="00C87B45">
      <w:pPr>
        <w:pStyle w:val="Ttulo2"/>
        <w:numPr>
          <w:ilvl w:val="1"/>
          <w:numId w:val="27"/>
        </w:numPr>
        <w:ind w:left="788" w:hanging="431"/>
      </w:pPr>
      <w:bookmarkStart w:id="15" w:name="_Toc131840456"/>
      <w:r w:rsidRPr="00B66639">
        <w:t>Estrategias</w:t>
      </w:r>
      <w:bookmarkEnd w:id="15"/>
    </w:p>
    <w:p w14:paraId="4023C87C" w14:textId="4216A468" w:rsidR="0088725A" w:rsidRDefault="0088725A" w:rsidP="00E9501F">
      <w:pPr>
        <w:pStyle w:val="Nivel1SM"/>
        <w:keepNext/>
        <w:spacing w:before="0" w:after="0"/>
      </w:pPr>
      <w:r>
        <w:t xml:space="preserve">Como veremos a lo largo de la exposición, los distintos derivados se pueden utilizar principalmente con </w:t>
      </w:r>
      <w:r w:rsidR="00E9501F" w:rsidRPr="00E9501F">
        <w:rPr>
          <w:b/>
          <w:bCs/>
        </w:rPr>
        <w:t>2 </w:t>
      </w:r>
      <w:r w:rsidRPr="00E9501F">
        <w:rPr>
          <w:b/>
          <w:bCs/>
        </w:rPr>
        <w:t>objetivos</w:t>
      </w:r>
      <w:r>
        <w:t>:</w:t>
      </w:r>
    </w:p>
    <w:p w14:paraId="78DFB399" w14:textId="7170E093" w:rsidR="0088725A" w:rsidRDefault="0088725A">
      <w:pPr>
        <w:pStyle w:val="Prrafodelista"/>
        <w:numPr>
          <w:ilvl w:val="0"/>
          <w:numId w:val="36"/>
        </w:numPr>
        <w:spacing w:after="100"/>
        <w:ind w:left="567" w:hanging="113"/>
      </w:pPr>
      <w:r w:rsidRPr="003D550A">
        <w:rPr>
          <w:i/>
          <w:iCs/>
          <w:u w:val="single"/>
        </w:rPr>
        <w:t>Cobertura de riesgos</w:t>
      </w:r>
      <w:r>
        <w:t>:</w:t>
      </w:r>
      <w:r w:rsidR="00684E1E">
        <w:t xml:space="preserve"> Con derivados se puede adoptar la posición contraria a una posición abierta, de modo que permite “asegurarse” de cara a la evolución futura del precio del activo subyacente en el que se tiene la posición abierta. De este modo contribuyen a la </w:t>
      </w:r>
      <w:r w:rsidR="00684E1E" w:rsidRPr="003D550A">
        <w:rPr>
          <w:i/>
          <w:iCs/>
        </w:rPr>
        <w:t>distribución eficiente de riesgos</w:t>
      </w:r>
      <w:r w:rsidR="0099232A">
        <w:rPr>
          <w:rStyle w:val="Refdenotaalpie"/>
        </w:rPr>
        <w:footnoteReference w:id="11"/>
      </w:r>
      <w:r w:rsidR="00684E1E">
        <w:t>.</w:t>
      </w:r>
    </w:p>
    <w:p w14:paraId="419D30C6" w14:textId="4F003863" w:rsidR="0088725A" w:rsidRDefault="0088725A">
      <w:pPr>
        <w:pStyle w:val="Prrafodelista"/>
        <w:numPr>
          <w:ilvl w:val="0"/>
          <w:numId w:val="36"/>
        </w:numPr>
        <w:spacing w:after="100"/>
        <w:ind w:left="567" w:hanging="113"/>
      </w:pPr>
      <w:r w:rsidRPr="003D550A">
        <w:rPr>
          <w:i/>
          <w:iCs/>
          <w:u w:val="single"/>
        </w:rPr>
        <w:t>Especulación</w:t>
      </w:r>
      <w:r>
        <w:t>: Se adopta una posición abierta (</w:t>
      </w:r>
      <w:proofErr w:type="spellStart"/>
      <w:r w:rsidRPr="003D550A">
        <w:rPr>
          <w:i/>
          <w:iCs/>
        </w:rPr>
        <w:t>naked</w:t>
      </w:r>
      <w:proofErr w:type="spellEnd"/>
      <w:r w:rsidRPr="003D550A">
        <w:rPr>
          <w:i/>
          <w:iCs/>
        </w:rPr>
        <w:t xml:space="preserve"> contract</w:t>
      </w:r>
      <w:r>
        <w:t xml:space="preserve">, sin posición contraria). La lógica de especular adquiriendo un derivado y no otro instrumento financiero se explica por el </w:t>
      </w:r>
      <w:r w:rsidRPr="003D550A">
        <w:rPr>
          <w:i/>
          <w:iCs/>
        </w:rPr>
        <w:t>efecto apalancamiento</w:t>
      </w:r>
      <w:r>
        <w:t xml:space="preserve"> (se pueden aumentar ganancias (y también las pérdidas) porque no se necesita tener el activo subyacente en cartera).</w:t>
      </w:r>
    </w:p>
    <w:p w14:paraId="0D75C325" w14:textId="06F4AA53" w:rsidR="00C87B45" w:rsidRPr="00B66639" w:rsidRDefault="00C87B45">
      <w:pPr>
        <w:pStyle w:val="Ttulo2"/>
        <w:numPr>
          <w:ilvl w:val="1"/>
          <w:numId w:val="27"/>
        </w:numPr>
        <w:ind w:left="788" w:hanging="431"/>
      </w:pPr>
      <w:bookmarkStart w:id="16" w:name="_Toc131840457"/>
      <w:r w:rsidRPr="00B66639">
        <w:t>Mercados</w:t>
      </w:r>
      <w:bookmarkEnd w:id="16"/>
    </w:p>
    <w:p w14:paraId="146D3200" w14:textId="71960575" w:rsidR="00C715EE" w:rsidRDefault="00C715EE" w:rsidP="00E9501F">
      <w:pPr>
        <w:pStyle w:val="Nivel1SM"/>
        <w:keepNext/>
        <w:spacing w:before="0" w:after="0"/>
      </w:pPr>
      <w:r>
        <w:t xml:space="preserve">Los derivados pueden negociarse en </w:t>
      </w:r>
      <w:r w:rsidR="00E9501F">
        <w:rPr>
          <w:b/>
          <w:bCs/>
        </w:rPr>
        <w:t>2 </w:t>
      </w:r>
      <w:r w:rsidRPr="0088725A">
        <w:rPr>
          <w:b/>
          <w:bCs/>
        </w:rPr>
        <w:t>tipos de mercados</w:t>
      </w:r>
      <w:r>
        <w:t>:</w:t>
      </w:r>
    </w:p>
    <w:p w14:paraId="31120B90" w14:textId="236939A1" w:rsidR="00C715EE" w:rsidRDefault="00440A64" w:rsidP="004D4FAC">
      <w:pPr>
        <w:pStyle w:val="Nivel2SM"/>
        <w:keepNext/>
        <w:spacing w:after="0"/>
      </w:pPr>
      <w:r w:rsidRPr="00034D0C">
        <w:rPr>
          <w:i/>
          <w:iCs/>
          <w:u w:val="single"/>
        </w:rPr>
        <w:t xml:space="preserve">Mercados </w:t>
      </w:r>
      <w:r w:rsidR="0005557A">
        <w:rPr>
          <w:i/>
          <w:iCs/>
          <w:u w:val="single"/>
        </w:rPr>
        <w:t>organizados</w:t>
      </w:r>
      <w:r>
        <w:t xml:space="preserve">: </w:t>
      </w:r>
      <w:r w:rsidR="00842412">
        <w:t>L</w:t>
      </w:r>
      <w:r>
        <w:t xml:space="preserve">os productos negociados en este tipo de mercados están </w:t>
      </w:r>
      <w:r w:rsidRPr="0088527A">
        <w:rPr>
          <w:b/>
          <w:bCs/>
        </w:rPr>
        <w:t>estandarizados</w:t>
      </w:r>
      <w:r w:rsidR="0088527A">
        <w:t xml:space="preserve"> (es decir, todos los participantes del mercado negocian una lista de activos limitada y uniforme, lo que aumenta la profundidad y la liquidez del mercado)</w:t>
      </w:r>
      <w:r>
        <w:t xml:space="preserve">, y su compraventa se hace a través de una </w:t>
      </w:r>
      <w:r w:rsidRPr="0088527A">
        <w:rPr>
          <w:b/>
          <w:bCs/>
        </w:rPr>
        <w:t>cámara de compensación</w:t>
      </w:r>
      <w:r w:rsidR="009305A8">
        <w:rPr>
          <w:rStyle w:val="Refdenotaalpie"/>
        </w:rPr>
        <w:footnoteReference w:id="12"/>
      </w:r>
      <w:r w:rsidR="0088527A">
        <w:t xml:space="preserve"> (lo que</w:t>
      </w:r>
      <w:r>
        <w:t xml:space="preserve"> permite una mayor transparencia, liquidez y reduce el riesgo de contrapartida, al responder la cámara de contrapartida ante los </w:t>
      </w:r>
      <w:r>
        <w:lastRenderedPageBreak/>
        <w:t xml:space="preserve">derechos que se adquieran a cambio de cumplir con las obligaciones exigidas por la cámara de compensación (colateral inicial y </w:t>
      </w:r>
      <w:proofErr w:type="spellStart"/>
      <w:r>
        <w:t>colateralización</w:t>
      </w:r>
      <w:proofErr w:type="spellEnd"/>
      <w:r>
        <w:t xml:space="preserve"> diaria de la posición)</w:t>
      </w:r>
      <w:r w:rsidR="0088527A">
        <w:t>)</w:t>
      </w:r>
      <w:r>
        <w:t>.</w:t>
      </w:r>
    </w:p>
    <w:p w14:paraId="0F6FB974" w14:textId="17E559D5" w:rsidR="004D4FAC" w:rsidRDefault="004D4FAC" w:rsidP="004D4FAC">
      <w:pPr>
        <w:pStyle w:val="Nivel3SM"/>
        <w:keepNext/>
      </w:pPr>
      <w:r>
        <w:t>Ejemplos de estos mercados son (ordenados por número de contratos en 2019)</w:t>
      </w:r>
      <w:r>
        <w:rPr>
          <w:rStyle w:val="Refdenotaalpie"/>
        </w:rPr>
        <w:footnoteReference w:id="13"/>
      </w:r>
      <w:r>
        <w:t>:</w:t>
      </w:r>
    </w:p>
    <w:p w14:paraId="7E4801E1" w14:textId="1B795233" w:rsidR="004D4FAC" w:rsidRDefault="004D4FAC" w:rsidP="004D4FAC">
      <w:pPr>
        <w:pStyle w:val="Nivel4"/>
        <w:ind w:left="1474"/>
        <w:rPr>
          <w:lang w:val="en-US"/>
        </w:rPr>
      </w:pPr>
      <w:r w:rsidRPr="004D4FAC">
        <w:rPr>
          <w:lang w:val="en-US"/>
        </w:rPr>
        <w:t>NSE</w:t>
      </w:r>
      <w:r>
        <w:rPr>
          <w:lang w:val="en-US"/>
        </w:rPr>
        <w:t xml:space="preserve"> – </w:t>
      </w:r>
      <w:r w:rsidRPr="004D4FAC">
        <w:rPr>
          <w:lang w:val="en-US"/>
        </w:rPr>
        <w:t>National Stock Exchange (India)</w:t>
      </w:r>
    </w:p>
    <w:p w14:paraId="1EDCA299" w14:textId="149F7447" w:rsidR="004D4FAC" w:rsidRDefault="004D4FAC" w:rsidP="00F96AEF">
      <w:pPr>
        <w:pStyle w:val="Nivel4"/>
        <w:keepNext/>
        <w:ind w:left="1474"/>
      </w:pPr>
      <w:r w:rsidRPr="00F96AEF">
        <w:t xml:space="preserve">CME </w:t>
      </w:r>
      <w:proofErr w:type="spellStart"/>
      <w:r w:rsidRPr="00F96AEF">
        <w:t>Group</w:t>
      </w:r>
      <w:proofErr w:type="spellEnd"/>
      <w:r w:rsidRPr="00F96AEF">
        <w:t xml:space="preserve"> </w:t>
      </w:r>
      <w:r w:rsidRPr="004D4FAC">
        <w:t>(Estados Unidos)</w:t>
      </w:r>
    </w:p>
    <w:p w14:paraId="63374ADC" w14:textId="17C67294" w:rsidR="00F96AEF" w:rsidRPr="00F96AEF" w:rsidRDefault="00F96AEF" w:rsidP="00F96AEF">
      <w:pPr>
        <w:pStyle w:val="Nivel5"/>
        <w:ind w:left="1871"/>
      </w:pPr>
      <w:r w:rsidRPr="00F96AEF">
        <w:t xml:space="preserve">Formado tras la adquisición del </w:t>
      </w:r>
      <w:r w:rsidRPr="00F96AEF">
        <w:rPr>
          <w:i/>
          <w:iCs/>
        </w:rPr>
        <w:t>New Yo</w:t>
      </w:r>
      <w:r>
        <w:rPr>
          <w:i/>
          <w:iCs/>
        </w:rPr>
        <w:t xml:space="preserve">rk </w:t>
      </w:r>
      <w:proofErr w:type="spellStart"/>
      <w:r>
        <w:rPr>
          <w:i/>
          <w:iCs/>
        </w:rPr>
        <w:t>Mercantile</w:t>
      </w:r>
      <w:proofErr w:type="spellEnd"/>
      <w:r>
        <w:rPr>
          <w:i/>
          <w:iCs/>
        </w:rPr>
        <w:t xml:space="preserve"> Exchange</w:t>
      </w:r>
      <w:r>
        <w:t xml:space="preserve"> y el </w:t>
      </w:r>
      <w:r>
        <w:rPr>
          <w:i/>
          <w:iCs/>
        </w:rPr>
        <w:t xml:space="preserve">Chicago </w:t>
      </w:r>
      <w:proofErr w:type="spellStart"/>
      <w:r>
        <w:rPr>
          <w:i/>
          <w:iCs/>
        </w:rPr>
        <w:t>Borard</w:t>
      </w:r>
      <w:proofErr w:type="spellEnd"/>
      <w:r>
        <w:rPr>
          <w:i/>
          <w:iCs/>
        </w:rPr>
        <w:t xml:space="preserve"> </w:t>
      </w:r>
      <w:proofErr w:type="spellStart"/>
      <w:r>
        <w:rPr>
          <w:i/>
          <w:iCs/>
        </w:rPr>
        <w:t>of</w:t>
      </w:r>
      <w:proofErr w:type="spellEnd"/>
      <w:r>
        <w:rPr>
          <w:i/>
          <w:iCs/>
        </w:rPr>
        <w:t xml:space="preserve"> </w:t>
      </w:r>
      <w:proofErr w:type="spellStart"/>
      <w:r>
        <w:rPr>
          <w:i/>
          <w:iCs/>
        </w:rPr>
        <w:t>Trade</w:t>
      </w:r>
      <w:proofErr w:type="spellEnd"/>
      <w:r w:rsidRPr="00F96AEF">
        <w:t xml:space="preserve"> </w:t>
      </w:r>
      <w:r>
        <w:t xml:space="preserve">por el </w:t>
      </w:r>
      <w:r>
        <w:rPr>
          <w:i/>
          <w:iCs/>
        </w:rPr>
        <w:t xml:space="preserve">Chicago </w:t>
      </w:r>
      <w:proofErr w:type="spellStart"/>
      <w:r>
        <w:rPr>
          <w:i/>
          <w:iCs/>
        </w:rPr>
        <w:t>Mercantile</w:t>
      </w:r>
      <w:proofErr w:type="spellEnd"/>
      <w:r>
        <w:rPr>
          <w:i/>
          <w:iCs/>
        </w:rPr>
        <w:t xml:space="preserve"> Exchange</w:t>
      </w:r>
    </w:p>
    <w:p w14:paraId="3A851753" w14:textId="7A61FF63" w:rsidR="004D4FAC" w:rsidRDefault="004D4FAC" w:rsidP="004D4FAC">
      <w:pPr>
        <w:pStyle w:val="Nivel4"/>
        <w:ind w:left="1474"/>
        <w:rPr>
          <w:lang w:val="en-US"/>
        </w:rPr>
      </w:pPr>
      <w:r>
        <w:rPr>
          <w:lang w:val="en-US"/>
        </w:rPr>
        <w:t xml:space="preserve">B3 – </w:t>
      </w:r>
      <w:proofErr w:type="spellStart"/>
      <w:r>
        <w:rPr>
          <w:lang w:val="en-US"/>
        </w:rPr>
        <w:t>Bovespa</w:t>
      </w:r>
      <w:proofErr w:type="spellEnd"/>
      <w:r>
        <w:rPr>
          <w:lang w:val="en-US"/>
        </w:rPr>
        <w:t xml:space="preserve"> (</w:t>
      </w:r>
      <w:proofErr w:type="spellStart"/>
      <w:r>
        <w:rPr>
          <w:lang w:val="en-US"/>
        </w:rPr>
        <w:t>Brasil</w:t>
      </w:r>
      <w:proofErr w:type="spellEnd"/>
      <w:r>
        <w:rPr>
          <w:lang w:val="en-US"/>
        </w:rPr>
        <w:t>)</w:t>
      </w:r>
    </w:p>
    <w:p w14:paraId="1D6FBE7D" w14:textId="1D9C0F10" w:rsidR="004D4FAC" w:rsidRPr="004D4FAC" w:rsidRDefault="004D4FAC" w:rsidP="004D4FAC">
      <w:pPr>
        <w:pStyle w:val="Nivel4"/>
        <w:keepNext/>
        <w:ind w:left="1474"/>
      </w:pPr>
      <w:r w:rsidRPr="004D4FAC">
        <w:t>ICE – Intercontinental Exchange (Estados Unidos)</w:t>
      </w:r>
    </w:p>
    <w:p w14:paraId="14648018" w14:textId="521E5FE7" w:rsidR="004D4FAC" w:rsidRPr="004D4FAC" w:rsidRDefault="004D4FAC" w:rsidP="004D4FAC">
      <w:pPr>
        <w:pStyle w:val="Nivel5"/>
        <w:ind w:left="1871"/>
        <w:rPr>
          <w:lang w:val="en-US"/>
        </w:rPr>
      </w:pPr>
      <w:proofErr w:type="spellStart"/>
      <w:r>
        <w:rPr>
          <w:lang w:val="en-US"/>
        </w:rPr>
        <w:t>Ligado</w:t>
      </w:r>
      <w:proofErr w:type="spellEnd"/>
      <w:r>
        <w:rPr>
          <w:lang w:val="en-US"/>
        </w:rPr>
        <w:t xml:space="preserve"> al NYSE</w:t>
      </w:r>
    </w:p>
    <w:p w14:paraId="0363C3FD" w14:textId="0AB3B298" w:rsidR="004D4FAC" w:rsidRPr="004D4FAC" w:rsidRDefault="004D4FAC" w:rsidP="004D4FAC">
      <w:pPr>
        <w:pStyle w:val="Nivel4"/>
        <w:ind w:left="1474"/>
        <w:rPr>
          <w:lang w:val="en-US"/>
        </w:rPr>
      </w:pPr>
      <w:r>
        <w:rPr>
          <w:lang w:val="en-US"/>
        </w:rPr>
        <w:t>EUREX – (Alemania</w:t>
      </w:r>
      <w:r w:rsidRPr="004D4FAC">
        <w:rPr>
          <w:lang w:val="en-US"/>
        </w:rPr>
        <w:t>)</w:t>
      </w:r>
    </w:p>
    <w:p w14:paraId="473697A5" w14:textId="4DB5CA35" w:rsidR="004D4FAC" w:rsidRDefault="004D4FAC" w:rsidP="004D4FAC">
      <w:pPr>
        <w:pStyle w:val="Nivel4"/>
        <w:ind w:left="1474"/>
        <w:rPr>
          <w:lang w:val="fr-FR"/>
        </w:rPr>
      </w:pPr>
      <w:r w:rsidRPr="004D4FAC">
        <w:rPr>
          <w:lang w:val="fr-FR"/>
        </w:rPr>
        <w:t>TFX – Tokyo Financial Exchange (</w:t>
      </w:r>
      <w:proofErr w:type="spellStart"/>
      <w:r w:rsidRPr="004D4FAC">
        <w:rPr>
          <w:lang w:val="fr-FR"/>
        </w:rPr>
        <w:t>Japón</w:t>
      </w:r>
      <w:proofErr w:type="spellEnd"/>
      <w:r w:rsidRPr="004D4FAC">
        <w:rPr>
          <w:lang w:val="fr-FR"/>
        </w:rPr>
        <w:t>)</w:t>
      </w:r>
    </w:p>
    <w:p w14:paraId="42ECAF01" w14:textId="1B89A417" w:rsidR="004D4FAC" w:rsidRPr="00F96AEF" w:rsidRDefault="004D4FAC" w:rsidP="004D4FAC">
      <w:pPr>
        <w:pStyle w:val="Nivel4"/>
        <w:keepNext/>
        <w:ind w:left="1474"/>
        <w:rPr>
          <w:lang w:val="en-US"/>
        </w:rPr>
      </w:pPr>
      <w:r w:rsidRPr="00F96AEF">
        <w:rPr>
          <w:lang w:val="en-US"/>
        </w:rPr>
        <w:t xml:space="preserve">CBOE – Chicago Board </w:t>
      </w:r>
      <w:r w:rsidR="00F96AEF" w:rsidRPr="00F96AEF">
        <w:rPr>
          <w:lang w:val="en-US"/>
        </w:rPr>
        <w:t xml:space="preserve">Options Exchange </w:t>
      </w:r>
      <w:r w:rsidRPr="00F96AEF">
        <w:rPr>
          <w:lang w:val="en-US"/>
        </w:rPr>
        <w:t>(</w:t>
      </w:r>
      <w:proofErr w:type="spellStart"/>
      <w:r w:rsidRPr="00F96AEF">
        <w:rPr>
          <w:lang w:val="en-US"/>
        </w:rPr>
        <w:t>Estados</w:t>
      </w:r>
      <w:proofErr w:type="spellEnd"/>
      <w:r w:rsidRPr="00F96AEF">
        <w:rPr>
          <w:lang w:val="en-US"/>
        </w:rPr>
        <w:t xml:space="preserve"> Unidos)</w:t>
      </w:r>
    </w:p>
    <w:p w14:paraId="12A186C7" w14:textId="4B208A45" w:rsidR="004D4FAC" w:rsidRPr="004D4FAC" w:rsidRDefault="004D4FAC" w:rsidP="004D4FAC">
      <w:pPr>
        <w:pStyle w:val="Nivel5"/>
        <w:ind w:left="1871"/>
        <w:rPr>
          <w:lang w:val="en-US"/>
        </w:rPr>
      </w:pPr>
      <w:proofErr w:type="spellStart"/>
      <w:r>
        <w:rPr>
          <w:lang w:val="en-US"/>
        </w:rPr>
        <w:t>Centrado</w:t>
      </w:r>
      <w:proofErr w:type="spellEnd"/>
      <w:r>
        <w:rPr>
          <w:lang w:val="en-US"/>
        </w:rPr>
        <w:t xml:space="preserve"> </w:t>
      </w:r>
      <w:proofErr w:type="spellStart"/>
      <w:r>
        <w:rPr>
          <w:lang w:val="en-US"/>
        </w:rPr>
        <w:t>en</w:t>
      </w:r>
      <w:proofErr w:type="spellEnd"/>
      <w:r>
        <w:rPr>
          <w:lang w:val="en-US"/>
        </w:rPr>
        <w:t xml:space="preserve"> </w:t>
      </w:r>
      <w:proofErr w:type="spellStart"/>
      <w:r>
        <w:rPr>
          <w:lang w:val="en-US"/>
        </w:rPr>
        <w:t>opciones</w:t>
      </w:r>
      <w:proofErr w:type="spellEnd"/>
    </w:p>
    <w:p w14:paraId="5A247340" w14:textId="776F3867" w:rsidR="004D4FAC" w:rsidRPr="004D4FAC" w:rsidRDefault="004D4FAC" w:rsidP="004D4FAC">
      <w:pPr>
        <w:pStyle w:val="Nivel4"/>
        <w:keepNext/>
        <w:ind w:left="1474"/>
      </w:pPr>
      <w:r w:rsidRPr="004D4FAC">
        <w:t>MEFF – Mercado Español de Futuros Financieros (España)</w:t>
      </w:r>
    </w:p>
    <w:p w14:paraId="551A0D7A" w14:textId="3CDFF104" w:rsidR="004D4FAC" w:rsidRDefault="004D4FAC" w:rsidP="004D4FAC">
      <w:pPr>
        <w:pStyle w:val="Nivel5"/>
        <w:ind w:left="1871"/>
      </w:pPr>
      <w:r w:rsidRPr="004D4FAC">
        <w:t xml:space="preserve">Es el principal mercado </w:t>
      </w:r>
      <w:r>
        <w:t>oficial español</w:t>
      </w:r>
    </w:p>
    <w:p w14:paraId="5DB43015" w14:textId="64F081BB" w:rsidR="004D4FAC" w:rsidRPr="004D4FAC" w:rsidRDefault="004D4FAC" w:rsidP="004D4FAC">
      <w:pPr>
        <w:pStyle w:val="Nivel5"/>
        <w:ind w:left="1871"/>
      </w:pPr>
      <w:r>
        <w:t>Futuros sobre el IBEX, acciones y opciones</w:t>
      </w:r>
    </w:p>
    <w:p w14:paraId="6A4F2B47" w14:textId="7A06CD2D" w:rsidR="00034D0C" w:rsidRDefault="00440A64" w:rsidP="005B6BD6">
      <w:pPr>
        <w:pStyle w:val="Nivel2SM"/>
        <w:keepNext/>
        <w:spacing w:after="0"/>
      </w:pPr>
      <w:r w:rsidRPr="00034D0C">
        <w:rPr>
          <w:i/>
          <w:iCs/>
          <w:u w:val="single"/>
        </w:rPr>
        <w:t xml:space="preserve">Mercados </w:t>
      </w:r>
      <w:proofErr w:type="spellStart"/>
      <w:r w:rsidRPr="00034D0C">
        <w:rPr>
          <w:i/>
          <w:iCs/>
          <w:u w:val="single"/>
        </w:rPr>
        <w:t>over-the-counter</w:t>
      </w:r>
      <w:proofErr w:type="spellEnd"/>
      <w:r w:rsidRPr="004E12EA">
        <w:rPr>
          <w:i/>
          <w:iCs/>
        </w:rPr>
        <w:t xml:space="preserve"> (</w:t>
      </w:r>
      <w:r w:rsidR="0005557A" w:rsidRPr="004E12EA">
        <w:rPr>
          <w:i/>
          <w:iCs/>
        </w:rPr>
        <w:t>no regulados</w:t>
      </w:r>
      <w:r w:rsidRPr="004E12EA">
        <w:rPr>
          <w:i/>
          <w:iCs/>
        </w:rPr>
        <w:t>)</w:t>
      </w:r>
      <w:r w:rsidRPr="00440A64">
        <w:t xml:space="preserve">: </w:t>
      </w:r>
      <w:r w:rsidR="00842412">
        <w:t>L</w:t>
      </w:r>
      <w:r w:rsidRPr="00440A64">
        <w:t>os productos se</w:t>
      </w:r>
      <w:r>
        <w:t xml:space="preserve"> negocian de forma </w:t>
      </w:r>
      <w:r w:rsidRPr="004E12EA">
        <w:rPr>
          <w:b/>
          <w:bCs/>
        </w:rPr>
        <w:t>bilateral</w:t>
      </w:r>
      <w:r>
        <w:t>, muchas veces por teléfono.</w:t>
      </w:r>
      <w:r w:rsidR="00034D0C">
        <w:t xml:space="preserve"> </w:t>
      </w:r>
      <w:r>
        <w:t xml:space="preserve">De este modo se puede conseguir una mejor adaptación a las necesidades al no estar los productos estandarizados, a cambio de una menor liquidez. No obstante, se debe tener en cuenta que en los mercados OTC, también se negocian productos con un elevado grado de estandarización y, por tanto, liquidez. Además, en principio, no hay una cámara de contrapartida que intermedie la operación, por lo que se correría el </w:t>
      </w:r>
      <w:r w:rsidRPr="004E12EA">
        <w:rPr>
          <w:b/>
          <w:bCs/>
        </w:rPr>
        <w:t>riesgo de contrapartida</w:t>
      </w:r>
      <w:r>
        <w:t xml:space="preserve"> (aunque se evitarían las costosas obligaciones de una cámara, inasumibles para muchas empresas en la economía real).</w:t>
      </w:r>
      <w:r w:rsidR="00034D0C">
        <w:t xml:space="preserve"> Finalmente, la regulación es más laxa.</w:t>
      </w:r>
    </w:p>
    <w:p w14:paraId="653799E9" w14:textId="1117A96C" w:rsidR="00440A64" w:rsidRDefault="00440A64" w:rsidP="005B6BD6">
      <w:pPr>
        <w:pStyle w:val="Nivel3SM"/>
      </w:pPr>
      <w:r w:rsidRPr="00440A64">
        <w:t>No obstante, y a r</w:t>
      </w:r>
      <w:r>
        <w:t>aíz de la crisis, han acontecido una serie de cambios en los mercados OTC que hacen que, para muchos productos, la diferencia entre OTC o mercado regulado sea pequeña</w:t>
      </w:r>
      <w:r w:rsidR="002438CF">
        <w:rPr>
          <w:rStyle w:val="Refdenotaalpie"/>
        </w:rPr>
        <w:footnoteReference w:id="14"/>
      </w:r>
      <w:r>
        <w:t>.</w:t>
      </w:r>
    </w:p>
    <w:p w14:paraId="72A0938C" w14:textId="7E4DBF1F" w:rsidR="00B52052" w:rsidRDefault="008F2259">
      <w:pPr>
        <w:pStyle w:val="Ttulo1"/>
        <w:numPr>
          <w:ilvl w:val="0"/>
          <w:numId w:val="22"/>
        </w:numPr>
      </w:pPr>
      <w:bookmarkStart w:id="17" w:name="_Toc131840458"/>
      <w:r>
        <w:t xml:space="preserve">MERCADOS DE </w:t>
      </w:r>
      <w:r w:rsidR="005B3E8C">
        <w:t>FUTUROS Y FORWARDS</w:t>
      </w:r>
      <w:bookmarkEnd w:id="17"/>
    </w:p>
    <w:p w14:paraId="0A57B219" w14:textId="21CC73A2" w:rsidR="005B3E8C" w:rsidRPr="00B66639" w:rsidRDefault="005B3E8C" w:rsidP="00B66639">
      <w:pPr>
        <w:pStyle w:val="Ttulo2"/>
      </w:pPr>
      <w:bookmarkStart w:id="18" w:name="_Toc131840459"/>
      <w:r w:rsidRPr="00B66639">
        <w:t>Definición</w:t>
      </w:r>
      <w:r w:rsidR="005A22CC" w:rsidRPr="00B66639">
        <w:t xml:space="preserve"> y características</w:t>
      </w:r>
      <w:bookmarkEnd w:id="18"/>
    </w:p>
    <w:p w14:paraId="3B7CCB38" w14:textId="2C6339D9" w:rsidR="00E6751A" w:rsidRPr="00946D45" w:rsidRDefault="00E6751A" w:rsidP="009A3B5B">
      <w:pPr>
        <w:pStyle w:val="Nivel1SM"/>
        <w:spacing w:before="0"/>
        <w:rPr>
          <w:spacing w:val="-1"/>
        </w:rPr>
      </w:pPr>
      <w:r w:rsidRPr="00946D45">
        <w:rPr>
          <w:spacing w:val="-1"/>
        </w:rPr>
        <w:t xml:space="preserve">Los </w:t>
      </w:r>
      <w:r w:rsidRPr="00946D45">
        <w:rPr>
          <w:b/>
          <w:bCs/>
          <w:spacing w:val="-1"/>
        </w:rPr>
        <w:t>futuros financieros</w:t>
      </w:r>
      <w:r w:rsidRPr="00946D45">
        <w:rPr>
          <w:spacing w:val="-1"/>
        </w:rPr>
        <w:t xml:space="preserve"> y los </w:t>
      </w:r>
      <w:r w:rsidRPr="00946D45">
        <w:rPr>
          <w:b/>
          <w:bCs/>
          <w:spacing w:val="-1"/>
        </w:rPr>
        <w:t>forward</w:t>
      </w:r>
      <w:r w:rsidR="00F56AE5" w:rsidRPr="00946D45">
        <w:rPr>
          <w:b/>
          <w:bCs/>
          <w:spacing w:val="-1"/>
        </w:rPr>
        <w:t>s</w:t>
      </w:r>
      <w:r w:rsidRPr="00946D45">
        <w:rPr>
          <w:spacing w:val="-1"/>
        </w:rPr>
        <w:t xml:space="preserve"> son </w:t>
      </w:r>
      <w:r w:rsidRPr="00946D45">
        <w:rPr>
          <w:i/>
          <w:iCs/>
          <w:spacing w:val="-1"/>
        </w:rPr>
        <w:t>contratos</w:t>
      </w:r>
      <w:r w:rsidR="000B5AD3" w:rsidRPr="00946D45">
        <w:rPr>
          <w:i/>
          <w:iCs/>
          <w:spacing w:val="-1"/>
          <w:sz w:val="2"/>
          <w:szCs w:val="2"/>
        </w:rPr>
        <w:t> </w:t>
      </w:r>
      <w:r w:rsidRPr="00946D45">
        <w:rPr>
          <w:rFonts w:hint="eastAsia"/>
          <w:color w:val="5F2987"/>
          <w:spacing w:val="-1"/>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①</w:t>
      </w:r>
      <w:r w:rsidRPr="00946D45">
        <w:rPr>
          <w:spacing w:val="-1"/>
        </w:rPr>
        <w:t xml:space="preserve"> que dan a su vendedor la </w:t>
      </w:r>
      <w:r w:rsidRPr="00946D45">
        <w:rPr>
          <w:i/>
          <w:iCs/>
          <w:spacing w:val="-1"/>
        </w:rPr>
        <w:t>obligación</w:t>
      </w:r>
      <w:r w:rsidR="000B5AD3" w:rsidRPr="00946D45">
        <w:rPr>
          <w:i/>
          <w:iCs/>
          <w:spacing w:val="-1"/>
          <w:sz w:val="2"/>
          <w:szCs w:val="2"/>
        </w:rPr>
        <w:t> </w:t>
      </w:r>
      <w:r w:rsidRPr="00946D45">
        <w:rPr>
          <w:rFonts w:hint="eastAsia"/>
          <w:color w:val="5F2987"/>
          <w:spacing w:val="-1"/>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②</w:t>
      </w:r>
      <w:r w:rsidRPr="00946D45">
        <w:rPr>
          <w:spacing w:val="-1"/>
        </w:rPr>
        <w:t xml:space="preserve"> de </w:t>
      </w:r>
      <w:r w:rsidRPr="00946D45">
        <w:rPr>
          <w:i/>
          <w:iCs/>
          <w:spacing w:val="-1"/>
        </w:rPr>
        <w:t>comprar</w:t>
      </w:r>
      <w:r w:rsidRPr="00946D45">
        <w:rPr>
          <w:spacing w:val="-1"/>
        </w:rPr>
        <w:t xml:space="preserve"> el </w:t>
      </w:r>
      <w:r w:rsidRPr="00946D45">
        <w:rPr>
          <w:i/>
          <w:iCs/>
          <w:spacing w:val="-1"/>
        </w:rPr>
        <w:t>activo subyacente</w:t>
      </w:r>
      <w:r w:rsidR="000B5AD3" w:rsidRPr="00946D45">
        <w:rPr>
          <w:i/>
          <w:iCs/>
          <w:spacing w:val="-1"/>
          <w:sz w:val="2"/>
          <w:szCs w:val="2"/>
        </w:rPr>
        <w:t> </w:t>
      </w:r>
      <w:r w:rsidRPr="00946D45">
        <w:rPr>
          <w:rFonts w:hint="eastAsia"/>
          <w:color w:val="5F2987"/>
          <w:spacing w:val="-1"/>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③</w:t>
      </w:r>
      <w:r w:rsidRPr="00946D45">
        <w:rPr>
          <w:spacing w:val="-1"/>
        </w:rPr>
        <w:t xml:space="preserve">, a un </w:t>
      </w:r>
      <w:r w:rsidRPr="00946D45">
        <w:rPr>
          <w:i/>
          <w:iCs/>
          <w:spacing w:val="-1"/>
        </w:rPr>
        <w:t>precio de ejercicio determinado</w:t>
      </w:r>
      <w:r w:rsidR="000B5AD3" w:rsidRPr="00946D45">
        <w:rPr>
          <w:i/>
          <w:iCs/>
          <w:spacing w:val="-1"/>
          <w:sz w:val="2"/>
          <w:szCs w:val="2"/>
        </w:rPr>
        <w:t> </w:t>
      </w:r>
      <w:r w:rsidRPr="00946D45">
        <w:rPr>
          <w:rFonts w:hint="eastAsia"/>
          <w:color w:val="5F2987"/>
          <w:spacing w:val="-1"/>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④</w:t>
      </w:r>
      <w:r w:rsidRPr="00946D45">
        <w:rPr>
          <w:rFonts w:hint="eastAsia"/>
          <w:spacing w:val="-1"/>
        </w:rPr>
        <w:t>,</w:t>
      </w:r>
      <w:r w:rsidRPr="00946D45">
        <w:rPr>
          <w:spacing w:val="-1"/>
        </w:rPr>
        <w:t xml:space="preserve"> en una </w:t>
      </w:r>
      <w:r w:rsidRPr="00946D45">
        <w:rPr>
          <w:i/>
          <w:iCs/>
          <w:spacing w:val="-1"/>
        </w:rPr>
        <w:t>fecha de vencimiento determinada</w:t>
      </w:r>
      <w:r w:rsidR="000B5AD3" w:rsidRPr="00946D45">
        <w:rPr>
          <w:i/>
          <w:iCs/>
          <w:spacing w:val="-1"/>
          <w:sz w:val="2"/>
          <w:szCs w:val="2"/>
        </w:rPr>
        <w:t> </w:t>
      </w:r>
      <w:r w:rsidRPr="00946D45">
        <w:rPr>
          <w:rFonts w:hint="eastAsia"/>
          <w:color w:val="5F2987"/>
          <w:spacing w:val="-1"/>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⑤</w:t>
      </w:r>
      <w:r w:rsidRPr="00946D45">
        <w:rPr>
          <w:spacing w:val="-1"/>
        </w:rPr>
        <w:t>.</w:t>
      </w:r>
    </w:p>
    <w:p w14:paraId="61582A7E" w14:textId="564361B2" w:rsidR="005B3E8C" w:rsidRPr="00B66639" w:rsidRDefault="005B3E8C" w:rsidP="00B66639">
      <w:pPr>
        <w:pStyle w:val="Ttulo2"/>
      </w:pPr>
      <w:bookmarkStart w:id="19" w:name="_Toc131840460"/>
      <w:r w:rsidRPr="00B66639">
        <w:t>Tipos</w:t>
      </w:r>
      <w:bookmarkEnd w:id="19"/>
    </w:p>
    <w:p w14:paraId="4F4BC063" w14:textId="77777777" w:rsidR="00661FD4" w:rsidRDefault="00661FD4" w:rsidP="009A3B5B">
      <w:pPr>
        <w:pStyle w:val="Ttulo3"/>
        <w:spacing w:before="0"/>
      </w:pPr>
      <w:bookmarkStart w:id="20" w:name="_Toc131840461"/>
      <w:r>
        <w:t>Según el mercado en el que se negocian</w:t>
      </w:r>
    </w:p>
    <w:p w14:paraId="307C2B2C" w14:textId="79E81E62" w:rsidR="00885959" w:rsidRPr="00B66639" w:rsidRDefault="00885959" w:rsidP="00661FD4">
      <w:pPr>
        <w:pStyle w:val="Ttulo6"/>
        <w:spacing w:before="0"/>
      </w:pPr>
      <w:r w:rsidRPr="00B66639">
        <w:t>Futuros financieros</w:t>
      </w:r>
      <w:bookmarkEnd w:id="20"/>
      <w:r w:rsidR="00661FD4">
        <w:t xml:space="preserve"> (negociados en mercados organizados)</w:t>
      </w:r>
    </w:p>
    <w:p w14:paraId="12CDA7AD" w14:textId="77777777" w:rsidR="00EE79E5" w:rsidRDefault="00885959" w:rsidP="00EE79E5">
      <w:pPr>
        <w:pStyle w:val="Nivel1"/>
        <w:keepNext/>
        <w:spacing w:before="0" w:after="0"/>
        <w:ind w:left="227" w:hanging="227"/>
      </w:pPr>
      <w:r w:rsidRPr="005A688A">
        <w:t>Los</w:t>
      </w:r>
      <w:r>
        <w:rPr>
          <w:b/>
          <w:bCs/>
        </w:rPr>
        <w:t xml:space="preserve"> futuros financieros </w:t>
      </w:r>
      <w:r>
        <w:t xml:space="preserve">son los </w:t>
      </w:r>
      <w:r w:rsidRPr="00632C92">
        <w:rPr>
          <w:i/>
          <w:iCs/>
          <w:u w:val="single"/>
        </w:rPr>
        <w:t>contratos a plazo</w:t>
      </w:r>
      <w:r>
        <w:t xml:space="preserve"> que tengan por objeto valores, préstamos o depósitos, índices u otros instrumentos de naturaleza financiera que tengan </w:t>
      </w:r>
      <w:r w:rsidRPr="00632C92">
        <w:rPr>
          <w:i/>
          <w:iCs/>
          <w:u w:val="single"/>
        </w:rPr>
        <w:t>normalizados</w:t>
      </w:r>
      <w:r>
        <w:t xml:space="preserve"> su importe nominal, objeto y fecha de vencimiento, y que se negocien y transmitan en un </w:t>
      </w:r>
      <w:r w:rsidRPr="00632C92">
        <w:rPr>
          <w:i/>
          <w:iCs/>
          <w:u w:val="single"/>
        </w:rPr>
        <w:t xml:space="preserve">mercado </w:t>
      </w:r>
      <w:r w:rsidRPr="00632C92">
        <w:rPr>
          <w:i/>
          <w:iCs/>
          <w:u w:val="single"/>
        </w:rPr>
        <w:lastRenderedPageBreak/>
        <w:t>organizado</w:t>
      </w:r>
      <w:r>
        <w:t xml:space="preserve"> cuya Sociedad Rectora los </w:t>
      </w:r>
      <w:r w:rsidRPr="007C3073">
        <w:rPr>
          <w:i/>
          <w:iCs/>
        </w:rPr>
        <w:t>registre</w:t>
      </w:r>
      <w:r>
        <w:t xml:space="preserve">, </w:t>
      </w:r>
      <w:r w:rsidRPr="007C3073">
        <w:rPr>
          <w:i/>
          <w:iCs/>
        </w:rPr>
        <w:t>compense</w:t>
      </w:r>
      <w:r>
        <w:t xml:space="preserve"> y </w:t>
      </w:r>
      <w:r w:rsidRPr="007C3073">
        <w:rPr>
          <w:i/>
          <w:iCs/>
        </w:rPr>
        <w:t>liquide</w:t>
      </w:r>
      <w:r>
        <w:t>, actuando como compradora ante el miembro vendedor y como vendedora ante el miembro comprador</w:t>
      </w:r>
      <w:r>
        <w:rPr>
          <w:rStyle w:val="Refdenotaalpie"/>
        </w:rPr>
        <w:footnoteReference w:id="15"/>
      </w:r>
      <w:r w:rsidR="00855EA8" w:rsidRPr="00855EA8">
        <w:rPr>
          <w:vertAlign w:val="superscript"/>
        </w:rPr>
        <w:t>,</w:t>
      </w:r>
      <w:r>
        <w:rPr>
          <w:rStyle w:val="Refdenotaalpie"/>
        </w:rPr>
        <w:footnoteReference w:id="16"/>
      </w:r>
      <w:r>
        <w:t>.</w:t>
      </w:r>
    </w:p>
    <w:p w14:paraId="269106A3" w14:textId="7A61BE47" w:rsidR="00885959" w:rsidRDefault="00885959" w:rsidP="00EE79E5">
      <w:pPr>
        <w:pStyle w:val="Nivel2SM"/>
      </w:pPr>
      <w:r>
        <w:t>Tienen su origen en Chicago en la década de 1860.</w:t>
      </w:r>
    </w:p>
    <w:p w14:paraId="24B851EA" w14:textId="081B51E2" w:rsidR="00885959" w:rsidRPr="00B66639" w:rsidRDefault="00885959" w:rsidP="00661FD4">
      <w:pPr>
        <w:pStyle w:val="Ttulo6"/>
      </w:pPr>
      <w:bookmarkStart w:id="21" w:name="_Toc131840462"/>
      <w:r w:rsidRPr="00B66639">
        <w:t>Contratos forward</w:t>
      </w:r>
      <w:bookmarkEnd w:id="21"/>
      <w:r w:rsidR="00661FD4">
        <w:t xml:space="preserve"> (negociados en mercados OTC)</w:t>
      </w:r>
    </w:p>
    <w:p w14:paraId="4E2B4869" w14:textId="02B4640D" w:rsidR="00885959" w:rsidRDefault="00812628" w:rsidP="009A3B5B">
      <w:pPr>
        <w:pStyle w:val="Nivel1"/>
        <w:keepNext/>
        <w:spacing w:before="0" w:after="0"/>
        <w:ind w:left="227" w:hanging="227"/>
      </w:pPr>
      <w:r w:rsidRPr="00812628">
        <w:t>Por su parte, los</w:t>
      </w:r>
      <w:r>
        <w:rPr>
          <w:b/>
          <w:bCs/>
        </w:rPr>
        <w:t xml:space="preserve"> c</w:t>
      </w:r>
      <w:r w:rsidR="00885959">
        <w:rPr>
          <w:b/>
          <w:bCs/>
        </w:rPr>
        <w:t>ontrato</w:t>
      </w:r>
      <w:r>
        <w:rPr>
          <w:b/>
          <w:bCs/>
        </w:rPr>
        <w:t>s</w:t>
      </w:r>
      <w:r w:rsidR="00885959">
        <w:rPr>
          <w:b/>
          <w:bCs/>
        </w:rPr>
        <w:t xml:space="preserve"> </w:t>
      </w:r>
      <w:r w:rsidR="00885959">
        <w:rPr>
          <w:b/>
          <w:bCs/>
          <w:i/>
          <w:iCs/>
        </w:rPr>
        <w:t>forward</w:t>
      </w:r>
      <w:r w:rsidR="00885959">
        <w:t xml:space="preserve"> tienen un funcionamiento muy similar al de los futuros. Las principales diferencias son:</w:t>
      </w:r>
    </w:p>
    <w:p w14:paraId="6D85CC24" w14:textId="77777777" w:rsidR="00885959" w:rsidRPr="00632C92" w:rsidRDefault="00885959" w:rsidP="00C5003B">
      <w:pPr>
        <w:pStyle w:val="Nivel2SM"/>
        <w:keepNext/>
        <w:spacing w:after="0"/>
      </w:pPr>
      <w:r w:rsidRPr="00C5003B">
        <w:rPr>
          <w:i/>
          <w:iCs/>
          <w:u w:val="single"/>
        </w:rPr>
        <w:t>Se negocian en mercados OTC (</w:t>
      </w:r>
      <w:proofErr w:type="spellStart"/>
      <w:r w:rsidRPr="00C5003B">
        <w:rPr>
          <w:i/>
          <w:iCs/>
          <w:u w:val="single"/>
        </w:rPr>
        <w:t>Over-The-Counter</w:t>
      </w:r>
      <w:proofErr w:type="spellEnd"/>
      <w:r w:rsidRPr="00C5003B">
        <w:rPr>
          <w:i/>
          <w:iCs/>
          <w:u w:val="single"/>
        </w:rPr>
        <w:t>)</w:t>
      </w:r>
      <w:r>
        <w:t>:</w:t>
      </w:r>
    </w:p>
    <w:p w14:paraId="40F585C7" w14:textId="77777777" w:rsidR="00885959" w:rsidRPr="003E06ED" w:rsidRDefault="00885959" w:rsidP="00C5003B">
      <w:pPr>
        <w:pStyle w:val="Nivel3SM"/>
        <w:rPr>
          <w:spacing w:val="-3"/>
        </w:rPr>
      </w:pPr>
      <w:r w:rsidRPr="003E06ED">
        <w:rPr>
          <w:i/>
          <w:iCs/>
          <w:spacing w:val="-3"/>
        </w:rPr>
        <w:t>Se ajusta a las necesidades y especificidades fijadas bilateralmente por las partes</w:t>
      </w:r>
      <w:r w:rsidRPr="003E06ED">
        <w:rPr>
          <w:spacing w:val="-3"/>
        </w:rPr>
        <w:t xml:space="preserve"> (no estandarización);</w:t>
      </w:r>
    </w:p>
    <w:p w14:paraId="2619F125" w14:textId="64883C54" w:rsidR="00885959" w:rsidRDefault="00885959" w:rsidP="00C5003B">
      <w:pPr>
        <w:pStyle w:val="Nivel3SM"/>
      </w:pPr>
      <w:r w:rsidRPr="00C5003B">
        <w:rPr>
          <w:i/>
          <w:iCs/>
        </w:rPr>
        <w:t>No existe cámara de contrapartida</w:t>
      </w:r>
      <w:r>
        <w:t xml:space="preserve"> (lo que implica que existe riesgo de contrapartida y que el valor no se netea diariamente)</w:t>
      </w:r>
      <w:r w:rsidR="003E06ED">
        <w:t>.</w:t>
      </w:r>
    </w:p>
    <w:p w14:paraId="4C44E7B7" w14:textId="010A4A9E" w:rsidR="00885959" w:rsidRDefault="00885959" w:rsidP="00C5003B">
      <w:pPr>
        <w:pStyle w:val="Nivel2SM"/>
      </w:pPr>
      <w:r w:rsidRPr="00C5003B">
        <w:rPr>
          <w:i/>
          <w:iCs/>
          <w:u w:val="single"/>
        </w:rPr>
        <w:t>El mercado secundario es menos profundo</w:t>
      </w:r>
      <w:r w:rsidR="00A32857">
        <w:t>.</w:t>
      </w:r>
    </w:p>
    <w:p w14:paraId="0A7A3811" w14:textId="3A96B797" w:rsidR="00885959" w:rsidRDefault="00885959" w:rsidP="00885959">
      <w:pPr>
        <w:pStyle w:val="Nivel1SM"/>
        <w:keepNext/>
        <w:spacing w:after="40"/>
      </w:pPr>
      <w:r>
        <w:t xml:space="preserve">A pesar de las similitudes, los </w:t>
      </w:r>
      <w:r w:rsidR="00F46B59">
        <w:rPr>
          <w:b/>
          <w:bCs/>
        </w:rPr>
        <w:t>futuros financieros</w:t>
      </w:r>
      <w:r>
        <w:rPr>
          <w:b/>
          <w:bCs/>
        </w:rPr>
        <w:t xml:space="preserve"> </w:t>
      </w:r>
      <w:r>
        <w:t xml:space="preserve">y los </w:t>
      </w:r>
      <w:r w:rsidR="00F46B59">
        <w:rPr>
          <w:b/>
          <w:bCs/>
        </w:rPr>
        <w:t>contratos forward</w:t>
      </w:r>
      <w:r>
        <w:t xml:space="preserve"> coexisten porque se complementan bien:</w:t>
      </w:r>
    </w:p>
    <w:tbl>
      <w:tblPr>
        <w:tblStyle w:val="Tablaconcuadrcula"/>
        <w:tblW w:w="0" w:type="auto"/>
        <w:tblInd w:w="709" w:type="dxa"/>
        <w:tblLook w:val="04A0" w:firstRow="1" w:lastRow="0" w:firstColumn="1" w:lastColumn="0" w:noHBand="0" w:noVBand="1"/>
      </w:tblPr>
      <w:tblGrid>
        <w:gridCol w:w="4302"/>
        <w:gridCol w:w="4277"/>
      </w:tblGrid>
      <w:tr w:rsidR="00885959" w14:paraId="28827474" w14:textId="77777777" w:rsidTr="00630AF2">
        <w:tc>
          <w:tcPr>
            <w:tcW w:w="4302" w:type="dxa"/>
            <w:tcBorders>
              <w:top w:val="single" w:sz="12" w:space="0" w:color="5F2987"/>
              <w:left w:val="nil"/>
              <w:bottom w:val="single" w:sz="12" w:space="0" w:color="5F2987"/>
              <w:right w:val="single" w:sz="6" w:space="0" w:color="5F2987"/>
            </w:tcBorders>
            <w:shd w:val="clear" w:color="auto" w:fill="E2EFD9" w:themeFill="accent6" w:themeFillTint="33"/>
            <w:vAlign w:val="center"/>
          </w:tcPr>
          <w:p w14:paraId="0DC59CD3" w14:textId="77777777" w:rsidR="00885959" w:rsidRPr="005A688A" w:rsidRDefault="00885959" w:rsidP="00630AF2">
            <w:pPr>
              <w:keepNext/>
              <w:spacing w:after="0"/>
              <w:jc w:val="center"/>
              <w:rPr>
                <w:b/>
                <w:bCs/>
                <w:i/>
                <w:iCs/>
              </w:rPr>
            </w:pPr>
            <w:r>
              <w:rPr>
                <w:i/>
                <w:iCs/>
              </w:rPr>
              <w:t xml:space="preserve">Ventajas de los </w:t>
            </w:r>
            <w:r>
              <w:rPr>
                <w:b/>
                <w:bCs/>
                <w:i/>
                <w:iCs/>
              </w:rPr>
              <w:t>futuros financieros</w:t>
            </w:r>
          </w:p>
        </w:tc>
        <w:tc>
          <w:tcPr>
            <w:tcW w:w="4277" w:type="dxa"/>
            <w:tcBorders>
              <w:top w:val="single" w:sz="12" w:space="0" w:color="5F2987"/>
              <w:left w:val="single" w:sz="6" w:space="0" w:color="5F2987"/>
              <w:bottom w:val="single" w:sz="12" w:space="0" w:color="5F2987"/>
              <w:right w:val="nil"/>
            </w:tcBorders>
            <w:shd w:val="clear" w:color="auto" w:fill="E2EFD9" w:themeFill="accent6" w:themeFillTint="33"/>
            <w:vAlign w:val="center"/>
          </w:tcPr>
          <w:p w14:paraId="711E0A6A" w14:textId="77777777" w:rsidR="00885959" w:rsidRPr="005A688A" w:rsidRDefault="00885959" w:rsidP="00630AF2">
            <w:pPr>
              <w:keepNext/>
              <w:spacing w:after="0"/>
              <w:jc w:val="center"/>
              <w:rPr>
                <w:b/>
                <w:bCs/>
                <w:i/>
                <w:iCs/>
              </w:rPr>
            </w:pPr>
            <w:r>
              <w:rPr>
                <w:i/>
                <w:iCs/>
              </w:rPr>
              <w:t xml:space="preserve">Ventajas de los </w:t>
            </w:r>
            <w:r>
              <w:rPr>
                <w:b/>
                <w:bCs/>
                <w:i/>
                <w:iCs/>
              </w:rPr>
              <w:t>contratos forward</w:t>
            </w:r>
          </w:p>
        </w:tc>
      </w:tr>
      <w:tr w:rsidR="00885959" w14:paraId="4FED7189" w14:textId="77777777" w:rsidTr="00630AF2">
        <w:tc>
          <w:tcPr>
            <w:tcW w:w="4302" w:type="dxa"/>
            <w:tcBorders>
              <w:top w:val="single" w:sz="12" w:space="0" w:color="5F2987"/>
              <w:left w:val="nil"/>
              <w:bottom w:val="single" w:sz="12" w:space="0" w:color="5F2987"/>
              <w:right w:val="single" w:sz="6" w:space="0" w:color="5F2987"/>
            </w:tcBorders>
            <w:vAlign w:val="center"/>
          </w:tcPr>
          <w:p w14:paraId="2FBA4801" w14:textId="77777777" w:rsidR="00885959" w:rsidRDefault="00885959">
            <w:pPr>
              <w:pStyle w:val="Nivel1SM"/>
              <w:keepNext/>
              <w:numPr>
                <w:ilvl w:val="0"/>
                <w:numId w:val="28"/>
              </w:numPr>
              <w:spacing w:after="0"/>
              <w:ind w:left="198" w:hanging="198"/>
            </w:pPr>
            <w:r>
              <w:t>Mayor liquidez</w:t>
            </w:r>
          </w:p>
          <w:p w14:paraId="18691B3E" w14:textId="77777777" w:rsidR="00885959" w:rsidRDefault="00885959">
            <w:pPr>
              <w:pStyle w:val="Nivel1SM"/>
              <w:keepNext/>
              <w:numPr>
                <w:ilvl w:val="0"/>
                <w:numId w:val="28"/>
              </w:numPr>
              <w:spacing w:after="0"/>
              <w:ind w:left="198" w:hanging="198"/>
            </w:pPr>
            <w:r>
              <w:t>Menor coste de transacción</w:t>
            </w:r>
          </w:p>
          <w:p w14:paraId="1346DAF0" w14:textId="77777777" w:rsidR="00885959" w:rsidRDefault="00885959">
            <w:pPr>
              <w:pStyle w:val="Nivel1SM"/>
              <w:numPr>
                <w:ilvl w:val="0"/>
                <w:numId w:val="28"/>
              </w:numPr>
              <w:spacing w:after="0"/>
              <w:ind w:left="198" w:hanging="198"/>
            </w:pPr>
            <w:r>
              <w:t>Menor riesgo</w:t>
            </w:r>
          </w:p>
        </w:tc>
        <w:tc>
          <w:tcPr>
            <w:tcW w:w="4277" w:type="dxa"/>
            <w:tcBorders>
              <w:top w:val="single" w:sz="12" w:space="0" w:color="5F2987"/>
              <w:left w:val="single" w:sz="6" w:space="0" w:color="5F2987"/>
              <w:bottom w:val="single" w:sz="12" w:space="0" w:color="5F2987"/>
              <w:right w:val="nil"/>
            </w:tcBorders>
            <w:vAlign w:val="center"/>
          </w:tcPr>
          <w:p w14:paraId="2049F29F" w14:textId="77777777" w:rsidR="00885959" w:rsidRDefault="00885959">
            <w:pPr>
              <w:pStyle w:val="Nivel1SM"/>
              <w:numPr>
                <w:ilvl w:val="0"/>
                <w:numId w:val="28"/>
              </w:numPr>
              <w:spacing w:after="0"/>
              <w:ind w:left="198" w:hanging="198"/>
            </w:pPr>
            <w:r>
              <w:t>Mayor flexibilidad</w:t>
            </w:r>
          </w:p>
        </w:tc>
      </w:tr>
    </w:tbl>
    <w:p w14:paraId="7207CE24" w14:textId="6C6C2C90" w:rsidR="00885959" w:rsidRDefault="00885959" w:rsidP="00C5003B">
      <w:pPr>
        <w:pStyle w:val="Nivel1SM"/>
      </w:pPr>
      <w:r>
        <w:t xml:space="preserve">Habitualmente, los </w:t>
      </w:r>
      <w:r w:rsidRPr="00B63430">
        <w:rPr>
          <w:i/>
          <w:iCs/>
        </w:rPr>
        <w:t>futuros</w:t>
      </w:r>
      <w:r>
        <w:t xml:space="preserve"> son usados para cubrirse del riesgo de acciones y bonos y los </w:t>
      </w:r>
      <w:r w:rsidRPr="00B63430">
        <w:rPr>
          <w:i/>
          <w:iCs/>
        </w:rPr>
        <w:t>contratos forward</w:t>
      </w:r>
      <w:r>
        <w:t xml:space="preserve"> para cubrir el riesgo de tipo de cambio (</w:t>
      </w:r>
      <w:r>
        <w:rPr>
          <w:i/>
          <w:iCs/>
        </w:rPr>
        <w:t>forward sobre divisas</w:t>
      </w:r>
      <w:r>
        <w:t>) y de interés (</w:t>
      </w:r>
      <w:r>
        <w:rPr>
          <w:i/>
          <w:iCs/>
        </w:rPr>
        <w:t xml:space="preserve">forward </w:t>
      </w:r>
      <w:proofErr w:type="spellStart"/>
      <w:r>
        <w:rPr>
          <w:i/>
          <w:iCs/>
        </w:rPr>
        <w:t>rate</w:t>
      </w:r>
      <w:proofErr w:type="spellEnd"/>
      <w:r>
        <w:rPr>
          <w:i/>
          <w:iCs/>
        </w:rPr>
        <w:t xml:space="preserve"> </w:t>
      </w:r>
      <w:proofErr w:type="spellStart"/>
      <w:r>
        <w:rPr>
          <w:i/>
          <w:iCs/>
        </w:rPr>
        <w:t>agreement</w:t>
      </w:r>
      <w:proofErr w:type="spellEnd"/>
      <w:r>
        <w:t>, FRA).</w:t>
      </w:r>
    </w:p>
    <w:p w14:paraId="40A612F7" w14:textId="651D430D" w:rsidR="00661FD4" w:rsidRDefault="00661FD4" w:rsidP="00661FD4">
      <w:pPr>
        <w:pStyle w:val="Ttulo3"/>
      </w:pPr>
      <w:r>
        <w:t>Según el activo subyacente</w:t>
      </w:r>
    </w:p>
    <w:p w14:paraId="5FC7711C" w14:textId="6EF12BD5" w:rsidR="00661FD4" w:rsidRDefault="00A72AAA" w:rsidP="00661FD4">
      <w:pPr>
        <w:pStyle w:val="Ttulo6"/>
        <w:spacing w:before="0"/>
        <w:rPr>
          <w:lang w:val="en-US"/>
        </w:rPr>
      </w:pPr>
      <w:proofErr w:type="spellStart"/>
      <w:r>
        <w:rPr>
          <w:lang w:val="en-US"/>
        </w:rPr>
        <w:t>F</w:t>
      </w:r>
      <w:r w:rsidR="00661FD4">
        <w:rPr>
          <w:lang w:val="en-US"/>
        </w:rPr>
        <w:t>inancieros</w:t>
      </w:r>
      <w:proofErr w:type="spellEnd"/>
    </w:p>
    <w:p w14:paraId="5E7C7566" w14:textId="020CE561" w:rsidR="00A72AAA" w:rsidRPr="00A72AAA" w:rsidRDefault="00A72AAA" w:rsidP="00A72AAA">
      <w:pPr>
        <w:pStyle w:val="Nivel1SM"/>
        <w:spacing w:before="0"/>
      </w:pPr>
      <w:r w:rsidRPr="00A72AAA">
        <w:t>El activ</w:t>
      </w:r>
      <w:r>
        <w:t>o</w:t>
      </w:r>
      <w:r w:rsidRPr="00A72AAA">
        <w:t xml:space="preserve"> subyacente es un</w:t>
      </w:r>
      <w:r>
        <w:t xml:space="preserve"> valor financiero</w:t>
      </w:r>
    </w:p>
    <w:p w14:paraId="20FCC9F5" w14:textId="5E983279" w:rsidR="00661FD4" w:rsidRDefault="00661FD4" w:rsidP="00661FD4">
      <w:pPr>
        <w:pStyle w:val="Ttulo6"/>
        <w:rPr>
          <w:lang w:val="en-US"/>
        </w:rPr>
      </w:pPr>
      <w:r w:rsidRPr="00661FD4">
        <w:rPr>
          <w:lang w:val="en-US"/>
        </w:rPr>
        <w:t>Co</w:t>
      </w:r>
      <w:r>
        <w:rPr>
          <w:lang w:val="en-US"/>
        </w:rPr>
        <w:t>mmodities</w:t>
      </w:r>
    </w:p>
    <w:p w14:paraId="5D821124" w14:textId="1AC806E2" w:rsidR="00A72AAA" w:rsidRDefault="00A72AAA" w:rsidP="00A72AAA">
      <w:pPr>
        <w:pStyle w:val="Nivel1SM"/>
        <w:keepNext/>
        <w:spacing w:before="0" w:after="0"/>
      </w:pPr>
      <w:r w:rsidRPr="00A72AAA">
        <w:t>El activ</w:t>
      </w:r>
      <w:r>
        <w:t>o</w:t>
      </w:r>
      <w:r w:rsidRPr="00A72AAA">
        <w:t xml:space="preserve"> subyacente e</w:t>
      </w:r>
      <w:r>
        <w:t>s</w:t>
      </w:r>
      <w:r w:rsidRPr="00A72AAA">
        <w:t xml:space="preserve"> u</w:t>
      </w:r>
      <w:r>
        <w:t xml:space="preserve">na </w:t>
      </w:r>
      <w:proofErr w:type="spellStart"/>
      <w:r w:rsidRPr="00A72AAA">
        <w:rPr>
          <w:i/>
          <w:iCs/>
        </w:rPr>
        <w:t>commodity</w:t>
      </w:r>
      <w:proofErr w:type="spellEnd"/>
      <w:r>
        <w:t>.</w:t>
      </w:r>
    </w:p>
    <w:p w14:paraId="1697AE31" w14:textId="5BCE08A4" w:rsidR="00A72AAA" w:rsidRPr="00A72AAA" w:rsidRDefault="00A72AAA" w:rsidP="00A72AAA">
      <w:pPr>
        <w:pStyle w:val="Nivel2SM"/>
      </w:pPr>
      <w:r>
        <w:t>Los más habituales son el petróleo y los bienes agrícolas.</w:t>
      </w:r>
    </w:p>
    <w:p w14:paraId="1E6066CC" w14:textId="467566FD" w:rsidR="00661FD4" w:rsidRPr="00661FD4" w:rsidRDefault="00661FD4" w:rsidP="00661FD4">
      <w:pPr>
        <w:pStyle w:val="Ttulo6"/>
        <w:rPr>
          <w:lang w:val="en-US"/>
        </w:rPr>
      </w:pPr>
      <w:r w:rsidRPr="00661FD4">
        <w:rPr>
          <w:lang w:val="en-US"/>
        </w:rPr>
        <w:t>Forward-rate agreements</w:t>
      </w:r>
    </w:p>
    <w:p w14:paraId="06DF0856" w14:textId="72844DD1" w:rsidR="00661FD4" w:rsidRDefault="00EF6E18" w:rsidP="00EF6E18">
      <w:pPr>
        <w:pStyle w:val="Nivel1SM"/>
        <w:keepNext/>
        <w:spacing w:before="0" w:after="0"/>
      </w:pPr>
      <w:r w:rsidRPr="00EF6E18">
        <w:t>Se realiza el intercambio de dos flujos de interés (sin principa</w:t>
      </w:r>
      <w:r>
        <w:t>l</w:t>
      </w:r>
      <w:r w:rsidRPr="00EF6E18">
        <w:t>)</w:t>
      </w:r>
      <w:r>
        <w:t>.</w:t>
      </w:r>
    </w:p>
    <w:p w14:paraId="6DE6BBBA" w14:textId="77777777" w:rsidR="00EF6E18" w:rsidRDefault="00EF6E18" w:rsidP="00EF6E18">
      <w:pPr>
        <w:pStyle w:val="Nivel2SM"/>
        <w:keepNext/>
        <w:spacing w:after="0"/>
      </w:pPr>
      <w:r>
        <w:t>Por ejemplo,</w:t>
      </w:r>
    </w:p>
    <w:p w14:paraId="168CF41F" w14:textId="1074829E" w:rsidR="00EF6E18" w:rsidRDefault="00EF6E18" w:rsidP="00EF6E18">
      <w:pPr>
        <w:pStyle w:val="Nivel3SM"/>
      </w:pPr>
      <w:r>
        <w:t>El individuo </w:t>
      </w:r>
      <w:r>
        <w:rPr>
          <w:i/>
          <w:iCs/>
        </w:rPr>
        <w:t>A</w:t>
      </w:r>
      <w:r>
        <w:t xml:space="preserve"> paga el tipo de interés LIBOR + 2 % sobre el principal X en la fecha </w:t>
      </w:r>
      <w:r w:rsidRPr="00EF6E18">
        <w:rPr>
          <w:i/>
          <w:iCs/>
        </w:rPr>
        <w:t>T</w:t>
      </w:r>
      <w:r>
        <w:t>.</w:t>
      </w:r>
    </w:p>
    <w:p w14:paraId="299EEC5C" w14:textId="2D416EE4" w:rsidR="00EF6E18" w:rsidRPr="00EF6E18" w:rsidRDefault="00EF6E18" w:rsidP="00EF6E18">
      <w:pPr>
        <w:pStyle w:val="Nivel3SM"/>
      </w:pPr>
      <w:r>
        <w:t>El individuo </w:t>
      </w:r>
      <w:r w:rsidRPr="00EF6E18">
        <w:rPr>
          <w:i/>
          <w:iCs/>
        </w:rPr>
        <w:t>B</w:t>
      </w:r>
      <w:r>
        <w:t xml:space="preserve"> paga el 3 % sobre el principal en la misma fecha T.</w:t>
      </w:r>
    </w:p>
    <w:p w14:paraId="6746C435" w14:textId="77777777" w:rsidR="005061B6" w:rsidRDefault="00B25ABE" w:rsidP="00B66639">
      <w:pPr>
        <w:pStyle w:val="Ttulo2"/>
      </w:pPr>
      <w:bookmarkStart w:id="22" w:name="_Toc131840463"/>
      <w:r w:rsidRPr="00B66639">
        <w:t>Pago</w:t>
      </w:r>
      <w:r w:rsidR="008D25F3" w:rsidRPr="00B66639">
        <w:t xml:space="preserve"> del futuro a vencimiento</w:t>
      </w:r>
      <w:bookmarkEnd w:id="22"/>
    </w:p>
    <w:p w14:paraId="6D9A9549" w14:textId="76B1FF15" w:rsidR="00885959" w:rsidRPr="004966E3" w:rsidRDefault="00885959" w:rsidP="005061B6">
      <w:pPr>
        <w:pStyle w:val="Nivel1SM"/>
        <w:keepNext/>
        <w:spacing w:before="0" w:after="0"/>
      </w:pPr>
      <w:r w:rsidRPr="004966E3">
        <w:t xml:space="preserve">Cuando un inversor </w:t>
      </w:r>
      <w:r w:rsidRPr="004966E3">
        <w:rPr>
          <w:b/>
          <w:bCs/>
        </w:rPr>
        <w:t>compra</w:t>
      </w:r>
      <w:r w:rsidRPr="004966E3">
        <w:t xml:space="preserve"> contratos de futuro, se dice que tiene una posición </w:t>
      </w:r>
      <w:r w:rsidRPr="004966E3">
        <w:rPr>
          <w:b/>
          <w:bCs/>
        </w:rPr>
        <w:t>larga</w:t>
      </w:r>
      <w:r w:rsidRPr="004966E3">
        <w:t xml:space="preserve">; cuando los </w:t>
      </w:r>
      <w:r w:rsidRPr="004966E3">
        <w:rPr>
          <w:b/>
          <w:bCs/>
        </w:rPr>
        <w:t>vende</w:t>
      </w:r>
      <w:r w:rsidRPr="004966E3">
        <w:t xml:space="preserve">, se dice que tiene una posición </w:t>
      </w:r>
      <w:r w:rsidRPr="004966E3">
        <w:rPr>
          <w:b/>
          <w:bCs/>
        </w:rPr>
        <w:t>corta</w:t>
      </w:r>
      <w:r w:rsidRPr="004966E3">
        <w:t>.</w:t>
      </w:r>
    </w:p>
    <w:p w14:paraId="364856A9" w14:textId="77777777" w:rsidR="005627F9" w:rsidRDefault="00885959" w:rsidP="005627F9">
      <w:pPr>
        <w:pStyle w:val="Nivel2SM"/>
        <w:keepNext/>
        <w:spacing w:after="0"/>
      </w:pPr>
      <w:r w:rsidRPr="004966E3">
        <w:t xml:space="preserve">Si el precio del subyacente </w:t>
      </w:r>
      <w:r w:rsidRPr="004966E3">
        <w:rPr>
          <w:b/>
          <w:bCs/>
        </w:rPr>
        <w:t>aumenta</w:t>
      </w:r>
      <w:r w:rsidRPr="004966E3">
        <w:t xml:space="preserve"> por encima del valor que figura en el contrato</w:t>
      </w:r>
      <w:r w:rsidR="005627F9">
        <w:t>:</w:t>
      </w:r>
    </w:p>
    <w:p w14:paraId="14C3F937" w14:textId="77777777" w:rsidR="005627F9" w:rsidRDefault="005627F9" w:rsidP="005627F9">
      <w:pPr>
        <w:pStyle w:val="Nivel3SM"/>
      </w:pPr>
      <w:r>
        <w:t>L</w:t>
      </w:r>
      <w:r w:rsidR="00885959" w:rsidRPr="004966E3">
        <w:t xml:space="preserve">os inversores que tengan posiciones </w:t>
      </w:r>
      <w:r w:rsidR="00885959" w:rsidRPr="004966E3">
        <w:rPr>
          <w:b/>
          <w:bCs/>
        </w:rPr>
        <w:t>largas</w:t>
      </w:r>
      <w:r w:rsidR="00885959" w:rsidRPr="004966E3">
        <w:t xml:space="preserve"> obtendrán </w:t>
      </w:r>
      <w:r w:rsidR="00885959" w:rsidRPr="004966E3">
        <w:rPr>
          <w:b/>
          <w:bCs/>
        </w:rPr>
        <w:t>beneficios</w:t>
      </w:r>
      <w:r w:rsidR="00885959" w:rsidRPr="004966E3">
        <w:t xml:space="preserve"> (</w:t>
      </w:r>
      <w:r w:rsidR="00885959" w:rsidRPr="005627F9">
        <w:rPr>
          <w:i/>
          <w:iCs/>
        </w:rPr>
        <w:t>limitados</w:t>
      </w:r>
      <w:r w:rsidR="00885959" w:rsidRPr="005627F9">
        <w:rPr>
          <w:i/>
          <w:iCs/>
          <w:sz w:val="19"/>
          <w:szCs w:val="19"/>
        </w:rPr>
        <w:t xml:space="preserve"> ya que el precio no puede bajar de cero y s</w:t>
      </w:r>
      <w:r w:rsidRPr="005627F9">
        <w:rPr>
          <w:i/>
          <w:iCs/>
          <w:sz w:val="19"/>
          <w:szCs w:val="19"/>
        </w:rPr>
        <w:t>ó</w:t>
      </w:r>
      <w:r w:rsidR="00885959" w:rsidRPr="005627F9">
        <w:rPr>
          <w:i/>
          <w:iCs/>
          <w:sz w:val="19"/>
          <w:szCs w:val="19"/>
        </w:rPr>
        <w:t>lo puedo perder lo que me comprometo a comprar</w:t>
      </w:r>
      <w:r w:rsidR="00885959" w:rsidRPr="004966E3">
        <w:t>), y</w:t>
      </w:r>
    </w:p>
    <w:p w14:paraId="5E5E0488" w14:textId="3D3C7824" w:rsidR="00885959" w:rsidRPr="004966E3" w:rsidRDefault="005627F9" w:rsidP="005627F9">
      <w:pPr>
        <w:pStyle w:val="Nivel3SM"/>
      </w:pPr>
      <w:r>
        <w:t>L</w:t>
      </w:r>
      <w:r w:rsidR="00885959" w:rsidRPr="004966E3">
        <w:t xml:space="preserve">os que tengan posiciones </w:t>
      </w:r>
      <w:r w:rsidR="00885959" w:rsidRPr="004966E3">
        <w:rPr>
          <w:b/>
          <w:bCs/>
        </w:rPr>
        <w:t>cortas</w:t>
      </w:r>
      <w:r w:rsidR="00885959" w:rsidRPr="004966E3">
        <w:t xml:space="preserve">, obtendrán </w:t>
      </w:r>
      <w:r w:rsidR="00885959" w:rsidRPr="004966E3">
        <w:rPr>
          <w:b/>
          <w:bCs/>
        </w:rPr>
        <w:t>pérdidas</w:t>
      </w:r>
      <w:r w:rsidR="00885959" w:rsidRPr="004966E3">
        <w:t xml:space="preserve"> (</w:t>
      </w:r>
      <w:r w:rsidR="00885959" w:rsidRPr="004966E3">
        <w:rPr>
          <w:i/>
          <w:iCs/>
        </w:rPr>
        <w:t>ilimitadas</w:t>
      </w:r>
      <w:r w:rsidR="00885959" w:rsidRPr="004966E3">
        <w:t>).</w:t>
      </w:r>
    </w:p>
    <w:p w14:paraId="40557376" w14:textId="17880A2E" w:rsidR="006740B9" w:rsidRDefault="006740B9" w:rsidP="00842412">
      <w:pPr>
        <w:pStyle w:val="Nivel1SM"/>
        <w:keepNext/>
        <w:spacing w:after="0"/>
      </w:pPr>
      <w:r>
        <w:lastRenderedPageBreak/>
        <w:t>Por lo tanto, el pago de un futuro o de un forward a vencimiento es igual a</w:t>
      </w:r>
      <w:r w:rsidR="00E623BC">
        <w:rPr>
          <w:rStyle w:val="Refdenotaalpie"/>
        </w:rPr>
        <w:footnoteReference w:id="17"/>
      </w:r>
      <w:r>
        <w:t>:</w:t>
      </w:r>
    </w:p>
    <w:p w14:paraId="71D1E222" w14:textId="1B3D61D0" w:rsidR="00612E1A" w:rsidRPr="00612E1A" w:rsidRDefault="00B211DC" w:rsidP="00812628">
      <w:pPr>
        <w:keepLines/>
        <w:rPr>
          <w:rFonts w:eastAsiaTheme="minorEastAsia"/>
          <w:iCs/>
          <w:spacing w:val="-4"/>
        </w:rPr>
      </w:pPr>
      <m:oMathPara>
        <m:oMath>
          <m:r>
            <m:rPr>
              <m:nor/>
            </m:rPr>
            <w:rPr>
              <w:rFonts w:ascii="Cambria Math"/>
              <w:spacing w:val="-4"/>
            </w:rPr>
            <m:t xml:space="preserve"> </m:t>
          </m:r>
          <m:borderBox>
            <m:borderBoxPr>
              <m:ctrlPr>
                <w:rPr>
                  <w:rFonts w:ascii="Cambria Math" w:hAnsi="Cambria Math"/>
                  <w:i/>
                  <w:iCs/>
                  <w:spacing w:val="-4"/>
                </w:rPr>
              </m:ctrlPr>
            </m:borderBoxPr>
            <m:e>
              <m:r>
                <m:rPr>
                  <m:nor/>
                </m:rPr>
                <w:rPr>
                  <w:i/>
                  <w:iCs/>
                  <w:spacing w:val="-4"/>
                </w:rPr>
                <m:t>Pago a vencimiento</m:t>
              </m:r>
              <m:r>
                <w:rPr>
                  <w:rFonts w:ascii="Cambria Math" w:hAnsi="Cambria Math"/>
                  <w:spacing w:val="-4"/>
                </w:rPr>
                <m:t>=</m:t>
              </m:r>
              <m:r>
                <m:rPr>
                  <m:nor/>
                </m:rPr>
                <w:rPr>
                  <w:i/>
                  <w:iCs/>
                  <w:spacing w:val="-4"/>
                </w:rPr>
                <m:t>Beneficios netos de la operación para el comprador del futuro</m:t>
              </m:r>
              <m:r>
                <w:rPr>
                  <w:rFonts w:ascii="Cambria Math" w:hAnsi="Cambria Math"/>
                  <w:spacing w:val="-4"/>
                </w:rPr>
                <m:t>=</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sSub>
                <m:sSubPr>
                  <m:ctrlPr>
                    <w:rPr>
                      <w:rFonts w:ascii="Cambria Math" w:hAnsi="Cambria Math"/>
                      <w:i/>
                      <w:iCs/>
                      <w:spacing w:val="-4"/>
                    </w:rPr>
                  </m:ctrlPr>
                </m:sSubPr>
                <m:e>
                  <m:r>
                    <m:rPr>
                      <m:nor/>
                    </m:rPr>
                    <w:rPr>
                      <w:i/>
                      <w:iCs/>
                      <w:spacing w:val="-4"/>
                    </w:rPr>
                    <m:t>P</m:t>
                  </m:r>
                </m:e>
                <m:sub>
                  <m:r>
                    <m:rPr>
                      <m:nor/>
                    </m:rPr>
                    <w:rPr>
                      <w:i/>
                      <w:iCs/>
                      <w:spacing w:val="-4"/>
                    </w:rPr>
                    <m:t>ejercicio</m:t>
                  </m:r>
                </m:sub>
              </m:sSub>
            </m:e>
          </m:borderBox>
          <m:r>
            <m:rPr>
              <m:sty m:val="p"/>
            </m:rPr>
            <w:rPr>
              <w:rFonts w:ascii="Cambria Math" w:hAnsi="Cambria Math"/>
              <w:spacing w:val="-4"/>
            </w:rPr>
            <w:br/>
          </m:r>
        </m:oMath>
      </m:oMathPara>
      <w:r w:rsidR="00612E1A">
        <w:rPr>
          <w:rFonts w:eastAsiaTheme="minorEastAsia"/>
          <w:iCs/>
          <w:spacing w:val="-4"/>
        </w:rPr>
        <w:t xml:space="preserve">donde </w:t>
      </w:r>
      <m:oMath>
        <m:sSub>
          <m:sSubPr>
            <m:ctrlPr>
              <w:rPr>
                <w:rFonts w:ascii="Cambria Math" w:hAnsi="Cambria Math"/>
                <w:i/>
                <w:iCs/>
                <w:spacing w:val="-4"/>
              </w:rPr>
            </m:ctrlPr>
          </m:sSubPr>
          <m:e>
            <m:r>
              <m:rPr>
                <m:nor/>
              </m:rPr>
              <w:rPr>
                <w:i/>
                <w:iCs/>
                <w:spacing w:val="-4"/>
              </w:rPr>
              <m:t>S</m:t>
            </m:r>
          </m:e>
          <m:sub>
            <m:r>
              <m:rPr>
                <m:nor/>
              </m:rPr>
              <w:rPr>
                <w:i/>
                <w:iCs/>
                <w:spacing w:val="-4"/>
              </w:rPr>
              <m:t>T</m:t>
            </m:r>
          </m:sub>
        </m:sSub>
      </m:oMath>
      <w:r w:rsidR="00612E1A">
        <w:rPr>
          <w:rFonts w:eastAsiaTheme="minorEastAsia"/>
          <w:iCs/>
          <w:spacing w:val="-4"/>
        </w:rPr>
        <w:t xml:space="preserve"> es el precio del subyacente a vencimiento y </w:t>
      </w:r>
      <m:oMath>
        <m:sSub>
          <m:sSubPr>
            <m:ctrlPr>
              <w:rPr>
                <w:rFonts w:ascii="Cambria Math" w:hAnsi="Cambria Math"/>
                <w:i/>
                <w:iCs/>
                <w:spacing w:val="-4"/>
              </w:rPr>
            </m:ctrlPr>
          </m:sSubPr>
          <m:e>
            <m:r>
              <m:rPr>
                <m:nor/>
              </m:rPr>
              <w:rPr>
                <w:i/>
                <w:iCs/>
                <w:spacing w:val="-4"/>
              </w:rPr>
              <m:t>P</m:t>
            </m:r>
          </m:e>
          <m:sub>
            <m:r>
              <m:rPr>
                <m:nor/>
              </m:rPr>
              <w:rPr>
                <w:i/>
                <w:iCs/>
                <w:spacing w:val="-4"/>
              </w:rPr>
              <m:t>ejercicio</m:t>
            </m:r>
          </m:sub>
        </m:sSub>
      </m:oMath>
      <w:r w:rsidR="00612E1A">
        <w:rPr>
          <w:rFonts w:eastAsiaTheme="minorEastAsia"/>
          <w:iCs/>
          <w:spacing w:val="-4"/>
        </w:rPr>
        <w:t xml:space="preserve"> es el precio acordado en el contrato</w:t>
      </w:r>
      <w:r w:rsidR="00A87C0A">
        <w:rPr>
          <w:rStyle w:val="Refdenotaalpie"/>
          <w:rFonts w:eastAsiaTheme="minorEastAsia"/>
          <w:iCs/>
          <w:spacing w:val="-4"/>
        </w:rPr>
        <w:footnoteReference w:id="18"/>
      </w:r>
      <w:r w:rsidR="00612E1A">
        <w:rPr>
          <w:rFonts w:eastAsiaTheme="minorEastAsia"/>
          <w:iCs/>
          <w:spacing w:val="-4"/>
        </w:rPr>
        <w:t>.</w:t>
      </w:r>
    </w:p>
    <w:p w14:paraId="704F3073" w14:textId="211270FE" w:rsidR="00CC40C9" w:rsidRDefault="00CC40C9" w:rsidP="00842412">
      <w:pPr>
        <w:pStyle w:val="Nivel1SM"/>
        <w:keepNext/>
        <w:spacing w:after="0"/>
      </w:pPr>
      <w:r>
        <w:t xml:space="preserve">Existe una simetría total entre las posiciones de comprador y vendedor, de forma que los futuros son </w:t>
      </w:r>
      <w:r w:rsidRPr="00001228">
        <w:rPr>
          <w:i/>
          <w:iCs/>
          <w:u w:val="single"/>
        </w:rPr>
        <w:t>juegos de suma cero</w:t>
      </w:r>
      <w:r>
        <w:t xml:space="preserve"> (</w:t>
      </w:r>
      <w:r w:rsidR="008D25F3">
        <w:t xml:space="preserve">a vencimiento </w:t>
      </w:r>
      <w:r>
        <w:t>uno gana lo que pierde el otro):</w:t>
      </w:r>
    </w:p>
    <w:p w14:paraId="29028C49" w14:textId="2F8D5798" w:rsidR="00CC40C9" w:rsidRDefault="00CC40C9" w:rsidP="00075E70">
      <w:pPr>
        <w:pStyle w:val="Nivel2SM"/>
      </w:pPr>
      <w:r>
        <w:t xml:space="preserve">La parte con </w:t>
      </w:r>
      <w:r w:rsidRPr="00001228">
        <w:rPr>
          <w:u w:val="single"/>
        </w:rPr>
        <w:t>posición larga</w:t>
      </w:r>
      <w:r>
        <w:t xml:space="preserve"> gana en caso de aumento del precio del activo subyacente, lo que implica una pérdida por igual valor para la parte con </w:t>
      </w:r>
      <w:r w:rsidRPr="00001228">
        <w:rPr>
          <w:u w:val="single"/>
        </w:rPr>
        <w:t>posición corta</w:t>
      </w:r>
      <w:r>
        <w:t>.</w:t>
      </w:r>
    </w:p>
    <w:p w14:paraId="5C66365D" w14:textId="0CEAFA4A" w:rsidR="00075E70" w:rsidRPr="00075E70" w:rsidRDefault="00075E70" w:rsidP="00075E70">
      <w:pPr>
        <w:pStyle w:val="Ttuloimagen"/>
        <w:rPr>
          <w:i/>
          <w:iCs/>
          <w:smallCaps w:val="0"/>
        </w:rPr>
      </w:pPr>
      <w:r>
        <w:t>Imagen</w:t>
      </w:r>
      <w:r w:rsidR="00E9501F">
        <w:t> </w:t>
      </w:r>
      <w:r>
        <w:fldChar w:fldCharType="begin"/>
      </w:r>
      <w:r>
        <w:instrText xml:space="preserve"> SEQ Ilustración \* ARABIC </w:instrText>
      </w:r>
      <w:r>
        <w:fldChar w:fldCharType="separate"/>
      </w:r>
      <w:r w:rsidR="003F2FF6">
        <w:t>1</w:t>
      </w:r>
      <w:r>
        <w:fldChar w:fldCharType="end"/>
      </w:r>
      <w:r>
        <w:rPr>
          <w:smallCaps w:val="0"/>
        </w:rPr>
        <w:t xml:space="preserve">.– </w:t>
      </w:r>
      <w:r>
        <w:rPr>
          <w:i/>
          <w:iCs/>
          <w:smallCaps w:val="0"/>
        </w:rPr>
        <w:t>Pago del futuro a vencimiento</w:t>
      </w:r>
    </w:p>
    <w:p w14:paraId="4A7300F8" w14:textId="3C6DD4CB" w:rsidR="006E7F76" w:rsidRDefault="00CC40C9" w:rsidP="00075E70">
      <w:pPr>
        <w:pStyle w:val="Imagen"/>
      </w:pPr>
      <w:r>
        <w:drawing>
          <wp:inline distT="0" distB="0" distL="0" distR="0" wp14:anchorId="02D1EC34" wp14:editId="3609A712">
            <wp:extent cx="3184852" cy="1800000"/>
            <wp:effectExtent l="0" t="0" r="0" b="0"/>
            <wp:docPr id="3" name="Imagen 3" descr="Mercado de DERIVADOS FINANCIEROS (III).- Los Futuros Financieros.- - Rank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rcado de DERIVADOS FINANCIEROS (III).- Los Futuros Financieros.- - Rank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84852" cy="1800000"/>
                    </a:xfrm>
                    <a:prstGeom prst="rect">
                      <a:avLst/>
                    </a:prstGeom>
                    <a:noFill/>
                    <a:ln>
                      <a:noFill/>
                    </a:ln>
                  </pic:spPr>
                </pic:pic>
              </a:graphicData>
            </a:graphic>
          </wp:inline>
        </w:drawing>
      </w:r>
    </w:p>
    <w:p w14:paraId="5C8952CD" w14:textId="6CD30802" w:rsidR="00075E70" w:rsidRDefault="00075E70" w:rsidP="00075E70">
      <w:pPr>
        <w:pStyle w:val="PiedeImagen"/>
        <w:rPr>
          <w:i w:val="0"/>
          <w:iCs/>
        </w:rPr>
      </w:pPr>
      <w:r>
        <w:t>Fuente</w:t>
      </w:r>
      <w:r>
        <w:rPr>
          <w:i w:val="0"/>
          <w:iCs/>
        </w:rPr>
        <w:t xml:space="preserve">: </w:t>
      </w:r>
      <w:r w:rsidR="00842412" w:rsidRPr="00842412">
        <w:rPr>
          <w:i w:val="0"/>
          <w:iCs/>
          <w:highlight w:val="yellow"/>
        </w:rPr>
        <w:t>…</w:t>
      </w:r>
    </w:p>
    <w:p w14:paraId="46EDA7AF" w14:textId="77777777" w:rsidR="005627F9" w:rsidRDefault="005627F9" w:rsidP="005627F9">
      <w:pPr>
        <w:pStyle w:val="Nivel1SM"/>
      </w:pPr>
      <w:r w:rsidRPr="004966E3">
        <w:t>Aunque los contratos de futuros deben mantenerse hasta vencimiento, las posiciones pueden cerrarse antes de vencimiento. Así, por ejemplo, un inversor con una posición larga puede cerrar dicha posición vendiendo un contrato de futuro.</w:t>
      </w:r>
    </w:p>
    <w:p w14:paraId="15494C43" w14:textId="2F50E2ED" w:rsidR="00C4210F" w:rsidRPr="00B66639" w:rsidRDefault="005B3E8C" w:rsidP="00B66639">
      <w:pPr>
        <w:pStyle w:val="Ttulo2"/>
      </w:pPr>
      <w:bookmarkStart w:id="23" w:name="_Toc131840464"/>
      <w:r w:rsidRPr="00B66639">
        <w:t>Estrategias</w:t>
      </w:r>
      <w:bookmarkEnd w:id="23"/>
    </w:p>
    <w:p w14:paraId="23B658DB" w14:textId="49EC76A1" w:rsidR="000933AB" w:rsidRPr="00B66639" w:rsidRDefault="000933AB" w:rsidP="009A3B5B">
      <w:pPr>
        <w:pStyle w:val="Ttulo3"/>
        <w:spacing w:before="0"/>
      </w:pPr>
      <w:bookmarkStart w:id="24" w:name="_Toc131840465"/>
      <w:r w:rsidRPr="00B66639">
        <w:t>Estrategias de especulación</w:t>
      </w:r>
      <w:bookmarkEnd w:id="24"/>
    </w:p>
    <w:p w14:paraId="6655B4D7" w14:textId="1C0A8921" w:rsidR="00A2696B" w:rsidRPr="00A2696B" w:rsidRDefault="00A2696B" w:rsidP="009A3B5B">
      <w:pPr>
        <w:pStyle w:val="Nivel1SM"/>
        <w:spacing w:before="0"/>
      </w:pPr>
      <w:r>
        <w:t xml:space="preserve">El inversor mantiene deliberadamente </w:t>
      </w:r>
      <w:r>
        <w:rPr>
          <w:b/>
          <w:bCs/>
        </w:rPr>
        <w:t>posiciones abiertas</w:t>
      </w:r>
      <w:r>
        <w:t xml:space="preserve"> en función de sus expectativas (p.ej. </w:t>
      </w:r>
      <w:r w:rsidR="00F15E36">
        <w:t>tomará una posición larga si espera que el precio del activo suba y una posición corta si espera que el precio del activo baje).</w:t>
      </w:r>
    </w:p>
    <w:p w14:paraId="4D1E5C70" w14:textId="5B8B58F4" w:rsidR="005B3E8C" w:rsidRPr="00B66639" w:rsidRDefault="000933AB" w:rsidP="00B66639">
      <w:pPr>
        <w:pStyle w:val="Ttulo3"/>
      </w:pPr>
      <w:bookmarkStart w:id="25" w:name="_Toc131840466"/>
      <w:r w:rsidRPr="00B66639">
        <w:t>Estrategias de cobertura del riesgo</w:t>
      </w:r>
      <w:bookmarkEnd w:id="25"/>
    </w:p>
    <w:p w14:paraId="12C99CA6" w14:textId="035DA8E5" w:rsidR="00593451" w:rsidRDefault="00593451" w:rsidP="009A3B5B">
      <w:pPr>
        <w:pStyle w:val="Nivel1SM"/>
        <w:keepNext/>
        <w:spacing w:before="0" w:after="0"/>
      </w:pPr>
      <w:r>
        <w:t>Las estrategias de cobertura se realizan con el fin de reducir el riesgo de mercado de una determinada posición, es decir, la posible pérdida generada por un movimiento desfavorable en el precio de un activo:</w:t>
      </w:r>
    </w:p>
    <w:p w14:paraId="76B57578" w14:textId="35E02FE8" w:rsidR="00593451" w:rsidRDefault="00593451" w:rsidP="00812628">
      <w:pPr>
        <w:pStyle w:val="Nivel2SM"/>
      </w:pPr>
      <w:r w:rsidRPr="00A920E1">
        <w:rPr>
          <w:u w:val="single"/>
        </w:rPr>
        <w:t xml:space="preserve">Si se pretende </w:t>
      </w:r>
      <w:r w:rsidRPr="00A920E1">
        <w:rPr>
          <w:i/>
          <w:iCs/>
          <w:u w:val="single"/>
        </w:rPr>
        <w:t>adquirir</w:t>
      </w:r>
      <w:r w:rsidRPr="00A920E1">
        <w:rPr>
          <w:u w:val="single"/>
        </w:rPr>
        <w:t xml:space="preserve"> una cartera de renta fija, de renta variable o de divisas</w:t>
      </w:r>
      <w:r>
        <w:t xml:space="preserve">: </w:t>
      </w:r>
      <w:r w:rsidR="00521C46">
        <w:t>E</w:t>
      </w:r>
      <w:r>
        <w:t>l riesgo a cubrir sería una posible caída del tipo de interés (i.e. subida de los precios), un aumento de las cotizaciones</w:t>
      </w:r>
      <w:r w:rsidR="00A920E1">
        <w:t xml:space="preserve"> o una apreciación de la divisa, respectivamente. La operación de cobertura sería la </w:t>
      </w:r>
      <w:r w:rsidR="00A920E1" w:rsidRPr="00A920E1">
        <w:rPr>
          <w:b/>
          <w:bCs/>
        </w:rPr>
        <w:t>compra</w:t>
      </w:r>
      <w:r w:rsidR="00A920E1">
        <w:t xml:space="preserve"> de futuros sobre el activo (i.e. tomar una posición larga).</w:t>
      </w:r>
    </w:p>
    <w:p w14:paraId="45F44D1B" w14:textId="6A1D0B60" w:rsidR="008D25F3" w:rsidRPr="00812628" w:rsidRDefault="00A920E1" w:rsidP="00812628">
      <w:pPr>
        <w:pStyle w:val="Nivel2SM"/>
      </w:pPr>
      <w:r w:rsidRPr="00812628">
        <w:rPr>
          <w:u w:val="single"/>
        </w:rPr>
        <w:t xml:space="preserve">Si se pretende </w:t>
      </w:r>
      <w:r w:rsidRPr="00812628">
        <w:rPr>
          <w:i/>
          <w:iCs/>
          <w:u w:val="single"/>
        </w:rPr>
        <w:t>vender</w:t>
      </w:r>
      <w:r w:rsidRPr="00812628">
        <w:rPr>
          <w:u w:val="single"/>
        </w:rPr>
        <w:t xml:space="preserve"> una cartera de renta fija, de renta variable o de divisas</w:t>
      </w:r>
      <w:r w:rsidRPr="00812628">
        <w:t xml:space="preserve">: </w:t>
      </w:r>
      <w:r w:rsidR="00521C46">
        <w:t>E</w:t>
      </w:r>
      <w:r w:rsidRPr="00812628">
        <w:t xml:space="preserve">l riesgo a cubrir sería una posible subida del tipo de interés (i.e. bajada de los precios), una disminución de las cotizaciones o una depreciación de la divisa, respectivamente. La operación de cobertura sería la </w:t>
      </w:r>
      <w:r w:rsidRPr="00812628">
        <w:rPr>
          <w:b/>
          <w:bCs/>
        </w:rPr>
        <w:t>venta</w:t>
      </w:r>
      <w:r w:rsidRPr="00812628">
        <w:t xml:space="preserve"> de futuros sobre el activo (i.e. tomar una posición corta).</w:t>
      </w:r>
    </w:p>
    <w:p w14:paraId="402BAE81" w14:textId="3D4A8BFE" w:rsidR="003B1593" w:rsidRDefault="008D25F3" w:rsidP="00B66639">
      <w:pPr>
        <w:pStyle w:val="Ttulo2"/>
      </w:pPr>
      <w:bookmarkStart w:id="26" w:name="_Toc131840467"/>
      <w:r w:rsidRPr="00B66639">
        <w:lastRenderedPageBreak/>
        <w:t>Valoración</w:t>
      </w:r>
      <w:r w:rsidR="00521C46">
        <w:br/>
      </w:r>
      <w:r w:rsidR="003B1593" w:rsidRPr="00B66639">
        <w:t>– Ausencia de arbitraje</w:t>
      </w:r>
      <w:r w:rsidR="00521C46">
        <w:t xml:space="preserve"> </w:t>
      </w:r>
      <w:r w:rsidR="003B1593" w:rsidRPr="00B66639">
        <w:t>[La paridad spot-futuros</w:t>
      </w:r>
      <w:r w:rsidR="00521C46">
        <w:t xml:space="preserve"> </w:t>
      </w:r>
      <w:r w:rsidR="00521C46" w:rsidRPr="00521C46">
        <w:rPr>
          <w:sz w:val="19"/>
          <w:szCs w:val="19"/>
        </w:rPr>
        <w:t>(p.ej. Paridad Cubierta de Intereses (PCI))</w:t>
      </w:r>
      <w:r w:rsidR="003B1593" w:rsidRPr="00B66639">
        <w:t>]</w:t>
      </w:r>
      <w:bookmarkEnd w:id="26"/>
    </w:p>
    <w:p w14:paraId="477F5AEC" w14:textId="77777777" w:rsidR="00275D16" w:rsidRDefault="00275D16" w:rsidP="00E623BC">
      <w:pPr>
        <w:pStyle w:val="Ttulo3"/>
        <w:spacing w:before="0"/>
      </w:pPr>
      <w:r>
        <w:t>Paridad spot-forward</w:t>
      </w:r>
    </w:p>
    <w:p w14:paraId="1C6E73FD" w14:textId="77777777" w:rsidR="00275D16" w:rsidRDefault="00000000" w:rsidP="00E623BC">
      <w:pPr>
        <w:pStyle w:val="Cajadeanotaciones"/>
        <w:keepNext/>
        <w:rPr>
          <w:highlight w:val="yellow"/>
        </w:rPr>
      </w:pPr>
      <w:hyperlink r:id="rId14" w:history="1">
        <w:r w:rsidR="00275D16" w:rsidRPr="00BD18CA">
          <w:rPr>
            <w:rStyle w:val="Hipervnculo"/>
          </w:rPr>
          <w:t>https://en.wikipedia.org/wiki/Spot%E2%80%93future_parity</w:t>
        </w:r>
      </w:hyperlink>
    </w:p>
    <w:p w14:paraId="546470D3" w14:textId="747D16F9" w:rsidR="00275D16" w:rsidRPr="00171299" w:rsidRDefault="00275D16" w:rsidP="00D50F3E">
      <w:pPr>
        <w:pStyle w:val="Nivel1SM"/>
        <w:keepNext/>
        <w:spacing w:after="0"/>
      </w:pPr>
      <w:r w:rsidRPr="00171299">
        <w:t>El precio de un futuro es el precio de contado (i.e. precio del activo subyacente hoy</w:t>
      </w:r>
      <w:r w:rsidR="00D50F3E" w:rsidRPr="00171299">
        <w:t>)</w:t>
      </w:r>
      <w:r w:rsidRPr="00171299">
        <w:t>, menos el coste neto financiero (i.e. las rentas perdidas menos las rentas ganadas por el aplazamiento del pago):</w:t>
      </w:r>
    </w:p>
    <w:p w14:paraId="71F8D935" w14:textId="68F5E165" w:rsidR="00D50F3E" w:rsidRPr="00D50F3E" w:rsidRDefault="00000000" w:rsidP="00D50F3E">
      <w:pPr>
        <w:keepNext/>
        <w:spacing w:after="0"/>
        <w:rPr>
          <w:i/>
          <w:iCs/>
          <w:highlight w:val="yellow"/>
        </w:rPr>
      </w:pPr>
      <m:oMathPara>
        <m:oMath>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F</m:t>
                      </m:r>
                    </m:e>
                    <m:sub>
                      <m:r>
                        <m:rPr>
                          <m:nor/>
                        </m:rPr>
                        <w:rPr>
                          <w:i/>
                          <w:iCs/>
                        </w:rPr>
                        <m:t>0</m:t>
                      </m:r>
                    </m:sub>
                  </m:sSub>
                </m:e>
              </m:groupChr>
            </m:e>
            <m:lim>
              <m:eqArr>
                <m:eqArrPr>
                  <m:ctrlPr>
                    <w:rPr>
                      <w:rFonts w:ascii="Cambria Math" w:hAnsi="Cambria Math"/>
                      <w:i/>
                    </w:rPr>
                  </m:ctrlPr>
                </m:eqArrPr>
                <m:e>
                  <m:r>
                    <m:rPr>
                      <m:nor/>
                    </m:rPr>
                    <w:rPr>
                      <w:i/>
                    </w:rPr>
                    <m:t xml:space="preserve">Precio </m:t>
                  </m:r>
                </m:e>
                <m:e>
                  <m:r>
                    <m:rPr>
                      <m:nor/>
                    </m:rPr>
                    <w:rPr>
                      <w:i/>
                      <w:iCs/>
                    </w:rPr>
                    <m:t>futuro</m:t>
                  </m:r>
                </m:e>
              </m:eqAr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S</m:t>
                      </m:r>
                    </m:e>
                    <m:sub>
                      <m:r>
                        <m:rPr>
                          <m:nor/>
                        </m:rPr>
                        <w:rPr>
                          <w:i/>
                          <w:iCs/>
                        </w:rPr>
                        <m:t>0</m:t>
                      </m:r>
                    </m:sub>
                  </m:sSub>
                </m:e>
              </m:groupChr>
            </m:e>
            <m:lim>
              <m:eqArr>
                <m:eqArrPr>
                  <m:ctrlPr>
                    <w:rPr>
                      <w:rFonts w:ascii="Cambria Math" w:hAnsi="Cambria Math"/>
                      <w:i/>
                    </w:rPr>
                  </m:ctrlPr>
                </m:eqArrPr>
                <m:e>
                  <m:r>
                    <m:rPr>
                      <m:nor/>
                    </m:rPr>
                    <w:rPr>
                      <w:i/>
                    </w:rPr>
                    <m:t xml:space="preserve">Precio </m:t>
                  </m:r>
                </m:e>
                <m:e>
                  <m:r>
                    <m:rPr>
                      <m:nor/>
                    </m:rPr>
                    <w:rPr>
                      <w:i/>
                    </w:rPr>
                    <m:t>de contado</m:t>
                  </m:r>
                </m:e>
              </m:eqArr>
            </m:lim>
          </m:limUpp>
          <m:r>
            <w:rPr>
              <w:rFonts w:ascii="Cambria Math" w:hAnsi="Cambria Math"/>
            </w:rPr>
            <m:t>-</m:t>
          </m:r>
          <m:r>
            <m:rPr>
              <m:nor/>
            </m:rPr>
            <w:rPr>
              <w:i/>
              <w:iCs/>
            </w:rPr>
            <m:t>Coste neto financiero</m:t>
          </m:r>
        </m:oMath>
      </m:oMathPara>
    </w:p>
    <w:p w14:paraId="2C49262C" w14:textId="77777777" w:rsidR="00275D16" w:rsidRPr="00DD10AF" w:rsidRDefault="00275D16" w:rsidP="00D50F3E">
      <w:pPr>
        <w:pStyle w:val="Nivel2SM"/>
      </w:pPr>
      <w:r w:rsidRPr="00DD10AF">
        <w:t>Así, por ejemplo, el precio de un futuro sobre un activo financiero debe ser igual al precio actual del activo subyacente más las rentas que se obtendrán al diferir la adquisición de dicho activo (i.e. intereses que genera el dinero hasta que haya que desembolsarlo) menos las rentas que se pierden por no poseer el activo hasta entonces (i.e. intereses en el caso de renta fija o dividendos en el caso de renta variable).</w:t>
      </w:r>
    </w:p>
    <w:p w14:paraId="710D39E4" w14:textId="2030382A" w:rsidR="00D50F3E" w:rsidRPr="00DD10AF" w:rsidRDefault="00000000" w:rsidP="00D50F3E">
      <w:pPr>
        <w:pStyle w:val="Nivel2SM"/>
        <w:numPr>
          <w:ilvl w:val="0"/>
          <w:numId w:val="0"/>
        </w:numPr>
        <w:ind w:left="567"/>
        <w:rPr>
          <w:rFonts w:eastAsiaTheme="minorEastAsia"/>
          <w:iCs/>
        </w:rPr>
      </w:pPr>
      <m:oMathPara>
        <m:oMath>
          <m:m>
            <m:mPr>
              <m:mcs>
                <m:mc>
                  <m:mcPr>
                    <m:count m:val="1"/>
                    <m:mcJc m:val="center"/>
                  </m:mcPr>
                </m:mc>
              </m:mcs>
              <m:ctrlPr>
                <w:rPr>
                  <w:rFonts w:ascii="Cambria Math" w:hAnsi="Cambria Math"/>
                  <w:i/>
                  <w:iCs/>
                </w:rPr>
              </m:ctrlPr>
            </m:mPr>
            <m:mr>
              <m:e>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F</m:t>
                            </m:r>
                          </m:e>
                          <m:sub>
                            <m:r>
                              <m:rPr>
                                <m:nor/>
                              </m:rPr>
                              <w:rPr>
                                <w:i/>
                                <w:iCs/>
                              </w:rPr>
                              <m:t>0</m:t>
                            </m:r>
                          </m:sub>
                        </m:sSub>
                      </m:e>
                    </m:groupChr>
                  </m:e>
                  <m:lim>
                    <m:eqArr>
                      <m:eqArrPr>
                        <m:ctrlPr>
                          <w:rPr>
                            <w:rFonts w:ascii="Cambria Math" w:hAnsi="Cambria Math"/>
                            <w:i/>
                          </w:rPr>
                        </m:ctrlPr>
                      </m:eqArrPr>
                      <m:e>
                        <m:r>
                          <m:rPr>
                            <m:nor/>
                          </m:rPr>
                          <w:rPr>
                            <w:i/>
                          </w:rPr>
                          <m:t xml:space="preserve">Precio </m:t>
                        </m:r>
                      </m:e>
                      <m:e>
                        <m:r>
                          <m:rPr>
                            <m:nor/>
                          </m:rPr>
                          <w:rPr>
                            <w:i/>
                            <w:iCs/>
                          </w:rPr>
                          <m:t>futuro</m:t>
                        </m:r>
                      </m:e>
                    </m:eqAr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S</m:t>
                            </m:r>
                          </m:e>
                          <m:sub>
                            <m:r>
                              <m:rPr>
                                <m:nor/>
                              </m:rPr>
                              <w:rPr>
                                <w:i/>
                                <w:iCs/>
                              </w:rPr>
                              <m:t>0</m:t>
                            </m:r>
                          </m:sub>
                        </m:sSub>
                      </m:e>
                    </m:groupChr>
                  </m:e>
                  <m:lim>
                    <m:eqArr>
                      <m:eqArrPr>
                        <m:ctrlPr>
                          <w:rPr>
                            <w:rFonts w:ascii="Cambria Math" w:hAnsi="Cambria Math"/>
                            <w:i/>
                          </w:rPr>
                        </m:ctrlPr>
                      </m:eqArrPr>
                      <m:e>
                        <m:r>
                          <m:rPr>
                            <m:nor/>
                          </m:rPr>
                          <w:rPr>
                            <w:i/>
                          </w:rPr>
                          <m:t xml:space="preserve">Precio </m:t>
                        </m:r>
                      </m:e>
                      <m:e>
                        <m:r>
                          <m:rPr>
                            <m:nor/>
                          </m:rPr>
                          <w:rPr>
                            <w:i/>
                          </w:rPr>
                          <m:t>de contado</m:t>
                        </m:r>
                      </m:e>
                    </m:eqArr>
                  </m:lim>
                </m:limUpp>
                <m:r>
                  <w:rPr>
                    <w:rFonts w:ascii="Cambria Math" w:hAnsi="Cambria Math"/>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d>
                          <m:dPr>
                            <m:begChr m:val="["/>
                            <m:endChr m:val="]"/>
                            <m:ctrlPr>
                              <w:rPr>
                                <w:rFonts w:ascii="Cambria Math" w:hAnsi="Cambria Math"/>
                                <w:i/>
                                <w:iCs/>
                              </w:rPr>
                            </m:ctrlPr>
                          </m:dPr>
                          <m:e>
                            <m:r>
                              <w:rPr>
                                <w:rFonts w:ascii="Cambria Math" w:hAnsi="Cambria Math"/>
                              </w:rPr>
                              <m:t>-</m:t>
                            </m:r>
                            <m:d>
                              <m:dPr>
                                <m:ctrlPr>
                                  <w:rPr>
                                    <w:rFonts w:ascii="Cambria Math" w:hAnsi="Cambria Math"/>
                                    <w:i/>
                                    <w:iCs/>
                                  </w:rPr>
                                </m:ctrlPr>
                              </m:d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S</m:t>
                                            </m:r>
                                          </m:e>
                                          <m:sub>
                                            <m:r>
                                              <m:rPr>
                                                <m:nor/>
                                              </m:rPr>
                                              <w:rPr>
                                                <w:i/>
                                                <w:iCs/>
                                              </w:rPr>
                                              <m:t>0</m:t>
                                            </m:r>
                                          </m:sub>
                                        </m:sSub>
                                        <m:r>
                                          <w:rPr>
                                            <w:rFonts w:ascii="Cambria Math" w:hAnsi="Cambria Math"/>
                                          </w:rPr>
                                          <m:t>∙</m:t>
                                        </m:r>
                                        <m:d>
                                          <m:dPr>
                                            <m:ctrlPr>
                                              <w:rPr>
                                                <w:rFonts w:ascii="Cambria Math" w:hAnsi="Cambria Math"/>
                                                <w:i/>
                                                <w:iCs/>
                                              </w:rPr>
                                            </m:ctrlPr>
                                          </m:dPr>
                                          <m:e>
                                            <m:sSup>
                                              <m:sSupPr>
                                                <m:ctrlPr>
                                                  <w:rPr>
                                                    <w:rFonts w:ascii="Cambria Math" w:hAnsi="Cambria Math"/>
                                                    <w:i/>
                                                    <w:iCs/>
                                                  </w:rPr>
                                                </m:ctrlPr>
                                              </m:sSupPr>
                                              <m:e>
                                                <m:r>
                                                  <m:rPr>
                                                    <m:nor/>
                                                  </m:rPr>
                                                  <w:rPr>
                                                    <w:i/>
                                                    <w:iCs/>
                                                  </w:rPr>
                                                  <m:t>e</m:t>
                                                </m:r>
                                              </m:e>
                                              <m:sup>
                                                <m:sSub>
                                                  <m:sSubPr>
                                                    <m:ctrlPr>
                                                      <w:rPr>
                                                        <w:rFonts w:ascii="Cambria Math" w:hAnsi="Cambria Math"/>
                                                        <w:i/>
                                                        <w:iCs/>
                                                      </w:rPr>
                                                    </m:ctrlPr>
                                                  </m:sSubPr>
                                                  <m:e>
                                                    <m:r>
                                                      <m:rPr>
                                                        <m:nor/>
                                                      </m:rPr>
                                                      <w:rPr>
                                                        <w:i/>
                                                        <w:iCs/>
                                                      </w:rPr>
                                                      <m:t>r</m:t>
                                                    </m:r>
                                                  </m:e>
                                                  <m:sub>
                                                    <m:r>
                                                      <m:rPr>
                                                        <m:nor/>
                                                      </m:rPr>
                                                      <w:rPr>
                                                        <w:i/>
                                                        <w:iCs/>
                                                      </w:rPr>
                                                      <m:t>F</m:t>
                                                    </m:r>
                                                  </m:sub>
                                                </m:sSub>
                                              </m:sup>
                                            </m:sSup>
                                            <m:r>
                                              <w:rPr>
                                                <w:rFonts w:ascii="Cambria Math" w:hAnsi="Cambria Math"/>
                                              </w:rPr>
                                              <m:t>-</m:t>
                                            </m:r>
                                            <m:r>
                                              <m:rPr>
                                                <m:nor/>
                                              </m:rPr>
                                              <w:rPr>
                                                <w:i/>
                                                <w:iCs/>
                                              </w:rPr>
                                              <m:t>1</m:t>
                                            </m:r>
                                          </m:e>
                                        </m:d>
                                      </m:e>
                                    </m:groupChr>
                                  </m:e>
                                  <m:lim>
                                    <m:eqArr>
                                      <m:eqArrPr>
                                        <m:ctrlPr>
                                          <w:rPr>
                                            <w:rFonts w:ascii="Cambria Math" w:hAnsi="Cambria Math"/>
                                            <w:i/>
                                            <w:iCs/>
                                          </w:rPr>
                                        </m:ctrlPr>
                                      </m:eqArrPr>
                                      <m:e>
                                        <m:r>
                                          <m:rPr>
                                            <m:nor/>
                                          </m:rPr>
                                          <w:rPr>
                                            <w:i/>
                                            <w:iCs/>
                                          </w:rPr>
                                          <m:t>más las rentas que se obtendrán</m:t>
                                        </m:r>
                                      </m:e>
                                      <m:e>
                                        <m:r>
                                          <m:rPr>
                                            <m:nor/>
                                          </m:rPr>
                                          <w:rPr>
                                            <w:i/>
                                            <w:iCs/>
                                          </w:rPr>
                                          <m:t>al diferir la adquisición de dicho activo</m:t>
                                        </m:r>
                                      </m:e>
                                    </m:eqAr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I</m:t>
                                        </m:r>
                                        <m:r>
                                          <w:rPr>
                                            <w:rFonts w:ascii="Cambria Math" w:hAnsi="Cambria Math"/>
                                          </w:rPr>
                                          <m:t>∙</m:t>
                                        </m:r>
                                        <m:sSup>
                                          <m:sSupPr>
                                            <m:ctrlPr>
                                              <w:rPr>
                                                <w:rFonts w:ascii="Cambria Math" w:hAnsi="Cambria Math"/>
                                                <w:i/>
                                              </w:rPr>
                                            </m:ctrlPr>
                                          </m:sSupPr>
                                          <m:e>
                                            <m:r>
                                              <m:rPr>
                                                <m:nor/>
                                              </m:rPr>
                                              <w:rPr>
                                                <w:i/>
                                              </w:rPr>
                                              <m:t>e</m:t>
                                            </m:r>
                                          </m:e>
                                          <m:sup>
                                            <m:sSub>
                                              <m:sSubPr>
                                                <m:ctrlPr>
                                                  <w:rPr>
                                                    <w:rFonts w:ascii="Cambria Math" w:hAnsi="Cambria Math"/>
                                                    <w:i/>
                                                    <w:iCs/>
                                                  </w:rPr>
                                                </m:ctrlPr>
                                              </m:sSubPr>
                                              <m:e>
                                                <m:r>
                                                  <m:rPr>
                                                    <m:nor/>
                                                  </m:rPr>
                                                  <w:rPr>
                                                    <w:i/>
                                                    <w:iCs/>
                                                  </w:rPr>
                                                  <m:t>r</m:t>
                                                </m:r>
                                              </m:e>
                                              <m:sub>
                                                <m:r>
                                                  <m:rPr>
                                                    <m:nor/>
                                                  </m:rPr>
                                                  <w:rPr>
                                                    <w:i/>
                                                    <w:iCs/>
                                                  </w:rPr>
                                                  <m:t>F</m:t>
                                                </m:r>
                                              </m:sub>
                                            </m:sSub>
                                          </m:sup>
                                        </m:sSup>
                                      </m:e>
                                    </m:groupChr>
                                  </m:e>
                                  <m:lim>
                                    <m:eqArr>
                                      <m:eqArrPr>
                                        <m:ctrlPr>
                                          <w:rPr>
                                            <w:rFonts w:ascii="Cambria Math" w:hAnsi="Cambria Math"/>
                                            <w:i/>
                                            <w:iCs/>
                                          </w:rPr>
                                        </m:ctrlPr>
                                      </m:eqArrPr>
                                      <m:e>
                                        <m:r>
                                          <m:rPr>
                                            <m:nor/>
                                          </m:rPr>
                                          <w:rPr>
                                            <w:i/>
                                            <w:iCs/>
                                          </w:rPr>
                                          <m:t>menos las rentas que se pierden</m:t>
                                        </m:r>
                                      </m:e>
                                      <m:e>
                                        <m:r>
                                          <m:rPr>
                                            <m:nor/>
                                          </m:rPr>
                                          <w:rPr>
                                            <w:i/>
                                            <w:iCs/>
                                          </w:rPr>
                                          <m:t>por no poseer el activo hasta entonces</m:t>
                                        </m:r>
                                      </m:e>
                                    </m:eqArr>
                                  </m:lim>
                                </m:limLow>
                              </m:e>
                            </m:d>
                          </m:e>
                        </m:d>
                      </m:e>
                    </m:groupChr>
                  </m:e>
                  <m:lim>
                    <m:eqArr>
                      <m:eqArrPr>
                        <m:ctrlPr>
                          <w:rPr>
                            <w:rFonts w:ascii="Cambria Math" w:hAnsi="Cambria Math"/>
                            <w:i/>
                          </w:rPr>
                        </m:ctrlPr>
                      </m:eqArrPr>
                      <m:e>
                        <m:r>
                          <m:rPr>
                            <m:nor/>
                          </m:rPr>
                          <w:rPr>
                            <w:i/>
                            <w:iCs/>
                          </w:rPr>
                          <m:t>Coste neto</m:t>
                        </m:r>
                      </m:e>
                      <m:e>
                        <m:r>
                          <m:rPr>
                            <m:nor/>
                          </m:rPr>
                          <w:rPr>
                            <w:i/>
                            <w:iCs/>
                          </w:rPr>
                          <m:t>financiero</m:t>
                        </m:r>
                      </m:e>
                    </m:eqArr>
                  </m:lim>
                </m:limUpp>
              </m:e>
            </m:mr>
            <m:mr>
              <m:e>
                <m:r>
                  <w:rPr>
                    <w:rFonts w:ascii="Cambria Math" w:hAnsi="Cambria Math"/>
                  </w:rPr>
                  <m:t>⇓</m:t>
                </m:r>
              </m:e>
            </m:mr>
            <m:mr>
              <m:e>
                <m:m>
                  <m:mPr>
                    <m:mcs>
                      <m:mc>
                        <m:mcPr>
                          <m:count m:val="1"/>
                          <m:mcJc m:val="center"/>
                        </m:mcPr>
                      </m:mc>
                    </m:mcs>
                    <m:ctrlPr>
                      <w:rPr>
                        <w:rFonts w:ascii="Cambria Math" w:hAnsi="Cambria Math"/>
                        <w:i/>
                        <w:iCs/>
                      </w:rPr>
                    </m:ctrlPr>
                  </m:mPr>
                  <m:mr>
                    <m:e>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S</m:t>
                          </m:r>
                        </m:e>
                        <m:sub>
                          <m:r>
                            <m:rPr>
                              <m:nor/>
                            </m:rPr>
                            <w:rPr>
                              <w:i/>
                              <w:iCs/>
                            </w:rPr>
                            <m:t>0</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S</m:t>
                              </m:r>
                            </m:e>
                            <m:sub>
                              <m:r>
                                <m:rPr>
                                  <m:nor/>
                                </m:rPr>
                                <w:rPr>
                                  <w:i/>
                                  <w:iCs/>
                                </w:rPr>
                                <m:t>0</m:t>
                              </m:r>
                            </m:sub>
                          </m:sSub>
                          <m:r>
                            <w:rPr>
                              <w:rFonts w:ascii="Cambria Math" w:hAnsi="Cambria Math"/>
                            </w:rPr>
                            <m:t>∙</m:t>
                          </m:r>
                          <m:d>
                            <m:dPr>
                              <m:ctrlPr>
                                <w:rPr>
                                  <w:rFonts w:ascii="Cambria Math" w:hAnsi="Cambria Math"/>
                                  <w:i/>
                                  <w:iCs/>
                                </w:rPr>
                              </m:ctrlPr>
                            </m:dPr>
                            <m:e>
                              <m:sSup>
                                <m:sSupPr>
                                  <m:ctrlPr>
                                    <w:rPr>
                                      <w:rFonts w:ascii="Cambria Math" w:hAnsi="Cambria Math"/>
                                      <w:i/>
                                      <w:iCs/>
                                    </w:rPr>
                                  </m:ctrlPr>
                                </m:sSupPr>
                                <m:e>
                                  <m:r>
                                    <m:rPr>
                                      <m:nor/>
                                    </m:rPr>
                                    <w:rPr>
                                      <w:i/>
                                      <w:iCs/>
                                    </w:rPr>
                                    <m:t>e</m:t>
                                  </m:r>
                                </m:e>
                                <m:sup>
                                  <m:sSub>
                                    <m:sSubPr>
                                      <m:ctrlPr>
                                        <w:rPr>
                                          <w:rFonts w:ascii="Cambria Math" w:hAnsi="Cambria Math"/>
                                          <w:i/>
                                          <w:iCs/>
                                        </w:rPr>
                                      </m:ctrlPr>
                                    </m:sSubPr>
                                    <m:e>
                                      <m:r>
                                        <m:rPr>
                                          <m:nor/>
                                        </m:rPr>
                                        <w:rPr>
                                          <w:i/>
                                          <w:iCs/>
                                        </w:rPr>
                                        <m:t>r</m:t>
                                      </m:r>
                                    </m:e>
                                    <m:sub>
                                      <m:r>
                                        <m:rPr>
                                          <m:nor/>
                                        </m:rPr>
                                        <w:rPr>
                                          <w:i/>
                                          <w:iCs/>
                                        </w:rPr>
                                        <m:t>F</m:t>
                                      </m:r>
                                    </m:sub>
                                  </m:sSub>
                                </m:sup>
                              </m:sSup>
                              <m:r>
                                <w:rPr>
                                  <w:rFonts w:ascii="Cambria Math" w:hAnsi="Cambria Math"/>
                                </w:rPr>
                                <m:t>-</m:t>
                              </m:r>
                              <m:r>
                                <m:rPr>
                                  <m:nor/>
                                </m:rPr>
                                <w:rPr>
                                  <w:i/>
                                  <w:iCs/>
                                </w:rPr>
                                <m:t>1</m:t>
                              </m:r>
                            </m:e>
                          </m:d>
                          <m:r>
                            <w:rPr>
                              <w:rFonts w:ascii="Cambria Math" w:hAnsi="Cambria Math"/>
                            </w:rPr>
                            <m:t>-</m:t>
                          </m:r>
                          <m:r>
                            <m:rPr>
                              <m:nor/>
                            </m:rPr>
                            <w:rPr>
                              <w:i/>
                              <w:iCs/>
                            </w:rPr>
                            <m:t>I</m:t>
                          </m:r>
                          <m:r>
                            <w:rPr>
                              <w:rFonts w:ascii="Cambria Math" w:hAnsi="Cambria Math"/>
                            </w:rPr>
                            <m:t>∙</m:t>
                          </m:r>
                          <m:sSup>
                            <m:sSupPr>
                              <m:ctrlPr>
                                <w:rPr>
                                  <w:rFonts w:ascii="Cambria Math" w:hAnsi="Cambria Math"/>
                                  <w:i/>
                                </w:rPr>
                              </m:ctrlPr>
                            </m:sSupPr>
                            <m:e>
                              <m:r>
                                <m:rPr>
                                  <m:nor/>
                                </m:rPr>
                                <w:rPr>
                                  <w:i/>
                                </w:rPr>
                                <m:t>e</m:t>
                              </m:r>
                            </m:e>
                            <m:sup>
                              <m:sSub>
                                <m:sSubPr>
                                  <m:ctrlPr>
                                    <w:rPr>
                                      <w:rFonts w:ascii="Cambria Math" w:hAnsi="Cambria Math"/>
                                      <w:i/>
                                      <w:iCs/>
                                    </w:rPr>
                                  </m:ctrlPr>
                                </m:sSubPr>
                                <m:e>
                                  <m:r>
                                    <m:rPr>
                                      <m:nor/>
                                    </m:rPr>
                                    <w:rPr>
                                      <w:i/>
                                      <w:iCs/>
                                    </w:rPr>
                                    <m:t>r</m:t>
                                  </m:r>
                                </m:e>
                                <m:sub>
                                  <m:r>
                                    <m:rPr>
                                      <m:nor/>
                                    </m:rPr>
                                    <w:rPr>
                                      <w:i/>
                                      <w:iCs/>
                                    </w:rPr>
                                    <m:t>F</m:t>
                                  </m:r>
                                </m:sub>
                              </m:sSub>
                            </m:sup>
                          </m:sSup>
                        </m:e>
                      </m:d>
                    </m:e>
                  </m:mr>
                  <m:mr>
                    <m:e>
                      <m:r>
                        <w:rPr>
                          <w:rFonts w:ascii="Cambria Math" w:hAnsi="Cambria Math"/>
                        </w:rPr>
                        <m:t>⇓</m:t>
                      </m:r>
                    </m:e>
                  </m:mr>
                  <m:mr>
                    <m:e>
                      <m:sSub>
                        <m:sSubPr>
                          <m:ctrlPr>
                            <w:rPr>
                              <w:rFonts w:ascii="Cambria Math" w:hAnsi="Cambria Math"/>
                              <w:i/>
                              <w:iCs/>
                            </w:rPr>
                          </m:ctrlPr>
                        </m:sSubPr>
                        <m:e>
                          <m:r>
                            <m:rPr>
                              <m:nor/>
                            </m:rPr>
                            <w:rPr>
                              <w:i/>
                              <w:iCs/>
                            </w:rPr>
                            <m:t>F</m:t>
                          </m:r>
                        </m:e>
                        <m:sub>
                          <m:r>
                            <m:rPr>
                              <m:nor/>
                            </m:rPr>
                            <w:rPr>
                              <w:i/>
                              <w:iCs/>
                            </w:rPr>
                            <m:t>0</m:t>
                          </m:r>
                        </m:sub>
                      </m:sSub>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S</m:t>
                              </m:r>
                            </m:e>
                            <m:sub>
                              <m:r>
                                <m:rPr>
                                  <m:nor/>
                                </m:rPr>
                                <w:rPr>
                                  <w:i/>
                                  <w:iCs/>
                                </w:rPr>
                                <m:t>0</m:t>
                              </m:r>
                            </m:sub>
                          </m:sSub>
                          <m:r>
                            <w:rPr>
                              <w:rFonts w:ascii="Cambria Math" w:hAnsi="Cambria Math"/>
                            </w:rPr>
                            <m:t>-</m:t>
                          </m:r>
                          <m:r>
                            <m:rPr>
                              <m:nor/>
                            </m:rPr>
                            <w:rPr>
                              <w:i/>
                              <w:iCs/>
                            </w:rPr>
                            <m:t>I</m:t>
                          </m:r>
                        </m:e>
                      </m:d>
                      <m:r>
                        <w:rPr>
                          <w:rFonts w:ascii="Cambria Math" w:hAnsi="Cambria Math"/>
                        </w:rPr>
                        <m:t>∙</m:t>
                      </m:r>
                      <m:sSup>
                        <m:sSupPr>
                          <m:ctrlPr>
                            <w:rPr>
                              <w:rFonts w:ascii="Cambria Math" w:hAnsi="Cambria Math"/>
                              <w:i/>
                            </w:rPr>
                          </m:ctrlPr>
                        </m:sSupPr>
                        <m:e>
                          <m:r>
                            <m:rPr>
                              <m:nor/>
                            </m:rPr>
                            <w:rPr>
                              <w:i/>
                            </w:rPr>
                            <m:t>e</m:t>
                          </m:r>
                        </m:e>
                        <m:sup>
                          <m:sSub>
                            <m:sSubPr>
                              <m:ctrlPr>
                                <w:rPr>
                                  <w:rFonts w:ascii="Cambria Math" w:hAnsi="Cambria Math"/>
                                  <w:i/>
                                  <w:iCs/>
                                </w:rPr>
                              </m:ctrlPr>
                            </m:sSubPr>
                            <m:e>
                              <m:r>
                                <m:rPr>
                                  <m:nor/>
                                </m:rPr>
                                <w:rPr>
                                  <w:i/>
                                  <w:iCs/>
                                </w:rPr>
                                <m:t>r</m:t>
                              </m:r>
                            </m:e>
                            <m:sub>
                              <m:r>
                                <m:rPr>
                                  <m:nor/>
                                </m:rPr>
                                <w:rPr>
                                  <w:i/>
                                  <w:iCs/>
                                </w:rPr>
                                <m:t>F</m:t>
                              </m:r>
                            </m:sub>
                          </m:sSub>
                        </m:sup>
                      </m:sSup>
                    </m:e>
                  </m:mr>
                </m:m>
              </m:e>
            </m:mr>
          </m:m>
        </m:oMath>
      </m:oMathPara>
    </w:p>
    <w:p w14:paraId="2D48A3E8" w14:textId="22EC1538" w:rsidR="008C0888" w:rsidRPr="00275D16" w:rsidRDefault="00DD10AF" w:rsidP="00DD10AF">
      <w:pPr>
        <w:pStyle w:val="Nivel2SM"/>
      </w:pPr>
      <w:r>
        <w:t>El incumplimiento de esta condición posibilita el arbitraje</w:t>
      </w:r>
      <w:r>
        <w:rPr>
          <w:rStyle w:val="Refdenotaalpie"/>
        </w:rPr>
        <w:footnoteReference w:id="19"/>
      </w:r>
      <w:r>
        <w:t>.</w:t>
      </w:r>
    </w:p>
    <w:p w14:paraId="5A28DE69" w14:textId="300261B4" w:rsidR="00275D16" w:rsidRPr="00275D16" w:rsidRDefault="00275D16" w:rsidP="00275D16">
      <w:pPr>
        <w:pStyle w:val="Ttulo3"/>
        <w:rPr>
          <w:lang w:val="en-US"/>
        </w:rPr>
      </w:pPr>
      <w:r w:rsidRPr="00275D16">
        <w:rPr>
          <w:lang w:val="en-US"/>
        </w:rPr>
        <w:t>Expectations Hypothesis, Normal Backwardation y</w:t>
      </w:r>
      <w:r>
        <w:rPr>
          <w:lang w:val="en-US"/>
        </w:rPr>
        <w:t xml:space="preserve"> Contango</w:t>
      </w:r>
    </w:p>
    <w:p w14:paraId="36D679AA" w14:textId="77777777" w:rsidR="00275D16" w:rsidRPr="006778CE" w:rsidRDefault="00275D16" w:rsidP="00275D16">
      <w:pPr>
        <w:pStyle w:val="Nivel1SM"/>
        <w:keepNext/>
        <w:spacing w:before="0" w:after="0"/>
        <w:rPr>
          <w:lang w:val="en-US"/>
        </w:rPr>
      </w:pPr>
      <w:r w:rsidRPr="006778CE">
        <w:rPr>
          <w:i/>
          <w:iCs/>
          <w:u w:val="single"/>
          <w:lang w:val="en-US"/>
        </w:rPr>
        <w:t xml:space="preserve">Expectations </w:t>
      </w:r>
      <w:r>
        <w:rPr>
          <w:i/>
          <w:iCs/>
          <w:u w:val="single"/>
          <w:lang w:val="en-US"/>
        </w:rPr>
        <w:t>H</w:t>
      </w:r>
      <w:r w:rsidRPr="006778CE">
        <w:rPr>
          <w:i/>
          <w:iCs/>
          <w:u w:val="single"/>
          <w:lang w:val="en-US"/>
        </w:rPr>
        <w:t>ypothesis</w:t>
      </w:r>
      <w:r>
        <w:rPr>
          <w:lang w:val="en-US"/>
        </w:rPr>
        <w:t>:</w:t>
      </w:r>
    </w:p>
    <w:p w14:paraId="5D064C31" w14:textId="77777777" w:rsidR="00275D16" w:rsidRDefault="00275D16" w:rsidP="00275D16">
      <w:pPr>
        <w:pStyle w:val="Nivel2SM"/>
        <w:keepNext/>
        <w:rPr>
          <w:lang w:val="en-US"/>
        </w:rPr>
      </w:pPr>
      <w:r w:rsidRPr="006778CE">
        <w:rPr>
          <w:lang w:val="en-US"/>
        </w:rPr>
        <w:t>The expectations hypothesis is the simplest theory of futures pricing. It states that the futures price equals the expected value of the future spot price:</w:t>
      </w:r>
    </w:p>
    <w:p w14:paraId="55A5E10C" w14:textId="77777777" w:rsidR="00275D16" w:rsidRPr="006778CE" w:rsidRDefault="00000000" w:rsidP="00275D16">
      <w:pPr>
        <w:pStyle w:val="Nivel2SM"/>
        <w:numPr>
          <w:ilvl w:val="0"/>
          <w:numId w:val="0"/>
        </w:numPr>
        <w:ind w:left="567"/>
        <w:rPr>
          <w:lang w:val="en-US"/>
        </w:rPr>
      </w:pPr>
      <m:oMathPara>
        <m:oMath>
          <m:sSubSup>
            <m:sSubSupPr>
              <m:ctrlPr>
                <w:rPr>
                  <w:rFonts w:ascii="Cambria Math" w:hAnsi="Cambria Math"/>
                  <w:i/>
                  <w:lang w:val="en-US"/>
                </w:rPr>
              </m:ctrlPr>
            </m:sSubSupPr>
            <m:e>
              <m:r>
                <m:rPr>
                  <m:nor/>
                </m:rPr>
                <w:rPr>
                  <w:i/>
                  <w:lang w:val="en-US"/>
                </w:rPr>
                <m:t>F</m:t>
              </m:r>
            </m:e>
            <m:sub>
              <m:r>
                <m:rPr>
                  <m:nor/>
                </m:rPr>
                <w:rPr>
                  <w:i/>
                  <w:lang w:val="en-US"/>
                </w:rPr>
                <m:t>0</m:t>
              </m:r>
            </m:sub>
            <m:sup>
              <m:r>
                <m:rPr>
                  <m:nor/>
                </m:rPr>
                <w:rPr>
                  <w:i/>
                  <w:lang w:val="en-US"/>
                </w:rPr>
                <m:t>T</m:t>
              </m:r>
            </m:sup>
          </m:sSubSup>
          <m:r>
            <w:rPr>
              <w:rFonts w:ascii="Cambria Math" w:hAnsi="Cambria Math"/>
              <w:lang w:val="en-US"/>
            </w:rPr>
            <m:t>=</m:t>
          </m:r>
          <m:sSub>
            <m:sSubPr>
              <m:ctrlPr>
                <w:rPr>
                  <w:rFonts w:ascii="Cambria Math" w:hAnsi="Cambria Math"/>
                  <w:i/>
                  <w:lang w:val="en-US"/>
                </w:rPr>
              </m:ctrlPr>
            </m:sSubPr>
            <m:e>
              <m:r>
                <m:rPr>
                  <m:nor/>
                </m:rPr>
                <w:rPr>
                  <w:i/>
                  <w:lang w:val="en-US"/>
                </w:rPr>
                <m:t>E</m:t>
              </m:r>
            </m:e>
            <m:sub>
              <m:r>
                <m:rPr>
                  <m:nor/>
                </m:rPr>
                <w:rPr>
                  <w:i/>
                  <w:lang w:val="en-US"/>
                </w:rPr>
                <m:t>T</m:t>
              </m:r>
            </m:sub>
          </m:sSub>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S</m:t>
                  </m:r>
                </m:e>
                <m:sub>
                  <m:r>
                    <m:rPr>
                      <m:nor/>
                    </m:rPr>
                    <w:rPr>
                      <w:i/>
                      <w:lang w:val="en-US"/>
                    </w:rPr>
                    <m:t>T</m:t>
                  </m:r>
                </m:sub>
              </m:sSub>
            </m:e>
          </m:d>
        </m:oMath>
      </m:oMathPara>
    </w:p>
    <w:p w14:paraId="57B75CC1" w14:textId="77777777" w:rsidR="00275D16" w:rsidRPr="006778CE" w:rsidRDefault="00275D16" w:rsidP="00275D16">
      <w:pPr>
        <w:pStyle w:val="Nivel1SM"/>
        <w:keepNext/>
        <w:spacing w:after="0"/>
        <w:rPr>
          <w:lang w:val="en-US"/>
        </w:rPr>
      </w:pPr>
      <w:r w:rsidRPr="006778CE">
        <w:rPr>
          <w:i/>
          <w:iCs/>
          <w:u w:val="single"/>
          <w:lang w:val="en-US"/>
        </w:rPr>
        <w:t>Normal Backwardation</w:t>
      </w:r>
      <w:r>
        <w:rPr>
          <w:lang w:val="en-US"/>
        </w:rPr>
        <w:t>:</w:t>
      </w:r>
    </w:p>
    <w:p w14:paraId="306E3853" w14:textId="77777777" w:rsidR="00275D16" w:rsidRDefault="00275D16" w:rsidP="00275D16">
      <w:pPr>
        <w:pStyle w:val="Nivel2SM"/>
        <w:keepNext/>
        <w:rPr>
          <w:lang w:val="en-US"/>
        </w:rPr>
      </w:pPr>
      <w:r w:rsidRPr="006778CE">
        <w:rPr>
          <w:lang w:val="en-US"/>
        </w:rPr>
        <w:t xml:space="preserve">This theory is associated with </w:t>
      </w:r>
      <w:r w:rsidRPr="006778CE">
        <w:rPr>
          <w:smallCaps/>
          <w:lang w:val="en-US"/>
        </w:rPr>
        <w:t>Keynes</w:t>
      </w:r>
      <w:r w:rsidRPr="006778CE">
        <w:rPr>
          <w:lang w:val="en-US"/>
        </w:rPr>
        <w:t xml:space="preserve"> and </w:t>
      </w:r>
      <w:r w:rsidRPr="006778CE">
        <w:rPr>
          <w:smallCaps/>
          <w:lang w:val="en-US"/>
        </w:rPr>
        <w:t>Hicks</w:t>
      </w:r>
      <w:r w:rsidRPr="006778CE">
        <w:rPr>
          <w:lang w:val="en-US"/>
        </w:rPr>
        <w:t>. They argued that for most commodities there are natural hedgers who wish to shed risk. For example, wheat farmers desire to shed the risk of uncertain wheat prices. These farmers will take short positions to deliver wheat at a guaranteed price. To induce speculators to take the correspondingly long positions, the farmers need to offer them a profit. They will enter the long side of the contract only if the futures price is below the expected spot price of wheat.</w:t>
      </w:r>
    </w:p>
    <w:p w14:paraId="0F738453" w14:textId="77777777" w:rsidR="00275D16" w:rsidRPr="006778CE" w:rsidRDefault="00000000" w:rsidP="00275D16">
      <w:pPr>
        <w:pStyle w:val="Nivel2SM"/>
        <w:numPr>
          <w:ilvl w:val="0"/>
          <w:numId w:val="0"/>
        </w:numPr>
        <w:ind w:left="567"/>
        <w:rPr>
          <w:lang w:val="en-US"/>
        </w:rPr>
      </w:pPr>
      <m:oMathPara>
        <m:oMath>
          <m:sSubSup>
            <m:sSubSupPr>
              <m:ctrlPr>
                <w:rPr>
                  <w:rFonts w:ascii="Cambria Math" w:hAnsi="Cambria Math"/>
                  <w:i/>
                  <w:lang w:val="en-US"/>
                </w:rPr>
              </m:ctrlPr>
            </m:sSubSupPr>
            <m:e>
              <m:r>
                <m:rPr>
                  <m:nor/>
                </m:rPr>
                <w:rPr>
                  <w:i/>
                  <w:lang w:val="en-US"/>
                </w:rPr>
                <m:t>F</m:t>
              </m:r>
            </m:e>
            <m:sub>
              <m:r>
                <m:rPr>
                  <m:nor/>
                </m:rPr>
                <w:rPr>
                  <w:i/>
                  <w:lang w:val="en-US"/>
                </w:rPr>
                <m:t>0</m:t>
              </m:r>
            </m:sub>
            <m:sup>
              <m:r>
                <m:rPr>
                  <m:nor/>
                </m:rPr>
                <w:rPr>
                  <w:i/>
                  <w:lang w:val="en-US"/>
                </w:rPr>
                <m:t>T</m:t>
              </m:r>
            </m:sup>
          </m:sSubSup>
          <m:r>
            <w:rPr>
              <w:rFonts w:ascii="Cambria Math" w:hAnsi="Cambria Math"/>
              <w:lang w:val="en-US"/>
            </w:rPr>
            <m:t>&lt;</m:t>
          </m:r>
          <m:sSub>
            <m:sSubPr>
              <m:ctrlPr>
                <w:rPr>
                  <w:rFonts w:ascii="Cambria Math" w:hAnsi="Cambria Math"/>
                  <w:i/>
                  <w:lang w:val="en-US"/>
                </w:rPr>
              </m:ctrlPr>
            </m:sSubPr>
            <m:e>
              <m:r>
                <m:rPr>
                  <m:nor/>
                </m:rPr>
                <w:rPr>
                  <w:i/>
                  <w:lang w:val="en-US"/>
                </w:rPr>
                <m:t>E</m:t>
              </m:r>
            </m:e>
            <m:sub>
              <m:r>
                <m:rPr>
                  <m:nor/>
                </m:rPr>
                <w:rPr>
                  <w:i/>
                  <w:lang w:val="en-US"/>
                </w:rPr>
                <m:t>T</m:t>
              </m:r>
            </m:sub>
          </m:sSub>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en-US"/>
                    </w:rPr>
                    <m:t>S</m:t>
                  </m:r>
                </m:e>
                <m:sub>
                  <m:r>
                    <m:rPr>
                      <m:nor/>
                    </m:rPr>
                    <w:rPr>
                      <w:i/>
                      <w:lang w:val="en-US"/>
                    </w:rPr>
                    <m:t>T</m:t>
                  </m:r>
                </m:sub>
              </m:sSub>
            </m:e>
          </m:d>
        </m:oMath>
      </m:oMathPara>
    </w:p>
    <w:p w14:paraId="5DA81228" w14:textId="77777777" w:rsidR="00275D16" w:rsidRPr="006778CE" w:rsidRDefault="00275D16" w:rsidP="00275D16">
      <w:pPr>
        <w:pStyle w:val="Nivel1SM"/>
        <w:keepNext/>
        <w:spacing w:after="0"/>
        <w:rPr>
          <w:lang w:val="en-US"/>
        </w:rPr>
      </w:pPr>
      <w:r w:rsidRPr="006778CE">
        <w:rPr>
          <w:i/>
          <w:iCs/>
          <w:u w:val="single"/>
          <w:lang w:val="en-US"/>
        </w:rPr>
        <w:t>Contango</w:t>
      </w:r>
      <w:r>
        <w:rPr>
          <w:lang w:val="en-US"/>
        </w:rPr>
        <w:t>:</w:t>
      </w:r>
    </w:p>
    <w:p w14:paraId="13CD769B" w14:textId="77777777" w:rsidR="00275D16" w:rsidRDefault="00275D16" w:rsidP="00275D16">
      <w:pPr>
        <w:pStyle w:val="Nivel2SM"/>
        <w:keepNext/>
        <w:rPr>
          <w:lang w:val="en-US"/>
        </w:rPr>
      </w:pPr>
      <w:r w:rsidRPr="006778CE">
        <w:rPr>
          <w:lang w:val="en-US"/>
        </w:rPr>
        <w:t>The polar hypothesis to backwardation holds that the natural hedgers are the purchasers of a commodity rather than the suppliers. In the case of wheat, we would view grain processors as willing to pay a premium to lock in the price that they must pay for wheat. These processors hedge by taking a long position in the futures markets.</w:t>
      </w:r>
    </w:p>
    <w:p w14:paraId="4C4BC544" w14:textId="77777777" w:rsidR="00275D16" w:rsidRPr="003E1592" w:rsidRDefault="00000000" w:rsidP="00275D16">
      <w:pPr>
        <w:pStyle w:val="Nivel2SM"/>
        <w:numPr>
          <w:ilvl w:val="0"/>
          <w:numId w:val="0"/>
        </w:numPr>
        <w:ind w:left="567"/>
        <w:rPr>
          <w:lang w:val="fr-FR"/>
        </w:rPr>
      </w:pPr>
      <m:oMathPara>
        <m:oMath>
          <m:sSubSup>
            <m:sSubSupPr>
              <m:ctrlPr>
                <w:rPr>
                  <w:rFonts w:ascii="Cambria Math" w:hAnsi="Cambria Math"/>
                  <w:i/>
                  <w:lang w:val="en-US"/>
                </w:rPr>
              </m:ctrlPr>
            </m:sSubSupPr>
            <m:e>
              <m:r>
                <m:rPr>
                  <m:nor/>
                </m:rPr>
                <w:rPr>
                  <w:i/>
                  <w:lang w:val="fr-FR"/>
                </w:rPr>
                <m:t>F</m:t>
              </m:r>
            </m:e>
            <m:sub>
              <m:r>
                <m:rPr>
                  <m:nor/>
                </m:rPr>
                <w:rPr>
                  <w:i/>
                  <w:lang w:val="fr-FR"/>
                </w:rPr>
                <m:t>0</m:t>
              </m:r>
            </m:sub>
            <m:sup>
              <m:r>
                <m:rPr>
                  <m:nor/>
                </m:rPr>
                <w:rPr>
                  <w:i/>
                  <w:lang w:val="fr-FR"/>
                </w:rPr>
                <m:t>T</m:t>
              </m:r>
            </m:sup>
          </m:sSubSup>
          <m:r>
            <w:rPr>
              <w:rFonts w:ascii="Cambria Math" w:hAnsi="Cambria Math"/>
              <w:lang w:val="fr-FR"/>
            </w:rPr>
            <m:t>&gt;</m:t>
          </m:r>
          <m:sSub>
            <m:sSubPr>
              <m:ctrlPr>
                <w:rPr>
                  <w:rFonts w:ascii="Cambria Math" w:hAnsi="Cambria Math"/>
                  <w:i/>
                  <w:lang w:val="en-US"/>
                </w:rPr>
              </m:ctrlPr>
            </m:sSubPr>
            <m:e>
              <m:r>
                <m:rPr>
                  <m:nor/>
                </m:rPr>
                <w:rPr>
                  <w:i/>
                  <w:lang w:val="fr-FR"/>
                </w:rPr>
                <m:t>E</m:t>
              </m:r>
            </m:e>
            <m:sub>
              <m:r>
                <m:rPr>
                  <m:nor/>
                </m:rPr>
                <w:rPr>
                  <w:i/>
                  <w:lang w:val="fr-FR"/>
                </w:rPr>
                <m:t>T</m:t>
              </m:r>
            </m:sub>
          </m:sSub>
          <m:d>
            <m:dPr>
              <m:begChr m:val="["/>
              <m:endChr m:val="]"/>
              <m:ctrlPr>
                <w:rPr>
                  <w:rFonts w:ascii="Cambria Math" w:hAnsi="Cambria Math"/>
                  <w:i/>
                  <w:lang w:val="en-US"/>
                </w:rPr>
              </m:ctrlPr>
            </m:dPr>
            <m:e>
              <m:sSub>
                <m:sSubPr>
                  <m:ctrlPr>
                    <w:rPr>
                      <w:rFonts w:ascii="Cambria Math" w:hAnsi="Cambria Math"/>
                      <w:i/>
                      <w:lang w:val="en-US"/>
                    </w:rPr>
                  </m:ctrlPr>
                </m:sSubPr>
                <m:e>
                  <m:r>
                    <m:rPr>
                      <m:nor/>
                    </m:rPr>
                    <w:rPr>
                      <w:i/>
                      <w:lang w:val="fr-FR"/>
                    </w:rPr>
                    <m:t>S</m:t>
                  </m:r>
                </m:e>
                <m:sub>
                  <m:r>
                    <m:rPr>
                      <m:nor/>
                    </m:rPr>
                    <w:rPr>
                      <w:i/>
                      <w:lang w:val="fr-FR"/>
                    </w:rPr>
                    <m:t>T</m:t>
                  </m:r>
                </m:sub>
              </m:sSub>
            </m:e>
          </m:d>
        </m:oMath>
      </m:oMathPara>
    </w:p>
    <w:p w14:paraId="11DB9AF2" w14:textId="685DB0C0" w:rsidR="00275D16" w:rsidRPr="006778CE" w:rsidRDefault="00275D16" w:rsidP="00275D16">
      <w:pPr>
        <w:pStyle w:val="Ttuloimagen"/>
        <w:rPr>
          <w:lang w:val="en-US" w:eastAsia="es-ES"/>
        </w:rPr>
      </w:pPr>
      <w:r w:rsidRPr="003E1592">
        <w:rPr>
          <w:lang w:val="fr-FR" w:eastAsia="es-ES"/>
        </w:rPr>
        <w:lastRenderedPageBreak/>
        <w:t>Imagen </w:t>
      </w:r>
      <w:r>
        <w:rPr>
          <w:lang w:eastAsia="es-ES"/>
        </w:rPr>
        <w:fldChar w:fldCharType="begin"/>
      </w:r>
      <w:r w:rsidRPr="003E1592">
        <w:rPr>
          <w:lang w:val="fr-FR" w:eastAsia="es-ES"/>
        </w:rPr>
        <w:instrText xml:space="preserve"> SEQ Ilustración \* ARABIC </w:instrText>
      </w:r>
      <w:r>
        <w:rPr>
          <w:lang w:eastAsia="es-ES"/>
        </w:rPr>
        <w:fldChar w:fldCharType="separate"/>
      </w:r>
      <w:r w:rsidR="003F2FF6">
        <w:rPr>
          <w:lang w:val="fr-FR" w:eastAsia="es-ES"/>
        </w:rPr>
        <w:t>2</w:t>
      </w:r>
      <w:r>
        <w:rPr>
          <w:lang w:eastAsia="es-ES"/>
        </w:rPr>
        <w:fldChar w:fldCharType="end"/>
      </w:r>
      <w:r w:rsidRPr="003E1592">
        <w:rPr>
          <w:smallCaps w:val="0"/>
          <w:lang w:val="fr-FR" w:eastAsia="es-ES"/>
        </w:rPr>
        <w:t xml:space="preserve">.– </w:t>
      </w:r>
      <w:r w:rsidRPr="006778CE">
        <w:rPr>
          <w:i/>
          <w:iCs/>
          <w:smallCaps w:val="0"/>
          <w:lang w:val="en-US" w:eastAsia="es-ES"/>
        </w:rPr>
        <w:t>Expectation hypothesis, normal b</w:t>
      </w:r>
      <w:r>
        <w:rPr>
          <w:i/>
          <w:iCs/>
          <w:smallCaps w:val="0"/>
          <w:lang w:val="en-US" w:eastAsia="es-ES"/>
        </w:rPr>
        <w:t>ackwardation y contango</w:t>
      </w:r>
    </w:p>
    <w:p w14:paraId="30D3F634" w14:textId="77777777" w:rsidR="00275D16" w:rsidRDefault="00275D16" w:rsidP="00275D16">
      <w:pPr>
        <w:pStyle w:val="Imagen"/>
        <w:rPr>
          <w:rFonts w:cs="Times New Roman"/>
          <w:sz w:val="24"/>
          <w:szCs w:val="24"/>
          <w:lang w:eastAsia="es-ES"/>
        </w:rPr>
      </w:pPr>
      <w:r w:rsidRPr="006778CE">
        <w:rPr>
          <w:bdr w:val="none" w:sz="0" w:space="0" w:color="auto" w:frame="1"/>
          <w:lang w:eastAsia="es-ES"/>
        </w:rPr>
        <w:drawing>
          <wp:inline distT="0" distB="0" distL="0" distR="0" wp14:anchorId="5E2A5BB1" wp14:editId="1A0C7D3B">
            <wp:extent cx="2700952" cy="2279073"/>
            <wp:effectExtent l="0" t="0" r="4445" b="6985"/>
            <wp:docPr id="1666157109" name="Imagen 166615710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50689" name="Imagen 2" descr="Diagrama&#10;&#10;Descripción generada automáticamente"/>
                    <pic:cNvPicPr>
                      <a:picLocks noChangeAspect="1" noChangeArrowheads="1"/>
                    </pic:cNvPicPr>
                  </pic:nvPicPr>
                  <pic:blipFill rotWithShape="1">
                    <a:blip r:embed="rId15">
                      <a:extLst>
                        <a:ext uri="{28A0092B-C50C-407E-A947-70E740481C1C}">
                          <a14:useLocalDpi xmlns:a14="http://schemas.microsoft.com/office/drawing/2010/main" val="0"/>
                        </a:ext>
                      </a:extLst>
                    </a:blip>
                    <a:srcRect r="3385"/>
                    <a:stretch/>
                  </pic:blipFill>
                  <pic:spPr bwMode="auto">
                    <a:xfrm>
                      <a:off x="0" y="0"/>
                      <a:ext cx="2710179" cy="2286859"/>
                    </a:xfrm>
                    <a:prstGeom prst="rect">
                      <a:avLst/>
                    </a:prstGeom>
                    <a:noFill/>
                    <a:ln>
                      <a:noFill/>
                    </a:ln>
                    <a:extLst>
                      <a:ext uri="{53640926-AAD7-44D8-BBD7-CCE9431645EC}">
                        <a14:shadowObscured xmlns:a14="http://schemas.microsoft.com/office/drawing/2010/main"/>
                      </a:ext>
                    </a:extLst>
                  </pic:spPr>
                </pic:pic>
              </a:graphicData>
            </a:graphic>
          </wp:inline>
        </w:drawing>
      </w:r>
    </w:p>
    <w:p w14:paraId="71775297" w14:textId="1F174A57" w:rsidR="00275D16" w:rsidRDefault="00275D16" w:rsidP="00275D16">
      <w:pPr>
        <w:pStyle w:val="PiedeImagen"/>
        <w:rPr>
          <w:i w:val="0"/>
          <w:iCs/>
          <w:szCs w:val="15"/>
        </w:rPr>
      </w:pPr>
      <w:r w:rsidRPr="006778CE">
        <w:rPr>
          <w:lang w:val="en-US" w:eastAsia="es-ES"/>
        </w:rPr>
        <w:t>Fuente</w:t>
      </w:r>
      <w:r w:rsidRPr="006778CE">
        <w:rPr>
          <w:i w:val="0"/>
          <w:iCs/>
          <w:lang w:val="en-US" w:eastAsia="es-ES"/>
        </w:rPr>
        <w:t xml:space="preserve">: </w:t>
      </w:r>
      <w:r w:rsidRPr="00D54F3C">
        <w:rPr>
          <w:i w:val="0"/>
          <w:iCs/>
          <w:szCs w:val="15"/>
          <w:lang w:val="en-US"/>
        </w:rPr>
        <w:t xml:space="preserve">Bodie, Z., </w:t>
      </w:r>
      <w:r w:rsidRPr="003C12C3">
        <w:rPr>
          <w:i w:val="0"/>
          <w:iCs/>
          <w:szCs w:val="15"/>
          <w:lang w:val="en-US"/>
        </w:rPr>
        <w:t>Kane</w:t>
      </w:r>
      <w:r w:rsidRPr="00D54F3C">
        <w:rPr>
          <w:i w:val="0"/>
          <w:iCs/>
          <w:szCs w:val="15"/>
          <w:lang w:val="en-US"/>
        </w:rPr>
        <w:t xml:space="preserve">, A. &amp; Marcus, A. J. (2021). </w:t>
      </w:r>
      <w:r w:rsidRPr="003C12C3">
        <w:rPr>
          <w:szCs w:val="15"/>
          <w:lang w:val="en-US"/>
        </w:rPr>
        <w:t>Investments</w:t>
      </w:r>
      <w:r w:rsidRPr="003C12C3">
        <w:rPr>
          <w:i w:val="0"/>
          <w:iCs/>
          <w:szCs w:val="15"/>
          <w:lang w:val="en-US"/>
        </w:rPr>
        <w:t xml:space="preserve"> (Twelfth edition, International student edition). </w:t>
      </w:r>
      <w:r w:rsidRPr="003C12C3">
        <w:rPr>
          <w:i w:val="0"/>
          <w:iCs/>
          <w:szCs w:val="15"/>
        </w:rPr>
        <w:t>McGraw-Hill.</w:t>
      </w:r>
    </w:p>
    <w:p w14:paraId="2F5ED526" w14:textId="77777777" w:rsidR="008C0888" w:rsidRDefault="008C0888" w:rsidP="008C0888">
      <w:pPr>
        <w:keepNext/>
        <w:spacing w:after="0"/>
        <w:rPr>
          <w:lang w:eastAsia="es-ES"/>
        </w:rPr>
      </w:pPr>
      <w:r w:rsidRPr="008C0888">
        <w:rPr>
          <w:noProof/>
          <w:lang w:eastAsia="es-ES"/>
        </w:rPr>
        <w:drawing>
          <wp:inline distT="0" distB="0" distL="0" distR="0" wp14:anchorId="52853F77" wp14:editId="3B8AF09F">
            <wp:extent cx="2212975" cy="2620675"/>
            <wp:effectExtent l="0" t="0" r="0" b="8255"/>
            <wp:docPr id="241653209" name="Imagen 24165320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527394" name="Imagen 1" descr="Texto&#10;&#10;Descripción generada automáticamente"/>
                    <pic:cNvPicPr/>
                  </pic:nvPicPr>
                  <pic:blipFill rotWithShape="1">
                    <a:blip r:embed="rId16"/>
                    <a:srcRect l="14396" t="47512"/>
                    <a:stretch/>
                  </pic:blipFill>
                  <pic:spPr bwMode="auto">
                    <a:xfrm>
                      <a:off x="0" y="0"/>
                      <a:ext cx="2220447" cy="2629524"/>
                    </a:xfrm>
                    <a:prstGeom prst="rect">
                      <a:avLst/>
                    </a:prstGeom>
                    <a:ln>
                      <a:noFill/>
                    </a:ln>
                    <a:extLst>
                      <a:ext uri="{53640926-AAD7-44D8-BBD7-CCE9431645EC}">
                        <a14:shadowObscured xmlns:a14="http://schemas.microsoft.com/office/drawing/2010/main"/>
                      </a:ext>
                    </a:extLst>
                  </pic:spPr>
                </pic:pic>
              </a:graphicData>
            </a:graphic>
          </wp:inline>
        </w:drawing>
      </w:r>
    </w:p>
    <w:p w14:paraId="50350A11" w14:textId="6B2CC3C2" w:rsidR="008C0888" w:rsidRPr="008C0888" w:rsidRDefault="008C0888" w:rsidP="008C0888">
      <w:pPr>
        <w:rPr>
          <w:lang w:eastAsia="es-ES"/>
        </w:rPr>
      </w:pPr>
      <w:r>
        <w:rPr>
          <w:noProof/>
        </w:rPr>
        <w:drawing>
          <wp:inline distT="0" distB="0" distL="0" distR="0" wp14:anchorId="18F3A33E" wp14:editId="0B883BB2">
            <wp:extent cx="1731307" cy="283347"/>
            <wp:effectExtent l="0" t="0" r="2540" b="2540"/>
            <wp:docPr id="5441756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5696" name=""/>
                    <pic:cNvPicPr/>
                  </pic:nvPicPr>
                  <pic:blipFill rotWithShape="1">
                    <a:blip r:embed="rId17"/>
                    <a:srcRect b="14078"/>
                    <a:stretch/>
                  </pic:blipFill>
                  <pic:spPr bwMode="auto">
                    <a:xfrm>
                      <a:off x="0" y="0"/>
                      <a:ext cx="1768151" cy="289377"/>
                    </a:xfrm>
                    <a:prstGeom prst="rect">
                      <a:avLst/>
                    </a:prstGeom>
                    <a:ln>
                      <a:noFill/>
                    </a:ln>
                    <a:extLst>
                      <a:ext uri="{53640926-AAD7-44D8-BBD7-CCE9431645EC}">
                        <a14:shadowObscured xmlns:a14="http://schemas.microsoft.com/office/drawing/2010/main"/>
                      </a:ext>
                    </a:extLst>
                  </pic:spPr>
                </pic:pic>
              </a:graphicData>
            </a:graphic>
          </wp:inline>
        </w:drawing>
      </w:r>
    </w:p>
    <w:p w14:paraId="1624C0B9" w14:textId="66D487B1" w:rsidR="00275D16" w:rsidRPr="00275D16" w:rsidRDefault="00275D16" w:rsidP="00275D16">
      <w:pPr>
        <w:pStyle w:val="Ttulo3"/>
      </w:pPr>
      <w:r>
        <w:t>Ejemplo</w:t>
      </w:r>
      <w:r w:rsidR="00167C8F">
        <w:t>: Paridad Cubierta de Intereses</w:t>
      </w:r>
    </w:p>
    <w:p w14:paraId="2CB8CC0D" w14:textId="5F859BC1" w:rsidR="0049587C" w:rsidRDefault="00885959" w:rsidP="009A3B5B">
      <w:pPr>
        <w:pStyle w:val="Nivel1SM"/>
        <w:keepNext/>
        <w:spacing w:before="0" w:after="0"/>
      </w:pPr>
      <w:r>
        <w:t xml:space="preserve">El precio del futuro debe </w:t>
      </w:r>
      <w:r w:rsidRPr="002576A8">
        <w:rPr>
          <w:b/>
          <w:bCs/>
        </w:rPr>
        <w:t>impedir operaciones de arbitraje</w:t>
      </w:r>
      <w:r>
        <w:t>.</w:t>
      </w:r>
      <w:r w:rsidR="002576A8">
        <w:t xml:space="preserve"> </w:t>
      </w:r>
      <w:r w:rsidR="0049587C">
        <w:t xml:space="preserve">Supongamos un inversor que posee una determinada </w:t>
      </w:r>
      <w:r w:rsidR="0049587C" w:rsidRPr="00F80946">
        <w:rPr>
          <w:b/>
          <w:bCs/>
        </w:rPr>
        <w:t>cantidad</w:t>
      </w:r>
      <w:r w:rsidR="0049587C">
        <w:t xml:space="preserve"> de su </w:t>
      </w:r>
      <w:r w:rsidR="0049587C" w:rsidRPr="00F80946">
        <w:rPr>
          <w:b/>
          <w:bCs/>
        </w:rPr>
        <w:t>moneda nacional</w:t>
      </w:r>
      <w:r w:rsidR="0049587C">
        <w:t xml:space="preserve"> y quiere </w:t>
      </w:r>
      <w:r w:rsidR="0049587C" w:rsidRPr="00F80946">
        <w:rPr>
          <w:b/>
          <w:bCs/>
        </w:rPr>
        <w:t>invertirla</w:t>
      </w:r>
      <w:r w:rsidR="0049587C">
        <w:t xml:space="preserve"> en un activo financiero. Tiene </w:t>
      </w:r>
      <w:r w:rsidR="0049587C" w:rsidRPr="00F80946">
        <w:rPr>
          <w:b/>
          <w:bCs/>
        </w:rPr>
        <w:t>2</w:t>
      </w:r>
      <w:r w:rsidR="00E9501F">
        <w:rPr>
          <w:b/>
          <w:bCs/>
        </w:rPr>
        <w:t> </w:t>
      </w:r>
      <w:r w:rsidR="0049587C" w:rsidRPr="00F80946">
        <w:rPr>
          <w:b/>
          <w:bCs/>
        </w:rPr>
        <w:t>opciones</w:t>
      </w:r>
      <w:r w:rsidR="0049587C">
        <w:t>:</w:t>
      </w:r>
    </w:p>
    <w:p w14:paraId="4878DF7F" w14:textId="764D76A9" w:rsidR="0049587C" w:rsidRPr="00D504B5" w:rsidRDefault="0049587C">
      <w:pPr>
        <w:pStyle w:val="Nmero"/>
        <w:keepNext/>
        <w:numPr>
          <w:ilvl w:val="0"/>
          <w:numId w:val="23"/>
        </w:numPr>
        <w:spacing w:after="0"/>
        <w:ind w:left="568" w:hanging="284"/>
        <w:rPr>
          <w:spacing w:val="-2"/>
        </w:rPr>
      </w:pPr>
      <w:r w:rsidRPr="00D504B5">
        <w:rPr>
          <w:spacing w:val="-2"/>
        </w:rPr>
        <w:t>Invertir 1</w:t>
      </w:r>
      <w:r w:rsidR="00E9501F">
        <w:rPr>
          <w:spacing w:val="-2"/>
        </w:rPr>
        <w:t> </w:t>
      </w:r>
      <w:proofErr w:type="spellStart"/>
      <w:r w:rsidRPr="00D504B5">
        <w:rPr>
          <w:spacing w:val="-2"/>
        </w:rPr>
        <w:t>u.m</w:t>
      </w:r>
      <w:proofErr w:type="spellEnd"/>
      <w:r w:rsidRPr="00D504B5">
        <w:rPr>
          <w:spacing w:val="-2"/>
        </w:rPr>
        <w:t xml:space="preserve">. nacional en un </w:t>
      </w:r>
      <w:r w:rsidRPr="00D504B5">
        <w:rPr>
          <w:i/>
          <w:iCs/>
          <w:spacing w:val="-2"/>
        </w:rPr>
        <w:t>activo nacional</w:t>
      </w:r>
      <w:r w:rsidRPr="00D504B5">
        <w:rPr>
          <w:spacing w:val="-2"/>
        </w:rPr>
        <w:t xml:space="preserve">, con lo que obtendría </w:t>
      </w:r>
      <m:oMath>
        <m:d>
          <m:dPr>
            <m:ctrlPr>
              <w:rPr>
                <w:rFonts w:ascii="Cambria Math" w:hAnsi="Cambria Math"/>
                <w:i/>
                <w:spacing w:val="-2"/>
              </w:rPr>
            </m:ctrlPr>
          </m:dPr>
          <m:e>
            <m:r>
              <m:rPr>
                <m:nor/>
              </m:rPr>
              <w:rPr>
                <w:i/>
                <w:spacing w:val="-2"/>
              </w:rPr>
              <m:t>1</m:t>
            </m:r>
            <m:r>
              <w:rPr>
                <w:rFonts w:ascii="Cambria Math" w:hAnsi="Cambria Math"/>
                <w:spacing w:val="-2"/>
              </w:rPr>
              <m:t>+</m:t>
            </m:r>
            <m:r>
              <m:rPr>
                <m:nor/>
              </m:rPr>
              <w:rPr>
                <w:i/>
                <w:spacing w:val="-2"/>
              </w:rPr>
              <m:t>i</m:t>
            </m:r>
          </m:e>
        </m:d>
      </m:oMath>
      <w:r w:rsidRPr="00D504B5">
        <w:rPr>
          <w:rFonts w:eastAsiaTheme="minorEastAsia"/>
          <w:spacing w:val="-2"/>
        </w:rPr>
        <w:t xml:space="preserve"> de rendimiento bruto.</w:t>
      </w:r>
    </w:p>
    <w:p w14:paraId="6022DDA2" w14:textId="45432D0D" w:rsidR="0049587C" w:rsidRPr="00F80946" w:rsidRDefault="0049587C" w:rsidP="00B16964">
      <w:pPr>
        <w:pStyle w:val="Nmero"/>
        <w:keepNext/>
        <w:spacing w:after="0"/>
        <w:ind w:left="568" w:hanging="284"/>
        <w:contextualSpacing/>
      </w:pPr>
      <w:r>
        <w:rPr>
          <w:rFonts w:eastAsiaTheme="minorEastAsia"/>
        </w:rPr>
        <w:t xml:space="preserve">Invertir </w:t>
      </w:r>
      <w:r>
        <w:t>1</w:t>
      </w:r>
      <w:r w:rsidR="00E9501F">
        <w:t> </w:t>
      </w:r>
      <w:proofErr w:type="spellStart"/>
      <w:r>
        <w:t>u.m</w:t>
      </w:r>
      <w:proofErr w:type="spellEnd"/>
      <w:r>
        <w:t xml:space="preserve">. nacional en un activo extranjero, con lo que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oMath>
      <w:r>
        <w:rPr>
          <w:rFonts w:eastAsiaTheme="minorEastAsia"/>
        </w:rPr>
        <w:t xml:space="preserve"> de rendimiento bruto. Para entender este rendimiento vamos a desarrollar las actividades que debería llevar a cabo este inversor:</w:t>
      </w:r>
    </w:p>
    <w:p w14:paraId="349D692B" w14:textId="64C47D60" w:rsidR="0049587C" w:rsidRPr="00F80946" w:rsidRDefault="0049587C" w:rsidP="00B16964">
      <w:pPr>
        <w:pStyle w:val="Nmero"/>
        <w:numPr>
          <w:ilvl w:val="1"/>
          <w:numId w:val="5"/>
        </w:numPr>
        <w:spacing w:after="0"/>
        <w:ind w:left="1135" w:hanging="284"/>
      </w:pPr>
      <w:r>
        <w:t xml:space="preserve">Comprar moneda extranjera hoy </w:t>
      </w:r>
      <w:r w:rsidR="00C9339F">
        <w:t>(período</w:t>
      </w:r>
      <w:r w:rsidR="00A575BB">
        <w:t> </w:t>
      </w:r>
      <w:r w:rsidR="00C9339F">
        <w:rPr>
          <w:i/>
          <w:iCs/>
        </w:rPr>
        <w:t>t</w:t>
      </w:r>
      <w:r w:rsidR="00C9339F">
        <w:t xml:space="preserve">) </w:t>
      </w:r>
      <w:r>
        <w:t>al tipo spot actual: por 1</w:t>
      </w:r>
      <w:r w:rsidR="00E9501F">
        <w:t> </w:t>
      </w:r>
      <w:proofErr w:type="spellStart"/>
      <w:r>
        <w:t>u.m</w:t>
      </w:r>
      <w:proofErr w:type="spellEnd"/>
      <w:r>
        <w:t xml:space="preserve">. nacional, nos darían </w:t>
      </w:r>
      <m:oMath>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E9501F">
        <w:rPr>
          <w:rFonts w:eastAsiaTheme="minorEastAsia"/>
        </w:rPr>
        <w:t> </w:t>
      </w:r>
      <w:proofErr w:type="spellStart"/>
      <w:r>
        <w:rPr>
          <w:rFonts w:eastAsiaTheme="minorEastAsia"/>
        </w:rPr>
        <w:t>u.m</w:t>
      </w:r>
      <w:proofErr w:type="spellEnd"/>
      <w:r>
        <w:rPr>
          <w:rFonts w:eastAsiaTheme="minorEastAsia"/>
        </w:rPr>
        <w:t>. extranjeras</w:t>
      </w:r>
      <w:r w:rsidR="00C9339F">
        <w:rPr>
          <w:rFonts w:eastAsiaTheme="minorEastAsia"/>
        </w:rPr>
        <w:t xml:space="preserve"> y comprar un futuro, por el que en el período</w:t>
      </w:r>
      <w:r w:rsidR="00A575BB">
        <w:rPr>
          <w:rFonts w:eastAsiaTheme="minorEastAsia"/>
        </w:rPr>
        <w:t> </w:t>
      </w:r>
      <w:r w:rsidR="00C9339F">
        <w:rPr>
          <w:rFonts w:eastAsiaTheme="minorEastAsia"/>
          <w:i/>
          <w:iCs/>
        </w:rPr>
        <w:t>t</w:t>
      </w:r>
      <w:r w:rsidR="00A575BB">
        <w:rPr>
          <w:rFonts w:eastAsiaTheme="minorEastAsia"/>
          <w:i/>
          <w:iCs/>
        </w:rPr>
        <w:t> </w:t>
      </w:r>
      <w:r w:rsidR="00C9339F">
        <w:rPr>
          <w:rFonts w:eastAsiaTheme="minorEastAsia"/>
          <w:i/>
          <w:iCs/>
        </w:rPr>
        <w:t>+</w:t>
      </w:r>
      <w:r w:rsidR="00A575BB">
        <w:rPr>
          <w:rFonts w:eastAsiaTheme="minorEastAsia"/>
          <w:i/>
          <w:iCs/>
        </w:rPr>
        <w:t> </w:t>
      </w:r>
      <w:r w:rsidR="00C9339F">
        <w:rPr>
          <w:rFonts w:eastAsiaTheme="minorEastAsia"/>
          <w:i/>
          <w:iCs/>
        </w:rPr>
        <w:t>1</w:t>
      </w:r>
      <w:r w:rsidR="00C9339F">
        <w:rPr>
          <w:rFonts w:eastAsiaTheme="minorEastAsia"/>
        </w:rPr>
        <w:t xml:space="preserve"> recibiremos </w:t>
      </w:r>
      <m:oMath>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oMath>
      <w:r w:rsidR="00E9501F">
        <w:rPr>
          <w:rFonts w:eastAsiaTheme="minorEastAsia"/>
        </w:rPr>
        <w:t> </w:t>
      </w:r>
      <w:proofErr w:type="spellStart"/>
      <w:r w:rsidR="00C9339F">
        <w:rPr>
          <w:rFonts w:eastAsiaTheme="minorEastAsia"/>
        </w:rPr>
        <w:t>u.m</w:t>
      </w:r>
      <w:proofErr w:type="spellEnd"/>
      <w:r w:rsidR="00C9339F">
        <w:rPr>
          <w:rFonts w:eastAsiaTheme="minorEastAsia"/>
        </w:rPr>
        <w:t xml:space="preserve">. nacionales por cada </w:t>
      </w:r>
      <w:proofErr w:type="spellStart"/>
      <w:r w:rsidR="00C9339F">
        <w:rPr>
          <w:rFonts w:eastAsiaTheme="minorEastAsia"/>
        </w:rPr>
        <w:t>u.m</w:t>
      </w:r>
      <w:proofErr w:type="spellEnd"/>
      <w:r w:rsidR="00C9339F">
        <w:rPr>
          <w:rFonts w:eastAsiaTheme="minorEastAsia"/>
        </w:rPr>
        <w:t>. extranjera.</w:t>
      </w:r>
    </w:p>
    <w:p w14:paraId="15D85DE1" w14:textId="3DB9D690" w:rsidR="0049587C" w:rsidRPr="00F80946" w:rsidRDefault="0049587C" w:rsidP="00B16964">
      <w:pPr>
        <w:pStyle w:val="Nmero"/>
        <w:numPr>
          <w:ilvl w:val="1"/>
          <w:numId w:val="5"/>
        </w:numPr>
        <w:spacing w:after="0"/>
        <w:ind w:left="1135" w:hanging="284"/>
      </w:pPr>
      <w:r>
        <w:rPr>
          <w:rFonts w:eastAsiaTheme="minorEastAsia"/>
        </w:rPr>
        <w:t>Invertir esa cantidad en moneda extranjera en el país extranjero</w:t>
      </w:r>
      <w:r w:rsidR="00C9339F">
        <w:rPr>
          <w:rFonts w:eastAsiaTheme="minorEastAsia"/>
        </w:rPr>
        <w:t xml:space="preserve"> hasta el período</w:t>
      </w:r>
      <w:r w:rsidR="00A575BB">
        <w:rPr>
          <w:rFonts w:eastAsiaTheme="minorEastAsia"/>
        </w:rPr>
        <w:t> </w:t>
      </w:r>
      <w:r w:rsidR="00C9339F">
        <w:rPr>
          <w:rFonts w:eastAsiaTheme="minorEastAsia"/>
          <w:i/>
          <w:iCs/>
        </w:rPr>
        <w:t>t</w:t>
      </w:r>
      <w:r w:rsidR="00A575BB">
        <w:rPr>
          <w:rFonts w:eastAsiaTheme="minorEastAsia"/>
          <w:i/>
          <w:iCs/>
        </w:rPr>
        <w:t> </w:t>
      </w:r>
      <w:r w:rsidR="00C9339F">
        <w:rPr>
          <w:rFonts w:eastAsiaTheme="minorEastAsia"/>
          <w:i/>
          <w:iCs/>
        </w:rPr>
        <w:t>+</w:t>
      </w:r>
      <w:r w:rsidR="00A575BB">
        <w:rPr>
          <w:rFonts w:eastAsiaTheme="minorEastAsia"/>
          <w:i/>
          <w:iCs/>
        </w:rPr>
        <w:t> </w:t>
      </w:r>
      <w:r w:rsidR="00C9339F">
        <w:rPr>
          <w:rFonts w:eastAsiaTheme="minorEastAsia"/>
          <w:i/>
          <w:iCs/>
        </w:rPr>
        <w:t>1</w:t>
      </w:r>
      <w:r>
        <w:rPr>
          <w:rFonts w:eastAsiaTheme="minorEastAsia"/>
        </w:rPr>
        <w:t xml:space="preserve">, con lo que se obtendría </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s</m:t>
                </m:r>
              </m:e>
              <m:sub>
                <m:r>
                  <m:rPr>
                    <m:nor/>
                  </m:rPr>
                  <w:rPr>
                    <w:i/>
                  </w:rPr>
                  <m:t>t</m:t>
                </m:r>
              </m:sub>
            </m:sSub>
          </m:den>
        </m:f>
      </m:oMath>
      <w:r w:rsidR="00E9501F">
        <w:rPr>
          <w:rFonts w:eastAsiaTheme="minorEastAsia"/>
        </w:rPr>
        <w:t> </w:t>
      </w:r>
      <w:proofErr w:type="spellStart"/>
      <w:r>
        <w:rPr>
          <w:rFonts w:eastAsiaTheme="minorEastAsia"/>
        </w:rPr>
        <w:t>u.m</w:t>
      </w:r>
      <w:proofErr w:type="spellEnd"/>
      <w:r>
        <w:rPr>
          <w:rFonts w:eastAsiaTheme="minorEastAsia"/>
        </w:rPr>
        <w:t>. extranjeras.</w:t>
      </w:r>
    </w:p>
    <w:p w14:paraId="2896509D" w14:textId="2701319A" w:rsidR="0049587C" w:rsidRDefault="00C9339F" w:rsidP="00B16964">
      <w:pPr>
        <w:pStyle w:val="Nmero"/>
        <w:numPr>
          <w:ilvl w:val="1"/>
          <w:numId w:val="5"/>
        </w:numPr>
        <w:ind w:left="1135" w:hanging="284"/>
      </w:pPr>
      <w:r>
        <w:rPr>
          <w:rFonts w:eastAsiaTheme="minorEastAsia"/>
        </w:rPr>
        <w:t xml:space="preserve">Debido al contrato </w:t>
      </w:r>
      <w:r>
        <w:rPr>
          <w:rFonts w:eastAsiaTheme="minorEastAsia"/>
          <w:i/>
          <w:iCs/>
        </w:rPr>
        <w:t>forward</w:t>
      </w:r>
      <w:r>
        <w:rPr>
          <w:rFonts w:eastAsiaTheme="minorEastAsia"/>
        </w:rPr>
        <w:t xml:space="preserve">, se convierten </w:t>
      </w:r>
      <w:r w:rsidR="0049587C">
        <w:rPr>
          <w:rFonts w:eastAsiaTheme="minorEastAsia"/>
        </w:rPr>
        <w:t xml:space="preserve">en moneda nacional los ingresos al tipo </w:t>
      </w:r>
      <w:r>
        <w:rPr>
          <w:rFonts w:eastAsiaTheme="minorEastAsia"/>
        </w:rPr>
        <w:t xml:space="preserve">acordado en el período </w:t>
      </w:r>
      <w:r>
        <w:rPr>
          <w:rFonts w:eastAsiaTheme="minorEastAsia"/>
          <w:i/>
          <w:iCs/>
        </w:rPr>
        <w:t>t</w:t>
      </w:r>
      <w:r>
        <w:rPr>
          <w:rFonts w:eastAsiaTheme="minorEastAsia"/>
        </w:rPr>
        <w:t xml:space="preserve"> (</w:t>
      </w:r>
      <m:oMath>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oMath>
      <w:r>
        <w:rPr>
          <w:rFonts w:eastAsiaTheme="minorEastAsia"/>
        </w:rPr>
        <w:t>)</w:t>
      </w:r>
      <w:r w:rsidR="0049587C">
        <w:rPr>
          <w:rFonts w:eastAsiaTheme="minorEastAsia"/>
        </w:rPr>
        <w:t>, con lo que se obtendría</w:t>
      </w:r>
      <m:oMath>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type m:val="lin"/>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oMath>
      <w:r w:rsidR="00E9501F">
        <w:rPr>
          <w:rFonts w:eastAsiaTheme="minorEastAsia"/>
        </w:rPr>
        <w:t> </w:t>
      </w:r>
      <w:proofErr w:type="spellStart"/>
      <w:r w:rsidR="0049587C">
        <w:rPr>
          <w:rFonts w:eastAsiaTheme="minorEastAsia"/>
        </w:rPr>
        <w:t>u.m</w:t>
      </w:r>
      <w:proofErr w:type="spellEnd"/>
      <w:r w:rsidR="0049587C">
        <w:rPr>
          <w:rFonts w:eastAsiaTheme="minorEastAsia"/>
        </w:rPr>
        <w:t>. nacionales.</w:t>
      </w:r>
    </w:p>
    <w:p w14:paraId="299F62A4" w14:textId="7AA3C869" w:rsidR="0049587C" w:rsidRDefault="0049587C" w:rsidP="00B16964">
      <w:pPr>
        <w:pStyle w:val="Nivel1SM"/>
        <w:keepNext/>
        <w:spacing w:after="0"/>
      </w:pPr>
      <w:r>
        <w:lastRenderedPageBreak/>
        <w:t xml:space="preserve">La condición de </w:t>
      </w:r>
      <w:r w:rsidRPr="005858E2">
        <w:rPr>
          <w:b/>
          <w:bCs/>
        </w:rPr>
        <w:t>ausencia de oportunidades de arbitraje</w:t>
      </w:r>
      <w:r>
        <w:t xml:space="preserve"> implicaría la igualación del rendimiento de estas </w:t>
      </w:r>
      <w:r w:rsidR="00E9501F">
        <w:t>2 </w:t>
      </w:r>
      <w:r>
        <w:t>opciones:</w:t>
      </w:r>
    </w:p>
    <w:p w14:paraId="6297EB9E" w14:textId="1D7AC6DD" w:rsidR="0049587C" w:rsidRPr="00B66639" w:rsidRDefault="00000000" w:rsidP="00B16964">
      <w:pPr>
        <w:keepNext/>
        <w:spacing w:after="0"/>
        <w:rPr>
          <w:rFonts w:eastAsiaTheme="minorEastAsia"/>
        </w:rPr>
      </w:pPr>
      <m:oMathPara>
        <m:oMath>
          <m:borderBox>
            <m:borderBoxPr>
              <m:ctrlPr>
                <w:rPr>
                  <w:rFonts w:ascii="Cambria Math" w:hAnsi="Cambria Math"/>
                  <w:i/>
                </w:rPr>
              </m:ctrlPr>
            </m:borderBoxPr>
            <m:e>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eastAsiaTheme="minorEastAsia" w:hAnsi="Cambria Math"/>
                </w:rPr>
                <m:t>=</m:t>
              </m:r>
              <m:d>
                <m:dPr>
                  <m:ctrlPr>
                    <w:rPr>
                      <w:rFonts w:ascii="Cambria Math" w:hAnsi="Cambria Math"/>
                      <w:i/>
                    </w:rPr>
                  </m:ctrlPr>
                </m:dPr>
                <m:e>
                  <m:r>
                    <m:rPr>
                      <m:nor/>
                    </m:rPr>
                    <w:rPr>
                      <w:i/>
                    </w:rPr>
                    <m:t>1</m:t>
                  </m:r>
                  <m:r>
                    <w:rPr>
                      <w:rFonts w:ascii="Cambria Math" w:hAnsi="Cambria Math"/>
                    </w:rPr>
                    <m:t>+</m:t>
                  </m:r>
                  <m:r>
                    <m:rPr>
                      <m:nor/>
                    </m:rPr>
                    <w:rPr>
                      <w:i/>
                    </w:rPr>
                    <m:t>i*</m:t>
                  </m:r>
                </m:e>
              </m:d>
              <m:r>
                <w:rPr>
                  <w:rFonts w:ascii="Cambria Math" w:hAnsi="Cambria Math"/>
                </w:rPr>
                <m:t>∙</m:t>
              </m:r>
              <m:f>
                <m:fPr>
                  <m:ctrlPr>
                    <w:rPr>
                      <w:rFonts w:ascii="Cambria Math" w:hAnsi="Cambria Math"/>
                      <w:i/>
                    </w:rPr>
                  </m:ctrlPr>
                </m:fPr>
                <m:num>
                  <m:sSubSup>
                    <m:sSubSupPr>
                      <m:ctrlPr>
                        <w:rPr>
                          <w:rFonts w:ascii="Cambria Math" w:eastAsiaTheme="minorEastAsia" w:hAnsi="Cambria Math"/>
                          <w:i/>
                        </w:rPr>
                      </m:ctrlPr>
                    </m:sSubSupPr>
                    <m:e>
                      <m:r>
                        <m:rPr>
                          <m:nor/>
                        </m:rPr>
                        <w:rPr>
                          <w:rFonts w:eastAsiaTheme="minorEastAsia"/>
                          <w:i/>
                        </w:rPr>
                        <m:t>f</m:t>
                      </m:r>
                    </m:e>
                    <m:sub>
                      <m:r>
                        <m:rPr>
                          <m:nor/>
                        </m:rPr>
                        <w:rPr>
                          <w:rFonts w:eastAsiaTheme="minorEastAsia"/>
                          <w:i/>
                        </w:rPr>
                        <m:t>t</m:t>
                      </m:r>
                    </m:sub>
                    <m:sup>
                      <m:r>
                        <m:rPr>
                          <m:nor/>
                        </m:rPr>
                        <w:rPr>
                          <w:rFonts w:ascii="Cambria Math" w:eastAsiaTheme="minorEastAsia"/>
                          <w:i/>
                        </w:rPr>
                        <m:t xml:space="preserve"> </m:t>
                      </m:r>
                      <m:r>
                        <m:rPr>
                          <m:nor/>
                        </m:rPr>
                        <w:rPr>
                          <w:rFonts w:eastAsiaTheme="minorEastAsia"/>
                          <w:i/>
                        </w:rPr>
                        <m:t>t+1</m:t>
                      </m:r>
                    </m:sup>
                  </m:sSubSup>
                </m:num>
                <m:den>
                  <m:sSub>
                    <m:sSubPr>
                      <m:ctrlPr>
                        <w:rPr>
                          <w:rFonts w:ascii="Cambria Math" w:hAnsi="Cambria Math"/>
                          <w:i/>
                        </w:rPr>
                      </m:ctrlPr>
                    </m:sSubPr>
                    <m:e>
                      <m:r>
                        <m:rPr>
                          <m:nor/>
                        </m:rPr>
                        <w:rPr>
                          <w:i/>
                        </w:rPr>
                        <m:t>s</m:t>
                      </m:r>
                    </m:e>
                    <m:sub>
                      <m:r>
                        <m:rPr>
                          <m:nor/>
                        </m:rPr>
                        <w:rPr>
                          <w:i/>
                        </w:rPr>
                        <m:t>t</m:t>
                      </m:r>
                    </m:sub>
                  </m:sSub>
                </m:den>
              </m:f>
            </m:e>
          </m:borderBox>
        </m:oMath>
      </m:oMathPara>
    </w:p>
    <w:p w14:paraId="5EF3BB97" w14:textId="4FC8392B" w:rsidR="009F7C3A" w:rsidRPr="00A71D5A" w:rsidRDefault="00C9339F" w:rsidP="00A71D5A">
      <w:pPr>
        <w:pStyle w:val="Nivel2SM"/>
      </w:pPr>
      <w:r w:rsidRPr="00C9339F">
        <w:t>Esto es lo que s</w:t>
      </w:r>
      <w:r>
        <w:t xml:space="preserve">e conoce como </w:t>
      </w:r>
      <w:bookmarkStart w:id="27" w:name="_Hlk132190513"/>
      <w:r w:rsidRPr="00521C46">
        <w:rPr>
          <w:b/>
          <w:bCs/>
        </w:rPr>
        <w:t xml:space="preserve">Paridad </w:t>
      </w:r>
      <w:r w:rsidR="006F72A2" w:rsidRPr="00521C46">
        <w:rPr>
          <w:b/>
          <w:bCs/>
        </w:rPr>
        <w:t>C</w:t>
      </w:r>
      <w:r w:rsidRPr="00521C46">
        <w:rPr>
          <w:b/>
          <w:bCs/>
        </w:rPr>
        <w:t>ubierta de Intereses (PCI)</w:t>
      </w:r>
      <w:bookmarkEnd w:id="27"/>
      <w:r w:rsidR="00A14291">
        <w:rPr>
          <w:rStyle w:val="Refdenotaalpie"/>
          <w:rFonts w:eastAsiaTheme="minorEastAsia"/>
        </w:rPr>
        <w:footnoteReference w:id="20"/>
      </w:r>
      <w:r w:rsidR="00A14291" w:rsidRPr="00A14291">
        <w:rPr>
          <w:color w:val="767171" w:themeColor="background2" w:themeShade="80"/>
          <w:sz w:val="19"/>
          <w:szCs w:val="19"/>
        </w:rPr>
        <w:t xml:space="preserve"> [ver tema 3.B.1</w:t>
      </w:r>
      <w:r w:rsidR="00BE3150">
        <w:rPr>
          <w:color w:val="767171" w:themeColor="background2" w:themeShade="80"/>
          <w:sz w:val="19"/>
          <w:szCs w:val="19"/>
        </w:rPr>
        <w:t>4</w:t>
      </w:r>
      <w:r w:rsidR="00A14291" w:rsidRPr="00A14291">
        <w:rPr>
          <w:color w:val="767171" w:themeColor="background2" w:themeShade="80"/>
          <w:sz w:val="19"/>
          <w:szCs w:val="19"/>
        </w:rPr>
        <w:t>]</w:t>
      </w:r>
      <w:r w:rsidR="008923F2">
        <w:t>, y e</w:t>
      </w:r>
      <w:r w:rsidR="00A14291">
        <w:t xml:space="preserve">s un ejemplo, de la más general </w:t>
      </w:r>
      <w:r w:rsidR="00A14291">
        <w:rPr>
          <w:i/>
          <w:iCs/>
        </w:rPr>
        <w:t>paridad spot-futuros</w:t>
      </w:r>
      <w:r w:rsidR="00A14291">
        <w:t xml:space="preserve"> que serviría para cualquier activo (no sólo divisas)</w:t>
      </w:r>
      <w:r w:rsidR="0019476A">
        <w:rPr>
          <w:rStyle w:val="Refdenotaalpie"/>
          <w:rFonts w:eastAsiaTheme="minorEastAsia"/>
        </w:rPr>
        <w:footnoteReference w:id="21"/>
      </w:r>
      <w:r w:rsidR="00A14291">
        <w:t>.</w:t>
      </w:r>
    </w:p>
    <w:p w14:paraId="28D0D19D" w14:textId="77777777" w:rsidR="00875950" w:rsidRPr="00B35C47" w:rsidRDefault="00875950" w:rsidP="00875950">
      <w:pPr>
        <w:pStyle w:val="Ttulo1"/>
      </w:pPr>
      <w:bookmarkStart w:id="28" w:name="_Toc55381922"/>
      <w:bookmarkStart w:id="29" w:name="_Toc55382057"/>
      <w:bookmarkStart w:id="30" w:name="_Toc55382092"/>
      <w:bookmarkStart w:id="31" w:name="_Toc55381923"/>
      <w:bookmarkStart w:id="32" w:name="_Toc55382058"/>
      <w:bookmarkStart w:id="33" w:name="_Toc55382093"/>
      <w:bookmarkStart w:id="34" w:name="_Toc55382521"/>
      <w:bookmarkStart w:id="35" w:name="_Toc55381924"/>
      <w:bookmarkStart w:id="36" w:name="_Toc55382059"/>
      <w:bookmarkStart w:id="37" w:name="_Toc55382094"/>
      <w:bookmarkStart w:id="38" w:name="_Toc55382522"/>
      <w:bookmarkStart w:id="39" w:name="_Toc131840485"/>
      <w:bookmarkStart w:id="40" w:name="_Toc131840468"/>
      <w:bookmarkEnd w:id="28"/>
      <w:bookmarkEnd w:id="29"/>
      <w:bookmarkEnd w:id="30"/>
      <w:bookmarkEnd w:id="31"/>
      <w:bookmarkEnd w:id="32"/>
      <w:bookmarkEnd w:id="33"/>
      <w:bookmarkEnd w:id="34"/>
      <w:bookmarkEnd w:id="35"/>
      <w:bookmarkEnd w:id="36"/>
      <w:bookmarkEnd w:id="37"/>
      <w:bookmarkEnd w:id="38"/>
      <w:r w:rsidRPr="00B35C47">
        <w:t>MERCADOS DE OPCIONES</w:t>
      </w:r>
    </w:p>
    <w:p w14:paraId="6E064062" w14:textId="77777777" w:rsidR="00875950" w:rsidRPr="00916BF6" w:rsidRDefault="00000000" w:rsidP="00875950">
      <w:pPr>
        <w:pStyle w:val="Cajadeanotaciones"/>
        <w:keepNext/>
      </w:pPr>
      <w:hyperlink r:id="rId18" w:history="1">
        <w:r w:rsidR="00875950" w:rsidRPr="00A32883">
          <w:rPr>
            <w:rStyle w:val="Hipervnculo"/>
          </w:rPr>
          <w:t>https://youtu.be/LSPGfLiTtKY</w:t>
        </w:r>
      </w:hyperlink>
    </w:p>
    <w:p w14:paraId="00E0F354" w14:textId="77777777" w:rsidR="00875950" w:rsidRPr="00B66639" w:rsidRDefault="00875950" w:rsidP="00875950">
      <w:pPr>
        <w:pStyle w:val="Ttulo2"/>
      </w:pPr>
      <w:bookmarkStart w:id="41" w:name="_Toc131840469"/>
      <w:r w:rsidRPr="00B66639">
        <w:t>Definición</w:t>
      </w:r>
      <w:bookmarkEnd w:id="41"/>
    </w:p>
    <w:p w14:paraId="50E39D94" w14:textId="77777777" w:rsidR="00875950" w:rsidRDefault="00875950" w:rsidP="00875950">
      <w:pPr>
        <w:pStyle w:val="Nivel1SM"/>
        <w:keepLines/>
        <w:spacing w:before="0"/>
      </w:pPr>
      <w:r w:rsidRPr="00B0093D">
        <w:t xml:space="preserve">Una </w:t>
      </w:r>
      <w:r w:rsidRPr="00B0093D">
        <w:rPr>
          <w:b/>
          <w:bCs/>
        </w:rPr>
        <w:t>opción financiera</w:t>
      </w:r>
      <w:r w:rsidRPr="00B0093D">
        <w:t xml:space="preserve"> es un </w:t>
      </w:r>
      <w:r w:rsidRPr="00B0093D">
        <w:rPr>
          <w:i/>
          <w:iCs/>
        </w:rPr>
        <w:t>contrato</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①</w:t>
      </w:r>
      <w:r w:rsidRPr="00B0093D">
        <w:t xml:space="preserve"> que da a su vendedor el </w:t>
      </w:r>
      <w:r w:rsidRPr="00B0093D">
        <w:rPr>
          <w:i/>
          <w:iCs/>
        </w:rPr>
        <w:t>derecho</w:t>
      </w:r>
      <w:r w:rsidRPr="00B0093D">
        <w:t xml:space="preserve"> </w:t>
      </w:r>
      <w:r w:rsidRPr="00B0093D">
        <w:rPr>
          <w:sz w:val="18"/>
          <w:szCs w:val="18"/>
        </w:rPr>
        <w:t>(pero no la obligación)</w:t>
      </w:r>
      <w:r w:rsidRPr="000B5AD3">
        <w:rPr>
          <w:i/>
          <w:iCs/>
          <w:sz w:val="2"/>
          <w:szCs w:val="2"/>
        </w:rPr>
        <w:t xml:space="preserve">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②</w:t>
      </w:r>
      <w:r w:rsidRPr="00B0093D">
        <w:t xml:space="preserve">, de </w:t>
      </w:r>
      <w:r w:rsidRPr="00B0093D">
        <w:rPr>
          <w:i/>
          <w:iCs/>
        </w:rPr>
        <w:t>comprar</w:t>
      </w:r>
      <w:r w:rsidRPr="00B0093D">
        <w:t xml:space="preserve"> </w:t>
      </w:r>
      <w:r w:rsidRPr="00B0093D">
        <w:rPr>
          <w:sz w:val="18"/>
          <w:szCs w:val="18"/>
        </w:rPr>
        <w:t xml:space="preserve">(opción </w:t>
      </w:r>
      <w:proofErr w:type="spellStart"/>
      <w:r w:rsidRPr="00B0093D">
        <w:rPr>
          <w:sz w:val="18"/>
          <w:szCs w:val="18"/>
        </w:rPr>
        <w:t>call</w:t>
      </w:r>
      <w:proofErr w:type="spellEnd"/>
      <w:r w:rsidRPr="00B0093D">
        <w:rPr>
          <w:sz w:val="18"/>
          <w:szCs w:val="18"/>
        </w:rPr>
        <w:t>)</w:t>
      </w:r>
      <w:r w:rsidRPr="00B0093D">
        <w:t xml:space="preserve"> o </w:t>
      </w:r>
      <w:r w:rsidRPr="00B0093D">
        <w:rPr>
          <w:i/>
          <w:iCs/>
        </w:rPr>
        <w:t>vender</w:t>
      </w:r>
      <w:r w:rsidRPr="00B0093D">
        <w:t xml:space="preserve"> </w:t>
      </w:r>
      <w:r w:rsidRPr="00B0093D">
        <w:rPr>
          <w:sz w:val="18"/>
          <w:szCs w:val="18"/>
        </w:rPr>
        <w:t xml:space="preserve">(opción </w:t>
      </w:r>
      <w:proofErr w:type="spellStart"/>
      <w:r w:rsidRPr="00B0093D">
        <w:rPr>
          <w:sz w:val="18"/>
          <w:szCs w:val="18"/>
        </w:rPr>
        <w:t>put</w:t>
      </w:r>
      <w:proofErr w:type="spellEnd"/>
      <w:r w:rsidRPr="00B0093D">
        <w:rPr>
          <w:sz w:val="18"/>
          <w:szCs w:val="18"/>
        </w:rPr>
        <w:t>)</w:t>
      </w:r>
      <w:r w:rsidRPr="00B0093D">
        <w:t xml:space="preserve"> el</w:t>
      </w:r>
      <w:r>
        <w:t>/los</w:t>
      </w:r>
      <w:r w:rsidRPr="00B0093D">
        <w:t xml:space="preserve"> </w:t>
      </w:r>
      <w:r w:rsidRPr="000B5AD3">
        <w:rPr>
          <w:i/>
          <w:iCs/>
        </w:rPr>
        <w:t>activo(s) subyacente(s)</w:t>
      </w:r>
      <w:r w:rsidRPr="000B5AD3">
        <w:rPr>
          <w:i/>
          <w:iCs/>
          <w:sz w:val="2"/>
          <w:szCs w:val="2"/>
        </w:rPr>
        <w:t xml:space="preserve">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③</w:t>
      </w:r>
      <w:r w:rsidRPr="00B0093D">
        <w:t xml:space="preserve">, a un </w:t>
      </w:r>
      <w:r w:rsidRPr="00B0093D">
        <w:rPr>
          <w:i/>
          <w:iCs/>
        </w:rPr>
        <w:t>precio de ejercicio determinad</w:t>
      </w:r>
      <w:r>
        <w:rPr>
          <w:i/>
          <w:iCs/>
        </w:rPr>
        <w:t>o</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④</w:t>
      </w:r>
      <w:r w:rsidRPr="00B0093D">
        <w:t xml:space="preserve"> en/hasta una </w:t>
      </w:r>
      <w:r w:rsidRPr="00B0093D">
        <w:rPr>
          <w:i/>
          <w:iCs/>
        </w:rPr>
        <w:t>fecha de vencimiento determinada</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⑤</w:t>
      </w:r>
      <w:r w:rsidRPr="00B0093D">
        <w:t xml:space="preserve">. La opción financiera se vende a un precio que se conoce como </w:t>
      </w:r>
      <w:r w:rsidRPr="00B0093D">
        <w:rPr>
          <w:i/>
          <w:iCs/>
        </w:rPr>
        <w:t>prima</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⑥</w:t>
      </w:r>
      <w:r w:rsidRPr="00B0093D">
        <w:t>, que representa la compensación que el comprador paga por el derecho de ejercer la opción sólo si él lo desea.</w:t>
      </w:r>
    </w:p>
    <w:p w14:paraId="47211C38" w14:textId="77777777" w:rsidR="00875950" w:rsidRPr="00B0093D" w:rsidRDefault="00875950" w:rsidP="00875950">
      <w:pPr>
        <w:pStyle w:val="Nivel1SM"/>
        <w:rPr>
          <w:spacing w:val="-2"/>
        </w:rPr>
      </w:pPr>
      <w:r>
        <w:t xml:space="preserve">El primer mercado de opciones moderno surge en Chicago en 1973 (en principio sólo admitía opciones </w:t>
      </w:r>
      <w:proofErr w:type="spellStart"/>
      <w:r>
        <w:rPr>
          <w:i/>
          <w:iCs/>
        </w:rPr>
        <w:t>call</w:t>
      </w:r>
      <w:proofErr w:type="spellEnd"/>
      <w:r>
        <w:t>). En España, el desarrollo de estos mercados data de 1980.</w:t>
      </w:r>
    </w:p>
    <w:p w14:paraId="5C447366" w14:textId="77777777" w:rsidR="00875950" w:rsidRPr="00B66639" w:rsidRDefault="00875950" w:rsidP="00875950">
      <w:pPr>
        <w:pStyle w:val="Ttulo2"/>
      </w:pPr>
      <w:bookmarkStart w:id="42" w:name="_Toc131840470"/>
      <w:r w:rsidRPr="00B66639">
        <w:t>Tipos</w:t>
      </w:r>
      <w:bookmarkEnd w:id="42"/>
    </w:p>
    <w:p w14:paraId="490BEED7" w14:textId="77777777" w:rsidR="00875950" w:rsidRPr="00166820" w:rsidRDefault="00875950" w:rsidP="00875950">
      <w:pPr>
        <w:pStyle w:val="Nivel1SM"/>
        <w:keepNext/>
        <w:spacing w:before="0" w:after="0"/>
      </w:pPr>
      <w:r w:rsidRPr="00166820">
        <w:t xml:space="preserve">Las </w:t>
      </w:r>
      <w:r w:rsidRPr="00166820">
        <w:rPr>
          <w:i/>
          <w:iCs/>
        </w:rPr>
        <w:t>opciones financieras</w:t>
      </w:r>
      <w:r w:rsidRPr="00166820">
        <w:t xml:space="preserve"> se pueden </w:t>
      </w:r>
      <w:r w:rsidRPr="00166820">
        <w:rPr>
          <w:u w:val="single"/>
        </w:rPr>
        <w:t>clasificar</w:t>
      </w:r>
      <w:r w:rsidRPr="00166820">
        <w:t xml:space="preserve"> según las distintas partes que se negocian en el contrato:</w:t>
      </w:r>
    </w:p>
    <w:p w14:paraId="69D67F53" w14:textId="77777777" w:rsidR="00875950" w:rsidRDefault="00875950" w:rsidP="00875950">
      <w:pPr>
        <w:pStyle w:val="Nivel2SM"/>
        <w:keepNext/>
        <w:spacing w:after="0"/>
      </w:pPr>
      <w:r w:rsidRPr="00B0093D">
        <w:t>Según la opción sea de compra (</w:t>
      </w:r>
      <w:proofErr w:type="spellStart"/>
      <w:r>
        <w:rPr>
          <w:i/>
          <w:iCs/>
          <w:u w:val="single"/>
        </w:rPr>
        <w:t>call</w:t>
      </w:r>
      <w:proofErr w:type="spellEnd"/>
      <w:r w:rsidRPr="00B0093D">
        <w:t>) o de venta (</w:t>
      </w:r>
      <w:proofErr w:type="spellStart"/>
      <w:r>
        <w:rPr>
          <w:i/>
          <w:iCs/>
          <w:u w:val="single"/>
        </w:rPr>
        <w:t>put</w:t>
      </w:r>
      <w:proofErr w:type="spellEnd"/>
      <w:r w:rsidRPr="00B0093D">
        <w:t>)</w:t>
      </w:r>
      <w:r>
        <w:t>:</w:t>
      </w:r>
    </w:p>
    <w:p w14:paraId="64DF8F75" w14:textId="77777777" w:rsidR="00875950" w:rsidRDefault="00875950" w:rsidP="00875950">
      <w:pPr>
        <w:pStyle w:val="Nivel3SM"/>
      </w:pPr>
      <w:r>
        <w:t xml:space="preserve">Una opción </w:t>
      </w:r>
      <w:proofErr w:type="spellStart"/>
      <w:r>
        <w:rPr>
          <w:i/>
          <w:iCs/>
        </w:rPr>
        <w:t>call</w:t>
      </w:r>
      <w:proofErr w:type="spellEnd"/>
      <w:r>
        <w:t xml:space="preserve"> da a su comprador el derecho a comprar el activo subyacente al precio de ejercicio, por lo que el vendedor de la </w:t>
      </w:r>
      <w:proofErr w:type="spellStart"/>
      <w:r>
        <w:t>call</w:t>
      </w:r>
      <w:proofErr w:type="spellEnd"/>
      <w:r>
        <w:t xml:space="preserve"> tendrá la obligación de vender el activo si el comprador la ejerce.</w:t>
      </w:r>
    </w:p>
    <w:p w14:paraId="6F8F6274" w14:textId="77777777" w:rsidR="00875950" w:rsidRDefault="00875950" w:rsidP="00875950">
      <w:pPr>
        <w:pStyle w:val="Nivel3SM"/>
      </w:pPr>
      <w:r>
        <w:t xml:space="preserve">Por su parte, una opción </w:t>
      </w:r>
      <w:proofErr w:type="spellStart"/>
      <w:r>
        <w:rPr>
          <w:i/>
          <w:iCs/>
        </w:rPr>
        <w:t>put</w:t>
      </w:r>
      <w:proofErr w:type="spellEnd"/>
      <w:r>
        <w:t xml:space="preserve"> da a su comprador el derecho a vender el activo, por lo que el vendedor de la </w:t>
      </w:r>
      <w:proofErr w:type="spellStart"/>
      <w:r>
        <w:t>put</w:t>
      </w:r>
      <w:proofErr w:type="spellEnd"/>
      <w:r>
        <w:t xml:space="preserve"> tendrá la obligación de comprar el activo si el comprador la ejerce.</w:t>
      </w:r>
    </w:p>
    <w:p w14:paraId="6AC0EC02" w14:textId="77777777" w:rsidR="00875950" w:rsidRPr="00B0093D" w:rsidRDefault="00875950" w:rsidP="00875950">
      <w:pPr>
        <w:pStyle w:val="Nivel2SM"/>
        <w:keepNext/>
        <w:spacing w:after="0"/>
      </w:pPr>
      <w:r w:rsidRPr="00B0093D">
        <w:t>Según se pueda ejercer en (</w:t>
      </w:r>
      <w:r w:rsidRPr="00B0093D">
        <w:rPr>
          <w:i/>
          <w:iCs/>
          <w:u w:val="single"/>
        </w:rPr>
        <w:t>europea</w:t>
      </w:r>
      <w:r w:rsidRPr="00B0093D">
        <w:t>) o hasta (</w:t>
      </w:r>
      <w:r w:rsidRPr="00B0093D">
        <w:rPr>
          <w:i/>
          <w:iCs/>
          <w:u w:val="single"/>
        </w:rPr>
        <w:t>americana</w:t>
      </w:r>
      <w:r w:rsidRPr="00B0093D">
        <w:t>) una fecha de vencimiento determinada:</w:t>
      </w:r>
    </w:p>
    <w:p w14:paraId="062AE9EA" w14:textId="77777777" w:rsidR="00875950" w:rsidRPr="00921001" w:rsidRDefault="00875950" w:rsidP="00875950">
      <w:pPr>
        <w:pStyle w:val="Nivel3SM"/>
      </w:pPr>
      <w:r w:rsidRPr="00921001">
        <w:t xml:space="preserve">Una </w:t>
      </w:r>
      <w:r w:rsidRPr="00921001">
        <w:rPr>
          <w:i/>
          <w:iCs/>
        </w:rPr>
        <w:t>opción europea</w:t>
      </w:r>
      <w:r w:rsidRPr="00921001">
        <w:t xml:space="preserve"> sólo puede ejercerse en la fecha de vencimiento.</w:t>
      </w:r>
    </w:p>
    <w:p w14:paraId="375C59AD" w14:textId="77777777" w:rsidR="00875950" w:rsidRDefault="00875950" w:rsidP="00875950">
      <w:pPr>
        <w:pStyle w:val="Nivel3SM"/>
      </w:pPr>
      <w:r w:rsidRPr="00921001">
        <w:t xml:space="preserve">Una </w:t>
      </w:r>
      <w:r w:rsidRPr="00921001">
        <w:rPr>
          <w:i/>
          <w:iCs/>
        </w:rPr>
        <w:t>opción americana</w:t>
      </w:r>
      <w:r w:rsidRPr="00921001">
        <w:t xml:space="preserve"> puede ejercerse en cualquier momento hasta la fecha de vencimiento.</w:t>
      </w:r>
    </w:p>
    <w:p w14:paraId="6CE90701" w14:textId="77777777" w:rsidR="00875950" w:rsidRDefault="00875950" w:rsidP="00875950">
      <w:pPr>
        <w:pStyle w:val="Nivel3SM"/>
      </w:pPr>
      <w:r>
        <w:t xml:space="preserve">Una </w:t>
      </w:r>
      <w:r>
        <w:rPr>
          <w:i/>
          <w:iCs/>
        </w:rPr>
        <w:t>opción bermuda</w:t>
      </w:r>
      <w:r>
        <w:t xml:space="preserve"> se situaría entre una americana y una europea, ya que se puede ejercer anticipadamente, pero sólo en determinados momentos prefijados.</w:t>
      </w:r>
    </w:p>
    <w:p w14:paraId="42BEA44E" w14:textId="77777777" w:rsidR="00875950" w:rsidRDefault="00875950" w:rsidP="00875950">
      <w:pPr>
        <w:pStyle w:val="Nivel2SM"/>
        <w:keepNext/>
        <w:spacing w:after="0"/>
      </w:pPr>
      <w:r>
        <w:t>Según el mercado donde se negocian (</w:t>
      </w:r>
      <w:r>
        <w:rPr>
          <w:i/>
          <w:iCs/>
          <w:u w:val="single"/>
        </w:rPr>
        <w:t>mercado organizado</w:t>
      </w:r>
      <w:r>
        <w:t xml:space="preserve"> o </w:t>
      </w:r>
      <w:r>
        <w:rPr>
          <w:i/>
          <w:iCs/>
          <w:u w:val="single"/>
        </w:rPr>
        <w:t>mercado OTC</w:t>
      </w:r>
      <w:r>
        <w:t>):</w:t>
      </w:r>
    </w:p>
    <w:tbl>
      <w:tblPr>
        <w:tblStyle w:val="Tablaconcuadrcula"/>
        <w:tblW w:w="0" w:type="auto"/>
        <w:tblInd w:w="709" w:type="dxa"/>
        <w:tblLook w:val="04A0" w:firstRow="1" w:lastRow="0" w:firstColumn="1" w:lastColumn="0" w:noHBand="0" w:noVBand="1"/>
      </w:tblPr>
      <w:tblGrid>
        <w:gridCol w:w="4302"/>
        <w:gridCol w:w="4277"/>
      </w:tblGrid>
      <w:tr w:rsidR="00875950" w14:paraId="59EC5B53" w14:textId="77777777" w:rsidTr="007C5659">
        <w:tc>
          <w:tcPr>
            <w:tcW w:w="4302" w:type="dxa"/>
            <w:tcBorders>
              <w:top w:val="single" w:sz="12" w:space="0" w:color="5F2987"/>
              <w:left w:val="nil"/>
              <w:bottom w:val="single" w:sz="12" w:space="0" w:color="5F2987"/>
              <w:right w:val="single" w:sz="6" w:space="0" w:color="5F2987"/>
            </w:tcBorders>
            <w:shd w:val="clear" w:color="auto" w:fill="E2EFD9" w:themeFill="accent6" w:themeFillTint="33"/>
            <w:vAlign w:val="center"/>
          </w:tcPr>
          <w:p w14:paraId="26B21064" w14:textId="77777777" w:rsidR="00875950" w:rsidRPr="005A688A" w:rsidRDefault="00875950" w:rsidP="007C5659">
            <w:pPr>
              <w:keepNext/>
              <w:spacing w:after="0"/>
              <w:jc w:val="center"/>
              <w:rPr>
                <w:b/>
                <w:bCs/>
                <w:i/>
                <w:iCs/>
              </w:rPr>
            </w:pPr>
            <w:r>
              <w:rPr>
                <w:i/>
                <w:iCs/>
              </w:rPr>
              <w:t xml:space="preserve">Ventajas de los </w:t>
            </w:r>
            <w:r>
              <w:rPr>
                <w:b/>
                <w:bCs/>
                <w:i/>
                <w:iCs/>
              </w:rPr>
              <w:t>mercados organizados</w:t>
            </w:r>
          </w:p>
        </w:tc>
        <w:tc>
          <w:tcPr>
            <w:tcW w:w="4277" w:type="dxa"/>
            <w:tcBorders>
              <w:top w:val="single" w:sz="12" w:space="0" w:color="5F2987"/>
              <w:left w:val="single" w:sz="6" w:space="0" w:color="5F2987"/>
              <w:bottom w:val="single" w:sz="12" w:space="0" w:color="5F2987"/>
              <w:right w:val="nil"/>
            </w:tcBorders>
            <w:shd w:val="clear" w:color="auto" w:fill="E2EFD9" w:themeFill="accent6" w:themeFillTint="33"/>
            <w:vAlign w:val="center"/>
          </w:tcPr>
          <w:p w14:paraId="182B8DD1" w14:textId="77777777" w:rsidR="00875950" w:rsidRPr="005A688A" w:rsidRDefault="00875950" w:rsidP="007C5659">
            <w:pPr>
              <w:keepNext/>
              <w:spacing w:after="0"/>
              <w:jc w:val="center"/>
              <w:rPr>
                <w:b/>
                <w:bCs/>
                <w:i/>
                <w:iCs/>
              </w:rPr>
            </w:pPr>
            <w:r>
              <w:rPr>
                <w:i/>
                <w:iCs/>
              </w:rPr>
              <w:t xml:space="preserve">Ventajas de los </w:t>
            </w:r>
            <w:r>
              <w:rPr>
                <w:b/>
                <w:bCs/>
                <w:i/>
                <w:iCs/>
              </w:rPr>
              <w:t>mercados OTC</w:t>
            </w:r>
          </w:p>
        </w:tc>
      </w:tr>
      <w:tr w:rsidR="00875950" w14:paraId="5618403F" w14:textId="77777777" w:rsidTr="007C5659">
        <w:tc>
          <w:tcPr>
            <w:tcW w:w="4302" w:type="dxa"/>
            <w:tcBorders>
              <w:top w:val="single" w:sz="12" w:space="0" w:color="5F2987"/>
              <w:left w:val="nil"/>
              <w:bottom w:val="single" w:sz="12" w:space="0" w:color="5F2987"/>
              <w:right w:val="single" w:sz="6" w:space="0" w:color="5F2987"/>
            </w:tcBorders>
            <w:vAlign w:val="center"/>
          </w:tcPr>
          <w:p w14:paraId="5B78552B" w14:textId="77777777" w:rsidR="00875950" w:rsidRDefault="00875950">
            <w:pPr>
              <w:pStyle w:val="Prrafodelista"/>
              <w:numPr>
                <w:ilvl w:val="0"/>
                <w:numId w:val="29"/>
              </w:numPr>
              <w:spacing w:after="0"/>
              <w:ind w:left="198" w:hanging="198"/>
            </w:pPr>
            <w:r>
              <w:t>Mayor liquidez</w:t>
            </w:r>
          </w:p>
          <w:p w14:paraId="3268408B" w14:textId="77777777" w:rsidR="00875950" w:rsidRDefault="00875950">
            <w:pPr>
              <w:pStyle w:val="Prrafodelista"/>
              <w:numPr>
                <w:ilvl w:val="0"/>
                <w:numId w:val="29"/>
              </w:numPr>
              <w:spacing w:after="0"/>
              <w:ind w:left="198" w:hanging="198"/>
            </w:pPr>
            <w:r>
              <w:t>Menor coste de transacción</w:t>
            </w:r>
          </w:p>
          <w:p w14:paraId="6480D9E1" w14:textId="77777777" w:rsidR="00875950" w:rsidRDefault="00875950">
            <w:pPr>
              <w:pStyle w:val="Prrafodelista"/>
              <w:numPr>
                <w:ilvl w:val="0"/>
                <w:numId w:val="29"/>
              </w:numPr>
              <w:spacing w:after="0"/>
              <w:ind w:left="198" w:hanging="198"/>
            </w:pPr>
            <w:r>
              <w:t>Menor riesgo</w:t>
            </w:r>
          </w:p>
        </w:tc>
        <w:tc>
          <w:tcPr>
            <w:tcW w:w="4277" w:type="dxa"/>
            <w:tcBorders>
              <w:top w:val="single" w:sz="12" w:space="0" w:color="5F2987"/>
              <w:left w:val="single" w:sz="6" w:space="0" w:color="5F2987"/>
              <w:bottom w:val="single" w:sz="12" w:space="0" w:color="5F2987"/>
              <w:right w:val="nil"/>
            </w:tcBorders>
            <w:vAlign w:val="center"/>
          </w:tcPr>
          <w:p w14:paraId="3E336E38" w14:textId="77777777" w:rsidR="00875950" w:rsidRDefault="00875950">
            <w:pPr>
              <w:pStyle w:val="Prrafodelista"/>
              <w:numPr>
                <w:ilvl w:val="0"/>
                <w:numId w:val="29"/>
              </w:numPr>
              <w:spacing w:after="0"/>
              <w:ind w:left="198" w:hanging="198"/>
            </w:pPr>
            <w:r>
              <w:t>Mayor flexibilidad</w:t>
            </w:r>
          </w:p>
        </w:tc>
      </w:tr>
    </w:tbl>
    <w:p w14:paraId="7B658BEC" w14:textId="77777777" w:rsidR="00875950" w:rsidRPr="009E3BB4" w:rsidRDefault="00875950" w:rsidP="00875950">
      <w:pPr>
        <w:pStyle w:val="Nivel2SM"/>
        <w:keepNext/>
        <w:spacing w:after="0"/>
      </w:pPr>
      <w:r w:rsidRPr="00921001">
        <w:t>Según el número de subyacentes:</w:t>
      </w:r>
      <w:r>
        <w:t xml:space="preserve"> </w:t>
      </w:r>
      <w:r w:rsidRPr="00921001">
        <w:rPr>
          <w:i/>
          <w:iCs/>
          <w:u w:val="single"/>
        </w:rPr>
        <w:t>1-asset</w:t>
      </w:r>
      <w:r w:rsidRPr="00921001">
        <w:rPr>
          <w:i/>
          <w:iCs/>
        </w:rPr>
        <w:t xml:space="preserve"> </w:t>
      </w:r>
      <w:r>
        <w:rPr>
          <w:i/>
          <w:iCs/>
        </w:rPr>
        <w:t>vs</w:t>
      </w:r>
      <w:r w:rsidRPr="00921001">
        <w:rPr>
          <w:i/>
          <w:iCs/>
        </w:rPr>
        <w:t xml:space="preserve"> </w:t>
      </w:r>
      <w:proofErr w:type="spellStart"/>
      <w:r w:rsidRPr="00921001">
        <w:rPr>
          <w:i/>
          <w:iCs/>
          <w:u w:val="single"/>
        </w:rPr>
        <w:t>multi-asset</w:t>
      </w:r>
      <w:proofErr w:type="spellEnd"/>
    </w:p>
    <w:p w14:paraId="01B5D12D" w14:textId="77777777" w:rsidR="00875950" w:rsidRDefault="00875950" w:rsidP="00875950">
      <w:pPr>
        <w:pStyle w:val="Nivel3SM"/>
      </w:pPr>
      <w:r>
        <w:t>La mayoría de opciones se establece sobre un solo activo subyacente (</w:t>
      </w:r>
      <w:r w:rsidRPr="009E3BB4">
        <w:rPr>
          <w:i/>
          <w:iCs/>
        </w:rPr>
        <w:t>1-asset</w:t>
      </w:r>
      <w:r>
        <w:t>);</w:t>
      </w:r>
    </w:p>
    <w:p w14:paraId="37266950" w14:textId="77777777" w:rsidR="00875950" w:rsidRPr="009E3BB4" w:rsidRDefault="00875950" w:rsidP="00875950">
      <w:pPr>
        <w:pStyle w:val="Nivel3SM"/>
        <w:keepNext/>
        <w:rPr>
          <w:spacing w:val="-4"/>
        </w:rPr>
      </w:pPr>
      <w:r w:rsidRPr="009E3BB4">
        <w:rPr>
          <w:spacing w:val="-4"/>
        </w:rPr>
        <w:lastRenderedPageBreak/>
        <w:t xml:space="preserve">Pero también existen las opciones </w:t>
      </w:r>
      <w:proofErr w:type="spellStart"/>
      <w:r w:rsidRPr="009E3BB4">
        <w:rPr>
          <w:i/>
          <w:iCs/>
          <w:spacing w:val="-4"/>
        </w:rPr>
        <w:t>multi-asset</w:t>
      </w:r>
      <w:proofErr w:type="spellEnd"/>
      <w:r w:rsidRPr="009E3BB4">
        <w:rPr>
          <w:spacing w:val="-4"/>
        </w:rPr>
        <w:t>, en donde la opción se fija sobre varios subyacentes</w:t>
      </w:r>
      <w:r>
        <w:rPr>
          <w:spacing w:val="-4"/>
        </w:rPr>
        <w:t>. Las más comunes son</w:t>
      </w:r>
      <w:r w:rsidRPr="009E3BB4">
        <w:rPr>
          <w:spacing w:val="-4"/>
        </w:rPr>
        <w:t>:</w:t>
      </w:r>
    </w:p>
    <w:p w14:paraId="57A30438" w14:textId="77777777" w:rsidR="00875950" w:rsidRDefault="00875950" w:rsidP="00875950">
      <w:pPr>
        <w:pStyle w:val="Nivel4"/>
        <w:ind w:left="1474"/>
      </w:pPr>
      <w:r w:rsidRPr="009E3BB4">
        <w:rPr>
          <w:i/>
          <w:iCs/>
        </w:rPr>
        <w:t>Cestas</w:t>
      </w:r>
      <w:r>
        <w:t>: Opciones sobre una cesta de subyacentes;</w:t>
      </w:r>
    </w:p>
    <w:p w14:paraId="23E5C73D" w14:textId="77777777" w:rsidR="00875950" w:rsidRDefault="00875950" w:rsidP="00875950">
      <w:pPr>
        <w:pStyle w:val="Nivel4"/>
        <w:ind w:left="1474"/>
      </w:pPr>
      <w:proofErr w:type="spellStart"/>
      <w:r w:rsidRPr="009E3BB4">
        <w:rPr>
          <w:i/>
          <w:iCs/>
        </w:rPr>
        <w:t>Worst</w:t>
      </w:r>
      <w:proofErr w:type="spellEnd"/>
      <w:r w:rsidRPr="009E3BB4">
        <w:rPr>
          <w:i/>
          <w:iCs/>
        </w:rPr>
        <w:t xml:space="preserve"> </w:t>
      </w:r>
      <w:proofErr w:type="spellStart"/>
      <w:r w:rsidRPr="009E3BB4">
        <w:rPr>
          <w:i/>
          <w:iCs/>
        </w:rPr>
        <w:t>of</w:t>
      </w:r>
      <w:proofErr w:type="spellEnd"/>
      <w:r>
        <w:t>: Opciones sobre el activo que peor evolucione dentro de una cesta;</w:t>
      </w:r>
    </w:p>
    <w:p w14:paraId="41194268" w14:textId="77777777" w:rsidR="00875950" w:rsidRPr="00921001" w:rsidRDefault="00875950" w:rsidP="00875950">
      <w:pPr>
        <w:pStyle w:val="Nivel4"/>
        <w:ind w:left="1474"/>
      </w:pPr>
      <w:proofErr w:type="spellStart"/>
      <w:r>
        <w:rPr>
          <w:i/>
          <w:iCs/>
        </w:rPr>
        <w:t>Bes</w:t>
      </w:r>
      <w:r w:rsidRPr="009E3BB4">
        <w:rPr>
          <w:i/>
          <w:iCs/>
        </w:rPr>
        <w:t>t</w:t>
      </w:r>
      <w:proofErr w:type="spellEnd"/>
      <w:r w:rsidRPr="009E3BB4">
        <w:rPr>
          <w:i/>
          <w:iCs/>
        </w:rPr>
        <w:t xml:space="preserve"> </w:t>
      </w:r>
      <w:proofErr w:type="spellStart"/>
      <w:r w:rsidRPr="009E3BB4">
        <w:rPr>
          <w:i/>
          <w:iCs/>
        </w:rPr>
        <w:t>of</w:t>
      </w:r>
      <w:proofErr w:type="spellEnd"/>
      <w:r>
        <w:t>: Opciones sobre el activo que mejor evolucione dentro de una cesta.</w:t>
      </w:r>
    </w:p>
    <w:p w14:paraId="0115620F" w14:textId="77777777" w:rsidR="00875950" w:rsidRPr="009E3BB4" w:rsidRDefault="00875950" w:rsidP="00875950">
      <w:pPr>
        <w:pStyle w:val="Nivel2SM"/>
        <w:keepNext/>
        <w:spacing w:after="0"/>
      </w:pPr>
      <w:proofErr w:type="spellStart"/>
      <w:r w:rsidRPr="00FD1201">
        <w:rPr>
          <w:i/>
          <w:iCs/>
          <w:u w:val="single"/>
        </w:rPr>
        <w:t>Plain</w:t>
      </w:r>
      <w:proofErr w:type="spellEnd"/>
      <w:r w:rsidRPr="00FD1201">
        <w:rPr>
          <w:i/>
          <w:iCs/>
          <w:u w:val="single"/>
        </w:rPr>
        <w:t xml:space="preserve"> </w:t>
      </w:r>
      <w:proofErr w:type="spellStart"/>
      <w:r w:rsidRPr="00FD1201">
        <w:rPr>
          <w:i/>
          <w:iCs/>
          <w:u w:val="single"/>
        </w:rPr>
        <w:t>vanilla</w:t>
      </w:r>
      <w:proofErr w:type="spellEnd"/>
      <w:r w:rsidRPr="00FD1201">
        <w:rPr>
          <w:i/>
          <w:iCs/>
        </w:rPr>
        <w:t xml:space="preserve"> vs </w:t>
      </w:r>
      <w:r w:rsidRPr="00FD1201">
        <w:rPr>
          <w:i/>
          <w:iCs/>
          <w:u w:val="single"/>
        </w:rPr>
        <w:t>Exóticas</w:t>
      </w:r>
      <w:r>
        <w:t>:</w:t>
      </w:r>
    </w:p>
    <w:p w14:paraId="2C5F777F" w14:textId="77777777" w:rsidR="00875950" w:rsidRDefault="00875950" w:rsidP="00875950">
      <w:pPr>
        <w:pStyle w:val="Nivel3SM"/>
      </w:pPr>
      <w:r>
        <w:t xml:space="preserve">En una opción </w:t>
      </w:r>
      <w:proofErr w:type="spellStart"/>
      <w:r>
        <w:rPr>
          <w:i/>
          <w:iCs/>
        </w:rPr>
        <w:t>plain</w:t>
      </w:r>
      <w:proofErr w:type="spellEnd"/>
      <w:r>
        <w:rPr>
          <w:i/>
          <w:iCs/>
        </w:rPr>
        <w:t xml:space="preserve"> </w:t>
      </w:r>
      <w:proofErr w:type="spellStart"/>
      <w:r>
        <w:rPr>
          <w:i/>
          <w:iCs/>
        </w:rPr>
        <w:t>vanilla</w:t>
      </w:r>
      <w:proofErr w:type="spellEnd"/>
      <w:r>
        <w:t xml:space="preserve"> el pago que recibe el comprador depende exclusivamente del precio de ejercicio y la situación del subyacente.</w:t>
      </w:r>
    </w:p>
    <w:p w14:paraId="657816C2" w14:textId="77777777" w:rsidR="00875950" w:rsidRDefault="00875950" w:rsidP="00875950">
      <w:pPr>
        <w:pStyle w:val="Nivel3SM"/>
        <w:keepNext/>
      </w:pPr>
      <w:r>
        <w:t xml:space="preserve">En una opción </w:t>
      </w:r>
      <w:r>
        <w:rPr>
          <w:i/>
          <w:iCs/>
        </w:rPr>
        <w:t>exótica</w:t>
      </w:r>
      <w:r>
        <w:t>, este pago depende de la evolución pasada del subyacente. Algunos ejemplos son:</w:t>
      </w:r>
    </w:p>
    <w:p w14:paraId="4B0DEABA" w14:textId="77777777" w:rsidR="00875950" w:rsidRDefault="00875950" w:rsidP="00875950">
      <w:pPr>
        <w:pStyle w:val="Nivel4"/>
        <w:ind w:left="1474"/>
      </w:pPr>
      <w:r>
        <w:rPr>
          <w:i/>
          <w:iCs/>
        </w:rPr>
        <w:t>Opciones asiáticas</w:t>
      </w:r>
      <w:r>
        <w:t>: El precio que se compara con el precio de ejercicio es una media del subyacente en distintos momentos de la vida de la opción;</w:t>
      </w:r>
    </w:p>
    <w:p w14:paraId="6FF2C66C" w14:textId="77777777" w:rsidR="00875950" w:rsidRDefault="00875950" w:rsidP="00875950">
      <w:pPr>
        <w:pStyle w:val="Nivel4"/>
        <w:ind w:left="1474"/>
      </w:pPr>
      <w:r>
        <w:rPr>
          <w:i/>
          <w:iCs/>
        </w:rPr>
        <w:t>Opciones barrera</w:t>
      </w:r>
      <w:r>
        <w:t>: La opción se activa o desactiva si el subyacente alcanza un determinado valor durante la vida de la opción.</w:t>
      </w:r>
    </w:p>
    <w:p w14:paraId="4FB309CE" w14:textId="77777777" w:rsidR="00875950" w:rsidRPr="009E3BB4" w:rsidRDefault="00875950" w:rsidP="00875950">
      <w:pPr>
        <w:pStyle w:val="Nivel4"/>
        <w:ind w:left="1474"/>
      </w:pPr>
      <w:r>
        <w:rPr>
          <w:i/>
          <w:iCs/>
        </w:rPr>
        <w:t>Opciones digitales</w:t>
      </w:r>
      <w:r>
        <w:t xml:space="preserve">: Pagan una cantidad fija si la opción acaba </w:t>
      </w:r>
      <w:proofErr w:type="spellStart"/>
      <w:r w:rsidRPr="00F84415">
        <w:rPr>
          <w:i/>
          <w:iCs/>
        </w:rPr>
        <w:t>in-the-money</w:t>
      </w:r>
      <w:proofErr w:type="spellEnd"/>
      <w:r>
        <w:t>, es decir, si el valor del activo subyacente es mayor al precio de ejercicio</w:t>
      </w:r>
      <w:r>
        <w:rPr>
          <w:rStyle w:val="Refdenotaalpie"/>
        </w:rPr>
        <w:footnoteReference w:id="22"/>
      </w:r>
      <w:r>
        <w:t>.</w:t>
      </w:r>
    </w:p>
    <w:p w14:paraId="228C0552" w14:textId="77777777" w:rsidR="00875950" w:rsidRDefault="00875950" w:rsidP="00875950">
      <w:pPr>
        <w:pStyle w:val="Nivel2SM"/>
        <w:keepNext/>
        <w:spacing w:after="0"/>
      </w:pPr>
      <w:proofErr w:type="spellStart"/>
      <w:r w:rsidRPr="00FD1201">
        <w:rPr>
          <w:i/>
          <w:iCs/>
          <w:u w:val="single"/>
        </w:rPr>
        <w:t>Caps</w:t>
      </w:r>
      <w:proofErr w:type="spellEnd"/>
      <w:r w:rsidRPr="00FD1201">
        <w:rPr>
          <w:i/>
          <w:iCs/>
        </w:rPr>
        <w:t xml:space="preserve">, </w:t>
      </w:r>
      <w:proofErr w:type="spellStart"/>
      <w:r w:rsidRPr="00FD1201">
        <w:rPr>
          <w:i/>
          <w:iCs/>
          <w:u w:val="single"/>
        </w:rPr>
        <w:t>floors</w:t>
      </w:r>
      <w:proofErr w:type="spellEnd"/>
      <w:r w:rsidRPr="00FD1201">
        <w:rPr>
          <w:i/>
          <w:iCs/>
        </w:rPr>
        <w:t xml:space="preserve"> y </w:t>
      </w:r>
      <w:proofErr w:type="spellStart"/>
      <w:r w:rsidRPr="00FD1201">
        <w:rPr>
          <w:i/>
          <w:iCs/>
          <w:u w:val="single"/>
        </w:rPr>
        <w:t>collars</w:t>
      </w:r>
      <w:proofErr w:type="spellEnd"/>
      <w:r>
        <w:t>:</w:t>
      </w:r>
    </w:p>
    <w:p w14:paraId="70B4DA53" w14:textId="77777777" w:rsidR="00875950" w:rsidRDefault="00875950" w:rsidP="00875950">
      <w:pPr>
        <w:pStyle w:val="Nivel3SM"/>
      </w:pPr>
      <w:r>
        <w:t xml:space="preserve">Una opción </w:t>
      </w:r>
      <w:proofErr w:type="spellStart"/>
      <w:r>
        <w:rPr>
          <w:i/>
          <w:iCs/>
        </w:rPr>
        <w:t>cap</w:t>
      </w:r>
      <w:proofErr w:type="spellEnd"/>
      <w:r>
        <w:t xml:space="preserve"> confiere al comprador la posibilidad de establecer un techo a los tipos de interés (y, por tanto, de protegerse de este modo de subidas en los tipos);</w:t>
      </w:r>
    </w:p>
    <w:p w14:paraId="6528A38D" w14:textId="77777777" w:rsidR="00875950" w:rsidRDefault="00875950" w:rsidP="00875950">
      <w:pPr>
        <w:pStyle w:val="Nivel3SM"/>
      </w:pPr>
      <w:r>
        <w:t xml:space="preserve">Una opción </w:t>
      </w:r>
      <w:proofErr w:type="spellStart"/>
      <w:r>
        <w:rPr>
          <w:i/>
          <w:iCs/>
        </w:rPr>
        <w:t>floor</w:t>
      </w:r>
      <w:proofErr w:type="spellEnd"/>
      <w:r>
        <w:t xml:space="preserve"> confiere al comprador la posibilidad de establecer un suelo a los tipos de interés (y protegerse así de una eventual caída);</w:t>
      </w:r>
    </w:p>
    <w:p w14:paraId="63174CBC" w14:textId="77777777" w:rsidR="00875950" w:rsidRDefault="00875950" w:rsidP="00875950">
      <w:pPr>
        <w:pStyle w:val="Nivel3SM"/>
      </w:pPr>
      <w:r>
        <w:t xml:space="preserve">Una opción </w:t>
      </w:r>
      <w:r>
        <w:rPr>
          <w:i/>
          <w:iCs/>
        </w:rPr>
        <w:t>collar</w:t>
      </w:r>
      <w:r>
        <w:t xml:space="preserve"> es aquella por la que se compra una </w:t>
      </w:r>
      <w:proofErr w:type="spellStart"/>
      <w:r>
        <w:rPr>
          <w:i/>
          <w:iCs/>
        </w:rPr>
        <w:t>cap</w:t>
      </w:r>
      <w:proofErr w:type="spellEnd"/>
      <w:r>
        <w:t xml:space="preserve"> y se vende una </w:t>
      </w:r>
      <w:proofErr w:type="spellStart"/>
      <w:r>
        <w:rPr>
          <w:i/>
          <w:iCs/>
        </w:rPr>
        <w:t>floor</w:t>
      </w:r>
      <w:proofErr w:type="spellEnd"/>
      <w:r>
        <w:t>, y hará que el tipo de interés recibido se mantenga en una banda.</w:t>
      </w:r>
    </w:p>
    <w:p w14:paraId="0FE7B373" w14:textId="77777777" w:rsidR="00875950" w:rsidRDefault="00875950" w:rsidP="00875950">
      <w:pPr>
        <w:pStyle w:val="Nivel2SM"/>
        <w:keepNext/>
        <w:spacing w:after="0"/>
      </w:pPr>
      <w:r>
        <w:rPr>
          <w:i/>
          <w:iCs/>
          <w:u w:val="single"/>
        </w:rPr>
        <w:t>Warrants</w:t>
      </w:r>
      <w:r w:rsidRPr="00176032">
        <w:rPr>
          <w:rStyle w:val="Refdenotaalpie"/>
        </w:rPr>
        <w:footnoteReference w:id="23"/>
      </w:r>
      <w:r>
        <w:t>: Son opciones que se diferencian del resto en 3 aspectos básicos:</w:t>
      </w:r>
    </w:p>
    <w:p w14:paraId="46DBEC83" w14:textId="77777777" w:rsidR="00875950" w:rsidRDefault="00875950">
      <w:pPr>
        <w:pStyle w:val="Prrafodelista"/>
        <w:numPr>
          <w:ilvl w:val="0"/>
          <w:numId w:val="7"/>
        </w:numPr>
        <w:ind w:left="964" w:hanging="284"/>
      </w:pPr>
      <w:r>
        <w:t xml:space="preserve">Mientras que con las opciones podemos vender </w:t>
      </w:r>
      <w:proofErr w:type="spellStart"/>
      <w:r>
        <w:t>calls</w:t>
      </w:r>
      <w:proofErr w:type="spellEnd"/>
      <w:r>
        <w:t xml:space="preserve"> y </w:t>
      </w:r>
      <w:proofErr w:type="spellStart"/>
      <w:r>
        <w:t>puts</w:t>
      </w:r>
      <w:proofErr w:type="spellEnd"/>
      <w:r>
        <w:t xml:space="preserve"> libremente en el mercado sin haberlas adquirido previamente, </w:t>
      </w:r>
      <w:r w:rsidRPr="00225E15">
        <w:rPr>
          <w:i/>
          <w:iCs/>
        </w:rPr>
        <w:t xml:space="preserve">con los warrants sólo podemos vender una </w:t>
      </w:r>
      <w:proofErr w:type="spellStart"/>
      <w:r w:rsidRPr="00225E15">
        <w:rPr>
          <w:i/>
          <w:iCs/>
        </w:rPr>
        <w:t>call</w:t>
      </w:r>
      <w:proofErr w:type="spellEnd"/>
      <w:r w:rsidRPr="00225E15">
        <w:rPr>
          <w:i/>
          <w:iCs/>
        </w:rPr>
        <w:t xml:space="preserve"> o una </w:t>
      </w:r>
      <w:proofErr w:type="spellStart"/>
      <w:r w:rsidRPr="00225E15">
        <w:rPr>
          <w:i/>
          <w:iCs/>
        </w:rPr>
        <w:t>put</w:t>
      </w:r>
      <w:proofErr w:type="spellEnd"/>
      <w:r w:rsidRPr="00225E15">
        <w:rPr>
          <w:i/>
          <w:iCs/>
        </w:rPr>
        <w:t xml:space="preserve"> si la hemos comprado antes al emisor</w:t>
      </w:r>
      <w:r>
        <w:t>.</w:t>
      </w:r>
    </w:p>
    <w:p w14:paraId="7E0D3E18" w14:textId="77777777" w:rsidR="00875950" w:rsidRDefault="00875950">
      <w:pPr>
        <w:pStyle w:val="Prrafodelista"/>
        <w:numPr>
          <w:ilvl w:val="0"/>
          <w:numId w:val="7"/>
        </w:numPr>
        <w:ind w:left="964" w:hanging="284"/>
      </w:pPr>
      <w:r w:rsidRPr="00225E15">
        <w:lastRenderedPageBreak/>
        <w:t xml:space="preserve">Son </w:t>
      </w:r>
      <w:proofErr w:type="spellStart"/>
      <w:r w:rsidRPr="00225E15">
        <w:t>dilutivos</w:t>
      </w:r>
      <w:proofErr w:type="spellEnd"/>
      <w:r w:rsidRPr="00225E15">
        <w:t xml:space="preserve"> cuando el subyacente son acciones: cuando su comprador ejerce el derecho de compra, recibe acciones recién emitidas por la compañía (no recibe acciones que ya hay en circulación).</w:t>
      </w:r>
    </w:p>
    <w:p w14:paraId="5D141D1F" w14:textId="77777777" w:rsidR="00875950" w:rsidRDefault="00875950">
      <w:pPr>
        <w:pStyle w:val="Prrafodelista"/>
        <w:numPr>
          <w:ilvl w:val="0"/>
          <w:numId w:val="7"/>
        </w:numPr>
        <w:spacing w:after="0"/>
        <w:ind w:left="964" w:hanging="284"/>
      </w:pPr>
      <w:r>
        <w:t xml:space="preserve">Plazo de vencimiento superior a un año </w:t>
      </w:r>
      <w:r w:rsidRPr="00225E15">
        <w:rPr>
          <w:sz w:val="19"/>
          <w:szCs w:val="19"/>
        </w:rPr>
        <w:t xml:space="preserve">(mientras que las opciones normales suelen tener vencimientos inferiores a un año, </w:t>
      </w:r>
      <w:r>
        <w:rPr>
          <w:sz w:val="19"/>
          <w:szCs w:val="19"/>
        </w:rPr>
        <w:t>e</w:t>
      </w:r>
      <w:r w:rsidRPr="00225E15">
        <w:rPr>
          <w:sz w:val="19"/>
          <w:szCs w:val="19"/>
        </w:rPr>
        <w:t>l vencimiento de los warrant suele ser bastante más largo, pudiendo durar hasta 15</w:t>
      </w:r>
      <w:r>
        <w:rPr>
          <w:sz w:val="19"/>
          <w:szCs w:val="19"/>
        </w:rPr>
        <w:t> </w:t>
      </w:r>
      <w:r w:rsidRPr="00225E15">
        <w:rPr>
          <w:sz w:val="19"/>
          <w:szCs w:val="19"/>
        </w:rPr>
        <w:t>años)</w:t>
      </w:r>
      <w:r>
        <w:t>.</w:t>
      </w:r>
    </w:p>
    <w:p w14:paraId="67AE1895" w14:textId="77777777" w:rsidR="00875950" w:rsidRPr="00B66639" w:rsidRDefault="00875950" w:rsidP="00875950">
      <w:pPr>
        <w:pStyle w:val="Ttulo2"/>
      </w:pPr>
      <w:bookmarkStart w:id="43" w:name="_Toc131840471"/>
      <w:r w:rsidRPr="00B66639">
        <w:t>Pago de la opción a vencimiento y beneficios obtenidos</w:t>
      </w:r>
      <w:bookmarkEnd w:id="43"/>
    </w:p>
    <w:p w14:paraId="1CF202AB" w14:textId="77777777" w:rsidR="00875950" w:rsidRDefault="00875950" w:rsidP="00875950">
      <w:pPr>
        <w:pStyle w:val="Nivel1SM"/>
        <w:keepNext/>
        <w:spacing w:before="0" w:after="0"/>
      </w:pPr>
      <w:r>
        <w:t xml:space="preserve">Al igual que sucedía en el caso de los futuros y los forwards, existe una simetría total entre las posiciones de comprador y vendedor, de forma que las opciones también son </w:t>
      </w:r>
      <w:r w:rsidRPr="00001228">
        <w:rPr>
          <w:i/>
          <w:iCs/>
          <w:u w:val="single"/>
        </w:rPr>
        <w:t>juegos de suma cero</w:t>
      </w:r>
      <w:r>
        <w:t xml:space="preserve"> (a vencimiento uno gana lo que pierde el otro):</w:t>
      </w:r>
    </w:p>
    <w:p w14:paraId="0B5D1B3D" w14:textId="77777777" w:rsidR="00875950" w:rsidRDefault="00875950" w:rsidP="00875950">
      <w:pPr>
        <w:pStyle w:val="Nivel2SM"/>
        <w:keepNext/>
        <w:spacing w:after="0"/>
      </w:pPr>
      <w:r>
        <w:t xml:space="preserve">En el caso de una opción </w:t>
      </w:r>
      <w:proofErr w:type="spellStart"/>
      <w:r w:rsidRPr="00A5017D">
        <w:rPr>
          <w:i/>
          <w:iCs/>
        </w:rPr>
        <w:t>call</w:t>
      </w:r>
      <w:proofErr w:type="spellEnd"/>
      <w:r>
        <w:t xml:space="preserve">, se ejecutará la opción si el precio del subyacente sube hasta situarse por encima del precio de ejercicio. Por lo tanto, el pago de la opción </w:t>
      </w:r>
      <w:proofErr w:type="spellStart"/>
      <w:r>
        <w:rPr>
          <w:i/>
          <w:iCs/>
        </w:rPr>
        <w:t>call</w:t>
      </w:r>
      <w:proofErr w:type="spellEnd"/>
      <w:r>
        <w:t xml:space="preserve"> a vencimiento es igual a:</w:t>
      </w:r>
    </w:p>
    <w:p w14:paraId="0DEAA0B8" w14:textId="77777777" w:rsidR="00875950" w:rsidRDefault="00875950" w:rsidP="00875950">
      <w:pPr>
        <w:pStyle w:val="Nivel3SM"/>
      </w:pPr>
      <w:r>
        <w:t>Cero si el precio del subyacente es menor al precio de ejercicio; y</w:t>
      </w:r>
    </w:p>
    <w:p w14:paraId="7D24771A" w14:textId="77777777" w:rsidR="00875950" w:rsidRDefault="00875950" w:rsidP="00875950">
      <w:pPr>
        <w:pStyle w:val="Nivel3SM"/>
        <w:rPr>
          <w:spacing w:val="-4"/>
        </w:rPr>
      </w:pPr>
      <w:r>
        <w:rPr>
          <w:spacing w:val="-4"/>
        </w:rPr>
        <w:t>L</w:t>
      </w:r>
      <w:r w:rsidRPr="0026685A">
        <w:rPr>
          <w:spacing w:val="-4"/>
        </w:rPr>
        <w:t>a diferencia entre el precio del subyacente</w:t>
      </w:r>
      <w:r>
        <w:rPr>
          <w:spacing w:val="-4"/>
        </w:rPr>
        <w:t xml:space="preserve"> (</w:t>
      </w:r>
      <m:oMath>
        <m:sSub>
          <m:sSubPr>
            <m:ctrlPr>
              <w:rPr>
                <w:rFonts w:ascii="Cambria Math" w:hAnsi="Cambria Math"/>
                <w:i/>
                <w:iCs/>
                <w:spacing w:val="-4"/>
              </w:rPr>
            </m:ctrlPr>
          </m:sSubPr>
          <m:e>
            <m:r>
              <m:rPr>
                <m:nor/>
              </m:rPr>
              <w:rPr>
                <w:i/>
                <w:iCs/>
                <w:spacing w:val="-4"/>
              </w:rPr>
              <m:t>S</m:t>
            </m:r>
          </m:e>
          <m:sub>
            <m:r>
              <m:rPr>
                <m:nor/>
              </m:rPr>
              <w:rPr>
                <w:i/>
                <w:iCs/>
                <w:spacing w:val="-4"/>
              </w:rPr>
              <m:t>T</m:t>
            </m:r>
          </m:sub>
        </m:sSub>
      </m:oMath>
      <w:r>
        <w:rPr>
          <w:spacing w:val="-4"/>
        </w:rPr>
        <w:t>)</w:t>
      </w:r>
      <w:r w:rsidRPr="0026685A">
        <w:rPr>
          <w:spacing w:val="-4"/>
        </w:rPr>
        <w:t xml:space="preserve"> y el precio de ejercicio</w:t>
      </w:r>
      <w:r>
        <w:rPr>
          <w:spacing w:val="-4"/>
        </w:rPr>
        <w:t xml:space="preserve"> (</w:t>
      </w:r>
      <m:oMath>
        <m:sSub>
          <m:sSubPr>
            <m:ctrlPr>
              <w:rPr>
                <w:rFonts w:ascii="Cambria Math" w:hAnsi="Cambria Math"/>
                <w:i/>
                <w:iCs/>
                <w:spacing w:val="-4"/>
              </w:rPr>
            </m:ctrlPr>
          </m:sSubPr>
          <m:e>
            <m:r>
              <m:rPr>
                <m:nor/>
              </m:rPr>
              <w:rPr>
                <w:i/>
                <w:iCs/>
                <w:spacing w:val="-4"/>
              </w:rPr>
              <m:t>P</m:t>
            </m:r>
          </m:e>
          <m:sub>
            <m:r>
              <m:rPr>
                <m:nor/>
              </m:rPr>
              <w:rPr>
                <w:i/>
                <w:iCs/>
                <w:spacing w:val="-4"/>
              </w:rPr>
              <m:t>ejercicio</m:t>
            </m:r>
          </m:sub>
        </m:sSub>
      </m:oMath>
      <w:r>
        <w:rPr>
          <w:spacing w:val="-4"/>
        </w:rPr>
        <w:t>)</w:t>
      </w:r>
      <w:r w:rsidRPr="0026685A">
        <w:rPr>
          <w:spacing w:val="-4"/>
        </w:rPr>
        <w:t xml:space="preserve"> en caso contrario.</w:t>
      </w:r>
    </w:p>
    <w:p w14:paraId="7AFA0C7D" w14:textId="77777777" w:rsidR="00875950" w:rsidRPr="0026685A" w:rsidRDefault="00875950" w:rsidP="00875950">
      <w:pPr>
        <w:pStyle w:val="Nivel2"/>
        <w:numPr>
          <w:ilvl w:val="0"/>
          <w:numId w:val="0"/>
        </w:numPr>
        <w:spacing w:after="0"/>
        <w:ind w:left="567"/>
        <w:rPr>
          <w:i/>
          <w:iCs/>
          <w:spacing w:val="-4"/>
        </w:rPr>
      </w:pPr>
      <m:oMathPara>
        <m:oMath>
          <m:r>
            <w:rPr>
              <w:rFonts w:ascii="Cambria Math" w:eastAsiaTheme="minorEastAsia" w:hAnsi="Cambria Math"/>
              <w:spacing w:val="-4"/>
            </w:rPr>
            <m:t xml:space="preserve"> </m:t>
          </m:r>
          <m:r>
            <m:rPr>
              <m:nor/>
            </m:rPr>
            <w:rPr>
              <w:i/>
              <w:iCs/>
              <w:spacing w:val="-4"/>
            </w:rPr>
            <m:t>Pago a vencimiento para el comprador de una opción call</m:t>
          </m:r>
          <m:r>
            <w:rPr>
              <w:rFonts w:ascii="Cambria Math" w:hAnsi="Cambria Math"/>
              <w:spacing w:val="-4"/>
            </w:rPr>
            <m:t>=</m:t>
          </m:r>
          <m:d>
            <m:dPr>
              <m:begChr m:val="{"/>
              <m:endChr m:val=""/>
              <m:ctrlPr>
                <w:rPr>
                  <w:rFonts w:ascii="Cambria Math" w:hAnsi="Cambria Math"/>
                  <w:i/>
                  <w:iCs/>
                  <w:spacing w:val="-4"/>
                </w:rPr>
              </m:ctrlPr>
            </m:dPr>
            <m:e>
              <m:eqArr>
                <m:eqArrPr>
                  <m:ctrlPr>
                    <w:rPr>
                      <w:rFonts w:ascii="Cambria Math" w:hAnsi="Cambria Math"/>
                      <w:i/>
                      <w:iCs/>
                      <w:spacing w:val="-4"/>
                    </w:rPr>
                  </m:ctrlPr>
                </m:eqArrPr>
                <m:e>
                  <m:r>
                    <m:rPr>
                      <m:nor/>
                    </m:rPr>
                    <w:rPr>
                      <w:i/>
                      <w:iCs/>
                      <w:spacing w:val="-4"/>
                    </w:rPr>
                    <m:t xml:space="preserve">0                               si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&lt;</m:t>
                  </m:r>
                  <m:sSub>
                    <m:sSubPr>
                      <m:ctrlPr>
                        <w:rPr>
                          <w:rFonts w:ascii="Cambria Math" w:hAnsi="Cambria Math"/>
                          <w:i/>
                          <w:iCs/>
                          <w:spacing w:val="-4"/>
                        </w:rPr>
                      </m:ctrlPr>
                    </m:sSubPr>
                    <m:e>
                      <m:r>
                        <m:rPr>
                          <m:nor/>
                        </m:rPr>
                        <w:rPr>
                          <w:i/>
                          <w:iCs/>
                          <w:spacing w:val="-4"/>
                        </w:rPr>
                        <m:t>P</m:t>
                      </m:r>
                    </m:e>
                    <m:sub>
                      <m:r>
                        <m:rPr>
                          <m:nor/>
                        </m:rPr>
                        <w:rPr>
                          <w:i/>
                          <w:iCs/>
                          <w:spacing w:val="-4"/>
                        </w:rPr>
                        <m:t>ejercicio</m:t>
                      </m:r>
                    </m:sub>
                  </m:sSub>
                </m:e>
                <m:e>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sSub>
                    <m:sSubPr>
                      <m:ctrlPr>
                        <w:rPr>
                          <w:rFonts w:ascii="Cambria Math" w:hAnsi="Cambria Math"/>
                          <w:i/>
                          <w:iCs/>
                          <w:spacing w:val="-4"/>
                        </w:rPr>
                      </m:ctrlPr>
                    </m:sSubPr>
                    <m:e>
                      <m:r>
                        <m:rPr>
                          <m:nor/>
                        </m:rPr>
                        <w:rPr>
                          <w:i/>
                          <w:iCs/>
                          <w:spacing w:val="-4"/>
                        </w:rPr>
                        <m:t>P</m:t>
                      </m:r>
                    </m:e>
                    <m:sub>
                      <m:r>
                        <m:rPr>
                          <m:nor/>
                        </m:rPr>
                        <w:rPr>
                          <w:i/>
                          <w:iCs/>
                          <w:spacing w:val="-4"/>
                        </w:rPr>
                        <m:t>ejercicio</m:t>
                      </m:r>
                    </m:sub>
                  </m:sSub>
                  <m:r>
                    <m:rPr>
                      <m:nor/>
                    </m:rPr>
                    <w:rPr>
                      <w:i/>
                      <w:iCs/>
                      <w:spacing w:val="-4"/>
                    </w:rPr>
                    <m:t xml:space="preserve">     </m:t>
                  </m:r>
                  <m:r>
                    <m:rPr>
                      <m:nor/>
                    </m:rPr>
                    <w:rPr>
                      <w:rFonts w:ascii="Cambria Math"/>
                      <w:i/>
                      <w:iCs/>
                      <w:spacing w:val="-4"/>
                    </w:rPr>
                    <m:t xml:space="preserve">    </m:t>
                  </m:r>
                  <m:r>
                    <m:rPr>
                      <m:nor/>
                    </m:rPr>
                    <w:rPr>
                      <w:i/>
                      <w:iCs/>
                      <w:spacing w:val="-4"/>
                    </w:rPr>
                    <m:t xml:space="preserve">   </m:t>
                  </m:r>
                  <w:proofErr w:type="spellStart"/>
                  <m:r>
                    <m:rPr>
                      <m:nor/>
                    </m:rPr>
                    <w:rPr>
                      <w:i/>
                      <w:iCs/>
                      <w:spacing w:val="-4"/>
                    </w:rPr>
                    <m:t>si</m:t>
                  </m:r>
                  <w:proofErr w:type="spellEnd"/>
                  <m:r>
                    <m:rPr>
                      <m:nor/>
                    </m:rPr>
                    <w:rPr>
                      <w:i/>
                      <w:iCs/>
                      <w:spacing w:val="-4"/>
                    </w:rPr>
                    <m:t xml:space="preserve">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&gt;</m:t>
                  </m:r>
                  <m:sSub>
                    <m:sSubPr>
                      <m:ctrlPr>
                        <w:rPr>
                          <w:rFonts w:ascii="Cambria Math" w:hAnsi="Cambria Math"/>
                          <w:i/>
                          <w:iCs/>
                          <w:spacing w:val="-4"/>
                        </w:rPr>
                      </m:ctrlPr>
                    </m:sSubPr>
                    <m:e>
                      <m:r>
                        <m:rPr>
                          <m:nor/>
                        </m:rPr>
                        <w:rPr>
                          <w:i/>
                          <w:iCs/>
                          <w:spacing w:val="-4"/>
                        </w:rPr>
                        <m:t>P</m:t>
                      </m:r>
                    </m:e>
                    <m:sub>
                      <m:r>
                        <m:rPr>
                          <m:nor/>
                        </m:rPr>
                        <w:rPr>
                          <w:i/>
                          <w:iCs/>
                          <w:spacing w:val="-4"/>
                        </w:rPr>
                        <m:t>ejercicio</m:t>
                      </m:r>
                    </m:sub>
                  </m:sSub>
                </m:e>
              </m:eqArr>
            </m:e>
          </m:d>
          <m:r>
            <w:rPr>
              <w:rFonts w:ascii="Cambria Math" w:eastAsiaTheme="minorEastAsia" w:hAnsi="Cambria Math"/>
              <w:spacing w:val="-4"/>
            </w:rPr>
            <m:t>=</m:t>
          </m:r>
          <m:r>
            <m:rPr>
              <m:nor/>
            </m:rPr>
            <w:rPr>
              <w:i/>
              <w:iCs/>
              <w:spacing w:val="-4"/>
            </w:rPr>
            <m:t>max</m:t>
          </m:r>
          <m:d>
            <m:dPr>
              <m:begChr m:val="{"/>
              <m:endChr m:val="}"/>
              <m:ctrlPr>
                <w:rPr>
                  <w:rFonts w:ascii="Cambria Math" w:hAnsi="Cambria Math"/>
                  <w:i/>
                  <w:iCs/>
                  <w:spacing w:val="-4"/>
                </w:rPr>
              </m:ctrlPr>
            </m:dPr>
            <m:e>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sSub>
                <m:sSubPr>
                  <m:ctrlPr>
                    <w:rPr>
                      <w:rFonts w:ascii="Cambria Math" w:hAnsi="Cambria Math"/>
                      <w:i/>
                      <w:iCs/>
                      <w:spacing w:val="-4"/>
                    </w:rPr>
                  </m:ctrlPr>
                </m:sSubPr>
                <m:e>
                  <m:r>
                    <m:rPr>
                      <m:nor/>
                    </m:rPr>
                    <w:rPr>
                      <w:i/>
                      <w:iCs/>
                      <w:spacing w:val="-4"/>
                    </w:rPr>
                    <m:t>P</m:t>
                  </m:r>
                </m:e>
                <m:sub>
                  <m:r>
                    <m:rPr>
                      <m:nor/>
                    </m:rPr>
                    <w:rPr>
                      <w:i/>
                      <w:iCs/>
                      <w:spacing w:val="-4"/>
                    </w:rPr>
                    <m:t>ejercicio</m:t>
                  </m:r>
                </m:sub>
              </m:sSub>
              <m:r>
                <m:rPr>
                  <m:nor/>
                </m:rPr>
                <w:rPr>
                  <w:i/>
                  <w:iCs/>
                  <w:spacing w:val="-4"/>
                </w:rPr>
                <m:t>;0</m:t>
              </m:r>
            </m:e>
          </m:d>
        </m:oMath>
      </m:oMathPara>
    </w:p>
    <w:p w14:paraId="65BE14EA" w14:textId="77777777" w:rsidR="00875950" w:rsidRDefault="00875950" w:rsidP="00875950">
      <w:pPr>
        <w:pStyle w:val="Nivel1"/>
        <w:keepNext/>
        <w:numPr>
          <w:ilvl w:val="0"/>
          <w:numId w:val="0"/>
        </w:numPr>
        <w:spacing w:before="0" w:after="0"/>
        <w:ind w:left="624"/>
      </w:pPr>
      <w:r>
        <w:t>Para obtener el beneficio neto del comprador será necesario descontar además la prima pagada al contraer el contrato por el derecho a ejercer la opción, es decir:</w:t>
      </w:r>
    </w:p>
    <w:p w14:paraId="48353870" w14:textId="77777777" w:rsidR="00875950" w:rsidRDefault="00875950" w:rsidP="00875950">
      <w:pPr>
        <w:pStyle w:val="Nivel1"/>
        <w:numPr>
          <w:ilvl w:val="0"/>
          <w:numId w:val="0"/>
        </w:numPr>
        <w:spacing w:before="0"/>
        <w:ind w:left="623"/>
      </w:pPr>
      <m:oMathPara>
        <m:oMath>
          <m:r>
            <m:rPr>
              <m:nor/>
            </m:rPr>
            <w:rPr>
              <w:rFonts w:ascii="Cambria Math"/>
              <w:spacing w:val="-4"/>
            </w:rPr>
            <m:t xml:space="preserve"> </m:t>
          </m:r>
          <m:r>
            <m:rPr>
              <m:nor/>
            </m:rPr>
            <w:rPr>
              <w:i/>
              <w:iCs/>
              <w:spacing w:val="-4"/>
            </w:rPr>
            <m:t xml:space="preserve">Beneficio para el comprador de una opción </m:t>
          </m:r>
          <w:proofErr w:type="spellStart"/>
          <m:r>
            <m:rPr>
              <m:nor/>
            </m:rPr>
            <w:rPr>
              <w:i/>
              <w:iCs/>
              <w:spacing w:val="-4"/>
            </w:rPr>
            <m:t>call</m:t>
          </m:r>
          <w:proofErr w:type="spellEnd"/>
          <m:r>
            <w:rPr>
              <w:rFonts w:ascii="Cambria Math" w:hAnsi="Cambria Math"/>
              <w:spacing w:val="-4"/>
            </w:rPr>
            <m:t>=</m:t>
          </m:r>
          <m:d>
            <m:dPr>
              <m:begChr m:val="{"/>
              <m:endChr m:val=""/>
              <m:ctrlPr>
                <w:rPr>
                  <w:rFonts w:ascii="Cambria Math" w:hAnsi="Cambria Math"/>
                  <w:i/>
                  <w:iCs/>
                  <w:spacing w:val="-4"/>
                </w:rPr>
              </m:ctrlPr>
            </m:dPr>
            <m:e>
              <m:eqArr>
                <m:eqArrPr>
                  <m:ctrlPr>
                    <w:rPr>
                      <w:rFonts w:ascii="Cambria Math" w:hAnsi="Cambria Math"/>
                      <w:i/>
                      <w:iCs/>
                      <w:spacing w:val="-4"/>
                    </w:rPr>
                  </m:ctrlPr>
                </m:eqArrPr>
                <m:e>
                  <m:r>
                    <w:rPr>
                      <w:rFonts w:ascii="Cambria Math" w:hAnsi="Cambria Math"/>
                      <w:spacing w:val="-4"/>
                    </w:rPr>
                    <m:t>-</m:t>
                  </m:r>
                  <m:r>
                    <m:rPr>
                      <m:nor/>
                    </m:rPr>
                    <w:rPr>
                      <w:i/>
                      <w:iCs/>
                      <w:spacing w:val="-4"/>
                    </w:rPr>
                    <m:t xml:space="preserve">Prima           </m:t>
                  </m:r>
                  <m:r>
                    <m:rPr>
                      <m:nor/>
                    </m:rPr>
                    <w:rPr>
                      <w:rFonts w:ascii="Cambria Math"/>
                      <w:i/>
                      <w:iCs/>
                      <w:spacing w:val="-4"/>
                    </w:rPr>
                    <m:t xml:space="preserve">    </m:t>
                  </m:r>
                  <m:r>
                    <m:rPr>
                      <m:nor/>
                    </m:rPr>
                    <w:rPr>
                      <w:i/>
                      <w:iCs/>
                      <w:spacing w:val="-4"/>
                    </w:rPr>
                    <m:t xml:space="preserve">                    si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&lt;</m:t>
                  </m:r>
                  <m:sSub>
                    <m:sSubPr>
                      <m:ctrlPr>
                        <w:rPr>
                          <w:rFonts w:ascii="Cambria Math" w:hAnsi="Cambria Math"/>
                          <w:i/>
                          <w:iCs/>
                          <w:spacing w:val="-4"/>
                        </w:rPr>
                      </m:ctrlPr>
                    </m:sSubPr>
                    <m:e>
                      <m:r>
                        <m:rPr>
                          <m:nor/>
                        </m:rPr>
                        <w:rPr>
                          <w:i/>
                          <w:iCs/>
                          <w:spacing w:val="-4"/>
                        </w:rPr>
                        <m:t>P</m:t>
                      </m:r>
                    </m:e>
                    <m:sub>
                      <m:r>
                        <m:rPr>
                          <m:nor/>
                        </m:rPr>
                        <w:rPr>
                          <w:i/>
                          <w:iCs/>
                          <w:spacing w:val="-4"/>
                        </w:rPr>
                        <m:t>ejercicio</m:t>
                      </m:r>
                    </m:sub>
                  </m:sSub>
                </m:e>
                <m:e>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sSub>
                    <m:sSubPr>
                      <m:ctrlPr>
                        <w:rPr>
                          <w:rFonts w:ascii="Cambria Math" w:hAnsi="Cambria Math"/>
                          <w:i/>
                          <w:iCs/>
                          <w:spacing w:val="-4"/>
                        </w:rPr>
                      </m:ctrlPr>
                    </m:sSubPr>
                    <m:e>
                      <m:r>
                        <m:rPr>
                          <m:nor/>
                        </m:rPr>
                        <w:rPr>
                          <w:i/>
                          <w:iCs/>
                          <w:spacing w:val="-4"/>
                        </w:rPr>
                        <m:t>P</m:t>
                      </m:r>
                    </m:e>
                    <m:sub>
                      <m:r>
                        <m:rPr>
                          <m:nor/>
                        </m:rPr>
                        <w:rPr>
                          <w:i/>
                          <w:iCs/>
                          <w:spacing w:val="-4"/>
                        </w:rPr>
                        <m:t>ejercicio</m:t>
                      </m:r>
                    </m:sub>
                  </m:sSub>
                  <m:r>
                    <w:rPr>
                      <w:rFonts w:ascii="Cambria Math" w:hAnsi="Cambria Math"/>
                      <w:spacing w:val="-4"/>
                    </w:rPr>
                    <m:t>-</m:t>
                  </m:r>
                  <m:r>
                    <m:rPr>
                      <m:nor/>
                    </m:rPr>
                    <w:rPr>
                      <w:i/>
                      <w:iCs/>
                      <w:spacing w:val="-4"/>
                    </w:rPr>
                    <m:t xml:space="preserve">Prima     </m:t>
                  </m:r>
                  <m:r>
                    <m:rPr>
                      <m:nor/>
                    </m:rPr>
                    <w:rPr>
                      <w:rFonts w:ascii="Cambria Math"/>
                      <w:i/>
                      <w:iCs/>
                      <w:spacing w:val="-4"/>
                    </w:rPr>
                    <m:t xml:space="preserve">    </m:t>
                  </m:r>
                  <m:r>
                    <m:rPr>
                      <m:nor/>
                    </m:rPr>
                    <w:rPr>
                      <w:i/>
                      <w:iCs/>
                      <w:spacing w:val="-4"/>
                    </w:rPr>
                    <m:t xml:space="preserve">   </m:t>
                  </m:r>
                  <w:proofErr w:type="spellStart"/>
                  <m:r>
                    <m:rPr>
                      <m:nor/>
                    </m:rPr>
                    <w:rPr>
                      <w:i/>
                      <w:iCs/>
                      <w:spacing w:val="-4"/>
                    </w:rPr>
                    <m:t>si</m:t>
                  </m:r>
                  <w:proofErr w:type="spellEnd"/>
                  <m:r>
                    <m:rPr>
                      <m:nor/>
                    </m:rPr>
                    <w:rPr>
                      <w:i/>
                      <w:iCs/>
                      <w:spacing w:val="-4"/>
                    </w:rPr>
                    <m:t xml:space="preserve">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&gt;</m:t>
                  </m:r>
                  <m:sSub>
                    <m:sSubPr>
                      <m:ctrlPr>
                        <w:rPr>
                          <w:rFonts w:ascii="Cambria Math" w:hAnsi="Cambria Math"/>
                          <w:i/>
                          <w:iCs/>
                          <w:spacing w:val="-4"/>
                        </w:rPr>
                      </m:ctrlPr>
                    </m:sSubPr>
                    <m:e>
                      <m:r>
                        <m:rPr>
                          <m:nor/>
                        </m:rPr>
                        <w:rPr>
                          <w:i/>
                          <w:iCs/>
                          <w:spacing w:val="-4"/>
                        </w:rPr>
                        <m:t>P</m:t>
                      </m:r>
                    </m:e>
                    <m:sub>
                      <m:r>
                        <m:rPr>
                          <m:nor/>
                        </m:rPr>
                        <w:rPr>
                          <w:i/>
                          <w:iCs/>
                          <w:spacing w:val="-4"/>
                        </w:rPr>
                        <m:t>ejercicio</m:t>
                      </m:r>
                    </m:sub>
                  </m:sSub>
                </m:e>
              </m:eqArr>
            </m:e>
          </m:d>
          <m:r>
            <w:rPr>
              <w:rFonts w:ascii="Cambria Math" w:eastAsiaTheme="minorEastAsia" w:hAnsi="Cambria Math"/>
              <w:spacing w:val="-4"/>
            </w:rPr>
            <m:t>=</m:t>
          </m:r>
          <m:r>
            <m:rPr>
              <m:nor/>
            </m:rPr>
            <w:rPr>
              <w:i/>
              <w:iCs/>
              <w:spacing w:val="-4"/>
            </w:rPr>
            <m:t>max</m:t>
          </m:r>
          <m:d>
            <m:dPr>
              <m:begChr m:val="{"/>
              <m:endChr m:val="}"/>
              <m:ctrlPr>
                <w:rPr>
                  <w:rFonts w:ascii="Cambria Math" w:hAnsi="Cambria Math"/>
                  <w:i/>
                  <w:iCs/>
                  <w:spacing w:val="-4"/>
                </w:rPr>
              </m:ctrlPr>
            </m:dPr>
            <m:e>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sSub>
                <m:sSubPr>
                  <m:ctrlPr>
                    <w:rPr>
                      <w:rFonts w:ascii="Cambria Math" w:hAnsi="Cambria Math"/>
                      <w:i/>
                      <w:iCs/>
                      <w:spacing w:val="-4"/>
                    </w:rPr>
                  </m:ctrlPr>
                </m:sSubPr>
                <m:e>
                  <m:r>
                    <m:rPr>
                      <m:nor/>
                    </m:rPr>
                    <w:rPr>
                      <w:i/>
                      <w:iCs/>
                      <w:spacing w:val="-4"/>
                    </w:rPr>
                    <m:t>P</m:t>
                  </m:r>
                </m:e>
                <m:sub>
                  <m:r>
                    <m:rPr>
                      <m:nor/>
                    </m:rPr>
                    <w:rPr>
                      <w:i/>
                      <w:iCs/>
                      <w:spacing w:val="-4"/>
                    </w:rPr>
                    <m:t>ejercicio</m:t>
                  </m:r>
                </m:sub>
              </m:sSub>
              <m:r>
                <w:rPr>
                  <w:rFonts w:ascii="Cambria Math" w:hAnsi="Cambria Math"/>
                  <w:spacing w:val="-4"/>
                </w:rPr>
                <m:t>-</m:t>
              </m:r>
              <m:r>
                <m:rPr>
                  <m:nor/>
                </m:rPr>
                <w:rPr>
                  <w:i/>
                  <w:iCs/>
                  <w:spacing w:val="-4"/>
                </w:rPr>
                <m:t>Prima;</m:t>
              </m:r>
              <m:r>
                <w:rPr>
                  <w:rFonts w:ascii="Cambria Math" w:hAnsi="Cambria Math"/>
                  <w:spacing w:val="-4"/>
                </w:rPr>
                <m:t>-</m:t>
              </m:r>
              <m:r>
                <m:rPr>
                  <m:nor/>
                </m:rPr>
                <w:rPr>
                  <w:i/>
                  <w:iCs/>
                  <w:spacing w:val="-4"/>
                </w:rPr>
                <m:t>Prima</m:t>
              </m:r>
            </m:e>
          </m:d>
        </m:oMath>
      </m:oMathPara>
    </w:p>
    <w:p w14:paraId="3CC2FBF3" w14:textId="30111D2A" w:rsidR="00875950" w:rsidRPr="00994004" w:rsidRDefault="00875950" w:rsidP="00875950">
      <w:pPr>
        <w:pStyle w:val="Ttuloimagen"/>
        <w:rPr>
          <w:i/>
          <w:iCs/>
          <w:smallCaps w:val="0"/>
        </w:rPr>
      </w:pPr>
      <w:r w:rsidRPr="00994004">
        <w:t>Imagen</w:t>
      </w:r>
      <w:r>
        <w:t> </w:t>
      </w:r>
      <w:r>
        <w:fldChar w:fldCharType="begin"/>
      </w:r>
      <w:r>
        <w:instrText xml:space="preserve"> SEQ Ilustración \* ARABIC </w:instrText>
      </w:r>
      <w:r>
        <w:fldChar w:fldCharType="separate"/>
      </w:r>
      <w:r w:rsidR="003F2FF6">
        <w:t>3</w:t>
      </w:r>
      <w:r>
        <w:fldChar w:fldCharType="end"/>
      </w:r>
      <w:r>
        <w:t xml:space="preserve">.– </w:t>
      </w:r>
      <w:r w:rsidRPr="00994004">
        <w:rPr>
          <w:i/>
          <w:iCs/>
          <w:smallCaps w:val="0"/>
        </w:rPr>
        <w:t>Pago a vencimiento y beneficio del comprador de una opción call en función del valor del subyacente</w:t>
      </w:r>
    </w:p>
    <w:p w14:paraId="1F487C43" w14:textId="77777777" w:rsidR="00875950" w:rsidRDefault="00875950" w:rsidP="00875950">
      <w:pPr>
        <w:pStyle w:val="Imagen"/>
      </w:pPr>
      <w:r>
        <w:drawing>
          <wp:inline distT="0" distB="0" distL="0" distR="0" wp14:anchorId="0BDFECED" wp14:editId="2890E50A">
            <wp:extent cx="2096379" cy="1800000"/>
            <wp:effectExtent l="0" t="0" r="0" b="0"/>
            <wp:docPr id="11"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rotWithShape="1">
                    <a:blip r:embed="rId19" cstate="print">
                      <a:extLst>
                        <a:ext uri="{28A0092B-C50C-407E-A947-70E740481C1C}">
                          <a14:useLocalDpi xmlns:a14="http://schemas.microsoft.com/office/drawing/2010/main" val="0"/>
                        </a:ext>
                      </a:extLst>
                    </a:blip>
                    <a:srcRect l="13630" r="25729" b="7435"/>
                    <a:stretch/>
                  </pic:blipFill>
                  <pic:spPr bwMode="auto">
                    <a:xfrm>
                      <a:off x="0" y="0"/>
                      <a:ext cx="2096379" cy="1800000"/>
                    </a:xfrm>
                    <a:prstGeom prst="rect">
                      <a:avLst/>
                    </a:prstGeom>
                    <a:ln>
                      <a:noFill/>
                    </a:ln>
                    <a:extLst>
                      <a:ext uri="{53640926-AAD7-44D8-BBD7-CCE9431645EC}">
                        <a14:shadowObscured xmlns:a14="http://schemas.microsoft.com/office/drawing/2010/main"/>
                      </a:ext>
                    </a:extLst>
                  </pic:spPr>
                </pic:pic>
              </a:graphicData>
            </a:graphic>
          </wp:inline>
        </w:drawing>
      </w:r>
    </w:p>
    <w:p w14:paraId="3AD3C7CB" w14:textId="77777777" w:rsidR="00875950" w:rsidRPr="000117D4" w:rsidRDefault="00875950" w:rsidP="00875950">
      <w:pPr>
        <w:pStyle w:val="PiedeImagen"/>
        <w:rPr>
          <w:i w:val="0"/>
          <w:iCs/>
        </w:rPr>
      </w:pPr>
      <w:r>
        <w:t>Fuente</w:t>
      </w:r>
      <w:r>
        <w:rPr>
          <w:i w:val="0"/>
          <w:iCs/>
        </w:rPr>
        <w:t>: Elaboración propia</w:t>
      </w:r>
    </w:p>
    <w:p w14:paraId="69A48C16" w14:textId="7A86252F" w:rsidR="00875950" w:rsidRPr="00994004" w:rsidRDefault="00875950" w:rsidP="00875950">
      <w:pPr>
        <w:pStyle w:val="Ttuloimagen"/>
        <w:rPr>
          <w:i/>
          <w:iCs/>
          <w:smallCaps w:val="0"/>
        </w:rPr>
      </w:pPr>
      <w:r w:rsidRPr="00994004">
        <w:t>Imagen</w:t>
      </w:r>
      <w:r>
        <w:t> </w:t>
      </w:r>
      <w:r>
        <w:fldChar w:fldCharType="begin"/>
      </w:r>
      <w:r>
        <w:instrText xml:space="preserve"> SEQ Ilustración \* ARABIC </w:instrText>
      </w:r>
      <w:r>
        <w:fldChar w:fldCharType="separate"/>
      </w:r>
      <w:r w:rsidR="003F2FF6">
        <w:t>4</w:t>
      </w:r>
      <w:r>
        <w:fldChar w:fldCharType="end"/>
      </w:r>
      <w:r>
        <w:t xml:space="preserve">.– </w:t>
      </w:r>
      <w:r w:rsidRPr="00994004">
        <w:rPr>
          <w:i/>
          <w:iCs/>
          <w:smallCaps w:val="0"/>
        </w:rPr>
        <w:t xml:space="preserve">Pago a vencimiento y beneficio del </w:t>
      </w:r>
      <w:r>
        <w:rPr>
          <w:i/>
          <w:iCs/>
          <w:smallCaps w:val="0"/>
        </w:rPr>
        <w:t>vende</w:t>
      </w:r>
      <w:r w:rsidRPr="00994004">
        <w:rPr>
          <w:i/>
          <w:iCs/>
          <w:smallCaps w:val="0"/>
        </w:rPr>
        <w:t>dor de una opción call en función del valor del subyacente</w:t>
      </w:r>
    </w:p>
    <w:p w14:paraId="689F23EC" w14:textId="77777777" w:rsidR="00875950" w:rsidRDefault="00875950" w:rsidP="00875950">
      <w:pPr>
        <w:pStyle w:val="Imagen"/>
      </w:pPr>
      <w:r>
        <w:drawing>
          <wp:inline distT="0" distB="0" distL="0" distR="0" wp14:anchorId="59AF792A" wp14:editId="3BC81381">
            <wp:extent cx="2242861" cy="1800000"/>
            <wp:effectExtent l="0" t="0" r="5080" b="0"/>
            <wp:docPr id="12" name="Imagen 12"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Gráfico&#10;&#10;Descripción generada automáticamente"/>
                    <pic:cNvPicPr/>
                  </pic:nvPicPr>
                  <pic:blipFill rotWithShape="1">
                    <a:blip r:embed="rId20"/>
                    <a:srcRect l="12584" r="21904" b="6531"/>
                    <a:stretch/>
                  </pic:blipFill>
                  <pic:spPr bwMode="auto">
                    <a:xfrm>
                      <a:off x="0" y="0"/>
                      <a:ext cx="2242861" cy="1800000"/>
                    </a:xfrm>
                    <a:prstGeom prst="rect">
                      <a:avLst/>
                    </a:prstGeom>
                    <a:ln>
                      <a:noFill/>
                    </a:ln>
                    <a:extLst>
                      <a:ext uri="{53640926-AAD7-44D8-BBD7-CCE9431645EC}">
                        <a14:shadowObscured xmlns:a14="http://schemas.microsoft.com/office/drawing/2010/main"/>
                      </a:ext>
                    </a:extLst>
                  </pic:spPr>
                </pic:pic>
              </a:graphicData>
            </a:graphic>
          </wp:inline>
        </w:drawing>
      </w:r>
    </w:p>
    <w:p w14:paraId="3C31FF35" w14:textId="77777777" w:rsidR="00875950" w:rsidRPr="00994004" w:rsidRDefault="00875950" w:rsidP="00875950">
      <w:pPr>
        <w:pStyle w:val="PiedeImagen"/>
        <w:rPr>
          <w:i w:val="0"/>
          <w:iCs/>
        </w:rPr>
      </w:pPr>
      <w:r>
        <w:t>Fuente</w:t>
      </w:r>
      <w:r>
        <w:rPr>
          <w:i w:val="0"/>
          <w:iCs/>
        </w:rPr>
        <w:t>: Elaboración propia</w:t>
      </w:r>
    </w:p>
    <w:p w14:paraId="6518725D" w14:textId="77777777" w:rsidR="00875950" w:rsidRPr="00202347" w:rsidRDefault="00875950" w:rsidP="00875950">
      <w:pPr>
        <w:pStyle w:val="Nivel4"/>
        <w:ind w:left="1474"/>
      </w:pPr>
      <w:r>
        <w:lastRenderedPageBreak/>
        <w:t xml:space="preserve">Se aprecia como el vendedor de una </w:t>
      </w:r>
      <w:proofErr w:type="spellStart"/>
      <w:r>
        <w:t>call</w:t>
      </w:r>
      <w:proofErr w:type="spellEnd"/>
      <w:r>
        <w:t xml:space="preserve"> asume un riesgo a pérdidas ilimitadas, mientras que sus ganancias están limitadas al importe de la prima. Lo contrario sucede en el caso del comprador</w:t>
      </w:r>
      <w:r>
        <w:rPr>
          <w:rStyle w:val="Refdenotaalpie"/>
        </w:rPr>
        <w:footnoteReference w:id="24"/>
      </w:r>
      <w:r>
        <w:t xml:space="preserve"> (</w:t>
      </w:r>
      <w:r>
        <w:rPr>
          <w:i/>
          <w:iCs/>
        </w:rPr>
        <w:t>juego de suma cero</w:t>
      </w:r>
      <w:r>
        <w:t>).</w:t>
      </w:r>
    </w:p>
    <w:p w14:paraId="75E83904" w14:textId="77777777" w:rsidR="00875950" w:rsidRDefault="00875950" w:rsidP="00875950">
      <w:pPr>
        <w:pStyle w:val="Nivel2SM"/>
        <w:keepNext/>
        <w:spacing w:after="0"/>
      </w:pPr>
      <w:r>
        <w:t xml:space="preserve">En el caso de una opción </w:t>
      </w:r>
      <w:proofErr w:type="spellStart"/>
      <w:r>
        <w:rPr>
          <w:i/>
          <w:iCs/>
        </w:rPr>
        <w:t>put</w:t>
      </w:r>
      <w:proofErr w:type="spellEnd"/>
      <w:r>
        <w:t xml:space="preserve">, se ejecutará la opción si el precio del subyacente baja hasta situarse por debajo del precio de ejercicio. Por lo tanto, el pago de la opción </w:t>
      </w:r>
      <w:proofErr w:type="spellStart"/>
      <w:r>
        <w:rPr>
          <w:i/>
          <w:iCs/>
        </w:rPr>
        <w:t>put</w:t>
      </w:r>
      <w:proofErr w:type="spellEnd"/>
      <w:r>
        <w:t xml:space="preserve"> a vencimiento es igual a:</w:t>
      </w:r>
    </w:p>
    <w:p w14:paraId="68E0497C" w14:textId="77777777" w:rsidR="00875950" w:rsidRDefault="00875950" w:rsidP="00875950">
      <w:pPr>
        <w:pStyle w:val="Nivel3SM"/>
      </w:pPr>
      <w:r>
        <w:t>L</w:t>
      </w:r>
      <w:r w:rsidRPr="0026685A">
        <w:t>a diferencia entre el precio de ejercicio</w:t>
      </w:r>
      <w:r>
        <w:t xml:space="preserve"> (</w:t>
      </w:r>
      <m:oMath>
        <m:sSub>
          <m:sSubPr>
            <m:ctrlPr>
              <w:rPr>
                <w:rFonts w:ascii="Cambria Math" w:hAnsi="Cambria Math"/>
                <w:i/>
                <w:iCs/>
              </w:rPr>
            </m:ctrlPr>
          </m:sSubPr>
          <m:e>
            <m:r>
              <m:rPr>
                <m:nor/>
              </m:rPr>
              <w:rPr>
                <w:i/>
                <w:iCs/>
              </w:rPr>
              <m:t>P</m:t>
            </m:r>
          </m:e>
          <m:sub>
            <m:r>
              <m:rPr>
                <m:nor/>
              </m:rPr>
              <w:rPr>
                <w:i/>
                <w:iCs/>
              </w:rPr>
              <m:t>ejercicio</m:t>
            </m:r>
          </m:sub>
        </m:sSub>
      </m:oMath>
      <w:r>
        <w:t>)</w:t>
      </w:r>
      <w:r w:rsidRPr="0026685A">
        <w:t xml:space="preserve"> </w:t>
      </w:r>
      <w:r>
        <w:t xml:space="preserve">y </w:t>
      </w:r>
      <w:r w:rsidRPr="0026685A">
        <w:t>el precio del subyacente</w:t>
      </w:r>
      <w:r>
        <w:t xml:space="preserve"> (</w:t>
      </w:r>
      <m:oMath>
        <m:sSub>
          <m:sSubPr>
            <m:ctrlPr>
              <w:rPr>
                <w:rFonts w:ascii="Cambria Math" w:hAnsi="Cambria Math"/>
                <w:i/>
                <w:iCs/>
              </w:rPr>
            </m:ctrlPr>
          </m:sSubPr>
          <m:e>
            <m:r>
              <m:rPr>
                <m:nor/>
              </m:rPr>
              <w:rPr>
                <w:i/>
                <w:iCs/>
              </w:rPr>
              <m:t>S</m:t>
            </m:r>
          </m:e>
          <m:sub>
            <m:r>
              <m:rPr>
                <m:nor/>
              </m:rPr>
              <w:rPr>
                <w:i/>
                <w:iCs/>
              </w:rPr>
              <m:t>T</m:t>
            </m:r>
          </m:sub>
        </m:sSub>
      </m:oMath>
      <w:r>
        <w:t>) si el precio del subyacente es menor al precio de ejercicio; y</w:t>
      </w:r>
    </w:p>
    <w:p w14:paraId="7F6FFDC6" w14:textId="77777777" w:rsidR="00875950" w:rsidRDefault="00875950" w:rsidP="00875950">
      <w:pPr>
        <w:pStyle w:val="Nivel3SM"/>
        <w:keepNext/>
      </w:pPr>
      <w:r>
        <w:t xml:space="preserve">Cero </w:t>
      </w:r>
      <w:r w:rsidRPr="0026685A">
        <w:t>en caso contrario.</w:t>
      </w:r>
    </w:p>
    <w:p w14:paraId="06678C12" w14:textId="77777777" w:rsidR="00875950" w:rsidRPr="0026685A" w:rsidRDefault="00875950" w:rsidP="00875950">
      <w:pPr>
        <w:pStyle w:val="Nivel2"/>
        <w:numPr>
          <w:ilvl w:val="0"/>
          <w:numId w:val="0"/>
        </w:numPr>
        <w:spacing w:after="0"/>
        <w:ind w:right="-427"/>
        <w:rPr>
          <w:i/>
          <w:iCs/>
          <w:spacing w:val="-4"/>
        </w:rPr>
      </w:pPr>
      <m:oMathPara>
        <m:oMath>
          <m:r>
            <w:rPr>
              <w:rFonts w:ascii="Cambria Math" w:eastAsiaTheme="minorEastAsia" w:hAnsi="Cambria Math"/>
              <w:spacing w:val="-4"/>
            </w:rPr>
            <m:t xml:space="preserve"> </m:t>
          </m:r>
          <m:r>
            <m:rPr>
              <m:nor/>
            </m:rPr>
            <w:rPr>
              <w:i/>
              <w:iCs/>
              <w:spacing w:val="-4"/>
            </w:rPr>
            <m:t>Pago a vencimiento para el comprador de una opción put</m:t>
          </m:r>
          <m:r>
            <w:rPr>
              <w:rFonts w:ascii="Cambria Math" w:hAnsi="Cambria Math"/>
              <w:spacing w:val="-4"/>
            </w:rPr>
            <m:t>=</m:t>
          </m:r>
          <m:d>
            <m:dPr>
              <m:begChr m:val="{"/>
              <m:endChr m:val=""/>
              <m:ctrlPr>
                <w:rPr>
                  <w:rFonts w:ascii="Cambria Math" w:hAnsi="Cambria Math"/>
                  <w:i/>
                  <w:iCs/>
                  <w:spacing w:val="-4"/>
                </w:rPr>
              </m:ctrlPr>
            </m:dPr>
            <m:e>
              <m:eqArr>
                <m:eqArrPr>
                  <m:ctrlPr>
                    <w:rPr>
                      <w:rFonts w:ascii="Cambria Math" w:hAnsi="Cambria Math"/>
                      <w:i/>
                      <w:iCs/>
                      <w:spacing w:val="-4"/>
                    </w:rPr>
                  </m:ctrlPr>
                </m:eqArrPr>
                <m:e>
                  <m:sSub>
                    <m:sSubPr>
                      <m:ctrlPr>
                        <w:rPr>
                          <w:rFonts w:ascii="Cambria Math" w:hAnsi="Cambria Math"/>
                          <w:i/>
                          <w:iCs/>
                          <w:spacing w:val="-4"/>
                        </w:rPr>
                      </m:ctrlPr>
                    </m:sSubPr>
                    <m:e>
                      <m:r>
                        <m:rPr>
                          <m:nor/>
                        </m:rPr>
                        <w:rPr>
                          <w:i/>
                          <w:iCs/>
                          <w:spacing w:val="-4"/>
                        </w:rPr>
                        <m:t>P</m:t>
                      </m:r>
                    </m:e>
                    <m:sub>
                      <m:r>
                        <m:rPr>
                          <m:nor/>
                        </m:rPr>
                        <w:rPr>
                          <w:i/>
                          <w:iCs/>
                          <w:spacing w:val="-4"/>
                        </w:rPr>
                        <m:t>ejercicio</m:t>
                      </m:r>
                    </m:sub>
                  </m:sSub>
                  <m:r>
                    <w:rPr>
                      <w:rFonts w:ascii="Cambria Math" w:hAnsi="Cambria Math"/>
                      <w:spacing w:val="-4"/>
                    </w:rPr>
                    <m:t>-</m:t>
                  </m:r>
                  <m:sSub>
                    <m:sSubPr>
                      <m:ctrlPr>
                        <w:rPr>
                          <w:rFonts w:ascii="Cambria Math" w:hAnsi="Cambria Math"/>
                          <w:i/>
                          <w:iCs/>
                          <w:spacing w:val="-4"/>
                        </w:rPr>
                      </m:ctrlPr>
                    </m:sSubPr>
                    <m:e>
                      <m:r>
                        <m:rPr>
                          <m:nor/>
                        </m:rPr>
                        <w:rPr>
                          <w:i/>
                          <w:iCs/>
                          <w:spacing w:val="-4"/>
                        </w:rPr>
                        <m:t>S</m:t>
                      </m:r>
                    </m:e>
                    <m:sub>
                      <m:r>
                        <m:rPr>
                          <m:nor/>
                        </m:rPr>
                        <w:rPr>
                          <w:i/>
                          <w:iCs/>
                          <w:spacing w:val="-4"/>
                        </w:rPr>
                        <m:t>T</m:t>
                      </m:r>
                    </m:sub>
                  </m:sSub>
                  <m:r>
                    <m:rPr>
                      <m:nor/>
                    </m:rPr>
                    <w:rPr>
                      <w:i/>
                      <w:iCs/>
                      <w:spacing w:val="-4"/>
                    </w:rPr>
                    <m:t xml:space="preserve">             </m:t>
                  </m:r>
                  <w:proofErr w:type="spellStart"/>
                  <m:r>
                    <m:rPr>
                      <m:nor/>
                    </m:rPr>
                    <w:rPr>
                      <w:i/>
                      <w:iCs/>
                      <w:spacing w:val="-4"/>
                    </w:rPr>
                    <m:t>si</m:t>
                  </m:r>
                  <w:proofErr w:type="spellEnd"/>
                  <m:r>
                    <m:rPr>
                      <m:nor/>
                    </m:rPr>
                    <w:rPr>
                      <w:i/>
                      <w:iCs/>
                      <w:spacing w:val="-4"/>
                    </w:rPr>
                    <m:t xml:space="preserve">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&lt;</m:t>
                  </m:r>
                  <m:sSub>
                    <m:sSubPr>
                      <m:ctrlPr>
                        <w:rPr>
                          <w:rFonts w:ascii="Cambria Math" w:hAnsi="Cambria Math"/>
                          <w:i/>
                          <w:iCs/>
                          <w:spacing w:val="-4"/>
                        </w:rPr>
                      </m:ctrlPr>
                    </m:sSubPr>
                    <m:e>
                      <m:r>
                        <m:rPr>
                          <m:nor/>
                        </m:rPr>
                        <w:rPr>
                          <w:i/>
                          <w:iCs/>
                          <w:spacing w:val="-4"/>
                        </w:rPr>
                        <m:t>P</m:t>
                      </m:r>
                    </m:e>
                    <m:sub>
                      <m:r>
                        <m:rPr>
                          <m:nor/>
                        </m:rPr>
                        <w:rPr>
                          <w:i/>
                          <w:iCs/>
                          <w:spacing w:val="-4"/>
                        </w:rPr>
                        <m:t>ejercicio</m:t>
                      </m:r>
                    </m:sub>
                  </m:sSub>
                </m:e>
                <m:e>
                  <m:r>
                    <m:rPr>
                      <m:nor/>
                    </m:rPr>
                    <w:rPr>
                      <w:i/>
                      <w:iCs/>
                      <w:spacing w:val="-4"/>
                    </w:rPr>
                    <m:t xml:space="preserve">0                </m:t>
                  </m:r>
                  <m:r>
                    <m:rPr>
                      <m:nor/>
                    </m:rPr>
                    <w:rPr>
                      <w:rFonts w:ascii="Cambria Math"/>
                      <w:i/>
                      <w:iCs/>
                      <w:spacing w:val="-4"/>
                    </w:rPr>
                    <m:t xml:space="preserve">    </m:t>
                  </m:r>
                  <m:r>
                    <m:rPr>
                      <m:nor/>
                    </m:rPr>
                    <w:rPr>
                      <w:i/>
                      <w:iCs/>
                      <w:spacing w:val="-4"/>
                    </w:rPr>
                    <m:t xml:space="preserve">   </m:t>
                  </m:r>
                  <m:r>
                    <m:rPr>
                      <m:nor/>
                    </m:rPr>
                    <w:rPr>
                      <w:rFonts w:ascii="Cambria Math"/>
                      <w:i/>
                      <w:iCs/>
                      <w:spacing w:val="-4"/>
                    </w:rPr>
                    <m:t xml:space="preserve">          </m:t>
                  </m:r>
                  <m:r>
                    <m:rPr>
                      <m:nor/>
                    </m:rPr>
                    <w:rPr>
                      <w:i/>
                      <w:iCs/>
                      <w:spacing w:val="-4"/>
                    </w:rPr>
                    <m:t xml:space="preserve">si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&gt;</m:t>
                  </m:r>
                  <m:sSub>
                    <m:sSubPr>
                      <m:ctrlPr>
                        <w:rPr>
                          <w:rFonts w:ascii="Cambria Math" w:hAnsi="Cambria Math"/>
                          <w:i/>
                          <w:iCs/>
                          <w:spacing w:val="-4"/>
                        </w:rPr>
                      </m:ctrlPr>
                    </m:sSubPr>
                    <m:e>
                      <m:r>
                        <m:rPr>
                          <m:nor/>
                        </m:rPr>
                        <w:rPr>
                          <w:i/>
                          <w:iCs/>
                          <w:spacing w:val="-4"/>
                        </w:rPr>
                        <m:t>P</m:t>
                      </m:r>
                    </m:e>
                    <m:sub>
                      <m:r>
                        <m:rPr>
                          <m:nor/>
                        </m:rPr>
                        <w:rPr>
                          <w:i/>
                          <w:iCs/>
                          <w:spacing w:val="-4"/>
                        </w:rPr>
                        <m:t>ejercicio</m:t>
                      </m:r>
                    </m:sub>
                  </m:sSub>
                </m:e>
              </m:eqArr>
            </m:e>
          </m:d>
          <m:r>
            <w:rPr>
              <w:rFonts w:ascii="Cambria Math" w:eastAsiaTheme="minorEastAsia" w:hAnsi="Cambria Math"/>
              <w:spacing w:val="-4"/>
            </w:rPr>
            <m:t>=</m:t>
          </m:r>
          <m:r>
            <m:rPr>
              <m:nor/>
            </m:rPr>
            <w:rPr>
              <w:i/>
              <w:iCs/>
              <w:spacing w:val="-4"/>
            </w:rPr>
            <m:t>max</m:t>
          </m:r>
          <m:d>
            <m:dPr>
              <m:begChr m:val="{"/>
              <m:endChr m:val="}"/>
              <m:ctrlPr>
                <w:rPr>
                  <w:rFonts w:ascii="Cambria Math" w:hAnsi="Cambria Math"/>
                  <w:i/>
                  <w:iCs/>
                  <w:spacing w:val="-4"/>
                </w:rPr>
              </m:ctrlPr>
            </m:dPr>
            <m:e>
              <m:sSub>
                <m:sSubPr>
                  <m:ctrlPr>
                    <w:rPr>
                      <w:rFonts w:ascii="Cambria Math" w:hAnsi="Cambria Math"/>
                      <w:i/>
                      <w:iCs/>
                      <w:spacing w:val="-4"/>
                    </w:rPr>
                  </m:ctrlPr>
                </m:sSubPr>
                <m:e>
                  <m:r>
                    <m:rPr>
                      <m:nor/>
                    </m:rPr>
                    <w:rPr>
                      <w:i/>
                      <w:iCs/>
                      <w:spacing w:val="-4"/>
                    </w:rPr>
                    <m:t>P</m:t>
                  </m:r>
                </m:e>
                <m:sub>
                  <m:r>
                    <m:rPr>
                      <m:nor/>
                    </m:rPr>
                    <w:rPr>
                      <w:i/>
                      <w:iCs/>
                      <w:spacing w:val="-4"/>
                    </w:rPr>
                    <m:t>ejercicio</m:t>
                  </m:r>
                </m:sub>
              </m:sSub>
              <m:r>
                <w:rPr>
                  <w:rFonts w:ascii="Cambria Math" w:hAnsi="Cambria Math"/>
                  <w:spacing w:val="-4"/>
                </w:rPr>
                <m:t>-</m:t>
              </m:r>
              <m:sSub>
                <m:sSubPr>
                  <m:ctrlPr>
                    <w:rPr>
                      <w:rFonts w:ascii="Cambria Math" w:hAnsi="Cambria Math"/>
                      <w:i/>
                      <w:iCs/>
                      <w:spacing w:val="-4"/>
                    </w:rPr>
                  </m:ctrlPr>
                </m:sSubPr>
                <m:e>
                  <m:r>
                    <m:rPr>
                      <m:nor/>
                    </m:rPr>
                    <w:rPr>
                      <w:i/>
                      <w:iCs/>
                      <w:spacing w:val="-4"/>
                    </w:rPr>
                    <m:t>S</m:t>
                  </m:r>
                </m:e>
                <m:sub>
                  <m:r>
                    <m:rPr>
                      <m:nor/>
                    </m:rPr>
                    <w:rPr>
                      <w:i/>
                      <w:iCs/>
                      <w:spacing w:val="-4"/>
                    </w:rPr>
                    <m:t>T</m:t>
                  </m:r>
                </m:sub>
              </m:sSub>
              <m:r>
                <m:rPr>
                  <m:nor/>
                </m:rPr>
                <w:rPr>
                  <w:i/>
                  <w:iCs/>
                  <w:spacing w:val="-4"/>
                </w:rPr>
                <m:t>;0</m:t>
              </m:r>
            </m:e>
          </m:d>
        </m:oMath>
      </m:oMathPara>
    </w:p>
    <w:p w14:paraId="4D753AD2" w14:textId="77777777" w:rsidR="00875950" w:rsidRDefault="00875950" w:rsidP="00875950">
      <w:pPr>
        <w:pStyle w:val="Nivel2SM"/>
        <w:keepNext/>
        <w:numPr>
          <w:ilvl w:val="0"/>
          <w:numId w:val="0"/>
        </w:numPr>
        <w:spacing w:after="0"/>
        <w:ind w:left="567"/>
      </w:pPr>
      <w:r>
        <w:t xml:space="preserve">Para obtener el beneficio neto del comprador de una opción </w:t>
      </w:r>
      <w:proofErr w:type="spellStart"/>
      <w:r w:rsidRPr="00957712">
        <w:rPr>
          <w:i/>
          <w:iCs/>
        </w:rPr>
        <w:t>put</w:t>
      </w:r>
      <w:proofErr w:type="spellEnd"/>
      <w:r>
        <w:t xml:space="preserve"> </w:t>
      </w:r>
      <w:r w:rsidRPr="00957712">
        <w:t>será</w:t>
      </w:r>
      <w:r>
        <w:t xml:space="preserve"> necesario descontar además la prima pagada al contraer el contrato por el derecho a ejercer la opción, es decir:</w:t>
      </w:r>
    </w:p>
    <w:p w14:paraId="255E718B" w14:textId="77777777" w:rsidR="00875950" w:rsidRDefault="00875950" w:rsidP="00875950">
      <w:pPr>
        <w:pStyle w:val="Nivel1"/>
        <w:numPr>
          <w:ilvl w:val="0"/>
          <w:numId w:val="0"/>
        </w:numPr>
        <w:spacing w:before="0"/>
        <w:ind w:right="-425"/>
      </w:pPr>
      <m:oMathPara>
        <m:oMath>
          <m:r>
            <w:rPr>
              <w:rFonts w:ascii="Cambria Math" w:eastAsiaTheme="minorEastAsia" w:hAnsi="Cambria Math"/>
              <w:spacing w:val="-4"/>
            </w:rPr>
            <m:t xml:space="preserve"> </m:t>
          </m:r>
          <m:r>
            <m:rPr>
              <m:nor/>
            </m:rPr>
            <w:rPr>
              <w:i/>
              <w:iCs/>
              <w:spacing w:val="-4"/>
            </w:rPr>
            <m:t>Beneficio para el comprador de una opción put</m:t>
          </m:r>
          <m:r>
            <w:rPr>
              <w:rFonts w:ascii="Cambria Math" w:hAnsi="Cambria Math"/>
              <w:spacing w:val="-4"/>
            </w:rPr>
            <m:t>=</m:t>
          </m:r>
          <m:d>
            <m:dPr>
              <m:begChr m:val="{"/>
              <m:endChr m:val=""/>
              <m:ctrlPr>
                <w:rPr>
                  <w:rFonts w:ascii="Cambria Math" w:hAnsi="Cambria Math"/>
                  <w:i/>
                  <w:iCs/>
                  <w:spacing w:val="-4"/>
                </w:rPr>
              </m:ctrlPr>
            </m:dPr>
            <m:e>
              <m:eqArr>
                <m:eqArrPr>
                  <m:ctrlPr>
                    <w:rPr>
                      <w:rFonts w:ascii="Cambria Math" w:hAnsi="Cambria Math"/>
                      <w:i/>
                      <w:iCs/>
                      <w:spacing w:val="-4"/>
                    </w:rPr>
                  </m:ctrlPr>
                </m:eqArrPr>
                <m:e>
                  <m:sSub>
                    <m:sSubPr>
                      <m:ctrlPr>
                        <w:rPr>
                          <w:rFonts w:ascii="Cambria Math" w:hAnsi="Cambria Math"/>
                          <w:i/>
                          <w:iCs/>
                          <w:spacing w:val="-4"/>
                        </w:rPr>
                      </m:ctrlPr>
                    </m:sSubPr>
                    <m:e>
                      <m:r>
                        <m:rPr>
                          <m:nor/>
                        </m:rPr>
                        <w:rPr>
                          <w:i/>
                          <w:iCs/>
                          <w:spacing w:val="-4"/>
                        </w:rPr>
                        <m:t>P</m:t>
                      </m:r>
                    </m:e>
                    <m:sub>
                      <m:r>
                        <m:rPr>
                          <m:nor/>
                        </m:rPr>
                        <w:rPr>
                          <w:i/>
                          <w:iCs/>
                          <w:spacing w:val="-4"/>
                        </w:rPr>
                        <m:t>ejercicio</m:t>
                      </m:r>
                    </m:sub>
                  </m:sSub>
                  <m:r>
                    <w:rPr>
                      <w:rFonts w:ascii="Cambria Math" w:hAnsi="Cambria Math"/>
                      <w:spacing w:val="-4"/>
                    </w:rPr>
                    <m:t>-</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r>
                    <m:rPr>
                      <m:nor/>
                    </m:rPr>
                    <w:rPr>
                      <w:i/>
                      <w:iCs/>
                      <w:spacing w:val="-4"/>
                    </w:rPr>
                    <m:t xml:space="preserve">Prima           </m:t>
                  </m:r>
                  <m:r>
                    <m:rPr>
                      <m:nor/>
                    </m:rPr>
                    <w:rPr>
                      <w:rFonts w:ascii="Cambria Math"/>
                      <w:i/>
                      <w:iCs/>
                      <w:spacing w:val="-4"/>
                    </w:rPr>
                    <m:t xml:space="preserve">    </m:t>
                  </m:r>
                  <m:r>
                    <m:rPr>
                      <m:nor/>
                    </m:rPr>
                    <w:rPr>
                      <w:i/>
                      <w:iCs/>
                      <w:spacing w:val="-4"/>
                    </w:rPr>
                    <m:t xml:space="preserve">                    </m:t>
                  </m:r>
                  <w:proofErr w:type="spellStart"/>
                  <m:r>
                    <m:rPr>
                      <m:nor/>
                    </m:rPr>
                    <w:rPr>
                      <w:i/>
                      <w:iCs/>
                      <w:spacing w:val="-4"/>
                    </w:rPr>
                    <m:t>si</m:t>
                  </m:r>
                  <w:proofErr w:type="spellEnd"/>
                  <m:r>
                    <m:rPr>
                      <m:nor/>
                    </m:rPr>
                    <w:rPr>
                      <w:i/>
                      <w:iCs/>
                      <w:spacing w:val="-4"/>
                    </w:rPr>
                    <m:t xml:space="preserve">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&lt;</m:t>
                  </m:r>
                  <m:sSub>
                    <m:sSubPr>
                      <m:ctrlPr>
                        <w:rPr>
                          <w:rFonts w:ascii="Cambria Math" w:hAnsi="Cambria Math"/>
                          <w:i/>
                          <w:iCs/>
                          <w:spacing w:val="-4"/>
                        </w:rPr>
                      </m:ctrlPr>
                    </m:sSubPr>
                    <m:e>
                      <m:r>
                        <m:rPr>
                          <m:nor/>
                        </m:rPr>
                        <w:rPr>
                          <w:i/>
                          <w:iCs/>
                          <w:spacing w:val="-4"/>
                        </w:rPr>
                        <m:t>P</m:t>
                      </m:r>
                    </m:e>
                    <m:sub>
                      <m:r>
                        <m:rPr>
                          <m:nor/>
                        </m:rPr>
                        <w:rPr>
                          <w:i/>
                          <w:iCs/>
                          <w:spacing w:val="-4"/>
                        </w:rPr>
                        <m:t>ejercicio</m:t>
                      </m:r>
                    </m:sub>
                  </m:sSub>
                </m:e>
                <m:e>
                  <m:r>
                    <w:rPr>
                      <w:rFonts w:ascii="Cambria Math" w:hAnsi="Cambria Math"/>
                      <w:spacing w:val="-4"/>
                    </w:rPr>
                    <m:t>-</m:t>
                  </m:r>
                  <m:r>
                    <m:rPr>
                      <m:nor/>
                    </m:rPr>
                    <w:rPr>
                      <w:i/>
                      <w:iCs/>
                      <w:spacing w:val="-4"/>
                    </w:rPr>
                    <m:t xml:space="preserve">Prima     </m:t>
                  </m:r>
                  <m:r>
                    <m:rPr>
                      <m:nor/>
                    </m:rPr>
                    <w:rPr>
                      <w:rFonts w:ascii="Cambria Math"/>
                      <w:i/>
                      <w:iCs/>
                      <w:spacing w:val="-4"/>
                    </w:rPr>
                    <m:t xml:space="preserve">    </m:t>
                  </m:r>
                  <m:r>
                    <m:rPr>
                      <m:nor/>
                    </m:rPr>
                    <w:rPr>
                      <w:i/>
                      <w:iCs/>
                      <w:spacing w:val="-4"/>
                    </w:rPr>
                    <m:t xml:space="preserve">   </m:t>
                  </m:r>
                  <w:proofErr w:type="spellStart"/>
                  <m:r>
                    <m:rPr>
                      <m:nor/>
                    </m:rPr>
                    <w:rPr>
                      <w:i/>
                      <w:iCs/>
                      <w:spacing w:val="-4"/>
                    </w:rPr>
                    <m:t>si</m:t>
                  </m:r>
                  <w:proofErr w:type="spellEnd"/>
                  <m:r>
                    <m:rPr>
                      <m:nor/>
                    </m:rPr>
                    <w:rPr>
                      <w:i/>
                      <w:iCs/>
                      <w:spacing w:val="-4"/>
                    </w:rPr>
                    <m:t xml:space="preserve"> </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&gt;</m:t>
                  </m:r>
                  <m:sSub>
                    <m:sSubPr>
                      <m:ctrlPr>
                        <w:rPr>
                          <w:rFonts w:ascii="Cambria Math" w:hAnsi="Cambria Math"/>
                          <w:i/>
                          <w:iCs/>
                          <w:spacing w:val="-4"/>
                        </w:rPr>
                      </m:ctrlPr>
                    </m:sSubPr>
                    <m:e>
                      <m:r>
                        <m:rPr>
                          <m:nor/>
                        </m:rPr>
                        <w:rPr>
                          <w:i/>
                          <w:iCs/>
                          <w:spacing w:val="-4"/>
                        </w:rPr>
                        <m:t>P</m:t>
                      </m:r>
                    </m:e>
                    <m:sub>
                      <m:r>
                        <m:rPr>
                          <m:nor/>
                        </m:rPr>
                        <w:rPr>
                          <w:i/>
                          <w:iCs/>
                          <w:spacing w:val="-4"/>
                        </w:rPr>
                        <m:t>ejercicio</m:t>
                      </m:r>
                    </m:sub>
                  </m:sSub>
                </m:e>
              </m:eqArr>
            </m:e>
          </m:d>
          <m:r>
            <w:rPr>
              <w:rFonts w:ascii="Cambria Math" w:eastAsiaTheme="minorEastAsia" w:hAnsi="Cambria Math"/>
              <w:spacing w:val="-4"/>
            </w:rPr>
            <m:t>=</m:t>
          </m:r>
          <m:r>
            <m:rPr>
              <m:nor/>
            </m:rPr>
            <w:rPr>
              <w:i/>
              <w:iCs/>
              <w:spacing w:val="-4"/>
            </w:rPr>
            <m:t>max</m:t>
          </m:r>
          <m:d>
            <m:dPr>
              <m:begChr m:val="{"/>
              <m:endChr m:val="}"/>
              <m:ctrlPr>
                <w:rPr>
                  <w:rFonts w:ascii="Cambria Math" w:hAnsi="Cambria Math"/>
                  <w:i/>
                  <w:iCs/>
                  <w:spacing w:val="-4"/>
                </w:rPr>
              </m:ctrlPr>
            </m:dPr>
            <m:e>
              <m:sSub>
                <m:sSubPr>
                  <m:ctrlPr>
                    <w:rPr>
                      <w:rFonts w:ascii="Cambria Math" w:hAnsi="Cambria Math"/>
                      <w:i/>
                      <w:iCs/>
                      <w:spacing w:val="-4"/>
                    </w:rPr>
                  </m:ctrlPr>
                </m:sSubPr>
                <m:e>
                  <m:r>
                    <m:rPr>
                      <m:nor/>
                    </m:rPr>
                    <w:rPr>
                      <w:i/>
                      <w:iCs/>
                      <w:spacing w:val="-4"/>
                    </w:rPr>
                    <m:t>P</m:t>
                  </m:r>
                </m:e>
                <m:sub>
                  <m:r>
                    <m:rPr>
                      <m:nor/>
                    </m:rPr>
                    <w:rPr>
                      <w:i/>
                      <w:iCs/>
                      <w:spacing w:val="-4"/>
                    </w:rPr>
                    <m:t>ejercicio</m:t>
                  </m:r>
                </m:sub>
              </m:sSub>
              <m:r>
                <w:rPr>
                  <w:rFonts w:ascii="Cambria Math" w:hAnsi="Cambria Math"/>
                  <w:spacing w:val="-4"/>
                </w:rPr>
                <m:t>-</m:t>
              </m:r>
              <m:sSub>
                <m:sSubPr>
                  <m:ctrlPr>
                    <w:rPr>
                      <w:rFonts w:ascii="Cambria Math" w:hAnsi="Cambria Math"/>
                      <w:i/>
                      <w:iCs/>
                      <w:spacing w:val="-4"/>
                    </w:rPr>
                  </m:ctrlPr>
                </m:sSubPr>
                <m:e>
                  <m:r>
                    <m:rPr>
                      <m:nor/>
                    </m:rPr>
                    <w:rPr>
                      <w:i/>
                      <w:iCs/>
                      <w:spacing w:val="-4"/>
                    </w:rPr>
                    <m:t>S</m:t>
                  </m:r>
                </m:e>
                <m:sub>
                  <m:r>
                    <m:rPr>
                      <m:nor/>
                    </m:rPr>
                    <w:rPr>
                      <w:i/>
                      <w:iCs/>
                      <w:spacing w:val="-4"/>
                    </w:rPr>
                    <m:t>T</m:t>
                  </m:r>
                </m:sub>
              </m:sSub>
              <m:r>
                <w:rPr>
                  <w:rFonts w:ascii="Cambria Math" w:hAnsi="Cambria Math"/>
                  <w:spacing w:val="-4"/>
                </w:rPr>
                <m:t>-</m:t>
              </m:r>
              <m:r>
                <m:rPr>
                  <m:nor/>
                </m:rPr>
                <w:rPr>
                  <w:i/>
                  <w:iCs/>
                  <w:spacing w:val="-4"/>
                </w:rPr>
                <m:t>Prima;</m:t>
              </m:r>
              <m:r>
                <w:rPr>
                  <w:rFonts w:ascii="Cambria Math" w:hAnsi="Cambria Math"/>
                  <w:spacing w:val="-4"/>
                </w:rPr>
                <m:t>-</m:t>
              </m:r>
              <m:r>
                <m:rPr>
                  <m:nor/>
                </m:rPr>
                <w:rPr>
                  <w:i/>
                  <w:iCs/>
                  <w:spacing w:val="-4"/>
                </w:rPr>
                <m:t>Prima</m:t>
              </m:r>
            </m:e>
          </m:d>
        </m:oMath>
      </m:oMathPara>
    </w:p>
    <w:p w14:paraId="3336A083" w14:textId="59D1A657" w:rsidR="00875950" w:rsidRPr="00994004" w:rsidRDefault="00875950" w:rsidP="00875950">
      <w:pPr>
        <w:pStyle w:val="Ttuloimagen"/>
        <w:rPr>
          <w:i/>
          <w:iCs/>
          <w:smallCaps w:val="0"/>
        </w:rPr>
      </w:pPr>
      <w:r w:rsidRPr="00994004">
        <w:t>Imagen</w:t>
      </w:r>
      <w:r>
        <w:t> </w:t>
      </w:r>
      <w:r>
        <w:fldChar w:fldCharType="begin"/>
      </w:r>
      <w:r>
        <w:instrText xml:space="preserve"> SEQ Ilustración \* ARABIC </w:instrText>
      </w:r>
      <w:r>
        <w:fldChar w:fldCharType="separate"/>
      </w:r>
      <w:r w:rsidR="003F2FF6">
        <w:t>5</w:t>
      </w:r>
      <w:r>
        <w:fldChar w:fldCharType="end"/>
      </w:r>
      <w:r>
        <w:t xml:space="preserve">.– </w:t>
      </w:r>
      <w:r w:rsidRPr="00994004">
        <w:rPr>
          <w:i/>
          <w:iCs/>
          <w:smallCaps w:val="0"/>
        </w:rPr>
        <w:t xml:space="preserve">Pago a vencimiento y beneficio del </w:t>
      </w:r>
      <w:r>
        <w:rPr>
          <w:i/>
          <w:iCs/>
          <w:smallCaps w:val="0"/>
        </w:rPr>
        <w:t>compra</w:t>
      </w:r>
      <w:r w:rsidRPr="00994004">
        <w:rPr>
          <w:i/>
          <w:iCs/>
          <w:smallCaps w:val="0"/>
        </w:rPr>
        <w:t xml:space="preserve">dor de una opción </w:t>
      </w:r>
      <w:r>
        <w:rPr>
          <w:i/>
          <w:iCs/>
          <w:smallCaps w:val="0"/>
        </w:rPr>
        <w:t>put</w:t>
      </w:r>
      <w:r w:rsidRPr="00994004">
        <w:rPr>
          <w:i/>
          <w:iCs/>
          <w:smallCaps w:val="0"/>
        </w:rPr>
        <w:t xml:space="preserve"> en función del valor del subyacente</w:t>
      </w:r>
    </w:p>
    <w:p w14:paraId="51B89236" w14:textId="77777777" w:rsidR="00875950" w:rsidRDefault="00875950" w:rsidP="00875950">
      <w:pPr>
        <w:pStyle w:val="Imagen"/>
      </w:pPr>
      <w:r>
        <w:drawing>
          <wp:inline distT="0" distB="0" distL="0" distR="0" wp14:anchorId="05A10E23" wp14:editId="0EA81921">
            <wp:extent cx="2370276" cy="1764000"/>
            <wp:effectExtent l="0" t="0" r="0" b="8255"/>
            <wp:docPr id="32" name="Imagen 32"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magen que contiene Gráfico&#10;&#10;Descripción generada automáticamente"/>
                    <pic:cNvPicPr/>
                  </pic:nvPicPr>
                  <pic:blipFill rotWithShape="1">
                    <a:blip r:embed="rId21"/>
                    <a:srcRect l="10012" r="19899" b="7268"/>
                    <a:stretch/>
                  </pic:blipFill>
                  <pic:spPr bwMode="auto">
                    <a:xfrm>
                      <a:off x="0" y="0"/>
                      <a:ext cx="2370276" cy="1764000"/>
                    </a:xfrm>
                    <a:prstGeom prst="rect">
                      <a:avLst/>
                    </a:prstGeom>
                    <a:ln>
                      <a:noFill/>
                    </a:ln>
                    <a:extLst>
                      <a:ext uri="{53640926-AAD7-44D8-BBD7-CCE9431645EC}">
                        <a14:shadowObscured xmlns:a14="http://schemas.microsoft.com/office/drawing/2010/main"/>
                      </a:ext>
                    </a:extLst>
                  </pic:spPr>
                </pic:pic>
              </a:graphicData>
            </a:graphic>
          </wp:inline>
        </w:drawing>
      </w:r>
    </w:p>
    <w:p w14:paraId="30CE0C8B" w14:textId="77777777" w:rsidR="00875950" w:rsidRPr="000117D4" w:rsidRDefault="00875950" w:rsidP="00875950">
      <w:pPr>
        <w:pStyle w:val="PiedeImagen"/>
        <w:rPr>
          <w:i w:val="0"/>
          <w:iCs/>
        </w:rPr>
      </w:pPr>
      <w:r>
        <w:t>Fuente</w:t>
      </w:r>
      <w:r>
        <w:rPr>
          <w:i w:val="0"/>
          <w:iCs/>
        </w:rPr>
        <w:t>: Elaboración propia</w:t>
      </w:r>
    </w:p>
    <w:p w14:paraId="6BC3EBB0" w14:textId="3F87B860" w:rsidR="00875950" w:rsidRPr="00994004" w:rsidRDefault="00875950" w:rsidP="00875950">
      <w:pPr>
        <w:pStyle w:val="Ttuloimagen"/>
        <w:rPr>
          <w:i/>
          <w:iCs/>
          <w:smallCaps w:val="0"/>
        </w:rPr>
      </w:pPr>
      <w:r w:rsidRPr="00994004">
        <w:t>Imagen</w:t>
      </w:r>
      <w:r>
        <w:t> </w:t>
      </w:r>
      <w:r>
        <w:fldChar w:fldCharType="begin"/>
      </w:r>
      <w:r>
        <w:instrText xml:space="preserve"> SEQ Ilustración \* ARABIC </w:instrText>
      </w:r>
      <w:r>
        <w:fldChar w:fldCharType="separate"/>
      </w:r>
      <w:r w:rsidR="003F2FF6">
        <w:t>6</w:t>
      </w:r>
      <w:r>
        <w:fldChar w:fldCharType="end"/>
      </w:r>
      <w:r>
        <w:t xml:space="preserve">.– </w:t>
      </w:r>
      <w:r w:rsidRPr="00994004">
        <w:rPr>
          <w:i/>
          <w:iCs/>
          <w:smallCaps w:val="0"/>
        </w:rPr>
        <w:t xml:space="preserve">Pago a vencimiento y beneficio del </w:t>
      </w:r>
      <w:r>
        <w:rPr>
          <w:i/>
          <w:iCs/>
          <w:smallCaps w:val="0"/>
        </w:rPr>
        <w:t>vende</w:t>
      </w:r>
      <w:r w:rsidRPr="00994004">
        <w:rPr>
          <w:i/>
          <w:iCs/>
          <w:smallCaps w:val="0"/>
        </w:rPr>
        <w:t xml:space="preserve">dor de una opción </w:t>
      </w:r>
      <w:r>
        <w:rPr>
          <w:i/>
          <w:iCs/>
          <w:smallCaps w:val="0"/>
        </w:rPr>
        <w:t>put</w:t>
      </w:r>
      <w:r w:rsidRPr="00994004">
        <w:rPr>
          <w:i/>
          <w:iCs/>
          <w:smallCaps w:val="0"/>
        </w:rPr>
        <w:t xml:space="preserve"> en función del valor del subyacente</w:t>
      </w:r>
    </w:p>
    <w:p w14:paraId="5635ABCF" w14:textId="77777777" w:rsidR="00875950" w:rsidRDefault="00875950" w:rsidP="00875950">
      <w:pPr>
        <w:pStyle w:val="Imagen"/>
      </w:pPr>
      <w:r>
        <w:drawing>
          <wp:inline distT="0" distB="0" distL="0" distR="0" wp14:anchorId="61D8B43E" wp14:editId="5187A3A3">
            <wp:extent cx="2096498" cy="1764000"/>
            <wp:effectExtent l="0" t="0" r="0" b="8255"/>
            <wp:docPr id="13" name="Imagen 1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Gráfico, Gráfico de líneas&#10;&#10;Descripción generada automáticamente"/>
                    <pic:cNvPicPr/>
                  </pic:nvPicPr>
                  <pic:blipFill rotWithShape="1">
                    <a:blip r:embed="rId22"/>
                    <a:srcRect l="12058" r="25723" b="6930"/>
                    <a:stretch/>
                  </pic:blipFill>
                  <pic:spPr bwMode="auto">
                    <a:xfrm>
                      <a:off x="0" y="0"/>
                      <a:ext cx="2096498" cy="1764000"/>
                    </a:xfrm>
                    <a:prstGeom prst="rect">
                      <a:avLst/>
                    </a:prstGeom>
                    <a:ln>
                      <a:noFill/>
                    </a:ln>
                    <a:extLst>
                      <a:ext uri="{53640926-AAD7-44D8-BBD7-CCE9431645EC}">
                        <a14:shadowObscured xmlns:a14="http://schemas.microsoft.com/office/drawing/2010/main"/>
                      </a:ext>
                    </a:extLst>
                  </pic:spPr>
                </pic:pic>
              </a:graphicData>
            </a:graphic>
          </wp:inline>
        </w:drawing>
      </w:r>
    </w:p>
    <w:p w14:paraId="640CFB30" w14:textId="77777777" w:rsidR="00875950" w:rsidRPr="000117D4" w:rsidRDefault="00875950" w:rsidP="00875950">
      <w:pPr>
        <w:pStyle w:val="PiedeImagen"/>
        <w:rPr>
          <w:i w:val="0"/>
          <w:iCs/>
        </w:rPr>
      </w:pPr>
      <w:r>
        <w:t>Fuente</w:t>
      </w:r>
      <w:r>
        <w:rPr>
          <w:i w:val="0"/>
          <w:iCs/>
        </w:rPr>
        <w:t>: Elaboración propia</w:t>
      </w:r>
    </w:p>
    <w:p w14:paraId="610D5C38" w14:textId="77777777" w:rsidR="00875950" w:rsidRPr="00B66639" w:rsidRDefault="00875950" w:rsidP="00875950">
      <w:pPr>
        <w:pStyle w:val="Ttulo2"/>
      </w:pPr>
      <w:bookmarkStart w:id="44" w:name="_Toc131840472"/>
      <w:r w:rsidRPr="00B66639">
        <w:lastRenderedPageBreak/>
        <w:t>Estrategias</w:t>
      </w:r>
      <w:bookmarkEnd w:id="44"/>
    </w:p>
    <w:p w14:paraId="5897ACE1" w14:textId="77777777" w:rsidR="00875950" w:rsidRPr="00B95731" w:rsidRDefault="00875950" w:rsidP="00875950">
      <w:pPr>
        <w:pStyle w:val="Nivel1SM"/>
        <w:keepNext/>
        <w:spacing w:before="0"/>
      </w:pPr>
      <w:r>
        <w:t>Debemos resaltar la posibilidad de crear infinitos tipos de estrategias en función de la idea del inversor (</w:t>
      </w:r>
      <w:r>
        <w:rPr>
          <w:i/>
          <w:iCs/>
        </w:rPr>
        <w:t>ingeniería financiera</w:t>
      </w:r>
      <w:r>
        <w:t>).</w:t>
      </w:r>
    </w:p>
    <w:p w14:paraId="4DD01A17" w14:textId="77777777" w:rsidR="00875950" w:rsidRPr="00B66639" w:rsidRDefault="00875950" w:rsidP="00875950">
      <w:pPr>
        <w:pStyle w:val="Ttulo3"/>
      </w:pPr>
      <w:bookmarkStart w:id="45" w:name="_Toc131840473"/>
      <w:r w:rsidRPr="00B66639">
        <w:t>Estrategias de especulación</w:t>
      </w:r>
      <w:bookmarkEnd w:id="45"/>
    </w:p>
    <w:p w14:paraId="4385C2D7" w14:textId="77777777" w:rsidR="00875950" w:rsidRDefault="00875950" w:rsidP="00875950">
      <w:pPr>
        <w:pStyle w:val="Ttulo6"/>
        <w:spacing w:before="0"/>
      </w:pPr>
      <w:bookmarkStart w:id="46" w:name="_Toc131840474"/>
      <w:r>
        <w:t>Estrategias simples</w:t>
      </w:r>
      <w:bookmarkEnd w:id="46"/>
    </w:p>
    <w:p w14:paraId="7D908DD0" w14:textId="77777777" w:rsidR="00875950" w:rsidRDefault="00875950" w:rsidP="00875950">
      <w:pPr>
        <w:pStyle w:val="Nivel1SM"/>
        <w:keepNext/>
        <w:spacing w:before="0" w:after="0"/>
      </w:pPr>
      <w:r>
        <w:t xml:space="preserve">Consisten en </w:t>
      </w:r>
      <w:r w:rsidRPr="0057069E">
        <w:rPr>
          <w:i/>
          <w:iCs/>
        </w:rPr>
        <w:t>comprar o vender opciones de compra o de venta</w:t>
      </w:r>
      <w:r>
        <w:t xml:space="preserve"> y se pueden resumir en el siguiente cuadro: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336"/>
        <w:gridCol w:w="3340"/>
      </w:tblGrid>
      <w:tr w:rsidR="00875950" w14:paraId="06E05F63" w14:textId="77777777" w:rsidTr="007C5659">
        <w:trPr>
          <w:tblHeader/>
          <w:jc w:val="center"/>
        </w:trPr>
        <w:tc>
          <w:tcPr>
            <w:tcW w:w="1134" w:type="dxa"/>
            <w:tcBorders>
              <w:bottom w:val="single" w:sz="12" w:space="0" w:color="5F2987"/>
              <w:right w:val="single" w:sz="6" w:space="0" w:color="5F2987"/>
            </w:tcBorders>
            <w:vAlign w:val="bottom"/>
          </w:tcPr>
          <w:p w14:paraId="2D9D715B" w14:textId="77777777" w:rsidR="00875950" w:rsidRDefault="00875950" w:rsidP="007C5659">
            <w:pPr>
              <w:keepNext/>
              <w:spacing w:after="0"/>
              <w:jc w:val="center"/>
            </w:pPr>
          </w:p>
        </w:tc>
        <w:tc>
          <w:tcPr>
            <w:tcW w:w="3336" w:type="dxa"/>
            <w:tcBorders>
              <w:top w:val="single" w:sz="12" w:space="0" w:color="5F2987"/>
              <w:left w:val="single" w:sz="6" w:space="0" w:color="5F2987"/>
              <w:bottom w:val="single" w:sz="6" w:space="0" w:color="5F2987"/>
              <w:right w:val="single" w:sz="6" w:space="0" w:color="5F2987"/>
            </w:tcBorders>
            <w:shd w:val="clear" w:color="auto" w:fill="E2EFD9" w:themeFill="accent6" w:themeFillTint="33"/>
            <w:vAlign w:val="bottom"/>
          </w:tcPr>
          <w:p w14:paraId="0C126F3A" w14:textId="77777777" w:rsidR="00875950" w:rsidRPr="001A1D5F" w:rsidRDefault="00875950" w:rsidP="007C5659">
            <w:pPr>
              <w:keepNext/>
              <w:spacing w:after="0"/>
              <w:jc w:val="center"/>
              <w:rPr>
                <w:i/>
                <w:iCs/>
              </w:rPr>
            </w:pPr>
            <w:r w:rsidRPr="001A1D5F">
              <w:rPr>
                <w:i/>
                <w:iCs/>
              </w:rPr>
              <w:t>Comprar</w:t>
            </w:r>
          </w:p>
        </w:tc>
        <w:tc>
          <w:tcPr>
            <w:tcW w:w="3340" w:type="dxa"/>
            <w:tcBorders>
              <w:top w:val="single" w:sz="12" w:space="0" w:color="5F2987"/>
              <w:left w:val="single" w:sz="6" w:space="0" w:color="5F2987"/>
              <w:bottom w:val="single" w:sz="6" w:space="0" w:color="5F2987"/>
            </w:tcBorders>
            <w:shd w:val="clear" w:color="auto" w:fill="E2EFD9" w:themeFill="accent6" w:themeFillTint="33"/>
            <w:vAlign w:val="bottom"/>
          </w:tcPr>
          <w:p w14:paraId="3A41BC44" w14:textId="77777777" w:rsidR="00875950" w:rsidRPr="001A1D5F" w:rsidRDefault="00875950" w:rsidP="007C5659">
            <w:pPr>
              <w:keepNext/>
              <w:spacing w:after="0"/>
              <w:jc w:val="center"/>
              <w:rPr>
                <w:i/>
                <w:iCs/>
              </w:rPr>
            </w:pPr>
            <w:r w:rsidRPr="001A1D5F">
              <w:rPr>
                <w:i/>
                <w:iCs/>
              </w:rPr>
              <w:t>Vender</w:t>
            </w:r>
          </w:p>
        </w:tc>
      </w:tr>
      <w:tr w:rsidR="00875950" w14:paraId="7060D1D3" w14:textId="77777777" w:rsidTr="007C5659">
        <w:trPr>
          <w:trHeight w:val="930"/>
          <w:jc w:val="center"/>
        </w:trPr>
        <w:tc>
          <w:tcPr>
            <w:tcW w:w="1134" w:type="dxa"/>
            <w:tcBorders>
              <w:top w:val="single" w:sz="12" w:space="0" w:color="5F2987"/>
              <w:bottom w:val="single" w:sz="6" w:space="0" w:color="5F2987"/>
              <w:right w:val="single" w:sz="6" w:space="0" w:color="5F2987"/>
            </w:tcBorders>
            <w:shd w:val="clear" w:color="auto" w:fill="E2EFD9" w:themeFill="accent6" w:themeFillTint="33"/>
            <w:vAlign w:val="center"/>
          </w:tcPr>
          <w:p w14:paraId="68B814E8" w14:textId="77777777" w:rsidR="00875950" w:rsidRPr="001A1D5F" w:rsidRDefault="00875950" w:rsidP="007C5659">
            <w:pPr>
              <w:spacing w:after="0"/>
              <w:jc w:val="right"/>
              <w:rPr>
                <w:i/>
                <w:iCs/>
              </w:rPr>
            </w:pPr>
            <w:proofErr w:type="spellStart"/>
            <w:r w:rsidRPr="001A1D5F">
              <w:rPr>
                <w:i/>
                <w:iCs/>
              </w:rPr>
              <w:t>Call</w:t>
            </w:r>
            <w:proofErr w:type="spellEnd"/>
          </w:p>
        </w:tc>
        <w:tc>
          <w:tcPr>
            <w:tcW w:w="3336" w:type="dxa"/>
            <w:tcBorders>
              <w:top w:val="single" w:sz="6" w:space="0" w:color="5F2987"/>
              <w:left w:val="single" w:sz="6" w:space="0" w:color="5F2987"/>
              <w:bottom w:val="single" w:sz="6" w:space="0" w:color="5F2987"/>
              <w:right w:val="single" w:sz="6" w:space="0" w:color="5F2987"/>
            </w:tcBorders>
            <w:vAlign w:val="bottom"/>
          </w:tcPr>
          <w:p w14:paraId="7906EE1B" w14:textId="77777777" w:rsidR="00875950" w:rsidRDefault="00875950" w:rsidP="007C5659">
            <w:pPr>
              <w:keepNext/>
              <w:spacing w:after="0"/>
              <w:jc w:val="center"/>
            </w:pPr>
            <w:r>
              <w:t xml:space="preserve">Si se cree que el valor del subyacente va a </w:t>
            </w:r>
            <w:r w:rsidRPr="001A1D5F">
              <w:rPr>
                <w:b/>
                <w:bCs/>
              </w:rPr>
              <w:t>subir</w:t>
            </w:r>
            <w:r w:rsidRPr="001A1D5F">
              <w:t>.</w:t>
            </w:r>
          </w:p>
          <w:p w14:paraId="19E97C3E" w14:textId="77777777" w:rsidR="00875950" w:rsidRDefault="00875950" w:rsidP="007C5659">
            <w:pPr>
              <w:spacing w:after="0"/>
              <w:jc w:val="center"/>
            </w:pPr>
            <w:r>
              <w:rPr>
                <w:noProof/>
              </w:rPr>
              <w:drawing>
                <wp:inline distT="0" distB="0" distL="0" distR="0" wp14:anchorId="5B9D7A62" wp14:editId="436CD718">
                  <wp:extent cx="1844810" cy="1584000"/>
                  <wp:effectExtent l="0" t="0" r="3175" b="0"/>
                  <wp:docPr id="30" name="Imagen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Diagrama&#10;&#10;Descripción generada automáticamente"/>
                          <pic:cNvPicPr/>
                        </pic:nvPicPr>
                        <pic:blipFill rotWithShape="1">
                          <a:blip r:embed="rId23" cstate="print">
                            <a:extLst>
                              <a:ext uri="{28A0092B-C50C-407E-A947-70E740481C1C}">
                                <a14:useLocalDpi xmlns:a14="http://schemas.microsoft.com/office/drawing/2010/main" val="0"/>
                              </a:ext>
                            </a:extLst>
                          </a:blip>
                          <a:srcRect l="13630" r="25729" b="7435"/>
                          <a:stretch/>
                        </pic:blipFill>
                        <pic:spPr bwMode="auto">
                          <a:xfrm>
                            <a:off x="0" y="0"/>
                            <a:ext cx="1844810" cy="1584000"/>
                          </a:xfrm>
                          <a:prstGeom prst="rect">
                            <a:avLst/>
                          </a:prstGeom>
                          <a:ln>
                            <a:noFill/>
                          </a:ln>
                          <a:extLst>
                            <a:ext uri="{53640926-AAD7-44D8-BBD7-CCE9431645EC}">
                              <a14:shadowObscured xmlns:a14="http://schemas.microsoft.com/office/drawing/2010/main"/>
                            </a:ext>
                          </a:extLst>
                        </pic:spPr>
                      </pic:pic>
                    </a:graphicData>
                  </a:graphic>
                </wp:inline>
              </w:drawing>
            </w:r>
          </w:p>
        </w:tc>
        <w:tc>
          <w:tcPr>
            <w:tcW w:w="3340" w:type="dxa"/>
            <w:tcBorders>
              <w:top w:val="single" w:sz="6" w:space="0" w:color="5F2987"/>
              <w:left w:val="single" w:sz="6" w:space="0" w:color="5F2987"/>
              <w:bottom w:val="single" w:sz="6" w:space="0" w:color="5F2987"/>
            </w:tcBorders>
            <w:vAlign w:val="bottom"/>
          </w:tcPr>
          <w:p w14:paraId="2D5028DF" w14:textId="77777777" w:rsidR="00875950" w:rsidRDefault="00875950" w:rsidP="007C5659">
            <w:pPr>
              <w:keepNext/>
              <w:spacing w:after="0"/>
              <w:jc w:val="center"/>
            </w:pPr>
            <w:r>
              <w:t xml:space="preserve">Si se cree que el valor del subyacente va a </w:t>
            </w:r>
            <w:r>
              <w:rPr>
                <w:b/>
                <w:bCs/>
              </w:rPr>
              <w:t>bajar</w:t>
            </w:r>
            <w:r w:rsidRPr="001A1D5F">
              <w:t>.</w:t>
            </w:r>
          </w:p>
          <w:p w14:paraId="773CBE63" w14:textId="77777777" w:rsidR="00875950" w:rsidRDefault="00875950" w:rsidP="007C5659">
            <w:pPr>
              <w:spacing w:after="0"/>
              <w:jc w:val="center"/>
            </w:pPr>
            <w:r>
              <w:rPr>
                <w:noProof/>
              </w:rPr>
              <w:drawing>
                <wp:inline distT="0" distB="0" distL="0" distR="0" wp14:anchorId="41849739" wp14:editId="16AA47F1">
                  <wp:extent cx="1984237" cy="1584000"/>
                  <wp:effectExtent l="0" t="0" r="0" b="0"/>
                  <wp:docPr id="28" name="Imagen 2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magen que contiene Diagrama&#10;&#10;Descripción generada automáticamente"/>
                          <pic:cNvPicPr/>
                        </pic:nvPicPr>
                        <pic:blipFill rotWithShape="1">
                          <a:blip r:embed="rId24" cstate="print">
                            <a:extLst>
                              <a:ext uri="{28A0092B-C50C-407E-A947-70E740481C1C}">
                                <a14:useLocalDpi xmlns:a14="http://schemas.microsoft.com/office/drawing/2010/main" val="0"/>
                              </a:ext>
                            </a:extLst>
                          </a:blip>
                          <a:srcRect l="12613" r="21875" b="7027"/>
                          <a:stretch/>
                        </pic:blipFill>
                        <pic:spPr bwMode="auto">
                          <a:xfrm>
                            <a:off x="0" y="0"/>
                            <a:ext cx="1984237" cy="1584000"/>
                          </a:xfrm>
                          <a:prstGeom prst="rect">
                            <a:avLst/>
                          </a:prstGeom>
                          <a:ln>
                            <a:noFill/>
                          </a:ln>
                          <a:extLst>
                            <a:ext uri="{53640926-AAD7-44D8-BBD7-CCE9431645EC}">
                              <a14:shadowObscured xmlns:a14="http://schemas.microsoft.com/office/drawing/2010/main"/>
                            </a:ext>
                          </a:extLst>
                        </pic:spPr>
                      </pic:pic>
                    </a:graphicData>
                  </a:graphic>
                </wp:inline>
              </w:drawing>
            </w:r>
          </w:p>
        </w:tc>
      </w:tr>
      <w:tr w:rsidR="00875950" w14:paraId="7459FD67" w14:textId="77777777" w:rsidTr="007C5659">
        <w:trPr>
          <w:jc w:val="center"/>
        </w:trPr>
        <w:tc>
          <w:tcPr>
            <w:tcW w:w="1134" w:type="dxa"/>
            <w:tcBorders>
              <w:top w:val="single" w:sz="6" w:space="0" w:color="5F2987"/>
              <w:bottom w:val="single" w:sz="18" w:space="0" w:color="5F2987"/>
              <w:right w:val="single" w:sz="6" w:space="0" w:color="5F2987"/>
            </w:tcBorders>
            <w:shd w:val="clear" w:color="auto" w:fill="E2EFD9" w:themeFill="accent6" w:themeFillTint="33"/>
            <w:vAlign w:val="center"/>
          </w:tcPr>
          <w:p w14:paraId="4D5E8137" w14:textId="77777777" w:rsidR="00875950" w:rsidRPr="001A1D5F" w:rsidRDefault="00875950" w:rsidP="007C5659">
            <w:pPr>
              <w:spacing w:after="0"/>
              <w:jc w:val="right"/>
              <w:rPr>
                <w:i/>
                <w:iCs/>
              </w:rPr>
            </w:pPr>
            <w:proofErr w:type="spellStart"/>
            <w:r w:rsidRPr="001A1D5F">
              <w:rPr>
                <w:i/>
                <w:iCs/>
              </w:rPr>
              <w:t>Put</w:t>
            </w:r>
            <w:proofErr w:type="spellEnd"/>
          </w:p>
        </w:tc>
        <w:tc>
          <w:tcPr>
            <w:tcW w:w="3336" w:type="dxa"/>
            <w:tcBorders>
              <w:top w:val="single" w:sz="6" w:space="0" w:color="5F2987"/>
              <w:left w:val="single" w:sz="6" w:space="0" w:color="5F2987"/>
              <w:bottom w:val="single" w:sz="18" w:space="0" w:color="5F2987"/>
              <w:right w:val="single" w:sz="6" w:space="0" w:color="5F2987"/>
            </w:tcBorders>
            <w:vAlign w:val="bottom"/>
          </w:tcPr>
          <w:p w14:paraId="3D8FF4AC" w14:textId="77777777" w:rsidR="00875950" w:rsidRDefault="00875950" w:rsidP="007C5659">
            <w:pPr>
              <w:keepNext/>
              <w:spacing w:after="0"/>
              <w:jc w:val="center"/>
            </w:pPr>
            <w:r>
              <w:t xml:space="preserve">Si se cree que el valor del subyacente va a </w:t>
            </w:r>
            <w:r>
              <w:rPr>
                <w:b/>
                <w:bCs/>
              </w:rPr>
              <w:t>bajar</w:t>
            </w:r>
            <w:r w:rsidRPr="001A1D5F">
              <w:t>.</w:t>
            </w:r>
          </w:p>
          <w:p w14:paraId="56AA2E38" w14:textId="77777777" w:rsidR="00875950" w:rsidRDefault="00875950" w:rsidP="007C5659">
            <w:pPr>
              <w:spacing w:after="0"/>
              <w:jc w:val="center"/>
            </w:pPr>
            <w:r>
              <w:rPr>
                <w:noProof/>
              </w:rPr>
              <w:drawing>
                <wp:inline distT="0" distB="0" distL="0" distR="0" wp14:anchorId="1D96A10D" wp14:editId="36AD218D">
                  <wp:extent cx="1979339" cy="1584000"/>
                  <wp:effectExtent l="0" t="0" r="1905" b="0"/>
                  <wp:docPr id="27" name="Imagen 2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Diagrama&#10;&#10;Descripción generada automáticamente"/>
                          <pic:cNvPicPr/>
                        </pic:nvPicPr>
                        <pic:blipFill rotWithShape="1">
                          <a:blip r:embed="rId25" cstate="print">
                            <a:extLst>
                              <a:ext uri="{28A0092B-C50C-407E-A947-70E740481C1C}">
                                <a14:useLocalDpi xmlns:a14="http://schemas.microsoft.com/office/drawing/2010/main" val="0"/>
                              </a:ext>
                            </a:extLst>
                          </a:blip>
                          <a:srcRect l="11290" r="23198" b="6796"/>
                          <a:stretch/>
                        </pic:blipFill>
                        <pic:spPr bwMode="auto">
                          <a:xfrm>
                            <a:off x="0" y="0"/>
                            <a:ext cx="1979339" cy="1584000"/>
                          </a:xfrm>
                          <a:prstGeom prst="rect">
                            <a:avLst/>
                          </a:prstGeom>
                          <a:ln>
                            <a:noFill/>
                          </a:ln>
                          <a:extLst>
                            <a:ext uri="{53640926-AAD7-44D8-BBD7-CCE9431645EC}">
                              <a14:shadowObscured xmlns:a14="http://schemas.microsoft.com/office/drawing/2010/main"/>
                            </a:ext>
                          </a:extLst>
                        </pic:spPr>
                      </pic:pic>
                    </a:graphicData>
                  </a:graphic>
                </wp:inline>
              </w:drawing>
            </w:r>
          </w:p>
        </w:tc>
        <w:tc>
          <w:tcPr>
            <w:tcW w:w="3340" w:type="dxa"/>
            <w:tcBorders>
              <w:top w:val="single" w:sz="6" w:space="0" w:color="5F2987"/>
              <w:left w:val="single" w:sz="6" w:space="0" w:color="5F2987"/>
              <w:bottom w:val="single" w:sz="18" w:space="0" w:color="5F2987"/>
            </w:tcBorders>
            <w:vAlign w:val="bottom"/>
          </w:tcPr>
          <w:p w14:paraId="59BBFBF9" w14:textId="77777777" w:rsidR="00875950" w:rsidRDefault="00875950" w:rsidP="007C5659">
            <w:pPr>
              <w:keepNext/>
              <w:spacing w:after="0"/>
              <w:jc w:val="center"/>
            </w:pPr>
            <w:r>
              <w:t xml:space="preserve">Si se cree que el valor del subyacente va a </w:t>
            </w:r>
            <w:r w:rsidRPr="001A1D5F">
              <w:rPr>
                <w:b/>
                <w:bCs/>
              </w:rPr>
              <w:t>subir</w:t>
            </w:r>
            <w:r w:rsidRPr="001A1D5F">
              <w:t>.</w:t>
            </w:r>
          </w:p>
          <w:p w14:paraId="1BBE734C" w14:textId="77777777" w:rsidR="00875950" w:rsidRDefault="00875950" w:rsidP="007C5659">
            <w:pPr>
              <w:spacing w:after="0"/>
              <w:jc w:val="center"/>
            </w:pPr>
            <w:r>
              <w:rPr>
                <w:noProof/>
              </w:rPr>
              <w:drawing>
                <wp:inline distT="0" distB="0" distL="0" distR="0" wp14:anchorId="2AECF00C" wp14:editId="5EC1BD52">
                  <wp:extent cx="1912980" cy="1584000"/>
                  <wp:effectExtent l="0" t="0" r="0" b="0"/>
                  <wp:docPr id="26" name="Imagen 2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Diagrama&#10;&#10;Descripción generada automáticamente con confianza media"/>
                          <pic:cNvPicPr/>
                        </pic:nvPicPr>
                        <pic:blipFill>
                          <a:blip r:embed="rId26"/>
                          <a:stretch>
                            <a:fillRect/>
                          </a:stretch>
                        </pic:blipFill>
                        <pic:spPr>
                          <a:xfrm>
                            <a:off x="0" y="0"/>
                            <a:ext cx="1912980" cy="1584000"/>
                          </a:xfrm>
                          <a:prstGeom prst="rect">
                            <a:avLst/>
                          </a:prstGeom>
                        </pic:spPr>
                      </pic:pic>
                    </a:graphicData>
                  </a:graphic>
                </wp:inline>
              </w:drawing>
            </w:r>
          </w:p>
        </w:tc>
      </w:tr>
    </w:tbl>
    <w:p w14:paraId="3B5B4D9B" w14:textId="342A1A62" w:rsidR="00875950" w:rsidRDefault="00875950" w:rsidP="00875950">
      <w:pPr>
        <w:pStyle w:val="Ttuloimagen"/>
      </w:pPr>
      <w:bookmarkStart w:id="47" w:name="_Toc131840475"/>
      <w:r>
        <w:t>Imagen </w:t>
      </w:r>
      <w:r>
        <w:fldChar w:fldCharType="begin"/>
      </w:r>
      <w:r>
        <w:instrText xml:space="preserve"> SEQ Ilustración \* ARABIC </w:instrText>
      </w:r>
      <w:r>
        <w:fldChar w:fldCharType="separate"/>
      </w:r>
      <w:r w:rsidR="003F2FF6">
        <w:t>7</w:t>
      </w:r>
      <w:r>
        <w:fldChar w:fldCharType="end"/>
      </w:r>
      <w:r w:rsidRPr="00D70DD1">
        <w:rPr>
          <w:smallCaps w:val="0"/>
        </w:rPr>
        <w:t xml:space="preserve">.– </w:t>
      </w:r>
      <w:r w:rsidRPr="00D70DD1">
        <w:rPr>
          <w:i/>
          <w:iCs/>
          <w:smallCaps w:val="0"/>
        </w:rPr>
        <w:t>Es</w:t>
      </w:r>
      <w:r>
        <w:rPr>
          <w:i/>
          <w:iCs/>
          <w:smallCaps w:val="0"/>
        </w:rPr>
        <w:t>quema de pagos de las distintas estrategias simples</w:t>
      </w:r>
    </w:p>
    <w:p w14:paraId="38BD1072" w14:textId="77777777" w:rsidR="00875950" w:rsidRDefault="00875950" w:rsidP="00875950">
      <w:pPr>
        <w:pStyle w:val="Imagen"/>
      </w:pPr>
      <w:r>
        <w:drawing>
          <wp:inline distT="0" distB="0" distL="0" distR="0" wp14:anchorId="4988DF23" wp14:editId="22E50E38">
            <wp:extent cx="4163291" cy="3599180"/>
            <wp:effectExtent l="0" t="0" r="8890" b="1270"/>
            <wp:docPr id="2141072344" name="Imagen 1"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72344" name="Imagen 1" descr="Gráfico&#10;&#10;Descripción generada automáticamente con confianza media"/>
                    <pic:cNvPicPr/>
                  </pic:nvPicPr>
                  <pic:blipFill rotWithShape="1">
                    <a:blip r:embed="rId27"/>
                    <a:srcRect l="13958" r="25684" b="7229"/>
                    <a:stretch/>
                  </pic:blipFill>
                  <pic:spPr bwMode="auto">
                    <a:xfrm>
                      <a:off x="0" y="0"/>
                      <a:ext cx="4164240" cy="3600000"/>
                    </a:xfrm>
                    <a:prstGeom prst="rect">
                      <a:avLst/>
                    </a:prstGeom>
                    <a:ln>
                      <a:noFill/>
                    </a:ln>
                    <a:extLst>
                      <a:ext uri="{53640926-AAD7-44D8-BBD7-CCE9431645EC}">
                        <a14:shadowObscured xmlns:a14="http://schemas.microsoft.com/office/drawing/2010/main"/>
                      </a:ext>
                    </a:extLst>
                  </pic:spPr>
                </pic:pic>
              </a:graphicData>
            </a:graphic>
          </wp:inline>
        </w:drawing>
      </w:r>
    </w:p>
    <w:p w14:paraId="482CB6C9" w14:textId="77777777" w:rsidR="00875950" w:rsidRPr="00D70DD1" w:rsidRDefault="00875950" w:rsidP="00875950">
      <w:pPr>
        <w:pStyle w:val="PiedeImagen"/>
        <w:rPr>
          <w:i w:val="0"/>
          <w:iCs/>
        </w:rPr>
      </w:pPr>
      <w:r>
        <w:t>Fuente</w:t>
      </w:r>
      <w:r>
        <w:rPr>
          <w:i w:val="0"/>
          <w:iCs/>
        </w:rPr>
        <w:t>: Elaboración propia</w:t>
      </w:r>
    </w:p>
    <w:p w14:paraId="766D20E5" w14:textId="77777777" w:rsidR="00875950" w:rsidRDefault="00875950" w:rsidP="00875950">
      <w:pPr>
        <w:pStyle w:val="Ttulo6"/>
      </w:pPr>
      <w:r>
        <w:lastRenderedPageBreak/>
        <w:t>Estrategias complejas</w:t>
      </w:r>
      <w:bookmarkEnd w:id="47"/>
    </w:p>
    <w:p w14:paraId="5393F643" w14:textId="77777777" w:rsidR="00875950" w:rsidRDefault="00875950" w:rsidP="00875950">
      <w:pPr>
        <w:pStyle w:val="Nivel1SM"/>
        <w:spacing w:before="0"/>
      </w:pPr>
      <w:r>
        <w:t xml:space="preserve">Se trata de </w:t>
      </w:r>
      <w:proofErr w:type="gramStart"/>
      <w:r w:rsidRPr="00AD6480">
        <w:rPr>
          <w:u w:val="single"/>
        </w:rPr>
        <w:t>solamente</w:t>
      </w:r>
      <w:proofErr w:type="gramEnd"/>
      <w:r w:rsidRPr="00AD6480">
        <w:rPr>
          <w:u w:val="single"/>
        </w:rPr>
        <w:t xml:space="preserve"> comprar o solamente vender simultáneamente opciones </w:t>
      </w:r>
      <w:proofErr w:type="spellStart"/>
      <w:r w:rsidRPr="00AD6480">
        <w:rPr>
          <w:i/>
          <w:iCs/>
          <w:u w:val="single"/>
        </w:rPr>
        <w:t>call</w:t>
      </w:r>
      <w:proofErr w:type="spellEnd"/>
      <w:r w:rsidRPr="00AD6480">
        <w:rPr>
          <w:u w:val="single"/>
        </w:rPr>
        <w:t xml:space="preserve"> y </w:t>
      </w:r>
      <w:proofErr w:type="spellStart"/>
      <w:r w:rsidRPr="00AD6480">
        <w:rPr>
          <w:i/>
          <w:iCs/>
          <w:u w:val="single"/>
        </w:rPr>
        <w:t>put</w:t>
      </w:r>
      <w:proofErr w:type="spellEnd"/>
      <w:r w:rsidRPr="00AD6480">
        <w:rPr>
          <w:u w:val="single"/>
        </w:rPr>
        <w:t xml:space="preserve"> sobre el mismo activo subyacente, con la misma fecha de vencimiento y al mismo precio de ejercicio</w:t>
      </w:r>
      <w:r>
        <w:t>.</w:t>
      </w:r>
    </w:p>
    <w:p w14:paraId="6E5B58F4" w14:textId="407ECB8C" w:rsidR="00875950" w:rsidRDefault="00875950" w:rsidP="00875950">
      <w:pPr>
        <w:pStyle w:val="Nivel1SM"/>
        <w:keepNext/>
        <w:keepLines/>
        <w:spacing w:after="60"/>
      </w:pPr>
      <w:r>
        <w:t xml:space="preserve">Nos centraremos en el caso de </w:t>
      </w:r>
      <w:r w:rsidRPr="00FB571E">
        <w:t>comprar</w:t>
      </w:r>
      <w:r>
        <w:t xml:space="preserve"> simultáneamente opciones </w:t>
      </w:r>
      <w:proofErr w:type="spellStart"/>
      <w:r>
        <w:t>call</w:t>
      </w:r>
      <w:proofErr w:type="spellEnd"/>
      <w:r>
        <w:t xml:space="preserve"> y opciones </w:t>
      </w:r>
      <w:proofErr w:type="spellStart"/>
      <w:r>
        <w:t>put</w:t>
      </w:r>
      <w:proofErr w:type="spellEnd"/>
      <w:r>
        <w:t xml:space="preserve">, por lo que como veremos son apropiadas para cuando se espera una gran volatilidad del precio del subyacente, pero no se sabe en qué sentido evolucionará (lo contrario sucederá en caso de vender simultáneamente opciones </w:t>
      </w:r>
      <w:proofErr w:type="spellStart"/>
      <w:r>
        <w:t>call</w:t>
      </w:r>
      <w:proofErr w:type="spellEnd"/>
      <w:r>
        <w:t xml:space="preserve"> y opciones </w:t>
      </w:r>
      <w:proofErr w:type="spellStart"/>
      <w:r>
        <w:t>put</w:t>
      </w:r>
      <w:proofErr w:type="spellEnd"/>
      <w:r>
        <w:t>).</w:t>
      </w:r>
    </w:p>
    <w:tbl>
      <w:tblPr>
        <w:tblStyle w:val="Tablaconcuadrcula"/>
        <w:tblW w:w="1031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7"/>
        <w:gridCol w:w="3246"/>
      </w:tblGrid>
      <w:tr w:rsidR="00875950" w14:paraId="683873E1" w14:textId="77777777" w:rsidTr="007C5659">
        <w:trPr>
          <w:trHeight w:val="2608"/>
        </w:trPr>
        <w:tc>
          <w:tcPr>
            <w:tcW w:w="7093" w:type="dxa"/>
          </w:tcPr>
          <w:p w14:paraId="41708911" w14:textId="77777777" w:rsidR="00875950" w:rsidRDefault="00875950" w:rsidP="007C5659">
            <w:pPr>
              <w:pStyle w:val="Letra"/>
              <w:spacing w:after="60"/>
              <w:ind w:left="454" w:hanging="284"/>
            </w:pPr>
            <w:proofErr w:type="spellStart"/>
            <w:r w:rsidRPr="001475BB">
              <w:rPr>
                <w:i/>
                <w:iCs/>
                <w:u w:val="single"/>
              </w:rPr>
              <w:t>Straddle</w:t>
            </w:r>
            <w:proofErr w:type="spellEnd"/>
            <w:r>
              <w:t xml:space="preserve">: Consiste en comprar simultáneamente </w:t>
            </w:r>
            <w:r w:rsidRPr="001475BB">
              <w:rPr>
                <w:u w:val="single"/>
              </w:rPr>
              <w:t>una</w:t>
            </w:r>
            <w:r>
              <w:t xml:space="preserve"> opción </w:t>
            </w:r>
            <w:proofErr w:type="spellStart"/>
            <w:r w:rsidRPr="001475BB">
              <w:rPr>
                <w:i/>
                <w:iCs/>
              </w:rPr>
              <w:t>call</w:t>
            </w:r>
            <w:proofErr w:type="spellEnd"/>
            <w:r>
              <w:t xml:space="preserve"> y </w:t>
            </w:r>
            <w:r w:rsidRPr="001475BB">
              <w:rPr>
                <w:u w:val="single"/>
              </w:rPr>
              <w:t>una</w:t>
            </w:r>
            <w:r>
              <w:t xml:space="preserve"> opción </w:t>
            </w:r>
            <w:proofErr w:type="spellStart"/>
            <w:r w:rsidRPr="001475BB">
              <w:rPr>
                <w:i/>
                <w:iCs/>
              </w:rPr>
              <w:t>put</w:t>
            </w:r>
            <w:proofErr w:type="spellEnd"/>
            <w:r>
              <w:t xml:space="preserve">, sobre el mismo activo subyacente, con el mismo precio de ejercicio y la misma fecha de vencimiento. Esto da lugar a un perfil en el cual se obtienen beneficios para valores </w:t>
            </w:r>
            <w:proofErr w:type="gramStart"/>
            <w:r>
              <w:t>muy altos o muy bajos</w:t>
            </w:r>
            <w:proofErr w:type="gramEnd"/>
            <w:r>
              <w:t xml:space="preserve"> del activo subyacente, pero pérdidas derivadas del pago de las primas en caso de valor intermedio. Por lo tanto, esta estrategia es apropiada cuando se espera una gran volatilidad en el precio del activo subyacente y se desconoce qué dirección podría tomar dicha variabilidad.</w:t>
            </w:r>
          </w:p>
        </w:tc>
        <w:tc>
          <w:tcPr>
            <w:tcW w:w="3220" w:type="dxa"/>
            <w:vAlign w:val="center"/>
          </w:tcPr>
          <w:p w14:paraId="154737E8" w14:textId="77777777" w:rsidR="00875950" w:rsidRDefault="00875950" w:rsidP="007C5659">
            <w:pPr>
              <w:spacing w:after="0"/>
              <w:jc w:val="center"/>
            </w:pPr>
            <w:r>
              <w:rPr>
                <w:noProof/>
              </w:rPr>
              <w:drawing>
                <wp:inline distT="0" distB="0" distL="0" distR="0" wp14:anchorId="485F3F47" wp14:editId="090B64D5">
                  <wp:extent cx="1917812" cy="1620000"/>
                  <wp:effectExtent l="0" t="0" r="6350" b="0"/>
                  <wp:docPr id="22" name="Imagen 2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 Gráfico de líneas&#10;&#10;Descripción generada automáticamente"/>
                          <pic:cNvPicPr/>
                        </pic:nvPicPr>
                        <pic:blipFill rotWithShape="1">
                          <a:blip r:embed="rId28"/>
                          <a:srcRect l="13548" r="24534" b="7011"/>
                          <a:stretch/>
                        </pic:blipFill>
                        <pic:spPr bwMode="auto">
                          <a:xfrm>
                            <a:off x="0" y="0"/>
                            <a:ext cx="1917812"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875950" w14:paraId="584DBC6E" w14:textId="77777777" w:rsidTr="007C5659">
        <w:trPr>
          <w:trHeight w:val="2835"/>
        </w:trPr>
        <w:tc>
          <w:tcPr>
            <w:tcW w:w="7093" w:type="dxa"/>
          </w:tcPr>
          <w:p w14:paraId="58C26C35" w14:textId="77777777" w:rsidR="00875950" w:rsidRDefault="00875950" w:rsidP="007C5659">
            <w:pPr>
              <w:pStyle w:val="Letra"/>
              <w:spacing w:after="60"/>
              <w:ind w:left="454" w:hanging="284"/>
            </w:pPr>
            <w:proofErr w:type="spellStart"/>
            <w:r w:rsidRPr="001475BB">
              <w:rPr>
                <w:i/>
                <w:iCs/>
                <w:u w:val="single"/>
              </w:rPr>
              <w:t>Strap</w:t>
            </w:r>
            <w:proofErr w:type="spellEnd"/>
            <w:r>
              <w:t xml:space="preserve">: Consiste en comprar simultáneamente </w:t>
            </w:r>
            <w:r w:rsidRPr="001475BB">
              <w:rPr>
                <w:u w:val="single"/>
              </w:rPr>
              <w:t>dos</w:t>
            </w:r>
            <w:r>
              <w:t xml:space="preserve"> opciones </w:t>
            </w:r>
            <w:proofErr w:type="spellStart"/>
            <w:r w:rsidRPr="001475BB">
              <w:rPr>
                <w:i/>
                <w:iCs/>
              </w:rPr>
              <w:t>call</w:t>
            </w:r>
            <w:proofErr w:type="spellEnd"/>
            <w:r>
              <w:t xml:space="preserve"> y </w:t>
            </w:r>
            <w:r w:rsidRPr="001475BB">
              <w:rPr>
                <w:u w:val="single"/>
              </w:rPr>
              <w:t>una</w:t>
            </w:r>
            <w:r>
              <w:t xml:space="preserve"> opción </w:t>
            </w:r>
            <w:proofErr w:type="spellStart"/>
            <w:r w:rsidRPr="001475BB">
              <w:rPr>
                <w:i/>
                <w:iCs/>
              </w:rPr>
              <w:t>put</w:t>
            </w:r>
            <w:proofErr w:type="spellEnd"/>
            <w:r>
              <w:t xml:space="preserve">, sobre el mismo activo subyacente, con el mismo precio de ejercicio y la misma fecha de vencimiento. Esto da lugar a un perfil en el cual se obtienen beneficios para valores </w:t>
            </w:r>
            <w:proofErr w:type="gramStart"/>
            <w:r>
              <w:t>muy altos o muy bajos</w:t>
            </w:r>
            <w:proofErr w:type="gramEnd"/>
            <w:r>
              <w:t xml:space="preserve"> del activo subyacente (mayores beneficios si el valor es muy alto), pero pérdidas derivadas del pago de las primas en caso de valor intermedio. Por lo tanto, esta estrategia es apropiada cuando se espera una gran volatilidad en el precio del activo subyacente y se desconoce qué dirección podría tomar dicha variabilidad, pero </w:t>
            </w:r>
            <w:r w:rsidRPr="001475BB">
              <w:rPr>
                <w:i/>
                <w:iCs/>
              </w:rPr>
              <w:t>se ve más probable una tendencia alcista</w:t>
            </w:r>
            <w:r>
              <w:t>.</w:t>
            </w:r>
          </w:p>
        </w:tc>
        <w:tc>
          <w:tcPr>
            <w:tcW w:w="3220" w:type="dxa"/>
            <w:vAlign w:val="center"/>
          </w:tcPr>
          <w:p w14:paraId="35BE158E" w14:textId="77777777" w:rsidR="00875950" w:rsidRDefault="00875950" w:rsidP="007C5659">
            <w:pPr>
              <w:spacing w:after="0"/>
              <w:jc w:val="center"/>
            </w:pPr>
            <w:r>
              <w:rPr>
                <w:noProof/>
              </w:rPr>
              <w:drawing>
                <wp:inline distT="0" distB="0" distL="0" distR="0" wp14:anchorId="1527F149" wp14:editId="38602FF2">
                  <wp:extent cx="1920442" cy="1620000"/>
                  <wp:effectExtent l="0" t="0" r="3810" b="0"/>
                  <wp:docPr id="23" name="Imagen 2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10;&#10;Descripción generada automáticamente"/>
                          <pic:cNvPicPr/>
                        </pic:nvPicPr>
                        <pic:blipFill rotWithShape="1">
                          <a:blip r:embed="rId29"/>
                          <a:srcRect l="13421" r="25034" b="7698"/>
                          <a:stretch/>
                        </pic:blipFill>
                        <pic:spPr bwMode="auto">
                          <a:xfrm>
                            <a:off x="0" y="0"/>
                            <a:ext cx="1920442"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875950" w14:paraId="23951F83" w14:textId="77777777" w:rsidTr="007C5659">
        <w:trPr>
          <w:trHeight w:val="2948"/>
        </w:trPr>
        <w:tc>
          <w:tcPr>
            <w:tcW w:w="7093" w:type="dxa"/>
          </w:tcPr>
          <w:p w14:paraId="3942AB9E" w14:textId="77777777" w:rsidR="00875950" w:rsidRDefault="00875950" w:rsidP="007C5659">
            <w:pPr>
              <w:pStyle w:val="Letra"/>
              <w:spacing w:after="60"/>
              <w:ind w:left="454" w:hanging="284"/>
            </w:pPr>
            <w:proofErr w:type="spellStart"/>
            <w:r w:rsidRPr="001475BB">
              <w:rPr>
                <w:i/>
                <w:iCs/>
                <w:u w:val="single"/>
              </w:rPr>
              <w:t>Strip</w:t>
            </w:r>
            <w:proofErr w:type="spellEnd"/>
            <w:r w:rsidRPr="003F51BA">
              <w:t xml:space="preserve">: Similar al </w:t>
            </w:r>
            <w:proofErr w:type="spellStart"/>
            <w:r w:rsidRPr="001475BB">
              <w:rPr>
                <w:i/>
                <w:iCs/>
              </w:rPr>
              <w:t>strap</w:t>
            </w:r>
            <w:proofErr w:type="spellEnd"/>
            <w:r w:rsidRPr="003F51BA">
              <w:t xml:space="preserve"> pero </w:t>
            </w:r>
            <w:r>
              <w:t xml:space="preserve">al revés. Consiste en comprar simultáneamente </w:t>
            </w:r>
            <w:r w:rsidRPr="001475BB">
              <w:rPr>
                <w:u w:val="single"/>
              </w:rPr>
              <w:t>una</w:t>
            </w:r>
            <w:r>
              <w:t xml:space="preserve"> opción </w:t>
            </w:r>
            <w:proofErr w:type="spellStart"/>
            <w:r w:rsidRPr="001475BB">
              <w:rPr>
                <w:i/>
                <w:iCs/>
              </w:rPr>
              <w:t>call</w:t>
            </w:r>
            <w:proofErr w:type="spellEnd"/>
            <w:r>
              <w:t xml:space="preserve"> y </w:t>
            </w:r>
            <w:r w:rsidRPr="001475BB">
              <w:rPr>
                <w:u w:val="single"/>
              </w:rPr>
              <w:t>dos</w:t>
            </w:r>
            <w:r>
              <w:t xml:space="preserve"> opciones </w:t>
            </w:r>
            <w:proofErr w:type="spellStart"/>
            <w:r w:rsidRPr="001475BB">
              <w:rPr>
                <w:i/>
                <w:iCs/>
              </w:rPr>
              <w:t>put</w:t>
            </w:r>
            <w:proofErr w:type="spellEnd"/>
            <w:r>
              <w:t xml:space="preserve">, sobre el mismo activo subyacente, con el mismo precio de ejercicio y la misma fecha de vencimiento. Esto da lugar a un perfil en el cual se obtienen beneficios para valores </w:t>
            </w:r>
            <w:proofErr w:type="gramStart"/>
            <w:r>
              <w:t>muy altos o muy bajos</w:t>
            </w:r>
            <w:proofErr w:type="gramEnd"/>
            <w:r>
              <w:t xml:space="preserve"> del activo subyacente (mayores beneficios si el valor es muy bajo), pero pérdidas derivadas del pago de las primas en caso de valor intermedio. Por lo tanto, esta estrategia es apropiada cuando se espera una gran volatilidad en el precio del activo subyacente y se desconoce qué dirección podría tomar dicha variabilidad, pero </w:t>
            </w:r>
            <w:r w:rsidRPr="001475BB">
              <w:rPr>
                <w:i/>
                <w:iCs/>
              </w:rPr>
              <w:t>se ve más probable una tendencia bajista</w:t>
            </w:r>
            <w:r>
              <w:t>.</w:t>
            </w:r>
          </w:p>
        </w:tc>
        <w:tc>
          <w:tcPr>
            <w:tcW w:w="3220" w:type="dxa"/>
            <w:vAlign w:val="center"/>
          </w:tcPr>
          <w:p w14:paraId="4DBE9634" w14:textId="77777777" w:rsidR="00875950" w:rsidRDefault="00875950" w:rsidP="007C5659">
            <w:pPr>
              <w:spacing w:after="0"/>
              <w:jc w:val="center"/>
            </w:pPr>
            <w:r>
              <w:rPr>
                <w:noProof/>
              </w:rPr>
              <w:drawing>
                <wp:inline distT="0" distB="0" distL="0" distR="0" wp14:anchorId="5D1C3A1E" wp14:editId="1EEE7D9F">
                  <wp:extent cx="1918782" cy="1620000"/>
                  <wp:effectExtent l="0" t="0" r="5715" b="0"/>
                  <wp:docPr id="24" name="Imagen 2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Gráfico&#10;&#10;Descripción generada automáticamente"/>
                          <pic:cNvPicPr/>
                        </pic:nvPicPr>
                        <pic:blipFill rotWithShape="1">
                          <a:blip r:embed="rId30"/>
                          <a:srcRect l="14181" r="24180" b="7476"/>
                          <a:stretch/>
                        </pic:blipFill>
                        <pic:spPr bwMode="auto">
                          <a:xfrm>
                            <a:off x="0" y="0"/>
                            <a:ext cx="1918782" cy="162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AE6972B" w14:textId="77777777" w:rsidR="00875950" w:rsidRDefault="00875950" w:rsidP="00875950">
      <w:pPr>
        <w:pStyle w:val="Ttulo6"/>
      </w:pPr>
      <w:bookmarkStart w:id="48" w:name="_Toc131840476"/>
      <w:r>
        <w:t>Estrategias del diferencial</w:t>
      </w:r>
      <w:bookmarkEnd w:id="48"/>
    </w:p>
    <w:p w14:paraId="6B421766" w14:textId="77777777" w:rsidR="00875950" w:rsidRDefault="00875950" w:rsidP="00875950">
      <w:pPr>
        <w:pStyle w:val="Nivel1SM"/>
        <w:spacing w:before="0"/>
      </w:pPr>
      <w:r>
        <w:t xml:space="preserve">Se trata de </w:t>
      </w:r>
      <w:r w:rsidRPr="00AD6480">
        <w:rPr>
          <w:u w:val="single"/>
        </w:rPr>
        <w:t xml:space="preserve">comprar y vender simultáneamente </w:t>
      </w:r>
      <w:r w:rsidRPr="00976E3E">
        <w:rPr>
          <w:u w:val="single"/>
        </w:rPr>
        <w:t xml:space="preserve">solamente opciones </w:t>
      </w:r>
      <w:proofErr w:type="spellStart"/>
      <w:r w:rsidRPr="00976E3E">
        <w:rPr>
          <w:i/>
          <w:iCs/>
          <w:u w:val="single"/>
        </w:rPr>
        <w:t>call</w:t>
      </w:r>
      <w:proofErr w:type="spellEnd"/>
      <w:r w:rsidRPr="00976E3E">
        <w:rPr>
          <w:u w:val="single"/>
        </w:rPr>
        <w:t xml:space="preserve"> o solamente opciones </w:t>
      </w:r>
      <w:proofErr w:type="spellStart"/>
      <w:r w:rsidRPr="00976E3E">
        <w:rPr>
          <w:i/>
          <w:iCs/>
          <w:u w:val="single"/>
        </w:rPr>
        <w:t>put</w:t>
      </w:r>
      <w:proofErr w:type="spellEnd"/>
      <w:r w:rsidRPr="00976E3E">
        <w:rPr>
          <w:u w:val="single"/>
        </w:rPr>
        <w:t xml:space="preserve"> sobre el mismo activo financiero, con la misma fecha de vencimiento pero con diferente precio de ejercicio</w:t>
      </w:r>
      <w:r>
        <w:t>. Son apropiadas cuando se tienen expectativas no son muy sólidas, por lo que limitan las posibles pérdidas a cambio de limitar también las posibles ganancias.</w:t>
      </w:r>
    </w:p>
    <w:p w14:paraId="61888888" w14:textId="77777777" w:rsidR="00875950" w:rsidRDefault="00875950" w:rsidP="00875950">
      <w:pPr>
        <w:pStyle w:val="Nivel1SM"/>
        <w:keepNext/>
        <w:spacing w:after="0"/>
      </w:pPr>
      <w:r>
        <w:lastRenderedPageBreak/>
        <w:t xml:space="preserve">Para ilustrar estas estrategias nos vamos a centrar en el uso de </w:t>
      </w:r>
      <w:r w:rsidRPr="00EF7F60">
        <w:rPr>
          <w:u w:val="single"/>
        </w:rPr>
        <w:t xml:space="preserve">opciones </w:t>
      </w:r>
      <w:proofErr w:type="spellStart"/>
      <w:r w:rsidRPr="00EF7F60">
        <w:rPr>
          <w:i/>
          <w:iCs/>
          <w:u w:val="single"/>
        </w:rPr>
        <w:t>call</w:t>
      </w:r>
      <w:proofErr w:type="spellEnd"/>
      <w:r>
        <w:t>.</w:t>
      </w:r>
    </w:p>
    <w:tbl>
      <w:tblPr>
        <w:tblStyle w:val="Tablaconcuadrcula"/>
        <w:tblW w:w="1031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3"/>
        <w:gridCol w:w="3220"/>
      </w:tblGrid>
      <w:tr w:rsidR="00875950" w14:paraId="228C7FC2" w14:textId="77777777" w:rsidTr="007C5659">
        <w:trPr>
          <w:trHeight w:val="2693"/>
        </w:trPr>
        <w:tc>
          <w:tcPr>
            <w:tcW w:w="7093" w:type="dxa"/>
          </w:tcPr>
          <w:p w14:paraId="4DEAB993" w14:textId="77777777" w:rsidR="00875950" w:rsidRDefault="00875950">
            <w:pPr>
              <w:pStyle w:val="Letra"/>
              <w:keepNext/>
              <w:numPr>
                <w:ilvl w:val="0"/>
                <w:numId w:val="12"/>
              </w:numPr>
              <w:spacing w:after="0"/>
              <w:ind w:left="454" w:hanging="284"/>
            </w:pPr>
            <w:r w:rsidRPr="000E7B99">
              <w:rPr>
                <w:u w:val="single"/>
              </w:rPr>
              <w:t xml:space="preserve">Diferencial alcista o </w:t>
            </w:r>
            <w:proofErr w:type="spellStart"/>
            <w:r w:rsidRPr="000E7B99">
              <w:rPr>
                <w:i/>
                <w:iCs/>
                <w:u w:val="single"/>
              </w:rPr>
              <w:t>bull</w:t>
            </w:r>
            <w:proofErr w:type="spellEnd"/>
            <w:r w:rsidRPr="000E7B99">
              <w:rPr>
                <w:i/>
                <w:iCs/>
                <w:u w:val="single"/>
              </w:rPr>
              <w:t xml:space="preserve"> spread</w:t>
            </w:r>
            <w:r w:rsidRPr="009D5CA1">
              <w:t>:</w:t>
            </w:r>
            <w:r>
              <w:t xml:space="preserve"> Consiste en comprar una </w:t>
            </w:r>
            <w:proofErr w:type="spellStart"/>
            <w:r w:rsidRPr="00013E8F">
              <w:t>call</w:t>
            </w:r>
            <w:proofErr w:type="spellEnd"/>
            <w:r>
              <w:t xml:space="preserve"> a un precio de ejercicio bajo y vender una </w:t>
            </w:r>
            <w:proofErr w:type="spellStart"/>
            <w:r>
              <w:t>call</w:t>
            </w:r>
            <w:proofErr w:type="spellEnd"/>
            <w:r>
              <w:t xml:space="preserve"> a precio de ejercicio superior. Es útil cuando se desea comprar una opción </w:t>
            </w:r>
            <w:proofErr w:type="spellStart"/>
            <w:r>
              <w:t>call</w:t>
            </w:r>
            <w:proofErr w:type="spellEnd"/>
            <w:r>
              <w:t xml:space="preserve"> pero las expectativas alcistas no son muy sólidas (de hecho, si finalmente dichas expectativas alcistas no se materializan y el precio del subyacente no sube, el inversor amortiguará las pérdidas por la prima por comprar la </w:t>
            </w:r>
            <w:proofErr w:type="spellStart"/>
            <w:r w:rsidRPr="00013E8F">
              <w:t>call</w:t>
            </w:r>
            <w:proofErr w:type="spellEnd"/>
            <w:r>
              <w:t xml:space="preserve"> con los ingresos –menores– de la prima por vender la </w:t>
            </w:r>
            <w:proofErr w:type="spellStart"/>
            <w:r>
              <w:t>call</w:t>
            </w:r>
            <w:proofErr w:type="spellEnd"/>
            <w:r>
              <w:t xml:space="preserve">). Por lo tanto, el </w:t>
            </w:r>
            <w:proofErr w:type="spellStart"/>
            <w:r w:rsidRPr="000E7B99">
              <w:rPr>
                <w:i/>
                <w:iCs/>
              </w:rPr>
              <w:t>bull</w:t>
            </w:r>
            <w:proofErr w:type="spellEnd"/>
            <w:r w:rsidRPr="000E7B99">
              <w:rPr>
                <w:i/>
                <w:iCs/>
              </w:rPr>
              <w:t xml:space="preserve"> spread</w:t>
            </w:r>
            <w:r>
              <w:t xml:space="preserve"> limita las pérdidas potenciales (aunque también las ganancias potenciales).</w:t>
            </w:r>
          </w:p>
        </w:tc>
        <w:tc>
          <w:tcPr>
            <w:tcW w:w="3220" w:type="dxa"/>
            <w:vAlign w:val="center"/>
          </w:tcPr>
          <w:p w14:paraId="40DE1305" w14:textId="77777777" w:rsidR="00875950" w:rsidRDefault="00875950" w:rsidP="007C5659">
            <w:pPr>
              <w:spacing w:after="0"/>
              <w:jc w:val="center"/>
            </w:pPr>
            <w:r>
              <w:rPr>
                <w:noProof/>
              </w:rPr>
              <w:drawing>
                <wp:inline distT="0" distB="0" distL="0" distR="0" wp14:anchorId="3E5605BE" wp14:editId="052720B8">
                  <wp:extent cx="1908000" cy="1262249"/>
                  <wp:effectExtent l="0" t="0" r="0" b="0"/>
                  <wp:docPr id="36" name="Imagen 3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Gráfico, Gráfico de líneas&#10;&#10;Descripción generada automáticament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908000" cy="1262249"/>
                          </a:xfrm>
                          <a:prstGeom prst="rect">
                            <a:avLst/>
                          </a:prstGeom>
                          <a:noFill/>
                          <a:ln>
                            <a:noFill/>
                          </a:ln>
                        </pic:spPr>
                      </pic:pic>
                    </a:graphicData>
                  </a:graphic>
                </wp:inline>
              </w:drawing>
            </w:r>
          </w:p>
        </w:tc>
      </w:tr>
      <w:tr w:rsidR="00875950" w14:paraId="0A533C74" w14:textId="77777777" w:rsidTr="007C5659">
        <w:trPr>
          <w:trHeight w:val="2693"/>
        </w:trPr>
        <w:tc>
          <w:tcPr>
            <w:tcW w:w="7093" w:type="dxa"/>
          </w:tcPr>
          <w:p w14:paraId="030E0042" w14:textId="77777777" w:rsidR="00875950" w:rsidRDefault="00875950" w:rsidP="007C5659">
            <w:pPr>
              <w:pStyle w:val="Letra"/>
              <w:spacing w:after="0"/>
              <w:ind w:left="454" w:hanging="284"/>
            </w:pPr>
            <w:r w:rsidRPr="00F31AAF">
              <w:rPr>
                <w:u w:val="single"/>
              </w:rPr>
              <w:t xml:space="preserve">Diferencial bajista o </w:t>
            </w:r>
            <w:proofErr w:type="spellStart"/>
            <w:r w:rsidRPr="00F31AAF">
              <w:rPr>
                <w:i/>
                <w:iCs/>
                <w:u w:val="single"/>
              </w:rPr>
              <w:t>bear</w:t>
            </w:r>
            <w:proofErr w:type="spellEnd"/>
            <w:r w:rsidRPr="00F31AAF">
              <w:rPr>
                <w:i/>
                <w:iCs/>
                <w:u w:val="single"/>
              </w:rPr>
              <w:t xml:space="preserve"> spread</w:t>
            </w:r>
            <w:r>
              <w:t xml:space="preserve">: Consiste en comprar una </w:t>
            </w:r>
            <w:proofErr w:type="spellStart"/>
            <w:r>
              <w:t>call</w:t>
            </w:r>
            <w:proofErr w:type="spellEnd"/>
            <w:r>
              <w:t xml:space="preserve"> a un precio de ejercicio alto y vender una </w:t>
            </w:r>
            <w:proofErr w:type="spellStart"/>
            <w:r>
              <w:t>call</w:t>
            </w:r>
            <w:proofErr w:type="spellEnd"/>
            <w:r>
              <w:t xml:space="preserve"> a un precio de ejercicio inferior. Es útil cuando se desea vender una opción </w:t>
            </w:r>
            <w:proofErr w:type="spellStart"/>
            <w:r>
              <w:t>call</w:t>
            </w:r>
            <w:proofErr w:type="spellEnd"/>
            <w:r>
              <w:t xml:space="preserve"> pero las expectativas bajistas no son muy sólidas (de hecho, si finalmente dichas expectativas bajistas no se materializan y el precio del subyacente acaba subiendo, el inversor amortiguará las pérdidas por la prima por vender la </w:t>
            </w:r>
            <w:proofErr w:type="spellStart"/>
            <w:r w:rsidRPr="00013E8F">
              <w:t>call</w:t>
            </w:r>
            <w:proofErr w:type="spellEnd"/>
            <w:r>
              <w:t xml:space="preserve"> con los ingresos –menores– de la prima por comprar la </w:t>
            </w:r>
            <w:proofErr w:type="spellStart"/>
            <w:r>
              <w:t>call</w:t>
            </w:r>
            <w:proofErr w:type="spellEnd"/>
            <w:r>
              <w:t xml:space="preserve">). Por lo tanto, el </w:t>
            </w:r>
            <w:proofErr w:type="spellStart"/>
            <w:r w:rsidRPr="00F31AAF">
              <w:rPr>
                <w:i/>
                <w:iCs/>
              </w:rPr>
              <w:t>bear</w:t>
            </w:r>
            <w:proofErr w:type="spellEnd"/>
            <w:r w:rsidRPr="00F31AAF">
              <w:rPr>
                <w:i/>
                <w:iCs/>
              </w:rPr>
              <w:t xml:space="preserve"> spread</w:t>
            </w:r>
            <w:r>
              <w:t xml:space="preserve"> limita las pérdidas potenciales (aunque también las ganancias potenciales).</w:t>
            </w:r>
          </w:p>
        </w:tc>
        <w:tc>
          <w:tcPr>
            <w:tcW w:w="3220" w:type="dxa"/>
            <w:vAlign w:val="center"/>
          </w:tcPr>
          <w:p w14:paraId="4B2CA217" w14:textId="77777777" w:rsidR="00875950" w:rsidRDefault="00875950" w:rsidP="007C5659">
            <w:pPr>
              <w:spacing w:after="0"/>
              <w:jc w:val="center"/>
            </w:pPr>
            <w:r>
              <w:rPr>
                <w:noProof/>
              </w:rPr>
              <w:drawing>
                <wp:inline distT="0" distB="0" distL="0" distR="0" wp14:anchorId="491EEC63" wp14:editId="425F7EFC">
                  <wp:extent cx="1908000" cy="1039650"/>
                  <wp:effectExtent l="0" t="0" r="0" b="8255"/>
                  <wp:docPr id="35" name="Imagen 35" descr="Bear Call Spread Explained - New Trader 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ear Call Spread Explained - New Trader U"/>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383" t="3663" r="1417" b="8441"/>
                          <a:stretch/>
                        </pic:blipFill>
                        <pic:spPr bwMode="auto">
                          <a:xfrm>
                            <a:off x="0" y="0"/>
                            <a:ext cx="1908000" cy="10396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75950" w14:paraId="0AA98D48" w14:textId="77777777" w:rsidTr="007C5659">
        <w:trPr>
          <w:trHeight w:val="2693"/>
        </w:trPr>
        <w:tc>
          <w:tcPr>
            <w:tcW w:w="7093" w:type="dxa"/>
          </w:tcPr>
          <w:p w14:paraId="3642EE6E" w14:textId="77777777" w:rsidR="00875950" w:rsidRDefault="00875950" w:rsidP="007C5659">
            <w:pPr>
              <w:pStyle w:val="Letra"/>
              <w:keepNext/>
              <w:spacing w:after="0"/>
              <w:ind w:left="454" w:hanging="284"/>
            </w:pPr>
            <w:r>
              <w:rPr>
                <w:u w:val="single"/>
              </w:rPr>
              <w:t xml:space="preserve">Diferencial mariposa o </w:t>
            </w:r>
            <w:proofErr w:type="spellStart"/>
            <w:r>
              <w:rPr>
                <w:i/>
                <w:iCs/>
                <w:u w:val="single"/>
              </w:rPr>
              <w:t>butterfly</w:t>
            </w:r>
            <w:proofErr w:type="spellEnd"/>
            <w:r>
              <w:rPr>
                <w:i/>
                <w:iCs/>
                <w:u w:val="single"/>
              </w:rPr>
              <w:t xml:space="preserve"> spread</w:t>
            </w:r>
            <w:r>
              <w:t>: Es una estrategia neutral que combina una estrategia alcista y una bajista, siendo útil cuando se espera que el precio del subyacente no varíe mucho respecto a su precio de equilibrio. Se construye de la siguiente forma:</w:t>
            </w:r>
          </w:p>
          <w:p w14:paraId="40C1C5F5" w14:textId="77777777" w:rsidR="00875950" w:rsidRDefault="00875950">
            <w:pPr>
              <w:pStyle w:val="Letra"/>
              <w:keepNext/>
              <w:numPr>
                <w:ilvl w:val="0"/>
                <w:numId w:val="9"/>
              </w:numPr>
              <w:spacing w:after="0"/>
              <w:ind w:left="1023" w:hanging="284"/>
            </w:pPr>
            <w:r>
              <w:t xml:space="preserve">Comprar una </w:t>
            </w:r>
            <w:proofErr w:type="spellStart"/>
            <w:r>
              <w:t>call</w:t>
            </w:r>
            <w:proofErr w:type="spellEnd"/>
            <w:r>
              <w:t xml:space="preserve"> con un precio de ejercicio bajo;</w:t>
            </w:r>
          </w:p>
          <w:p w14:paraId="64D4133B" w14:textId="77777777" w:rsidR="00875950" w:rsidRDefault="00875950">
            <w:pPr>
              <w:pStyle w:val="Letra"/>
              <w:keepNext/>
              <w:numPr>
                <w:ilvl w:val="0"/>
                <w:numId w:val="9"/>
              </w:numPr>
              <w:spacing w:after="0"/>
              <w:ind w:left="1023" w:hanging="284"/>
            </w:pPr>
            <w:r>
              <w:t xml:space="preserve">Comprar una </w:t>
            </w:r>
            <w:proofErr w:type="spellStart"/>
            <w:r>
              <w:t>call</w:t>
            </w:r>
            <w:proofErr w:type="spellEnd"/>
            <w:r>
              <w:t xml:space="preserve"> con un precio de ejercicio alto; y</w:t>
            </w:r>
          </w:p>
          <w:p w14:paraId="36F2A65C" w14:textId="77777777" w:rsidR="00875950" w:rsidRDefault="00875950">
            <w:pPr>
              <w:pStyle w:val="Letra"/>
              <w:numPr>
                <w:ilvl w:val="0"/>
                <w:numId w:val="9"/>
              </w:numPr>
              <w:spacing w:after="0"/>
              <w:ind w:left="1023" w:hanging="283"/>
            </w:pPr>
            <w:r>
              <w:t xml:space="preserve">Vender dos </w:t>
            </w:r>
            <w:proofErr w:type="spellStart"/>
            <w:r>
              <w:t>call</w:t>
            </w:r>
            <w:proofErr w:type="spellEnd"/>
            <w:r>
              <w:t xml:space="preserve"> con un precio de ejercicio intermedio (concretamente, al precio al que se cree que va a estar el activo subyacente al vencimiento).</w:t>
            </w:r>
          </w:p>
        </w:tc>
        <w:tc>
          <w:tcPr>
            <w:tcW w:w="3220" w:type="dxa"/>
            <w:vAlign w:val="center"/>
          </w:tcPr>
          <w:p w14:paraId="15E4EECB" w14:textId="77777777" w:rsidR="00875950" w:rsidRDefault="00875950" w:rsidP="007C5659">
            <w:pPr>
              <w:spacing w:after="0"/>
              <w:jc w:val="center"/>
            </w:pPr>
            <w:r>
              <w:rPr>
                <w:noProof/>
              </w:rPr>
              <w:drawing>
                <wp:inline distT="0" distB="0" distL="0" distR="0" wp14:anchorId="64976E66" wp14:editId="20732BA1">
                  <wp:extent cx="1908000" cy="1181001"/>
                  <wp:effectExtent l="0" t="0" r="0" b="635"/>
                  <wp:docPr id="37" name="Imagen 3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Gráfico, Gráfico de líneas&#10;&#10;Descripción generada automáticament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6358"/>
                          <a:stretch/>
                        </pic:blipFill>
                        <pic:spPr bwMode="auto">
                          <a:xfrm>
                            <a:off x="0" y="0"/>
                            <a:ext cx="1908000" cy="118100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59DCB17" w14:textId="77777777" w:rsidR="00875950" w:rsidRDefault="00875950" w:rsidP="00875950">
      <w:pPr>
        <w:pStyle w:val="Ttulo6"/>
      </w:pPr>
      <w:bookmarkStart w:id="49" w:name="_Toc131840477"/>
      <w:r>
        <w:t>Estrategias sintéticas</w:t>
      </w:r>
      <w:bookmarkEnd w:id="49"/>
    </w:p>
    <w:p w14:paraId="3184F338" w14:textId="77777777" w:rsidR="00875950" w:rsidRDefault="00875950" w:rsidP="00875950">
      <w:pPr>
        <w:pStyle w:val="Nivel1SM"/>
        <w:keepNext/>
        <w:spacing w:before="0" w:after="0"/>
      </w:pPr>
      <w:r>
        <w:t xml:space="preserve">Si una estrategia simple (compraventa de </w:t>
      </w:r>
      <w:proofErr w:type="spellStart"/>
      <w:r>
        <w:rPr>
          <w:i/>
          <w:iCs/>
        </w:rPr>
        <w:t>call</w:t>
      </w:r>
      <w:proofErr w:type="spellEnd"/>
      <w:r>
        <w:t xml:space="preserve"> o </w:t>
      </w:r>
      <w:proofErr w:type="spellStart"/>
      <w:r>
        <w:rPr>
          <w:i/>
          <w:iCs/>
        </w:rPr>
        <w:t>put</w:t>
      </w:r>
      <w:proofErr w:type="spellEnd"/>
      <w:r>
        <w:t>) se combina con la compra o la venta de un futuro, se podrá obtener una opción sintética que será equivalente a una opción simple:</w:t>
      </w:r>
    </w:p>
    <w:tbl>
      <w:tblPr>
        <w:tblStyle w:val="Tablaconcuadrcula"/>
        <w:tblW w:w="10409" w:type="dxa"/>
        <w:tblInd w:w="-572" w:type="dxa"/>
        <w:tblLook w:val="04A0" w:firstRow="1" w:lastRow="0" w:firstColumn="1" w:lastColumn="0" w:noHBand="0" w:noVBand="1"/>
      </w:tblPr>
      <w:tblGrid>
        <w:gridCol w:w="1980"/>
        <w:gridCol w:w="3251"/>
        <w:gridCol w:w="1979"/>
        <w:gridCol w:w="3199"/>
      </w:tblGrid>
      <w:tr w:rsidR="00875950" w14:paraId="6CD7E41E" w14:textId="77777777" w:rsidTr="007C5659">
        <w:tc>
          <w:tcPr>
            <w:tcW w:w="10409" w:type="dxa"/>
            <w:gridSpan w:val="4"/>
            <w:tcBorders>
              <w:top w:val="single" w:sz="12" w:space="0" w:color="5F2987"/>
              <w:left w:val="single" w:sz="2" w:space="0" w:color="5F2987"/>
              <w:right w:val="single" w:sz="2" w:space="0" w:color="5F2987"/>
            </w:tcBorders>
            <w:shd w:val="clear" w:color="auto" w:fill="E2EFD9" w:themeFill="accent6" w:themeFillTint="33"/>
            <w:vAlign w:val="center"/>
          </w:tcPr>
          <w:p w14:paraId="54737838" w14:textId="77777777" w:rsidR="00875950" w:rsidRDefault="00875950" w:rsidP="00427148">
            <w:pPr>
              <w:keepNext/>
              <w:spacing w:after="0"/>
              <w:jc w:val="center"/>
            </w:pPr>
            <w:r>
              <w:rPr>
                <w:i/>
                <w:iCs/>
              </w:rPr>
              <w:t xml:space="preserve">Opciones </w:t>
            </w:r>
            <w:proofErr w:type="spellStart"/>
            <w:r>
              <w:rPr>
                <w:i/>
                <w:iCs/>
              </w:rPr>
              <w:t>call</w:t>
            </w:r>
            <w:proofErr w:type="spellEnd"/>
            <w:r>
              <w:rPr>
                <w:i/>
                <w:iCs/>
              </w:rPr>
              <w:t xml:space="preserve"> sintéticas</w:t>
            </w:r>
          </w:p>
        </w:tc>
      </w:tr>
      <w:tr w:rsidR="00875950" w14:paraId="6771E7DD" w14:textId="77777777" w:rsidTr="00D46F48">
        <w:trPr>
          <w:trHeight w:val="2268"/>
        </w:trPr>
        <w:tc>
          <w:tcPr>
            <w:tcW w:w="1980" w:type="dxa"/>
            <w:tcBorders>
              <w:left w:val="single" w:sz="2" w:space="0" w:color="5F2987"/>
              <w:bottom w:val="single" w:sz="2" w:space="0" w:color="5F2987"/>
              <w:right w:val="nil"/>
            </w:tcBorders>
            <w:vAlign w:val="center"/>
          </w:tcPr>
          <w:p w14:paraId="315742B1" w14:textId="77777777" w:rsidR="00875950" w:rsidRDefault="00875950" w:rsidP="007C5659">
            <w:pPr>
              <w:keepNext/>
              <w:spacing w:after="0"/>
              <w:jc w:val="center"/>
            </w:pPr>
            <w:r>
              <w:t>Comprar futuros</w:t>
            </w:r>
          </w:p>
          <w:p w14:paraId="7BA65A70" w14:textId="77777777" w:rsidR="00875950" w:rsidRDefault="00875950" w:rsidP="007C5659">
            <w:pPr>
              <w:keepNext/>
              <w:spacing w:after="0"/>
              <w:jc w:val="center"/>
            </w:pPr>
            <w:r>
              <w:t>+</w:t>
            </w:r>
          </w:p>
          <w:p w14:paraId="37E8683C" w14:textId="77777777" w:rsidR="00875950" w:rsidRDefault="00875950" w:rsidP="007C5659">
            <w:pPr>
              <w:keepNext/>
              <w:spacing w:after="0"/>
              <w:jc w:val="center"/>
            </w:pPr>
            <w:r>
              <w:t xml:space="preserve">Comprar </w:t>
            </w:r>
            <w:proofErr w:type="spellStart"/>
            <w:r>
              <w:t>put</w:t>
            </w:r>
            <w:proofErr w:type="spellEnd"/>
          </w:p>
        </w:tc>
        <w:tc>
          <w:tcPr>
            <w:tcW w:w="3251" w:type="dxa"/>
            <w:vMerge w:val="restart"/>
            <w:tcBorders>
              <w:left w:val="nil"/>
              <w:right w:val="single" w:sz="2" w:space="0" w:color="5F2987"/>
            </w:tcBorders>
            <w:vAlign w:val="center"/>
          </w:tcPr>
          <w:p w14:paraId="69F38EDA" w14:textId="77777777" w:rsidR="00875950" w:rsidRDefault="00875950" w:rsidP="007C5659">
            <w:pPr>
              <w:keepNext/>
              <w:spacing w:after="0"/>
              <w:jc w:val="center"/>
            </w:pPr>
            <w:r>
              <w:rPr>
                <w:noProof/>
              </w:rPr>
              <w:drawing>
                <wp:inline distT="0" distB="0" distL="0" distR="0" wp14:anchorId="7D5D7A87" wp14:editId="4D75EA2D">
                  <wp:extent cx="1734606" cy="1620000"/>
                  <wp:effectExtent l="0" t="0" r="0" b="0"/>
                  <wp:docPr id="49" name="Imagen 49" descr="Gráfico, Gráfico de líne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Gráfico, Gráfico de líneas&#10;&#10;Descripción generada automáticamente con confianza media"/>
                          <pic:cNvPicPr/>
                        </pic:nvPicPr>
                        <pic:blipFill rotWithShape="1">
                          <a:blip r:embed="rId34"/>
                          <a:srcRect l="12905" r="26866"/>
                          <a:stretch/>
                        </pic:blipFill>
                        <pic:spPr bwMode="auto">
                          <a:xfrm>
                            <a:off x="0" y="0"/>
                            <a:ext cx="1734606" cy="16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9" w:type="dxa"/>
            <w:tcBorders>
              <w:left w:val="single" w:sz="2" w:space="0" w:color="5F2987"/>
              <w:bottom w:val="single" w:sz="2" w:space="0" w:color="5F2987"/>
              <w:right w:val="nil"/>
            </w:tcBorders>
            <w:vAlign w:val="center"/>
          </w:tcPr>
          <w:p w14:paraId="3FBC1EDB" w14:textId="77777777" w:rsidR="00875950" w:rsidRDefault="00875950" w:rsidP="007C5659">
            <w:pPr>
              <w:keepNext/>
              <w:spacing w:after="0"/>
              <w:jc w:val="center"/>
            </w:pPr>
            <w:r>
              <w:t>Vender futuros</w:t>
            </w:r>
          </w:p>
          <w:p w14:paraId="2EF89359" w14:textId="77777777" w:rsidR="00875950" w:rsidRDefault="00875950" w:rsidP="007C5659">
            <w:pPr>
              <w:keepNext/>
              <w:spacing w:after="0"/>
              <w:jc w:val="center"/>
            </w:pPr>
            <w:r>
              <w:t>+</w:t>
            </w:r>
          </w:p>
          <w:p w14:paraId="1139845E" w14:textId="77777777" w:rsidR="00875950" w:rsidRDefault="00875950" w:rsidP="007C5659">
            <w:pPr>
              <w:keepNext/>
              <w:spacing w:after="0"/>
              <w:jc w:val="center"/>
            </w:pPr>
            <w:r>
              <w:t xml:space="preserve">Vender </w:t>
            </w:r>
            <w:proofErr w:type="spellStart"/>
            <w:r>
              <w:t>put</w:t>
            </w:r>
            <w:proofErr w:type="spellEnd"/>
          </w:p>
        </w:tc>
        <w:tc>
          <w:tcPr>
            <w:tcW w:w="3199" w:type="dxa"/>
            <w:vMerge w:val="restart"/>
            <w:tcBorders>
              <w:left w:val="nil"/>
              <w:right w:val="single" w:sz="2" w:space="0" w:color="5F2987"/>
            </w:tcBorders>
            <w:vAlign w:val="center"/>
          </w:tcPr>
          <w:p w14:paraId="6697C51D" w14:textId="77777777" w:rsidR="00875950" w:rsidRDefault="00875950" w:rsidP="007C5659">
            <w:pPr>
              <w:keepNext/>
              <w:spacing w:after="0"/>
              <w:jc w:val="center"/>
            </w:pPr>
            <w:r>
              <w:rPr>
                <w:noProof/>
              </w:rPr>
              <w:drawing>
                <wp:inline distT="0" distB="0" distL="0" distR="0" wp14:anchorId="5D24F2D6" wp14:editId="054EEBF2">
                  <wp:extent cx="1698830" cy="1620000"/>
                  <wp:effectExtent l="0" t="0" r="0" b="0"/>
                  <wp:docPr id="50" name="Imagen 50"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Gráfico, Gráfico de líneas&#10;&#10;Descripción generada automáticamente"/>
                          <pic:cNvPicPr/>
                        </pic:nvPicPr>
                        <pic:blipFill rotWithShape="1">
                          <a:blip r:embed="rId35"/>
                          <a:srcRect l="13766" r="27248"/>
                          <a:stretch/>
                        </pic:blipFill>
                        <pic:spPr bwMode="auto">
                          <a:xfrm>
                            <a:off x="0" y="0"/>
                            <a:ext cx="1698830"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875950" w14:paraId="12F47C31" w14:textId="77777777" w:rsidTr="007C5659">
        <w:trPr>
          <w:trHeight w:val="283"/>
        </w:trPr>
        <w:tc>
          <w:tcPr>
            <w:tcW w:w="1980" w:type="dxa"/>
            <w:tcBorders>
              <w:top w:val="single" w:sz="2" w:space="0" w:color="5F2987"/>
              <w:left w:val="single" w:sz="2" w:space="0" w:color="5F2987"/>
              <w:bottom w:val="single" w:sz="4" w:space="0" w:color="5F2987"/>
              <w:right w:val="nil"/>
            </w:tcBorders>
            <w:vAlign w:val="center"/>
          </w:tcPr>
          <w:p w14:paraId="17D8EC91" w14:textId="77777777" w:rsidR="00875950" w:rsidRDefault="00875950" w:rsidP="007C5659">
            <w:pPr>
              <w:spacing w:after="0"/>
              <w:jc w:val="center"/>
            </w:pPr>
            <w:r w:rsidRPr="005676CE">
              <w:rPr>
                <w:b/>
                <w:bCs/>
                <w:i/>
                <w:iCs/>
              </w:rPr>
              <w:t>Comprar</w:t>
            </w:r>
            <w:r w:rsidRPr="006A4F7E">
              <w:rPr>
                <w:b/>
                <w:bCs/>
              </w:rPr>
              <w:t xml:space="preserve"> </w:t>
            </w:r>
            <w:proofErr w:type="spellStart"/>
            <w:r w:rsidRPr="006A4F7E">
              <w:rPr>
                <w:b/>
                <w:bCs/>
                <w:i/>
                <w:iCs/>
              </w:rPr>
              <w:t>call</w:t>
            </w:r>
            <w:proofErr w:type="spellEnd"/>
          </w:p>
        </w:tc>
        <w:tc>
          <w:tcPr>
            <w:tcW w:w="3251" w:type="dxa"/>
            <w:vMerge/>
            <w:tcBorders>
              <w:top w:val="single" w:sz="12" w:space="0" w:color="5F2987"/>
              <w:left w:val="nil"/>
              <w:bottom w:val="single" w:sz="4" w:space="0" w:color="5F2987"/>
              <w:right w:val="single" w:sz="2" w:space="0" w:color="5F2987"/>
            </w:tcBorders>
            <w:vAlign w:val="center"/>
          </w:tcPr>
          <w:p w14:paraId="77F84400" w14:textId="77777777" w:rsidR="00875950" w:rsidRDefault="00875950" w:rsidP="007C5659">
            <w:pPr>
              <w:keepNext/>
              <w:spacing w:after="0"/>
              <w:jc w:val="center"/>
            </w:pPr>
          </w:p>
        </w:tc>
        <w:tc>
          <w:tcPr>
            <w:tcW w:w="1979" w:type="dxa"/>
            <w:tcBorders>
              <w:top w:val="single" w:sz="2" w:space="0" w:color="5F2987"/>
              <w:left w:val="single" w:sz="2" w:space="0" w:color="5F2987"/>
              <w:bottom w:val="single" w:sz="4" w:space="0" w:color="5F2987"/>
              <w:right w:val="nil"/>
            </w:tcBorders>
            <w:vAlign w:val="center"/>
          </w:tcPr>
          <w:p w14:paraId="0A559F3A" w14:textId="77777777" w:rsidR="00875950" w:rsidRDefault="00875950" w:rsidP="007C5659">
            <w:pPr>
              <w:keepNext/>
              <w:spacing w:after="0"/>
              <w:jc w:val="center"/>
            </w:pPr>
            <w:r w:rsidRPr="005676CE">
              <w:rPr>
                <w:b/>
                <w:bCs/>
                <w:i/>
                <w:iCs/>
              </w:rPr>
              <w:t>Vender</w:t>
            </w:r>
            <w:r w:rsidRPr="006A4F7E">
              <w:rPr>
                <w:b/>
                <w:bCs/>
              </w:rPr>
              <w:t xml:space="preserve"> </w:t>
            </w:r>
            <w:proofErr w:type="spellStart"/>
            <w:r w:rsidRPr="006A4F7E">
              <w:rPr>
                <w:b/>
                <w:bCs/>
                <w:i/>
                <w:iCs/>
              </w:rPr>
              <w:t>call</w:t>
            </w:r>
            <w:proofErr w:type="spellEnd"/>
          </w:p>
        </w:tc>
        <w:tc>
          <w:tcPr>
            <w:tcW w:w="3199" w:type="dxa"/>
            <w:vMerge/>
            <w:tcBorders>
              <w:left w:val="nil"/>
              <w:bottom w:val="single" w:sz="4" w:space="0" w:color="5F2987"/>
              <w:right w:val="single" w:sz="2" w:space="0" w:color="5F2987"/>
            </w:tcBorders>
            <w:vAlign w:val="center"/>
          </w:tcPr>
          <w:p w14:paraId="11CA24DA" w14:textId="77777777" w:rsidR="00875950" w:rsidRDefault="00875950" w:rsidP="007C5659">
            <w:pPr>
              <w:keepNext/>
              <w:spacing w:after="0"/>
              <w:jc w:val="center"/>
            </w:pPr>
          </w:p>
        </w:tc>
      </w:tr>
      <w:tr w:rsidR="00875950" w14:paraId="4FAE1A09" w14:textId="77777777" w:rsidTr="007C5659">
        <w:tc>
          <w:tcPr>
            <w:tcW w:w="10409" w:type="dxa"/>
            <w:gridSpan w:val="4"/>
            <w:tcBorders>
              <w:top w:val="single" w:sz="12" w:space="0" w:color="5F2987"/>
              <w:left w:val="single" w:sz="2" w:space="0" w:color="5F2987"/>
              <w:bottom w:val="single" w:sz="4" w:space="0" w:color="5F2987"/>
              <w:right w:val="single" w:sz="2" w:space="0" w:color="5F2987"/>
            </w:tcBorders>
            <w:shd w:val="clear" w:color="auto" w:fill="E2EFD9" w:themeFill="accent6" w:themeFillTint="33"/>
            <w:vAlign w:val="center"/>
          </w:tcPr>
          <w:p w14:paraId="484D11BB" w14:textId="77777777" w:rsidR="00875950" w:rsidRDefault="00875950" w:rsidP="007C5659">
            <w:pPr>
              <w:keepNext/>
              <w:spacing w:after="0"/>
              <w:jc w:val="center"/>
            </w:pPr>
            <w:r>
              <w:rPr>
                <w:i/>
                <w:iCs/>
              </w:rPr>
              <w:t xml:space="preserve">Opciones </w:t>
            </w:r>
            <w:proofErr w:type="spellStart"/>
            <w:r>
              <w:rPr>
                <w:i/>
                <w:iCs/>
              </w:rPr>
              <w:t>put</w:t>
            </w:r>
            <w:proofErr w:type="spellEnd"/>
            <w:r>
              <w:rPr>
                <w:i/>
                <w:iCs/>
              </w:rPr>
              <w:t xml:space="preserve"> sintéticas</w:t>
            </w:r>
          </w:p>
        </w:tc>
      </w:tr>
      <w:tr w:rsidR="00875950" w14:paraId="4C375549" w14:textId="77777777" w:rsidTr="00D46F48">
        <w:trPr>
          <w:trHeight w:val="2268"/>
        </w:trPr>
        <w:tc>
          <w:tcPr>
            <w:tcW w:w="1980" w:type="dxa"/>
            <w:tcBorders>
              <w:top w:val="single" w:sz="4" w:space="0" w:color="5F2987"/>
              <w:left w:val="single" w:sz="2" w:space="0" w:color="5F2987"/>
              <w:bottom w:val="single" w:sz="2" w:space="0" w:color="5F2987"/>
              <w:right w:val="nil"/>
            </w:tcBorders>
            <w:vAlign w:val="center"/>
          </w:tcPr>
          <w:p w14:paraId="6529A2B5" w14:textId="77777777" w:rsidR="00875950" w:rsidRDefault="00875950" w:rsidP="007C5659">
            <w:pPr>
              <w:keepNext/>
              <w:spacing w:after="0"/>
              <w:jc w:val="center"/>
            </w:pPr>
            <w:r>
              <w:t>Vender futuros</w:t>
            </w:r>
          </w:p>
          <w:p w14:paraId="0953F8FC" w14:textId="77777777" w:rsidR="00875950" w:rsidRDefault="00875950" w:rsidP="007C5659">
            <w:pPr>
              <w:keepNext/>
              <w:spacing w:after="0"/>
              <w:jc w:val="center"/>
            </w:pPr>
            <w:r>
              <w:t>+</w:t>
            </w:r>
          </w:p>
          <w:p w14:paraId="75839F5B" w14:textId="77777777" w:rsidR="00875950" w:rsidRDefault="00875950" w:rsidP="007C5659">
            <w:pPr>
              <w:keepNext/>
              <w:spacing w:after="0"/>
              <w:jc w:val="center"/>
            </w:pPr>
            <w:r>
              <w:t xml:space="preserve">Comprar </w:t>
            </w:r>
            <w:proofErr w:type="spellStart"/>
            <w:r>
              <w:t>call</w:t>
            </w:r>
            <w:proofErr w:type="spellEnd"/>
          </w:p>
        </w:tc>
        <w:tc>
          <w:tcPr>
            <w:tcW w:w="3251" w:type="dxa"/>
            <w:vMerge w:val="restart"/>
            <w:tcBorders>
              <w:top w:val="single" w:sz="4" w:space="0" w:color="5F2987"/>
              <w:left w:val="nil"/>
              <w:right w:val="single" w:sz="2" w:space="0" w:color="5F2987"/>
            </w:tcBorders>
            <w:vAlign w:val="center"/>
          </w:tcPr>
          <w:p w14:paraId="55854EA8" w14:textId="77777777" w:rsidR="00875950" w:rsidRDefault="00875950" w:rsidP="007C5659">
            <w:pPr>
              <w:keepNext/>
              <w:spacing w:after="0"/>
              <w:jc w:val="center"/>
            </w:pPr>
            <w:r>
              <w:rPr>
                <w:noProof/>
              </w:rPr>
              <w:drawing>
                <wp:inline distT="0" distB="0" distL="0" distR="0" wp14:anchorId="20FBED83" wp14:editId="1121ADE3">
                  <wp:extent cx="1709792" cy="1620000"/>
                  <wp:effectExtent l="0" t="0" r="5080" b="0"/>
                  <wp:docPr id="51" name="Imagen 5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Gráfico, Gráfico de líneas&#10;&#10;Descripción generada automáticamente"/>
                          <pic:cNvPicPr/>
                        </pic:nvPicPr>
                        <pic:blipFill rotWithShape="1">
                          <a:blip r:embed="rId36"/>
                          <a:srcRect l="13624" r="27009"/>
                          <a:stretch/>
                        </pic:blipFill>
                        <pic:spPr bwMode="auto">
                          <a:xfrm>
                            <a:off x="0" y="0"/>
                            <a:ext cx="1709792" cy="16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9" w:type="dxa"/>
            <w:tcBorders>
              <w:top w:val="single" w:sz="4" w:space="0" w:color="5F2987"/>
              <w:left w:val="single" w:sz="2" w:space="0" w:color="5F2987"/>
              <w:bottom w:val="single" w:sz="2" w:space="0" w:color="5F2987"/>
              <w:right w:val="nil"/>
            </w:tcBorders>
            <w:vAlign w:val="center"/>
          </w:tcPr>
          <w:p w14:paraId="762772BF" w14:textId="77777777" w:rsidR="00875950" w:rsidRDefault="00875950" w:rsidP="007C5659">
            <w:pPr>
              <w:keepNext/>
              <w:spacing w:after="0"/>
              <w:jc w:val="center"/>
            </w:pPr>
            <w:r>
              <w:t>Comprar futuros</w:t>
            </w:r>
          </w:p>
          <w:p w14:paraId="626A02EB" w14:textId="77777777" w:rsidR="00875950" w:rsidRDefault="00875950" w:rsidP="007C5659">
            <w:pPr>
              <w:keepNext/>
              <w:spacing w:after="0"/>
              <w:jc w:val="center"/>
            </w:pPr>
            <w:r>
              <w:t>+</w:t>
            </w:r>
          </w:p>
          <w:p w14:paraId="17FEE331" w14:textId="77777777" w:rsidR="00875950" w:rsidRDefault="00875950" w:rsidP="007C5659">
            <w:pPr>
              <w:keepNext/>
              <w:spacing w:after="0"/>
              <w:jc w:val="center"/>
            </w:pPr>
            <w:r>
              <w:t xml:space="preserve">Vender </w:t>
            </w:r>
            <w:proofErr w:type="spellStart"/>
            <w:r>
              <w:t>call</w:t>
            </w:r>
            <w:proofErr w:type="spellEnd"/>
          </w:p>
        </w:tc>
        <w:tc>
          <w:tcPr>
            <w:tcW w:w="3199" w:type="dxa"/>
            <w:vMerge w:val="restart"/>
            <w:tcBorders>
              <w:top w:val="single" w:sz="4" w:space="0" w:color="5F2987"/>
              <w:left w:val="nil"/>
              <w:right w:val="single" w:sz="2" w:space="0" w:color="5F2987"/>
            </w:tcBorders>
            <w:vAlign w:val="center"/>
          </w:tcPr>
          <w:p w14:paraId="285E7EE8" w14:textId="77777777" w:rsidR="00875950" w:rsidRDefault="00875950" w:rsidP="007C5659">
            <w:pPr>
              <w:keepNext/>
              <w:spacing w:after="0"/>
              <w:jc w:val="center"/>
            </w:pPr>
            <w:r>
              <w:rPr>
                <w:noProof/>
              </w:rPr>
              <w:drawing>
                <wp:inline distT="0" distB="0" distL="0" distR="0" wp14:anchorId="7B827934" wp14:editId="1C26F484">
                  <wp:extent cx="1704266" cy="1620000"/>
                  <wp:effectExtent l="0" t="0" r="0" b="0"/>
                  <wp:docPr id="52" name="Imagen 5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Gráfico&#10;&#10;Descripción generada automáticamente"/>
                          <pic:cNvPicPr/>
                        </pic:nvPicPr>
                        <pic:blipFill rotWithShape="1">
                          <a:blip r:embed="rId37"/>
                          <a:srcRect l="13910" r="26915"/>
                          <a:stretch/>
                        </pic:blipFill>
                        <pic:spPr bwMode="auto">
                          <a:xfrm>
                            <a:off x="0" y="0"/>
                            <a:ext cx="1704266"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875950" w14:paraId="0A972287" w14:textId="77777777" w:rsidTr="007C5659">
        <w:trPr>
          <w:trHeight w:val="283"/>
        </w:trPr>
        <w:tc>
          <w:tcPr>
            <w:tcW w:w="1980" w:type="dxa"/>
            <w:tcBorders>
              <w:top w:val="single" w:sz="2" w:space="0" w:color="5F2987"/>
              <w:left w:val="single" w:sz="2" w:space="0" w:color="5F2987"/>
              <w:bottom w:val="single" w:sz="12" w:space="0" w:color="5F2987"/>
              <w:right w:val="nil"/>
            </w:tcBorders>
            <w:vAlign w:val="center"/>
          </w:tcPr>
          <w:p w14:paraId="01CFA48B" w14:textId="77777777" w:rsidR="00875950" w:rsidRDefault="00875950" w:rsidP="002F0FB0">
            <w:pPr>
              <w:spacing w:after="0"/>
              <w:jc w:val="center"/>
            </w:pPr>
            <w:r w:rsidRPr="005676CE">
              <w:rPr>
                <w:b/>
                <w:bCs/>
                <w:i/>
                <w:iCs/>
              </w:rPr>
              <w:t>Comprar</w:t>
            </w:r>
            <w:r w:rsidRPr="006A4F7E">
              <w:rPr>
                <w:b/>
                <w:bCs/>
              </w:rPr>
              <w:t xml:space="preserve"> </w:t>
            </w:r>
            <w:proofErr w:type="spellStart"/>
            <w:r w:rsidRPr="006A4F7E">
              <w:rPr>
                <w:b/>
                <w:bCs/>
                <w:i/>
                <w:iCs/>
              </w:rPr>
              <w:t>put</w:t>
            </w:r>
            <w:proofErr w:type="spellEnd"/>
          </w:p>
        </w:tc>
        <w:tc>
          <w:tcPr>
            <w:tcW w:w="3251" w:type="dxa"/>
            <w:vMerge/>
            <w:tcBorders>
              <w:left w:val="nil"/>
              <w:bottom w:val="single" w:sz="12" w:space="0" w:color="5F2987"/>
              <w:right w:val="single" w:sz="2" w:space="0" w:color="5F2987"/>
            </w:tcBorders>
            <w:vAlign w:val="center"/>
          </w:tcPr>
          <w:p w14:paraId="15E825DE" w14:textId="77777777" w:rsidR="00875950" w:rsidRDefault="00875950" w:rsidP="007C5659">
            <w:pPr>
              <w:keepNext/>
              <w:spacing w:after="0"/>
              <w:jc w:val="center"/>
            </w:pPr>
          </w:p>
        </w:tc>
        <w:tc>
          <w:tcPr>
            <w:tcW w:w="1979" w:type="dxa"/>
            <w:tcBorders>
              <w:top w:val="single" w:sz="2" w:space="0" w:color="5F2987"/>
              <w:left w:val="single" w:sz="2" w:space="0" w:color="5F2987"/>
              <w:bottom w:val="single" w:sz="12" w:space="0" w:color="5F2987"/>
              <w:right w:val="nil"/>
            </w:tcBorders>
            <w:vAlign w:val="center"/>
          </w:tcPr>
          <w:p w14:paraId="06016010" w14:textId="77777777" w:rsidR="00875950" w:rsidRDefault="00875950" w:rsidP="007C5659">
            <w:pPr>
              <w:keepNext/>
              <w:spacing w:after="0"/>
              <w:jc w:val="center"/>
            </w:pPr>
            <w:r w:rsidRPr="005676CE">
              <w:rPr>
                <w:b/>
                <w:bCs/>
                <w:i/>
                <w:iCs/>
              </w:rPr>
              <w:t>Vender</w:t>
            </w:r>
            <w:r w:rsidRPr="006A4F7E">
              <w:rPr>
                <w:b/>
                <w:bCs/>
              </w:rPr>
              <w:t xml:space="preserve"> </w:t>
            </w:r>
            <w:proofErr w:type="spellStart"/>
            <w:r w:rsidRPr="006A4F7E">
              <w:rPr>
                <w:b/>
                <w:bCs/>
                <w:i/>
                <w:iCs/>
              </w:rPr>
              <w:t>put</w:t>
            </w:r>
            <w:proofErr w:type="spellEnd"/>
          </w:p>
        </w:tc>
        <w:tc>
          <w:tcPr>
            <w:tcW w:w="3199" w:type="dxa"/>
            <w:vMerge/>
            <w:tcBorders>
              <w:left w:val="nil"/>
              <w:bottom w:val="single" w:sz="12" w:space="0" w:color="5F2987"/>
              <w:right w:val="single" w:sz="2" w:space="0" w:color="5F2987"/>
            </w:tcBorders>
            <w:vAlign w:val="center"/>
          </w:tcPr>
          <w:p w14:paraId="7DCF08F2" w14:textId="77777777" w:rsidR="00875950" w:rsidRDefault="00875950" w:rsidP="007C5659">
            <w:pPr>
              <w:keepNext/>
              <w:spacing w:after="0"/>
              <w:jc w:val="center"/>
            </w:pPr>
          </w:p>
        </w:tc>
      </w:tr>
    </w:tbl>
    <w:p w14:paraId="63145D32" w14:textId="377F0527" w:rsidR="00875950" w:rsidRPr="00B66639" w:rsidRDefault="00875950" w:rsidP="00875950">
      <w:pPr>
        <w:pStyle w:val="Ttulo3"/>
      </w:pPr>
      <w:r w:rsidRPr="00B66639">
        <w:t>Estrategias de cobertura del riesgo</w:t>
      </w:r>
      <w:bookmarkEnd w:id="50"/>
    </w:p>
    <w:p w14:paraId="1F48444C" w14:textId="77777777" w:rsidR="00875950" w:rsidRPr="00593451" w:rsidRDefault="00875950" w:rsidP="00875950">
      <w:pPr>
        <w:pStyle w:val="Nivel1SM"/>
        <w:spacing w:before="0"/>
      </w:pPr>
      <w:r>
        <w:t xml:space="preserve">Si utilizamos las opciones para la cobertura de riesgo, la estrategia será similar al caso de los futuros y los forwards: si se pretende comprar una cartera se compra una </w:t>
      </w:r>
      <w:proofErr w:type="spellStart"/>
      <w:r>
        <w:rPr>
          <w:i/>
          <w:iCs/>
        </w:rPr>
        <w:t>call</w:t>
      </w:r>
      <w:proofErr w:type="spellEnd"/>
      <w:r>
        <w:t xml:space="preserve"> por si sube el precio y si se pretende vender una cartera se compra una </w:t>
      </w:r>
      <w:proofErr w:type="spellStart"/>
      <w:r>
        <w:rPr>
          <w:i/>
          <w:iCs/>
        </w:rPr>
        <w:t>put</w:t>
      </w:r>
      <w:proofErr w:type="spellEnd"/>
      <w:r>
        <w:t xml:space="preserve"> por si baja el precio.</w:t>
      </w:r>
    </w:p>
    <w:p w14:paraId="3270D820" w14:textId="77777777" w:rsidR="00875950" w:rsidRDefault="00875950" w:rsidP="00875950">
      <w:pPr>
        <w:pStyle w:val="Nivel1SM"/>
        <w:keepNext/>
        <w:spacing w:after="0"/>
      </w:pPr>
      <w:r>
        <w:t>Las estrategias de cobertura se realizan con el fin de reducir el riesgo de mercado de una determinada posición, es decir, la posible pérdida generada por un movimiento desfavorable en el precio de un activo:</w:t>
      </w:r>
    </w:p>
    <w:p w14:paraId="2E20062A" w14:textId="77777777" w:rsidR="00875950" w:rsidRDefault="00875950" w:rsidP="00875950">
      <w:pPr>
        <w:pStyle w:val="Nivel2SM"/>
      </w:pPr>
      <w:r w:rsidRPr="00A920E1">
        <w:rPr>
          <w:u w:val="single"/>
        </w:rPr>
        <w:t xml:space="preserve">Si se pretende </w:t>
      </w:r>
      <w:r w:rsidRPr="00A920E1">
        <w:rPr>
          <w:i/>
          <w:iCs/>
          <w:u w:val="single"/>
        </w:rPr>
        <w:t>adquirir</w:t>
      </w:r>
      <w:r w:rsidRPr="00A920E1">
        <w:rPr>
          <w:u w:val="single"/>
        </w:rPr>
        <w:t xml:space="preserve"> una cartera de renta fija, de renta variable o de divisas</w:t>
      </w:r>
      <w:r>
        <w:t xml:space="preserve">: El riesgo a cubrir sería una posible caída del tipo de interés (i.e. subida de los precios), un aumento de las cotizaciones o una apreciación de la divisa, respectivamente. La operación de cobertura mediante opciones sería la </w:t>
      </w:r>
      <w:r w:rsidRPr="00A920E1">
        <w:rPr>
          <w:b/>
          <w:bCs/>
        </w:rPr>
        <w:t>compra</w:t>
      </w:r>
      <w:r w:rsidRPr="00B43057">
        <w:rPr>
          <w:b/>
          <w:bCs/>
        </w:rPr>
        <w:t xml:space="preserve"> de </w:t>
      </w:r>
      <w:proofErr w:type="spellStart"/>
      <w:r w:rsidRPr="00B43057">
        <w:rPr>
          <w:b/>
          <w:bCs/>
        </w:rPr>
        <w:t>call</w:t>
      </w:r>
      <w:proofErr w:type="spellEnd"/>
      <w:r>
        <w:t xml:space="preserve"> sobre el activo.</w:t>
      </w:r>
    </w:p>
    <w:p w14:paraId="1D993820" w14:textId="77777777" w:rsidR="00875950" w:rsidRPr="005219B9" w:rsidRDefault="00875950" w:rsidP="00875950">
      <w:pPr>
        <w:pStyle w:val="Nivel2SM"/>
        <w:rPr>
          <w:spacing w:val="-2"/>
        </w:rPr>
      </w:pPr>
      <w:r w:rsidRPr="00A920E1">
        <w:rPr>
          <w:u w:val="single"/>
        </w:rPr>
        <w:t xml:space="preserve">Si se pretende </w:t>
      </w:r>
      <w:r w:rsidRPr="00A920E1">
        <w:rPr>
          <w:i/>
          <w:iCs/>
          <w:u w:val="single"/>
        </w:rPr>
        <w:t>vender</w:t>
      </w:r>
      <w:r w:rsidRPr="00A920E1">
        <w:rPr>
          <w:u w:val="single"/>
        </w:rPr>
        <w:t xml:space="preserve"> una cartera de renta fija, de renta variable o de divisas</w:t>
      </w:r>
      <w:r>
        <w:t>:</w:t>
      </w:r>
      <w:r w:rsidRPr="00A920E1">
        <w:rPr>
          <w:spacing w:val="-3"/>
        </w:rPr>
        <w:t xml:space="preserve"> </w:t>
      </w:r>
      <w:r>
        <w:rPr>
          <w:spacing w:val="-3"/>
        </w:rPr>
        <w:t>E</w:t>
      </w:r>
      <w:r w:rsidRPr="00A920E1">
        <w:rPr>
          <w:spacing w:val="-3"/>
        </w:rPr>
        <w:t>l riesgo a cubrir sería una posible subida del tipo de interés (i.e. bajada de los precios), una disminución de las cotizaciones o una depreciación de la divisa, respectivamente. La operación de cobertura</w:t>
      </w:r>
      <w:r>
        <w:rPr>
          <w:spacing w:val="-3"/>
        </w:rPr>
        <w:t xml:space="preserve"> mediante opciones</w:t>
      </w:r>
      <w:r w:rsidRPr="00A920E1">
        <w:rPr>
          <w:spacing w:val="-3"/>
        </w:rPr>
        <w:t xml:space="preserve"> sería la </w:t>
      </w:r>
      <w:r>
        <w:rPr>
          <w:b/>
          <w:bCs/>
          <w:spacing w:val="-3"/>
        </w:rPr>
        <w:t xml:space="preserve">compra de </w:t>
      </w:r>
      <w:proofErr w:type="spellStart"/>
      <w:r>
        <w:rPr>
          <w:b/>
          <w:bCs/>
          <w:spacing w:val="-3"/>
        </w:rPr>
        <w:t>put</w:t>
      </w:r>
      <w:proofErr w:type="spellEnd"/>
      <w:r w:rsidRPr="00A920E1">
        <w:rPr>
          <w:spacing w:val="-3"/>
        </w:rPr>
        <w:t xml:space="preserve"> sobre el activ</w:t>
      </w:r>
      <w:r>
        <w:rPr>
          <w:spacing w:val="-3"/>
        </w:rPr>
        <w:t>o</w:t>
      </w:r>
      <w:r w:rsidRPr="00A920E1">
        <w:rPr>
          <w:spacing w:val="-3"/>
        </w:rPr>
        <w:t>.</w:t>
      </w:r>
    </w:p>
    <w:p w14:paraId="1A0AE650" w14:textId="129B02A7" w:rsidR="00875950" w:rsidRPr="00AD6480" w:rsidRDefault="00875950" w:rsidP="00875950">
      <w:pPr>
        <w:pStyle w:val="Ttuloimagen"/>
        <w:rPr>
          <w:smallCaps w:val="0"/>
        </w:rPr>
      </w:pPr>
      <w:r>
        <w:t>Imagen </w:t>
      </w:r>
      <w:r>
        <w:fldChar w:fldCharType="begin"/>
      </w:r>
      <w:r>
        <w:instrText xml:space="preserve"> SEQ Ilustración \* ARABIC </w:instrText>
      </w:r>
      <w:r>
        <w:fldChar w:fldCharType="separate"/>
      </w:r>
      <w:r w:rsidR="003F2FF6">
        <w:t>8</w:t>
      </w:r>
      <w:r>
        <w:fldChar w:fldCharType="end"/>
      </w:r>
      <w:r>
        <w:rPr>
          <w:smallCaps w:val="0"/>
        </w:rPr>
        <w:t xml:space="preserve">.– </w:t>
      </w:r>
      <w:r>
        <w:rPr>
          <w:i/>
          <w:iCs/>
          <w:smallCaps w:val="0"/>
        </w:rPr>
        <w:t>Protective put</w:t>
      </w:r>
    </w:p>
    <w:p w14:paraId="2F3257DE" w14:textId="77777777" w:rsidR="00875950" w:rsidRDefault="00875950" w:rsidP="00875950">
      <w:pPr>
        <w:pStyle w:val="Imagen"/>
        <w:rPr>
          <w:spacing w:val="-2"/>
        </w:rPr>
      </w:pPr>
      <w:r>
        <w:drawing>
          <wp:inline distT="0" distB="0" distL="0" distR="0" wp14:anchorId="1AB733C8" wp14:editId="3367B27F">
            <wp:extent cx="3031007" cy="4680000"/>
            <wp:effectExtent l="0" t="0" r="0" b="6350"/>
            <wp:docPr id="15" name="Imagen 15" descr="Interfaz de usuario gráfica,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nterfaz de usuario gráfica, Diagrama&#10;&#10;Descripción generada automáticamente"/>
                    <pic:cNvPicPr/>
                  </pic:nvPicPr>
                  <pic:blipFill>
                    <a:blip r:embed="rId38"/>
                    <a:stretch>
                      <a:fillRect/>
                    </a:stretch>
                  </pic:blipFill>
                  <pic:spPr>
                    <a:xfrm>
                      <a:off x="0" y="0"/>
                      <a:ext cx="3031007" cy="4680000"/>
                    </a:xfrm>
                    <a:prstGeom prst="rect">
                      <a:avLst/>
                    </a:prstGeom>
                  </pic:spPr>
                </pic:pic>
              </a:graphicData>
            </a:graphic>
          </wp:inline>
        </w:drawing>
      </w:r>
    </w:p>
    <w:p w14:paraId="39619A18" w14:textId="77777777" w:rsidR="00875950" w:rsidRPr="005219B9" w:rsidRDefault="00875950" w:rsidP="00875950">
      <w:pPr>
        <w:pStyle w:val="PiedeImagen"/>
        <w:ind w:left="1134"/>
      </w:pPr>
      <w:r>
        <w:drawing>
          <wp:inline distT="0" distB="0" distL="0" distR="0" wp14:anchorId="160B975D" wp14:editId="693E47B6">
            <wp:extent cx="1824551" cy="1476000"/>
            <wp:effectExtent l="0" t="0" r="4445" b="0"/>
            <wp:docPr id="16" name="Imagen 1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Gráfico de líneas&#10;&#10;Descripción generada automáticamente"/>
                    <pic:cNvPicPr/>
                  </pic:nvPicPr>
                  <pic:blipFill>
                    <a:blip r:embed="rId39"/>
                    <a:stretch>
                      <a:fillRect/>
                    </a:stretch>
                  </pic:blipFill>
                  <pic:spPr>
                    <a:xfrm>
                      <a:off x="0" y="0"/>
                      <a:ext cx="1824551" cy="1476000"/>
                    </a:xfrm>
                    <a:prstGeom prst="rect">
                      <a:avLst/>
                    </a:prstGeom>
                  </pic:spPr>
                </pic:pic>
              </a:graphicData>
            </a:graphic>
          </wp:inline>
        </w:drawing>
      </w:r>
    </w:p>
    <w:p w14:paraId="70615844" w14:textId="77777777" w:rsidR="00875950" w:rsidRDefault="00875950" w:rsidP="00875950">
      <w:pPr>
        <w:pStyle w:val="PiedeImagen"/>
        <w:rPr>
          <w:i w:val="0"/>
          <w:iCs/>
          <w:szCs w:val="15"/>
        </w:rPr>
      </w:pPr>
      <w:r w:rsidRPr="00D54F3C">
        <w:rPr>
          <w:szCs w:val="15"/>
          <w:lang w:val="en-US"/>
        </w:rPr>
        <w:t>Fuente</w:t>
      </w:r>
      <w:r w:rsidRPr="00D54F3C">
        <w:rPr>
          <w:i w:val="0"/>
          <w:iCs/>
          <w:szCs w:val="15"/>
          <w:lang w:val="en-US"/>
        </w:rPr>
        <w:t xml:space="preserve">: Bodie, Z., </w:t>
      </w:r>
      <w:r w:rsidRPr="003C12C3">
        <w:rPr>
          <w:i w:val="0"/>
          <w:iCs/>
          <w:szCs w:val="15"/>
          <w:lang w:val="en-US"/>
        </w:rPr>
        <w:t>Kane</w:t>
      </w:r>
      <w:r w:rsidRPr="00D54F3C">
        <w:rPr>
          <w:i w:val="0"/>
          <w:iCs/>
          <w:szCs w:val="15"/>
          <w:lang w:val="en-US"/>
        </w:rPr>
        <w:t xml:space="preserve">, A. &amp; Marcus, A. J. (2021). </w:t>
      </w:r>
      <w:r w:rsidRPr="003C12C3">
        <w:rPr>
          <w:szCs w:val="15"/>
          <w:lang w:val="en-US"/>
        </w:rPr>
        <w:t>Investments</w:t>
      </w:r>
      <w:r w:rsidRPr="003C12C3">
        <w:rPr>
          <w:i w:val="0"/>
          <w:iCs/>
          <w:szCs w:val="15"/>
          <w:lang w:val="en-US"/>
        </w:rPr>
        <w:t xml:space="preserve"> (Twelfth edition, International student edition). </w:t>
      </w:r>
      <w:r w:rsidRPr="003C12C3">
        <w:rPr>
          <w:i w:val="0"/>
          <w:iCs/>
          <w:szCs w:val="15"/>
        </w:rPr>
        <w:t>McGraw-Hill.</w:t>
      </w:r>
    </w:p>
    <w:p w14:paraId="618428D4" w14:textId="77777777" w:rsidR="00875950" w:rsidRPr="005C7404" w:rsidRDefault="00875950" w:rsidP="00875950">
      <w:pPr>
        <w:pStyle w:val="Nivel1SM"/>
      </w:pPr>
      <w:r>
        <w:lastRenderedPageBreak/>
        <w:t>Estas estrategias nos muestran la utilidad de las opciones para la cobertura de riesgos.</w:t>
      </w:r>
    </w:p>
    <w:p w14:paraId="261F3E3C" w14:textId="77777777" w:rsidR="00875950" w:rsidRPr="00B66639" w:rsidRDefault="00875950" w:rsidP="00875950">
      <w:pPr>
        <w:pStyle w:val="Ttulo2"/>
      </w:pPr>
      <w:bookmarkStart w:id="51" w:name="_Toc131840479"/>
      <w:r w:rsidRPr="00B66639">
        <w:t>Valoración</w:t>
      </w:r>
      <w:bookmarkEnd w:id="51"/>
    </w:p>
    <w:p w14:paraId="17A348E2" w14:textId="77777777" w:rsidR="00875950" w:rsidRPr="00B66639" w:rsidRDefault="00875950" w:rsidP="00875950">
      <w:pPr>
        <w:pStyle w:val="Ttulo3"/>
        <w:spacing w:before="0"/>
      </w:pPr>
      <w:bookmarkStart w:id="52" w:name="_Toc131840480"/>
      <w:r w:rsidRPr="00B66639">
        <w:t xml:space="preserve">Ausencia de arbitraje [La paridad </w:t>
      </w:r>
      <w:proofErr w:type="spellStart"/>
      <w:r w:rsidRPr="00B66639">
        <w:t>put-call</w:t>
      </w:r>
      <w:proofErr w:type="spellEnd"/>
      <w:r w:rsidRPr="00B66639">
        <w:t>]</w:t>
      </w:r>
      <w:bookmarkEnd w:id="52"/>
    </w:p>
    <w:p w14:paraId="0053E33C" w14:textId="77777777" w:rsidR="00E22354" w:rsidRDefault="00000000" w:rsidP="00875950">
      <w:pPr>
        <w:pStyle w:val="Cajadeanotaciones"/>
        <w:keepNext/>
        <w:rPr>
          <w:rStyle w:val="Hipervnculo"/>
          <w:sz w:val="19"/>
          <w:szCs w:val="19"/>
        </w:rPr>
      </w:pPr>
      <w:hyperlink r:id="rId40" w:history="1">
        <w:r w:rsidR="00875950" w:rsidRPr="006F6387">
          <w:rPr>
            <w:rStyle w:val="Hipervnculo"/>
            <w:sz w:val="19"/>
            <w:szCs w:val="19"/>
          </w:rPr>
          <w:t>https://youtu.be/SbkvkU7-dEA</w:t>
        </w:r>
      </w:hyperlink>
    </w:p>
    <w:p w14:paraId="3AA6D524" w14:textId="77777777" w:rsidR="00875950" w:rsidRDefault="00875950" w:rsidP="00875950">
      <w:pPr>
        <w:pStyle w:val="Nivel1SM"/>
        <w:keepNext/>
        <w:spacing w:before="0" w:after="0"/>
      </w:pPr>
      <w:r>
        <w:rPr>
          <w:rStyle w:val="Hipervnculo"/>
          <w:color w:val="auto"/>
          <w:u w:val="none"/>
        </w:rPr>
        <w:t>Partiendo del</w:t>
      </w:r>
      <w:r w:rsidRPr="005676CE">
        <w:rPr>
          <w:rStyle w:val="Hipervnculo"/>
          <w:color w:val="auto"/>
          <w:u w:val="none"/>
        </w:rPr>
        <w:t xml:space="preserve"> concep</w:t>
      </w:r>
      <w:r>
        <w:rPr>
          <w:rStyle w:val="Hipervnculo"/>
          <w:color w:val="auto"/>
          <w:u w:val="none"/>
        </w:rPr>
        <w:t xml:space="preserve">to de </w:t>
      </w:r>
      <w:proofErr w:type="spellStart"/>
      <w:r>
        <w:rPr>
          <w:rStyle w:val="Hipervnculo"/>
          <w:i/>
          <w:iCs/>
          <w:color w:val="auto"/>
          <w:u w:val="none"/>
        </w:rPr>
        <w:t>protective</w:t>
      </w:r>
      <w:proofErr w:type="spellEnd"/>
      <w:r>
        <w:rPr>
          <w:rStyle w:val="Hipervnculo"/>
          <w:i/>
          <w:iCs/>
          <w:color w:val="auto"/>
          <w:u w:val="none"/>
        </w:rPr>
        <w:t xml:space="preserve"> </w:t>
      </w:r>
      <w:proofErr w:type="spellStart"/>
      <w:r>
        <w:rPr>
          <w:rStyle w:val="Hipervnculo"/>
          <w:i/>
          <w:iCs/>
          <w:color w:val="auto"/>
          <w:u w:val="none"/>
        </w:rPr>
        <w:t>put</w:t>
      </w:r>
      <w:proofErr w:type="spellEnd"/>
      <w:r>
        <w:rPr>
          <w:rStyle w:val="Hipervnculo"/>
          <w:color w:val="auto"/>
          <w:u w:val="none"/>
        </w:rPr>
        <w:t xml:space="preserve"> podemos explicar una propiedad relevante de los contratos de opciones. </w:t>
      </w:r>
      <w:r>
        <w:t xml:space="preserve">Las posibilidades de arbitraje son, como en todos los mercados de derivados, un factor determinante. La </w:t>
      </w:r>
      <w:r>
        <w:rPr>
          <w:b/>
          <w:bCs/>
        </w:rPr>
        <w:t xml:space="preserve">paridad </w:t>
      </w:r>
      <w:proofErr w:type="spellStart"/>
      <w:r>
        <w:rPr>
          <w:b/>
          <w:bCs/>
          <w:i/>
          <w:iCs/>
        </w:rPr>
        <w:t>put-call</w:t>
      </w:r>
      <w:proofErr w:type="spellEnd"/>
      <w:r w:rsidRPr="009426DA">
        <w:t xml:space="preserve"> se define en base a </w:t>
      </w:r>
      <w:r>
        <w:t>2 </w:t>
      </w:r>
      <w:r w:rsidRPr="009426DA">
        <w:t>combinaciones de posiciones:</w:t>
      </w:r>
    </w:p>
    <w:p w14:paraId="2D4B9F9E" w14:textId="77777777" w:rsidR="00875950" w:rsidRDefault="00875950" w:rsidP="00875950">
      <w:pPr>
        <w:pStyle w:val="Nivel2SM"/>
        <w:keepNext/>
        <w:spacing w:after="0"/>
      </w:pPr>
      <w:proofErr w:type="spellStart"/>
      <w:r>
        <w:rPr>
          <w:i/>
          <w:iCs/>
        </w:rPr>
        <w:t>Fiduciary</w:t>
      </w:r>
      <w:proofErr w:type="spellEnd"/>
      <w:r>
        <w:rPr>
          <w:i/>
          <w:iCs/>
        </w:rPr>
        <w:t xml:space="preserve"> </w:t>
      </w:r>
      <w:proofErr w:type="spellStart"/>
      <w:r>
        <w:rPr>
          <w:i/>
          <w:iCs/>
        </w:rPr>
        <w:t>call</w:t>
      </w:r>
      <w:proofErr w:type="spellEnd"/>
      <w:r>
        <w:t>: Cartera que combina:</w:t>
      </w:r>
    </w:p>
    <w:p w14:paraId="49374C8F" w14:textId="77777777" w:rsidR="00875950" w:rsidRPr="009426DA" w:rsidRDefault="00875950">
      <w:pPr>
        <w:pStyle w:val="Nivel3"/>
        <w:keepNext/>
        <w:numPr>
          <w:ilvl w:val="0"/>
          <w:numId w:val="10"/>
        </w:numPr>
        <w:ind w:left="1135" w:hanging="284"/>
      </w:pPr>
      <w:r>
        <w:t xml:space="preserve">La compra de una opción europea </w:t>
      </w:r>
      <w:proofErr w:type="spellStart"/>
      <w:r>
        <w:t>call</w:t>
      </w:r>
      <w:proofErr w:type="spellEnd"/>
      <w:r>
        <w:t xml:space="preserve"> con un precio de ejercicio </w:t>
      </w:r>
      <m:oMath>
        <m:r>
          <m:rPr>
            <m:nor/>
          </m:rPr>
          <w:rPr>
            <w:i/>
          </w:rPr>
          <m:t>X</m:t>
        </m:r>
      </m:oMath>
      <w:r>
        <w:rPr>
          <w:rFonts w:eastAsiaTheme="minorEastAsia"/>
        </w:rPr>
        <w:t xml:space="preserve"> que vence en </w:t>
      </w:r>
      <m:oMath>
        <m:r>
          <m:rPr>
            <m:nor/>
          </m:rPr>
          <w:rPr>
            <w:i/>
          </w:rPr>
          <m:t>T</m:t>
        </m:r>
      </m:oMath>
      <w:r>
        <w:rPr>
          <w:rFonts w:eastAsiaTheme="minorEastAsia"/>
        </w:rPr>
        <w:t> años en una acción con un precio en el momento </w:t>
      </w:r>
      <m:oMath>
        <m:r>
          <m:rPr>
            <m:nor/>
          </m:rPr>
          <w:rPr>
            <w:i/>
          </w:rPr>
          <m:t>t</m:t>
        </m:r>
      </m:oMath>
      <w:r>
        <w:rPr>
          <w:rFonts w:eastAsiaTheme="minorEastAsia"/>
        </w:rPr>
        <w:t xml:space="preserve"> de </w:t>
      </w:r>
      <m:oMath>
        <m:sSub>
          <m:sSubPr>
            <m:ctrlPr>
              <w:rPr>
                <w:rFonts w:ascii="Cambria Math" w:hAnsi="Cambria Math"/>
                <w:i/>
              </w:rPr>
            </m:ctrlPr>
          </m:sSubPr>
          <m:e>
            <m:r>
              <m:rPr>
                <m:nor/>
              </m:rPr>
              <w:rPr>
                <w:i/>
              </w:rPr>
              <m:t>S</m:t>
            </m:r>
          </m:e>
          <m:sub>
            <m:r>
              <m:rPr>
                <m:nor/>
              </m:rPr>
              <w:rPr>
                <w:i/>
              </w:rPr>
              <m:t>t</m:t>
            </m:r>
          </m:sub>
        </m:sSub>
      </m:oMath>
      <w:r>
        <w:rPr>
          <w:rFonts w:eastAsiaTheme="minorEastAsia"/>
        </w:rPr>
        <w:t>; y</w:t>
      </w:r>
    </w:p>
    <w:p w14:paraId="6980F3D2" w14:textId="77777777" w:rsidR="00875950" w:rsidRDefault="00875950">
      <w:pPr>
        <w:pStyle w:val="Nivel3"/>
        <w:numPr>
          <w:ilvl w:val="0"/>
          <w:numId w:val="10"/>
        </w:numPr>
        <w:ind w:left="1134" w:hanging="284"/>
      </w:pPr>
      <w:r>
        <w:rPr>
          <w:rFonts w:eastAsiaTheme="minorEastAsia"/>
        </w:rPr>
        <w:t xml:space="preserve">Una posición larga en un bono de cupón cero sin riesgo que paga </w:t>
      </w:r>
      <m:oMath>
        <m:r>
          <m:rPr>
            <m:nor/>
          </m:rPr>
          <w:rPr>
            <w:i/>
            <w:iCs/>
          </w:rPr>
          <m:t>X</m:t>
        </m:r>
      </m:oMath>
      <w:r>
        <w:rPr>
          <w:rFonts w:eastAsiaTheme="minorEastAsia"/>
          <w:iCs/>
        </w:rPr>
        <w:t xml:space="preserve"> en </w:t>
      </w:r>
      <m:oMath>
        <m:r>
          <m:rPr>
            <m:nor/>
          </m:rPr>
          <w:rPr>
            <w:i/>
            <w:iCs/>
          </w:rPr>
          <m:t>T</m:t>
        </m:r>
      </m:oMath>
      <w:r>
        <w:rPr>
          <w:rFonts w:eastAsiaTheme="minorEastAsia"/>
          <w:iCs/>
        </w:rPr>
        <w:t> años.</w:t>
      </w:r>
    </w:p>
    <w:p w14:paraId="1316B262" w14:textId="77777777" w:rsidR="00875950" w:rsidRDefault="00875950" w:rsidP="00875950">
      <w:pPr>
        <w:pStyle w:val="Nivel2SM"/>
        <w:keepNext/>
        <w:spacing w:after="0"/>
      </w:pPr>
      <w:proofErr w:type="spellStart"/>
      <w:r>
        <w:rPr>
          <w:i/>
          <w:iCs/>
        </w:rPr>
        <w:t>Protective</w:t>
      </w:r>
      <w:proofErr w:type="spellEnd"/>
      <w:r>
        <w:rPr>
          <w:i/>
          <w:iCs/>
        </w:rPr>
        <w:t xml:space="preserve"> </w:t>
      </w:r>
      <w:proofErr w:type="spellStart"/>
      <w:r>
        <w:rPr>
          <w:i/>
          <w:iCs/>
        </w:rPr>
        <w:t>put</w:t>
      </w:r>
      <w:proofErr w:type="spellEnd"/>
      <w:r>
        <w:t>: Cartera que combina:</w:t>
      </w:r>
    </w:p>
    <w:p w14:paraId="68C60D13" w14:textId="77777777" w:rsidR="00875950" w:rsidRDefault="00875950">
      <w:pPr>
        <w:pStyle w:val="Nivel1"/>
        <w:keepNext/>
        <w:numPr>
          <w:ilvl w:val="0"/>
          <w:numId w:val="11"/>
        </w:numPr>
        <w:spacing w:before="0" w:after="0"/>
        <w:ind w:left="1135" w:hanging="284"/>
      </w:pPr>
      <w:r>
        <w:t xml:space="preserve">La compra de una opción europea </w:t>
      </w:r>
      <w:proofErr w:type="spellStart"/>
      <w:r>
        <w:t>put</w:t>
      </w:r>
      <w:proofErr w:type="spellEnd"/>
      <w:r>
        <w:t xml:space="preserve"> con un precio de ejercicio </w:t>
      </w:r>
      <m:oMath>
        <m:r>
          <m:rPr>
            <m:nor/>
          </m:rPr>
          <w:rPr>
            <w:i/>
          </w:rPr>
          <m:t>X</m:t>
        </m:r>
      </m:oMath>
      <w:r>
        <w:t xml:space="preserve"> que vence en </w:t>
      </w:r>
      <m:oMath>
        <m:r>
          <m:rPr>
            <m:nor/>
          </m:rPr>
          <w:rPr>
            <w:i/>
          </w:rPr>
          <m:t>T</m:t>
        </m:r>
      </m:oMath>
      <w:r>
        <w:t> años en una acción con un precio en el momento </w:t>
      </w:r>
      <m:oMath>
        <m:r>
          <m:rPr>
            <m:nor/>
          </m:rPr>
          <w:rPr>
            <w:i/>
          </w:rPr>
          <m:t>t</m:t>
        </m:r>
      </m:oMath>
      <w:r>
        <w:t xml:space="preserve"> de </w:t>
      </w:r>
      <m:oMath>
        <m:sSub>
          <m:sSubPr>
            <m:ctrlPr>
              <w:rPr>
                <w:rFonts w:ascii="Cambria Math" w:hAnsi="Cambria Math"/>
                <w:i/>
              </w:rPr>
            </m:ctrlPr>
          </m:sSubPr>
          <m:e>
            <m:r>
              <m:rPr>
                <m:nor/>
              </m:rPr>
              <w:rPr>
                <w:i/>
              </w:rPr>
              <m:t>S</m:t>
            </m:r>
          </m:e>
          <m:sub>
            <m:r>
              <m:rPr>
                <m:nor/>
              </m:rPr>
              <w:rPr>
                <w:i/>
              </w:rPr>
              <m:t>t</m:t>
            </m:r>
          </m:sub>
        </m:sSub>
      </m:oMath>
      <w:r>
        <w:t>; y</w:t>
      </w:r>
    </w:p>
    <w:p w14:paraId="10F089F1" w14:textId="77777777" w:rsidR="00875950" w:rsidRPr="00C5464A" w:rsidRDefault="00875950">
      <w:pPr>
        <w:pStyle w:val="Nivel1"/>
        <w:numPr>
          <w:ilvl w:val="0"/>
          <w:numId w:val="11"/>
        </w:numPr>
        <w:spacing w:before="0"/>
        <w:ind w:left="1134" w:hanging="284"/>
      </w:pPr>
      <w:r>
        <w:rPr>
          <w:rFonts w:eastAsiaTheme="minorEastAsia"/>
        </w:rPr>
        <w:t>La compra de una acción.</w:t>
      </w:r>
    </w:p>
    <w:tbl>
      <w:tblPr>
        <w:tblStyle w:val="Tablaconcuadrcula"/>
        <w:tblW w:w="10409" w:type="dxa"/>
        <w:tblInd w:w="-572" w:type="dxa"/>
        <w:tblLook w:val="04A0" w:firstRow="1" w:lastRow="0" w:firstColumn="1" w:lastColumn="0" w:noHBand="0" w:noVBand="1"/>
      </w:tblPr>
      <w:tblGrid>
        <w:gridCol w:w="1980"/>
        <w:gridCol w:w="3251"/>
        <w:gridCol w:w="1979"/>
        <w:gridCol w:w="3199"/>
      </w:tblGrid>
      <w:tr w:rsidR="00875950" w14:paraId="53BF1CFD" w14:textId="77777777" w:rsidTr="007C5659">
        <w:tc>
          <w:tcPr>
            <w:tcW w:w="10409" w:type="dxa"/>
            <w:gridSpan w:val="4"/>
            <w:tcBorders>
              <w:top w:val="single" w:sz="12" w:space="0" w:color="5F2987"/>
              <w:left w:val="single" w:sz="2" w:space="0" w:color="5F2987"/>
              <w:bottom w:val="single" w:sz="4" w:space="0" w:color="5F2987"/>
              <w:right w:val="single" w:sz="2" w:space="0" w:color="5F2987"/>
            </w:tcBorders>
            <w:shd w:val="clear" w:color="auto" w:fill="E2EFD9" w:themeFill="accent6" w:themeFillTint="33"/>
            <w:vAlign w:val="center"/>
          </w:tcPr>
          <w:p w14:paraId="76E89593" w14:textId="77777777" w:rsidR="00875950" w:rsidRDefault="00875950" w:rsidP="007C5659">
            <w:pPr>
              <w:keepNext/>
              <w:spacing w:after="0"/>
              <w:jc w:val="center"/>
            </w:pPr>
            <w:r>
              <w:rPr>
                <w:i/>
                <w:iCs/>
              </w:rPr>
              <w:t xml:space="preserve">Paridad </w:t>
            </w:r>
            <w:proofErr w:type="spellStart"/>
            <w:r>
              <w:rPr>
                <w:i/>
                <w:iCs/>
              </w:rPr>
              <w:t>put-call</w:t>
            </w:r>
            <w:proofErr w:type="spellEnd"/>
          </w:p>
        </w:tc>
      </w:tr>
      <w:tr w:rsidR="00875950" w14:paraId="126562AD" w14:textId="77777777" w:rsidTr="007C5659">
        <w:trPr>
          <w:trHeight w:val="2268"/>
        </w:trPr>
        <w:tc>
          <w:tcPr>
            <w:tcW w:w="1980" w:type="dxa"/>
            <w:tcBorders>
              <w:top w:val="single" w:sz="4" w:space="0" w:color="5F2987"/>
              <w:left w:val="single" w:sz="2" w:space="0" w:color="5F2987"/>
              <w:bottom w:val="single" w:sz="2" w:space="0" w:color="5F2987"/>
              <w:right w:val="nil"/>
            </w:tcBorders>
            <w:vAlign w:val="center"/>
          </w:tcPr>
          <w:p w14:paraId="65C80806" w14:textId="77777777" w:rsidR="00875950" w:rsidRDefault="00875950" w:rsidP="007C5659">
            <w:pPr>
              <w:keepNext/>
              <w:spacing w:after="0"/>
              <w:jc w:val="center"/>
            </w:pPr>
            <w:r>
              <w:t xml:space="preserve">Comprar bono </w:t>
            </w:r>
            <w:r w:rsidRPr="00C5464A">
              <w:rPr>
                <w:spacing w:val="-4"/>
                <w:sz w:val="19"/>
                <w:szCs w:val="19"/>
              </w:rPr>
              <w:t>(</w:t>
            </w:r>
            <w:r w:rsidRPr="00C5464A">
              <w:rPr>
                <w:i/>
                <w:iCs/>
                <w:spacing w:val="-4"/>
                <w:sz w:val="19"/>
                <w:szCs w:val="19"/>
              </w:rPr>
              <w:t>cupón cero sin riesgo</w:t>
            </w:r>
            <w:r w:rsidRPr="00C5464A">
              <w:rPr>
                <w:spacing w:val="-4"/>
                <w:sz w:val="19"/>
                <w:szCs w:val="19"/>
              </w:rPr>
              <w:t>)</w:t>
            </w:r>
          </w:p>
          <w:p w14:paraId="45E8C085" w14:textId="77777777" w:rsidR="00875950" w:rsidRDefault="00875950" w:rsidP="007C5659">
            <w:pPr>
              <w:keepNext/>
              <w:spacing w:after="0"/>
              <w:jc w:val="center"/>
            </w:pPr>
            <w:r>
              <w:t>+</w:t>
            </w:r>
          </w:p>
          <w:p w14:paraId="0D2E8F34" w14:textId="77777777" w:rsidR="00875950" w:rsidRDefault="00875950" w:rsidP="007C5659">
            <w:pPr>
              <w:keepNext/>
              <w:spacing w:after="0"/>
              <w:jc w:val="center"/>
            </w:pPr>
            <w:r>
              <w:t xml:space="preserve">Comprar </w:t>
            </w:r>
            <w:proofErr w:type="spellStart"/>
            <w:r>
              <w:t>call</w:t>
            </w:r>
            <w:proofErr w:type="spellEnd"/>
          </w:p>
        </w:tc>
        <w:tc>
          <w:tcPr>
            <w:tcW w:w="3251" w:type="dxa"/>
            <w:vMerge w:val="restart"/>
            <w:tcBorders>
              <w:top w:val="single" w:sz="4" w:space="0" w:color="5F2987"/>
              <w:left w:val="nil"/>
              <w:right w:val="single" w:sz="2" w:space="0" w:color="5F2987"/>
            </w:tcBorders>
            <w:vAlign w:val="center"/>
          </w:tcPr>
          <w:p w14:paraId="4E386C0C" w14:textId="77777777" w:rsidR="00875950" w:rsidRDefault="00875950" w:rsidP="007C5659">
            <w:pPr>
              <w:keepNext/>
              <w:spacing w:after="0"/>
              <w:jc w:val="center"/>
            </w:pPr>
            <w:r>
              <w:rPr>
                <w:noProof/>
              </w:rPr>
              <w:drawing>
                <wp:inline distT="0" distB="0" distL="0" distR="0" wp14:anchorId="6FFD7CD4" wp14:editId="6AAABE8F">
                  <wp:extent cx="1689543" cy="1620000"/>
                  <wp:effectExtent l="0" t="0" r="6350" b="0"/>
                  <wp:docPr id="39" name="Imagen 3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Diagrama&#10;&#10;Descripción generada automáticamente"/>
                          <pic:cNvPicPr/>
                        </pic:nvPicPr>
                        <pic:blipFill rotWithShape="1">
                          <a:blip r:embed="rId41"/>
                          <a:srcRect l="13999" r="27340"/>
                          <a:stretch/>
                        </pic:blipFill>
                        <pic:spPr bwMode="auto">
                          <a:xfrm>
                            <a:off x="0" y="0"/>
                            <a:ext cx="1689543" cy="16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979" w:type="dxa"/>
            <w:tcBorders>
              <w:top w:val="single" w:sz="4" w:space="0" w:color="5F2987"/>
              <w:left w:val="single" w:sz="2" w:space="0" w:color="5F2987"/>
              <w:bottom w:val="single" w:sz="2" w:space="0" w:color="5F2987"/>
              <w:right w:val="nil"/>
            </w:tcBorders>
            <w:vAlign w:val="center"/>
          </w:tcPr>
          <w:p w14:paraId="6595DE00" w14:textId="77777777" w:rsidR="00875950" w:rsidRDefault="00875950" w:rsidP="007C5659">
            <w:pPr>
              <w:keepNext/>
              <w:spacing w:after="0"/>
              <w:jc w:val="center"/>
            </w:pPr>
            <w:r>
              <w:t>Comprar futuros</w:t>
            </w:r>
          </w:p>
          <w:p w14:paraId="41729771" w14:textId="77777777" w:rsidR="00875950" w:rsidRDefault="00875950" w:rsidP="007C5659">
            <w:pPr>
              <w:keepNext/>
              <w:spacing w:after="0"/>
              <w:jc w:val="center"/>
            </w:pPr>
            <w:r>
              <w:t>+</w:t>
            </w:r>
          </w:p>
          <w:p w14:paraId="6428A40A" w14:textId="77777777" w:rsidR="00875950" w:rsidRDefault="00875950" w:rsidP="007C5659">
            <w:pPr>
              <w:keepNext/>
              <w:spacing w:after="0"/>
              <w:jc w:val="center"/>
            </w:pPr>
            <w:r>
              <w:t xml:space="preserve">Comprar </w:t>
            </w:r>
            <w:proofErr w:type="spellStart"/>
            <w:r>
              <w:t>put</w:t>
            </w:r>
            <w:proofErr w:type="spellEnd"/>
          </w:p>
        </w:tc>
        <w:tc>
          <w:tcPr>
            <w:tcW w:w="3199" w:type="dxa"/>
            <w:vMerge w:val="restart"/>
            <w:tcBorders>
              <w:top w:val="single" w:sz="4" w:space="0" w:color="5F2987"/>
              <w:left w:val="nil"/>
              <w:right w:val="single" w:sz="2" w:space="0" w:color="5F2987"/>
            </w:tcBorders>
            <w:vAlign w:val="center"/>
          </w:tcPr>
          <w:p w14:paraId="0629F33F" w14:textId="77777777" w:rsidR="00875950" w:rsidRDefault="00875950" w:rsidP="007C5659">
            <w:pPr>
              <w:keepNext/>
              <w:spacing w:after="0"/>
              <w:jc w:val="center"/>
            </w:pPr>
            <w:r>
              <w:rPr>
                <w:noProof/>
              </w:rPr>
              <w:drawing>
                <wp:inline distT="0" distB="0" distL="0" distR="0" wp14:anchorId="335D635E" wp14:editId="20B9EAD0">
                  <wp:extent cx="1734606" cy="1620000"/>
                  <wp:effectExtent l="0" t="0" r="0" b="0"/>
                  <wp:docPr id="38" name="Imagen 38" descr="Gráfico, Gráfico de líne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Gráfico, Gráfico de líneas&#10;&#10;Descripción generada automáticamente con confianza media"/>
                          <pic:cNvPicPr/>
                        </pic:nvPicPr>
                        <pic:blipFill rotWithShape="1">
                          <a:blip r:embed="rId34"/>
                          <a:srcRect l="12905" r="26866"/>
                          <a:stretch/>
                        </pic:blipFill>
                        <pic:spPr bwMode="auto">
                          <a:xfrm>
                            <a:off x="0" y="0"/>
                            <a:ext cx="1734606" cy="1620000"/>
                          </a:xfrm>
                          <a:prstGeom prst="rect">
                            <a:avLst/>
                          </a:prstGeom>
                          <a:ln>
                            <a:noFill/>
                          </a:ln>
                          <a:extLst>
                            <a:ext uri="{53640926-AAD7-44D8-BBD7-CCE9431645EC}">
                              <a14:shadowObscured xmlns:a14="http://schemas.microsoft.com/office/drawing/2010/main"/>
                            </a:ext>
                          </a:extLst>
                        </pic:spPr>
                      </pic:pic>
                    </a:graphicData>
                  </a:graphic>
                </wp:inline>
              </w:drawing>
            </w:r>
          </w:p>
        </w:tc>
      </w:tr>
      <w:tr w:rsidR="00875950" w14:paraId="27F854F5" w14:textId="77777777" w:rsidTr="007C5659">
        <w:trPr>
          <w:trHeight w:val="283"/>
        </w:trPr>
        <w:tc>
          <w:tcPr>
            <w:tcW w:w="1980" w:type="dxa"/>
            <w:tcBorders>
              <w:top w:val="single" w:sz="2" w:space="0" w:color="5F2987"/>
              <w:left w:val="single" w:sz="2" w:space="0" w:color="5F2987"/>
              <w:bottom w:val="single" w:sz="12" w:space="0" w:color="5F2987"/>
              <w:right w:val="nil"/>
            </w:tcBorders>
            <w:vAlign w:val="center"/>
          </w:tcPr>
          <w:p w14:paraId="56872F75" w14:textId="77777777" w:rsidR="00875950" w:rsidRDefault="00875950" w:rsidP="007C5659">
            <w:pPr>
              <w:keepNext/>
              <w:spacing w:after="0"/>
              <w:jc w:val="center"/>
            </w:pPr>
            <w:proofErr w:type="spellStart"/>
            <w:r>
              <w:rPr>
                <w:b/>
                <w:bCs/>
                <w:i/>
                <w:iCs/>
              </w:rPr>
              <w:t>Fiduciary</w:t>
            </w:r>
            <w:proofErr w:type="spellEnd"/>
            <w:r>
              <w:rPr>
                <w:b/>
                <w:bCs/>
                <w:i/>
                <w:iCs/>
              </w:rPr>
              <w:t xml:space="preserve"> </w:t>
            </w:r>
            <w:proofErr w:type="spellStart"/>
            <w:r>
              <w:rPr>
                <w:b/>
                <w:bCs/>
                <w:i/>
                <w:iCs/>
              </w:rPr>
              <w:t>call</w:t>
            </w:r>
            <w:proofErr w:type="spellEnd"/>
          </w:p>
        </w:tc>
        <w:tc>
          <w:tcPr>
            <w:tcW w:w="3251" w:type="dxa"/>
            <w:vMerge/>
            <w:tcBorders>
              <w:left w:val="nil"/>
              <w:bottom w:val="single" w:sz="12" w:space="0" w:color="5F2987"/>
              <w:right w:val="single" w:sz="2" w:space="0" w:color="5F2987"/>
            </w:tcBorders>
            <w:vAlign w:val="center"/>
          </w:tcPr>
          <w:p w14:paraId="1B348694" w14:textId="77777777" w:rsidR="00875950" w:rsidRDefault="00875950" w:rsidP="007C5659">
            <w:pPr>
              <w:keepNext/>
              <w:spacing w:after="0"/>
              <w:jc w:val="center"/>
            </w:pPr>
          </w:p>
        </w:tc>
        <w:tc>
          <w:tcPr>
            <w:tcW w:w="1979" w:type="dxa"/>
            <w:tcBorders>
              <w:top w:val="single" w:sz="2" w:space="0" w:color="5F2987"/>
              <w:left w:val="single" w:sz="2" w:space="0" w:color="5F2987"/>
              <w:bottom w:val="single" w:sz="12" w:space="0" w:color="5F2987"/>
              <w:right w:val="nil"/>
            </w:tcBorders>
            <w:vAlign w:val="center"/>
          </w:tcPr>
          <w:p w14:paraId="491BA4E5" w14:textId="77777777" w:rsidR="00875950" w:rsidRDefault="00875950" w:rsidP="007C5659">
            <w:pPr>
              <w:keepNext/>
              <w:spacing w:after="0"/>
              <w:jc w:val="center"/>
            </w:pPr>
            <w:proofErr w:type="spellStart"/>
            <w:r>
              <w:rPr>
                <w:b/>
                <w:bCs/>
                <w:i/>
                <w:iCs/>
              </w:rPr>
              <w:t>Protective</w:t>
            </w:r>
            <w:proofErr w:type="spellEnd"/>
            <w:r>
              <w:rPr>
                <w:b/>
                <w:bCs/>
                <w:i/>
                <w:iCs/>
              </w:rPr>
              <w:t xml:space="preserve"> </w:t>
            </w:r>
            <w:proofErr w:type="spellStart"/>
            <w:r w:rsidRPr="006A4F7E">
              <w:rPr>
                <w:b/>
                <w:bCs/>
                <w:i/>
                <w:iCs/>
              </w:rPr>
              <w:t>put</w:t>
            </w:r>
            <w:proofErr w:type="spellEnd"/>
          </w:p>
        </w:tc>
        <w:tc>
          <w:tcPr>
            <w:tcW w:w="3199" w:type="dxa"/>
            <w:vMerge/>
            <w:tcBorders>
              <w:left w:val="nil"/>
              <w:bottom w:val="single" w:sz="12" w:space="0" w:color="5F2987"/>
              <w:right w:val="single" w:sz="2" w:space="0" w:color="5F2987"/>
            </w:tcBorders>
            <w:vAlign w:val="center"/>
          </w:tcPr>
          <w:p w14:paraId="4491C9D2" w14:textId="77777777" w:rsidR="00875950" w:rsidRDefault="00875950" w:rsidP="007C5659">
            <w:pPr>
              <w:keepNext/>
              <w:spacing w:after="0"/>
              <w:jc w:val="center"/>
            </w:pPr>
          </w:p>
        </w:tc>
      </w:tr>
    </w:tbl>
    <w:p w14:paraId="7CE00268" w14:textId="77777777" w:rsidR="00875950" w:rsidRDefault="00875950" w:rsidP="00875950">
      <w:pPr>
        <w:pStyle w:val="Nivel1SM"/>
        <w:keepNext/>
        <w:spacing w:after="0"/>
      </w:pPr>
      <w:r>
        <w:t xml:space="preserve">Por lo tanto, comparando ambas posiciones se observa que el esquema de retribuciones de ambas posiciones es la misma (los pagos de la </w:t>
      </w:r>
      <w:proofErr w:type="spellStart"/>
      <w:r>
        <w:rPr>
          <w:i/>
          <w:iCs/>
        </w:rPr>
        <w:t>fiduciary</w:t>
      </w:r>
      <w:proofErr w:type="spellEnd"/>
      <w:r>
        <w:rPr>
          <w:i/>
          <w:iCs/>
        </w:rPr>
        <w:t xml:space="preserve"> </w:t>
      </w:r>
      <w:proofErr w:type="spellStart"/>
      <w:r>
        <w:rPr>
          <w:i/>
          <w:iCs/>
        </w:rPr>
        <w:t>call</w:t>
      </w:r>
      <w:proofErr w:type="spellEnd"/>
      <w:r>
        <w:t xml:space="preserve"> y del </w:t>
      </w:r>
      <w:proofErr w:type="spellStart"/>
      <w:r>
        <w:rPr>
          <w:i/>
          <w:iCs/>
        </w:rPr>
        <w:t>protective</w:t>
      </w:r>
      <w:proofErr w:type="spellEnd"/>
      <w:r>
        <w:rPr>
          <w:i/>
          <w:iCs/>
        </w:rPr>
        <w:t xml:space="preserve"> </w:t>
      </w:r>
      <w:proofErr w:type="spellStart"/>
      <w:r>
        <w:rPr>
          <w:i/>
          <w:iCs/>
        </w:rPr>
        <w:t>put</w:t>
      </w:r>
      <w:proofErr w:type="spellEnd"/>
      <w:r>
        <w:t xml:space="preserve"> coinciden sea cual sea la relación entre el precio de la acción y el precio de ejercicio de la opción). </w:t>
      </w:r>
      <w:r w:rsidRPr="001272E1">
        <w:t xml:space="preserve">Ello implica que, </w:t>
      </w:r>
      <w:r w:rsidRPr="001272E1">
        <w:rPr>
          <w:b/>
          <w:bCs/>
        </w:rPr>
        <w:t>a mismo valor esperado a vencimiento, el coste de ambas posiciones debe ser el mismo</w:t>
      </w:r>
      <w:r>
        <w:t xml:space="preserve">. Esta igualdad se conoce como la paridad </w:t>
      </w:r>
      <w:proofErr w:type="spellStart"/>
      <w:r>
        <w:rPr>
          <w:i/>
          <w:iCs/>
        </w:rPr>
        <w:t>put-call</w:t>
      </w:r>
      <w:proofErr w:type="spellEnd"/>
      <w:r>
        <w:t xml:space="preserve"> para opciones europeas</w:t>
      </w:r>
      <w:r>
        <w:rPr>
          <w:rStyle w:val="Refdenotaalpie"/>
        </w:rPr>
        <w:footnoteReference w:id="25"/>
      </w:r>
      <w:r>
        <w:t>:</w:t>
      </w:r>
    </w:p>
    <w:p w14:paraId="38C953F5" w14:textId="77777777" w:rsidR="00875950" w:rsidRPr="00674CB6" w:rsidRDefault="00000000" w:rsidP="00875950">
      <w:pPr>
        <w:keepNext/>
        <w:spacing w:after="0"/>
        <w:rPr>
          <w:rFonts w:eastAsiaTheme="minorEastAsia"/>
          <w:i/>
        </w:rPr>
      </w:pPr>
      <m:oMathPara>
        <m:oMath>
          <m:sSub>
            <m:sSubPr>
              <m:ctrlPr>
                <w:rPr>
                  <w:rFonts w:ascii="Cambria Math" w:hAnsi="Cambria Math"/>
                  <w:i/>
                </w:rPr>
              </m:ctrlPr>
            </m:sSubPr>
            <m:e>
              <m:r>
                <m:rPr>
                  <m:nor/>
                </m:rPr>
                <w:rPr>
                  <w:i/>
                </w:rPr>
                <m:t>C</m:t>
              </m:r>
            </m:e>
            <m:sub>
              <m:r>
                <m:rPr>
                  <m:nor/>
                </m:rPr>
                <w:rPr>
                  <w:i/>
                </w:rPr>
                <m:t>0</m:t>
              </m:r>
            </m:sub>
          </m:sSub>
          <m:r>
            <w:rPr>
              <w:rFonts w:ascii="Cambria Math" w:hAnsi="Cambria Math"/>
            </w:rPr>
            <m:t>+</m:t>
          </m:r>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r>
            <w:rPr>
              <w:rFonts w:ascii="Cambria Math" w:hAnsi="Cambria Math"/>
            </w:rPr>
            <m:t>=</m:t>
          </m:r>
          <m:sSub>
            <m:sSubPr>
              <m:ctrlPr>
                <w:rPr>
                  <w:rFonts w:ascii="Cambria Math" w:hAnsi="Cambria Math"/>
                  <w:i/>
                </w:rPr>
              </m:ctrlPr>
            </m:sSubPr>
            <m:e>
              <m:r>
                <m:rPr>
                  <m:nor/>
                </m:rPr>
                <w:rPr>
                  <w:i/>
                </w:rPr>
                <m:t>P</m:t>
              </m:r>
            </m:e>
            <m:sub>
              <m:r>
                <m:rPr>
                  <m:nor/>
                </m:rPr>
                <w:rPr>
                  <w:i/>
                </w:rPr>
                <m:t>0</m:t>
              </m:r>
            </m:sub>
          </m:sSub>
          <m:r>
            <w:rPr>
              <w:rFonts w:ascii="Cambria Math" w:hAnsi="Cambria Math"/>
            </w:rPr>
            <m:t>+</m:t>
          </m:r>
          <m:sSub>
            <m:sSubPr>
              <m:ctrlPr>
                <w:rPr>
                  <w:rFonts w:ascii="Cambria Math" w:hAnsi="Cambria Math"/>
                  <w:i/>
                </w:rPr>
              </m:ctrlPr>
            </m:sSubPr>
            <m:e>
              <m:r>
                <m:rPr>
                  <m:nor/>
                </m:rPr>
                <w:rPr>
                  <w:i/>
                </w:rPr>
                <m:t>S</m:t>
              </m:r>
            </m:e>
            <m:sub>
              <m:r>
                <m:rPr>
                  <m:nor/>
                </m:rPr>
                <w:rPr>
                  <w:i/>
                </w:rPr>
                <m:t>0</m:t>
              </m:r>
            </m:sub>
          </m:sSub>
        </m:oMath>
      </m:oMathPara>
    </w:p>
    <w:p w14:paraId="1EA6A15E" w14:textId="77777777" w:rsidR="00875950" w:rsidRPr="004C46A3" w:rsidRDefault="00875950" w:rsidP="00875950">
      <w:pPr>
        <w:pStyle w:val="Nivel2SM"/>
      </w:pPr>
      <w:r>
        <w:t>Si esta igualdad no se da, existe una relación de arbitraje consistente en comprar la cartera relativamente barata y vender la relativamente cara.</w:t>
      </w:r>
    </w:p>
    <w:p w14:paraId="798951EF" w14:textId="77777777" w:rsidR="00875950" w:rsidRDefault="00875950" w:rsidP="00875950">
      <w:pPr>
        <w:pStyle w:val="Nivel1SM"/>
        <w:keepNext/>
        <w:spacing w:after="0"/>
      </w:pPr>
      <w:r>
        <w:t>A partir de dicha igualdad, se pueden derivar numerosas carteras sintéticas combinando posiciones largas y cortas en los otros tres activos de la ecuación.</w:t>
      </w:r>
    </w:p>
    <w:p w14:paraId="24194645" w14:textId="77777777" w:rsidR="00875950" w:rsidRPr="00817161" w:rsidRDefault="00875950" w:rsidP="00875950">
      <w:pPr>
        <w:pStyle w:val="Nivel2SM"/>
      </w:pPr>
      <w:r>
        <w:t xml:space="preserve">El uso de estas posiciones sintéticas es muy útil ya que permite realizar operaciones de arbitraje comprando y vendiendo el activo y teniendo una posición sintética que replique dicho activo contraria. Si la ecuación de la igualdad </w:t>
      </w:r>
      <w:proofErr w:type="spellStart"/>
      <w:r>
        <w:t>put-call</w:t>
      </w:r>
      <w:proofErr w:type="spellEnd"/>
      <w:r>
        <w:t xml:space="preserve"> no se cumple se puede comprar en el mercado barato y vender en el mercado caro, ganando dinero sin riesgo (</w:t>
      </w:r>
      <w:r>
        <w:rPr>
          <w:i/>
        </w:rPr>
        <w:t>arbitraje</w:t>
      </w:r>
      <w:r>
        <w:t>).</w:t>
      </w:r>
    </w:p>
    <w:p w14:paraId="78A99610" w14:textId="77777777" w:rsidR="00875950" w:rsidRPr="00B66639" w:rsidRDefault="00875950" w:rsidP="00875950">
      <w:pPr>
        <w:pStyle w:val="Ttulo3"/>
      </w:pPr>
      <w:bookmarkStart w:id="53" w:name="_Toc131840481"/>
      <w:r w:rsidRPr="00B66639">
        <w:t>Valor intrínseco y valor temporal</w:t>
      </w:r>
      <w:bookmarkEnd w:id="53"/>
    </w:p>
    <w:p w14:paraId="1CEECB37" w14:textId="77777777" w:rsidR="00875950" w:rsidRDefault="00875950" w:rsidP="00875950">
      <w:pPr>
        <w:pStyle w:val="Nivel1SM"/>
        <w:spacing w:before="0"/>
      </w:pPr>
      <w:r>
        <w:t xml:space="preserve">Hemos definido la paridad </w:t>
      </w:r>
      <w:proofErr w:type="spellStart"/>
      <w:r>
        <w:t>put-call</w:t>
      </w:r>
      <w:proofErr w:type="spellEnd"/>
      <w:r>
        <w:t xml:space="preserve">, que nos da una relación entre el precio de una opción </w:t>
      </w:r>
      <w:proofErr w:type="spellStart"/>
      <w:r>
        <w:t>put</w:t>
      </w:r>
      <w:proofErr w:type="spellEnd"/>
      <w:r>
        <w:t xml:space="preserve"> y el de una opción </w:t>
      </w:r>
      <w:proofErr w:type="spellStart"/>
      <w:r>
        <w:t>call</w:t>
      </w:r>
      <w:proofErr w:type="spellEnd"/>
      <w:r>
        <w:t xml:space="preserve">. Pero aún no hemos dicho nada de qué define el valor de una opción </w:t>
      </w:r>
      <w:proofErr w:type="spellStart"/>
      <w:r>
        <w:t>put</w:t>
      </w:r>
      <w:proofErr w:type="spellEnd"/>
      <w:r>
        <w:t xml:space="preserve"> ni de una opción </w:t>
      </w:r>
      <w:proofErr w:type="spellStart"/>
      <w:r>
        <w:t>call</w:t>
      </w:r>
      <w:proofErr w:type="spellEnd"/>
      <w:r>
        <w:t>.</w:t>
      </w:r>
    </w:p>
    <w:p w14:paraId="0FF6C9EF" w14:textId="77777777" w:rsidR="00875950" w:rsidRPr="00F4299A" w:rsidRDefault="00875950" w:rsidP="00875950">
      <w:pPr>
        <w:pStyle w:val="Nivel1SM"/>
      </w:pPr>
      <w:r>
        <w:lastRenderedPageBreak/>
        <w:t xml:space="preserve">Un primer paso para valorar una opción es entender qué elementos dan valor a una opción, para lo que podemos definir el </w:t>
      </w:r>
      <w:r w:rsidRPr="00241E9B">
        <w:rPr>
          <w:b/>
          <w:bCs/>
        </w:rPr>
        <w:t>valor intrínseco</w:t>
      </w:r>
      <w:r>
        <w:t xml:space="preserve"> y el </w:t>
      </w:r>
      <w:r w:rsidRPr="00241E9B">
        <w:rPr>
          <w:b/>
          <w:bCs/>
        </w:rPr>
        <w:t>valor temporal</w:t>
      </w:r>
      <w:r>
        <w:t xml:space="preserve">. Consideremos una opción </w:t>
      </w:r>
      <w:proofErr w:type="spellStart"/>
      <w:r>
        <w:t>call</w:t>
      </w:r>
      <w:proofErr w:type="spellEnd"/>
      <w:r>
        <w:t xml:space="preserve"> que está </w:t>
      </w:r>
      <w:proofErr w:type="spellStart"/>
      <w:r>
        <w:rPr>
          <w:i/>
          <w:iCs/>
        </w:rPr>
        <w:t>out-of-the</w:t>
      </w:r>
      <w:proofErr w:type="spellEnd"/>
      <w:r>
        <w:rPr>
          <w:i/>
          <w:iCs/>
        </w:rPr>
        <w:t xml:space="preserve"> </w:t>
      </w:r>
      <w:proofErr w:type="spellStart"/>
      <w:r>
        <w:rPr>
          <w:i/>
          <w:iCs/>
        </w:rPr>
        <w:t>money</w:t>
      </w:r>
      <w:proofErr w:type="spellEnd"/>
      <w:r>
        <w:t xml:space="preserve"> en este momento (con el precio del activo subyacente por debajo de su precio de ejercicio). Esto implica que el ejercicio de esta opción no es rentable en este momento, pero</w:t>
      </w:r>
      <w:r w:rsidRPr="00F4299A">
        <w:t xml:space="preserve"> </w:t>
      </w:r>
      <w:r>
        <w:t xml:space="preserve">no implica que la opción no tenga ningún valor. Esta opción puede tener valor porque siempre existe la posibilidad de que el precio del activo subyacente varíe y la opción esté </w:t>
      </w:r>
      <w:proofErr w:type="spellStart"/>
      <w:r>
        <w:rPr>
          <w:i/>
          <w:iCs/>
        </w:rPr>
        <w:t>in-the-money</w:t>
      </w:r>
      <w:proofErr w:type="spellEnd"/>
      <w:r>
        <w:t xml:space="preserve"> a vencimiento.</w:t>
      </w:r>
    </w:p>
    <w:p w14:paraId="09AD9E35" w14:textId="77777777" w:rsidR="00875950" w:rsidRPr="00315918" w:rsidRDefault="00875950" w:rsidP="00875950">
      <w:pPr>
        <w:pStyle w:val="Nivel1SM"/>
        <w:keepNext/>
        <w:spacing w:after="0"/>
        <w:rPr>
          <w:spacing w:val="-2"/>
        </w:rPr>
      </w:pPr>
      <w:r w:rsidRPr="00315918">
        <w:rPr>
          <w:spacing w:val="-2"/>
        </w:rPr>
        <w:t xml:space="preserve">El precio, valor o prima de una opción se puede descomponer en </w:t>
      </w:r>
      <w:r w:rsidRPr="00315918">
        <w:rPr>
          <w:i/>
          <w:iCs/>
          <w:spacing w:val="-2"/>
        </w:rPr>
        <w:t>valor intrínseco</w:t>
      </w:r>
      <w:r w:rsidRPr="00315918">
        <w:rPr>
          <w:spacing w:val="-2"/>
        </w:rPr>
        <w:t xml:space="preserve"> y en </w:t>
      </w:r>
      <w:r w:rsidRPr="00315918">
        <w:rPr>
          <w:i/>
          <w:iCs/>
          <w:spacing w:val="-2"/>
        </w:rPr>
        <w:t>valor temporal</w:t>
      </w:r>
      <w:r w:rsidRPr="00315918">
        <w:rPr>
          <w:spacing w:val="-2"/>
        </w:rPr>
        <w:t>:</w:t>
      </w:r>
    </w:p>
    <w:p w14:paraId="649B1C90" w14:textId="77777777" w:rsidR="00875950" w:rsidRDefault="00875950" w:rsidP="00875950">
      <w:pPr>
        <w:pStyle w:val="Nivel2SM"/>
      </w:pPr>
      <w:r w:rsidRPr="00315918">
        <w:rPr>
          <w:b/>
          <w:bCs/>
        </w:rPr>
        <w:t>Valor intrínseco</w:t>
      </w:r>
      <w:r>
        <w:t>: Depende de la relación entre el precio del activo subyacente (</w:t>
      </w:r>
      <m:oMath>
        <m:sSub>
          <m:sSubPr>
            <m:ctrlPr>
              <w:rPr>
                <w:rFonts w:ascii="Cambria Math" w:hAnsi="Cambria Math"/>
                <w:i/>
              </w:rPr>
            </m:ctrlPr>
          </m:sSubPr>
          <m:e>
            <m:r>
              <m:rPr>
                <m:nor/>
              </m:rPr>
              <w:rPr>
                <w:i/>
              </w:rPr>
              <m:t>S</m:t>
            </m:r>
          </m:e>
          <m:sub>
            <m:r>
              <m:rPr>
                <m:nor/>
              </m:rPr>
              <w:rPr>
                <w:i/>
              </w:rPr>
              <m:t>t</m:t>
            </m:r>
          </m:sub>
        </m:sSub>
      </m:oMath>
      <w:r>
        <w:t>) y el precio de ejercicio (</w:t>
      </w:r>
      <m:oMath>
        <m:r>
          <m:rPr>
            <m:nor/>
          </m:rPr>
          <w:rPr>
            <w:i/>
          </w:rPr>
          <m:t>X</m:t>
        </m:r>
      </m:oMath>
      <w:r>
        <w:t xml:space="preserve">). Es el pago que recibiríamos por el ejercicio inmediato de la opción. El mínimo es cero (si la opción está </w:t>
      </w:r>
      <w:proofErr w:type="spellStart"/>
      <w:r>
        <w:rPr>
          <w:i/>
          <w:iCs/>
        </w:rPr>
        <w:t>out-of-the-money</w:t>
      </w:r>
      <w:proofErr w:type="spellEnd"/>
      <w:r>
        <w:t xml:space="preserve"> o </w:t>
      </w:r>
      <w:r>
        <w:rPr>
          <w:i/>
          <w:iCs/>
        </w:rPr>
        <w:t>at-</w:t>
      </w:r>
      <w:proofErr w:type="spellStart"/>
      <w:r>
        <w:rPr>
          <w:i/>
          <w:iCs/>
        </w:rPr>
        <w:t>the</w:t>
      </w:r>
      <w:proofErr w:type="spellEnd"/>
      <w:r>
        <w:rPr>
          <w:i/>
          <w:iCs/>
        </w:rPr>
        <w:t xml:space="preserve"> </w:t>
      </w:r>
      <w:proofErr w:type="spellStart"/>
      <w:r>
        <w:rPr>
          <w:i/>
          <w:iCs/>
        </w:rPr>
        <w:t>money</w:t>
      </w:r>
      <w:proofErr w:type="spellEnd"/>
      <w:r>
        <w:t xml:space="preserve">), y el máximo es el valor </w:t>
      </w:r>
      <w:proofErr w:type="spellStart"/>
      <w:r w:rsidRPr="00315918">
        <w:rPr>
          <w:i/>
          <w:iCs/>
        </w:rPr>
        <w:t>in-the-money</w:t>
      </w:r>
      <w:proofErr w:type="spellEnd"/>
      <w:r>
        <w:rPr>
          <w:i/>
          <w:iCs/>
        </w:rPr>
        <w:t xml:space="preserve"> </w:t>
      </w:r>
      <w:r w:rsidRPr="00261E2A">
        <w:t>que</w:t>
      </w:r>
      <w:r>
        <w:rPr>
          <w:i/>
          <w:iCs/>
        </w:rPr>
        <w:t xml:space="preserve"> </w:t>
      </w:r>
      <w:r>
        <w:t>la opción pueda alcanzar. Es decir, este valor, ha sido el que hemos estado representando hasta ahora, el pago por el ejercicio inmediato de la acción, ya que hemos considerado que estábamos en la fecha de vencimiento.</w:t>
      </w:r>
    </w:p>
    <w:p w14:paraId="2DA39AD4" w14:textId="77777777" w:rsidR="00875950" w:rsidRDefault="00875950" w:rsidP="00875950">
      <w:pPr>
        <w:pStyle w:val="Nivel2SM"/>
        <w:keepNext/>
        <w:spacing w:after="0"/>
      </w:pPr>
      <w:r>
        <w:rPr>
          <w:b/>
          <w:bCs/>
        </w:rPr>
        <w:t>Valor extrínseco o temporal</w:t>
      </w:r>
      <w:r>
        <w:t>: Depende de varios factores:</w:t>
      </w:r>
    </w:p>
    <w:p w14:paraId="78777AAC" w14:textId="77777777" w:rsidR="00875950" w:rsidRDefault="00875950" w:rsidP="00875950">
      <w:pPr>
        <w:pStyle w:val="Nivel3SM"/>
      </w:pPr>
      <w:r>
        <w:rPr>
          <w:i/>
          <w:iCs/>
          <w:u w:val="single"/>
        </w:rPr>
        <w:t>Plazo a vencimiento</w:t>
      </w:r>
      <w:r>
        <w:t xml:space="preserve">: Cuanto mayor sea el plazo a vencimiento, mayor será el valor temporal, ya que habrá más posibilidades de que la opción consiga estar </w:t>
      </w:r>
      <w:proofErr w:type="spellStart"/>
      <w:r w:rsidRPr="00315918">
        <w:rPr>
          <w:i/>
          <w:iCs/>
        </w:rPr>
        <w:t>in-the</w:t>
      </w:r>
      <w:r>
        <w:rPr>
          <w:i/>
          <w:iCs/>
        </w:rPr>
        <w:t>-</w:t>
      </w:r>
      <w:r w:rsidRPr="00315918">
        <w:rPr>
          <w:i/>
          <w:iCs/>
        </w:rPr>
        <w:t>money</w:t>
      </w:r>
      <w:proofErr w:type="spellEnd"/>
      <w:r>
        <w:t>;</w:t>
      </w:r>
    </w:p>
    <w:p w14:paraId="1AAA1983" w14:textId="77777777" w:rsidR="00875950" w:rsidRDefault="00875950" w:rsidP="00875950">
      <w:pPr>
        <w:pStyle w:val="Nivel3SM"/>
      </w:pPr>
      <w:r>
        <w:rPr>
          <w:i/>
          <w:iCs/>
          <w:u w:val="single"/>
        </w:rPr>
        <w:t>Volatilidad del activo subyacente</w:t>
      </w:r>
      <w:r>
        <w:t xml:space="preserve">: Cuanto mayor sea la volatilidad, mayor será el valor temporal, ya que habrá más posibilidades de que la opción consiga estar </w:t>
      </w:r>
      <w:proofErr w:type="spellStart"/>
      <w:r w:rsidRPr="00315918">
        <w:rPr>
          <w:i/>
          <w:iCs/>
        </w:rPr>
        <w:t>in-the</w:t>
      </w:r>
      <w:r>
        <w:rPr>
          <w:i/>
          <w:iCs/>
        </w:rPr>
        <w:t>-</w:t>
      </w:r>
      <w:r w:rsidRPr="00315918">
        <w:rPr>
          <w:i/>
          <w:iCs/>
        </w:rPr>
        <w:t>money</w:t>
      </w:r>
      <w:proofErr w:type="spellEnd"/>
      <w:r>
        <w:t>;</w:t>
      </w:r>
    </w:p>
    <w:p w14:paraId="0AA18857" w14:textId="77777777" w:rsidR="00875950" w:rsidRPr="00875950" w:rsidRDefault="00875950" w:rsidP="00875950">
      <w:pPr>
        <w:pStyle w:val="Nivel3SM"/>
        <w:rPr>
          <w:spacing w:val="-2"/>
        </w:rPr>
      </w:pPr>
      <w:r w:rsidRPr="00875950">
        <w:rPr>
          <w:i/>
          <w:iCs/>
          <w:spacing w:val="-2"/>
          <w:u w:val="single"/>
        </w:rPr>
        <w:t>Tipo de interés</w:t>
      </w:r>
      <w:r w:rsidRPr="00875950">
        <w:rPr>
          <w:spacing w:val="-2"/>
        </w:rPr>
        <w:t>: Cuanto mayor sea el tipo de interés, menor será el valor descontado del precio de ejercicio, luego el tipo de interés afectará en sentido contrario al precio de ejercicio.</w:t>
      </w:r>
    </w:p>
    <w:p w14:paraId="71F82B99" w14:textId="77777777" w:rsidR="00875950" w:rsidRDefault="00875950" w:rsidP="00875950">
      <w:pPr>
        <w:pStyle w:val="Nivel3SM"/>
      </w:pPr>
      <w:r>
        <w:rPr>
          <w:i/>
          <w:iCs/>
          <w:u w:val="single"/>
        </w:rPr>
        <w:t>Dividendos u otros pagos que emita el activo subyacente</w:t>
      </w:r>
      <w:r>
        <w:t>: Unos dividendos más elevados suponen un lastre para el crecimiento del precio del activo subyacente, por lo que el tipo de interés afectará en sentido contrario al precio del activo subyacente.</w:t>
      </w:r>
    </w:p>
    <w:p w14:paraId="58AD7D0C" w14:textId="77777777" w:rsidR="00875950" w:rsidRDefault="00875950" w:rsidP="00875950">
      <w:pPr>
        <w:pStyle w:val="Nivel3SM"/>
      </w:pPr>
      <w:r>
        <w:rPr>
          <w:i/>
          <w:iCs/>
          <w:u w:val="single"/>
        </w:rPr>
        <w:t>De lo cerca que esté el precio de ejercicio del at-</w:t>
      </w:r>
      <w:proofErr w:type="spellStart"/>
      <w:r>
        <w:rPr>
          <w:i/>
          <w:iCs/>
          <w:u w:val="single"/>
        </w:rPr>
        <w:t>the</w:t>
      </w:r>
      <w:proofErr w:type="spellEnd"/>
      <w:r>
        <w:rPr>
          <w:i/>
          <w:iCs/>
          <w:u w:val="single"/>
        </w:rPr>
        <w:t>-</w:t>
      </w:r>
      <w:proofErr w:type="spellStart"/>
      <w:r>
        <w:rPr>
          <w:i/>
          <w:iCs/>
          <w:u w:val="single"/>
        </w:rPr>
        <w:t>money</w:t>
      </w:r>
      <w:proofErr w:type="spellEnd"/>
      <w:r>
        <w:t xml:space="preserve">, es decir, de lo cerca que esté el precio de ejercicio del precio del subyacente; por lo tanto, cuanto más </w:t>
      </w:r>
      <w:proofErr w:type="spellStart"/>
      <w:r>
        <w:rPr>
          <w:i/>
          <w:iCs/>
        </w:rPr>
        <w:t>out-of-the-money</w:t>
      </w:r>
      <w:proofErr w:type="spellEnd"/>
      <w:r>
        <w:t xml:space="preserve"> o </w:t>
      </w:r>
      <w:proofErr w:type="spellStart"/>
      <w:r>
        <w:rPr>
          <w:i/>
          <w:iCs/>
        </w:rPr>
        <w:t>in-the-money</w:t>
      </w:r>
      <w:proofErr w:type="spellEnd"/>
      <w:r>
        <w:t xml:space="preserve"> esté una opción, menos valor temporal tendrá (de hecho, el valor temporal es máximo cuando la opción está </w:t>
      </w:r>
      <w:r>
        <w:rPr>
          <w:i/>
          <w:iCs/>
        </w:rPr>
        <w:t>at-</w:t>
      </w:r>
      <w:proofErr w:type="spellStart"/>
      <w:r>
        <w:rPr>
          <w:i/>
          <w:iCs/>
        </w:rPr>
        <w:t>the</w:t>
      </w:r>
      <w:proofErr w:type="spellEnd"/>
      <w:r>
        <w:rPr>
          <w:i/>
          <w:iCs/>
        </w:rPr>
        <w:t>-</w:t>
      </w:r>
      <w:proofErr w:type="spellStart"/>
      <w:r>
        <w:rPr>
          <w:i/>
          <w:iCs/>
        </w:rPr>
        <w:t>money</w:t>
      </w:r>
      <w:proofErr w:type="spellEnd"/>
      <w:r>
        <w:t>, porque es cuando el valor intrínseco tiene más posibilidades de aumentar).</w:t>
      </w:r>
    </w:p>
    <w:p w14:paraId="12A327EE" w14:textId="72ECD9CC" w:rsidR="00875950" w:rsidRPr="006929B0" w:rsidRDefault="00875950" w:rsidP="00875950">
      <w:pPr>
        <w:pStyle w:val="Ttuloimagen"/>
        <w:rPr>
          <w:i/>
          <w:iCs/>
          <w:smallCaps w:val="0"/>
        </w:rPr>
      </w:pPr>
      <w:r>
        <w:t>Imagen </w:t>
      </w:r>
      <w:r>
        <w:fldChar w:fldCharType="begin"/>
      </w:r>
      <w:r>
        <w:instrText xml:space="preserve"> SEQ Ilustración \* ARABIC </w:instrText>
      </w:r>
      <w:r>
        <w:fldChar w:fldCharType="separate"/>
      </w:r>
      <w:r w:rsidR="003F2FF6">
        <w:t>9</w:t>
      </w:r>
      <w:r>
        <w:fldChar w:fldCharType="end"/>
      </w:r>
      <w:r>
        <w:rPr>
          <w:smallCaps w:val="0"/>
        </w:rPr>
        <w:t xml:space="preserve">.– </w:t>
      </w:r>
      <w:r>
        <w:rPr>
          <w:i/>
          <w:iCs/>
          <w:smallCaps w:val="0"/>
        </w:rPr>
        <w:t>Valor intrínseco y valor temporal</w:t>
      </w:r>
    </w:p>
    <w:p w14:paraId="183F7E86" w14:textId="77777777" w:rsidR="00875950" w:rsidRPr="00B45C5C" w:rsidRDefault="00875950" w:rsidP="00875950">
      <w:pPr>
        <w:pStyle w:val="Imagen"/>
        <w:rPr>
          <w:sz w:val="15"/>
          <w:szCs w:val="15"/>
        </w:rPr>
      </w:pPr>
      <w:r w:rsidRPr="00B45C5C">
        <w:rPr>
          <w:sz w:val="15"/>
          <w:szCs w:val="15"/>
        </w:rPr>
        <w:drawing>
          <wp:inline distT="0" distB="0" distL="0" distR="0" wp14:anchorId="1771E2FD" wp14:editId="3B91AE54">
            <wp:extent cx="2483264" cy="1728000"/>
            <wp:effectExtent l="0" t="0" r="0" b="5715"/>
            <wp:docPr id="14" name="Imagen 14" descr="Diagrama, Gráfico de líne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 Gráfico de líneas&#10;&#10;Descripción generada automáticamente con confianza media"/>
                    <pic:cNvPicPr/>
                  </pic:nvPicPr>
                  <pic:blipFill rotWithShape="1">
                    <a:blip r:embed="rId42"/>
                    <a:srcRect b="1998"/>
                    <a:stretch/>
                  </pic:blipFill>
                  <pic:spPr bwMode="auto">
                    <a:xfrm>
                      <a:off x="0" y="0"/>
                      <a:ext cx="2483264" cy="1728000"/>
                    </a:xfrm>
                    <a:prstGeom prst="rect">
                      <a:avLst/>
                    </a:prstGeom>
                    <a:ln>
                      <a:noFill/>
                    </a:ln>
                    <a:extLst>
                      <a:ext uri="{53640926-AAD7-44D8-BBD7-CCE9431645EC}">
                        <a14:shadowObscured xmlns:a14="http://schemas.microsoft.com/office/drawing/2010/main"/>
                      </a:ext>
                    </a:extLst>
                  </pic:spPr>
                </pic:pic>
              </a:graphicData>
            </a:graphic>
          </wp:inline>
        </w:drawing>
      </w:r>
    </w:p>
    <w:p w14:paraId="56E5A2D6" w14:textId="77777777" w:rsidR="00875950" w:rsidRDefault="00875950" w:rsidP="00875950">
      <w:pPr>
        <w:pStyle w:val="PiedeImagen"/>
        <w:rPr>
          <w:i w:val="0"/>
          <w:iCs/>
          <w:szCs w:val="15"/>
        </w:rPr>
      </w:pPr>
      <w:r w:rsidRPr="00B45C5C">
        <w:rPr>
          <w:szCs w:val="15"/>
          <w:lang w:val="en-US"/>
        </w:rPr>
        <w:t>Fuente</w:t>
      </w:r>
      <w:r w:rsidRPr="00B45C5C">
        <w:rPr>
          <w:i w:val="0"/>
          <w:iCs/>
          <w:szCs w:val="15"/>
          <w:lang w:val="en-US"/>
        </w:rPr>
        <w:t xml:space="preserve">: Bodie, Z., Kane, A. &amp; Marcus, A. J. (2021). </w:t>
      </w:r>
      <w:r w:rsidRPr="00B45C5C">
        <w:rPr>
          <w:szCs w:val="15"/>
          <w:lang w:val="en-US"/>
        </w:rPr>
        <w:t>Investments</w:t>
      </w:r>
      <w:r w:rsidRPr="00B45C5C">
        <w:rPr>
          <w:i w:val="0"/>
          <w:iCs/>
          <w:szCs w:val="15"/>
          <w:lang w:val="en-US"/>
        </w:rPr>
        <w:t xml:space="preserve"> (Twelfth edition, International student edition). </w:t>
      </w:r>
      <w:r w:rsidRPr="00B45C5C">
        <w:rPr>
          <w:i w:val="0"/>
          <w:iCs/>
          <w:szCs w:val="15"/>
        </w:rPr>
        <w:t>McGraw-Hill.</w:t>
      </w:r>
    </w:p>
    <w:tbl>
      <w:tblPr>
        <w:tblStyle w:val="Tablaconcuadrcula"/>
        <w:tblW w:w="0" w:type="auto"/>
        <w:tblBorders>
          <w:top w:val="none" w:sz="0" w:space="0" w:color="auto"/>
          <w:left w:val="none" w:sz="0" w:space="0" w:color="auto"/>
          <w:bottom w:val="none" w:sz="0" w:space="0" w:color="auto"/>
          <w:right w:val="none" w:sz="0" w:space="0" w:color="auto"/>
          <w:insideH w:val="dashed" w:sz="4" w:space="0" w:color="5F2987"/>
          <w:insideV w:val="dashed" w:sz="4" w:space="0" w:color="5F2987"/>
        </w:tblBorders>
        <w:tblLook w:val="04A0" w:firstRow="1" w:lastRow="0" w:firstColumn="1" w:lastColumn="0" w:noHBand="0" w:noVBand="1"/>
      </w:tblPr>
      <w:tblGrid>
        <w:gridCol w:w="5930"/>
        <w:gridCol w:w="1417"/>
        <w:gridCol w:w="1417"/>
      </w:tblGrid>
      <w:tr w:rsidR="00875950" w14:paraId="2C57A733" w14:textId="77777777" w:rsidTr="007C5659">
        <w:trPr>
          <w:trHeight w:val="227"/>
        </w:trPr>
        <w:tc>
          <w:tcPr>
            <w:tcW w:w="5930" w:type="dxa"/>
            <w:vAlign w:val="center"/>
          </w:tcPr>
          <w:p w14:paraId="42A4C282" w14:textId="77777777" w:rsidR="00875950" w:rsidRDefault="00875950" w:rsidP="007C5659">
            <w:pPr>
              <w:spacing w:after="0"/>
              <w:jc w:val="left"/>
            </w:pPr>
            <w:r>
              <w:t>El valor de la opción depende de:</w:t>
            </w:r>
          </w:p>
        </w:tc>
        <w:tc>
          <w:tcPr>
            <w:tcW w:w="1417" w:type="dxa"/>
            <w:vAlign w:val="center"/>
          </w:tcPr>
          <w:p w14:paraId="45C6DC1A" w14:textId="77777777" w:rsidR="00875950" w:rsidRPr="00B45C5C" w:rsidRDefault="00875950" w:rsidP="007C5659">
            <w:pPr>
              <w:spacing w:after="0"/>
              <w:jc w:val="center"/>
              <w:rPr>
                <w:i/>
                <w:iCs/>
              </w:rPr>
            </w:pPr>
            <w:r w:rsidRPr="00B45C5C">
              <w:rPr>
                <w:i/>
                <w:iCs/>
              </w:rPr>
              <w:t xml:space="preserve">Opciones </w:t>
            </w:r>
            <w:proofErr w:type="spellStart"/>
            <w:r w:rsidRPr="00B45C5C">
              <w:rPr>
                <w:i/>
                <w:iCs/>
              </w:rPr>
              <w:t>call</w:t>
            </w:r>
            <w:proofErr w:type="spellEnd"/>
          </w:p>
        </w:tc>
        <w:tc>
          <w:tcPr>
            <w:tcW w:w="1417" w:type="dxa"/>
            <w:vAlign w:val="center"/>
          </w:tcPr>
          <w:p w14:paraId="78F6BA57" w14:textId="77777777" w:rsidR="00875950" w:rsidRPr="00B45C5C" w:rsidRDefault="00875950" w:rsidP="007C5659">
            <w:pPr>
              <w:spacing w:after="0"/>
              <w:jc w:val="center"/>
              <w:rPr>
                <w:i/>
                <w:iCs/>
              </w:rPr>
            </w:pPr>
            <w:r w:rsidRPr="00B45C5C">
              <w:rPr>
                <w:i/>
                <w:iCs/>
              </w:rPr>
              <w:t xml:space="preserve">Opciones </w:t>
            </w:r>
            <w:proofErr w:type="spellStart"/>
            <w:r w:rsidRPr="00B45C5C">
              <w:rPr>
                <w:i/>
                <w:iCs/>
              </w:rPr>
              <w:t>put</w:t>
            </w:r>
            <w:proofErr w:type="spellEnd"/>
          </w:p>
        </w:tc>
      </w:tr>
      <w:tr w:rsidR="00875950" w14:paraId="4FB6FBFC" w14:textId="77777777" w:rsidTr="007C5659">
        <w:trPr>
          <w:trHeight w:val="227"/>
        </w:trPr>
        <w:tc>
          <w:tcPr>
            <w:tcW w:w="5930" w:type="dxa"/>
            <w:vAlign w:val="center"/>
          </w:tcPr>
          <w:p w14:paraId="39B6124A" w14:textId="77777777" w:rsidR="00875950" w:rsidRPr="00C41CDE" w:rsidRDefault="00875950">
            <w:pPr>
              <w:pStyle w:val="Prrafodelista"/>
              <w:numPr>
                <w:ilvl w:val="0"/>
                <w:numId w:val="16"/>
              </w:numPr>
              <w:spacing w:after="0"/>
              <w:ind w:left="458" w:hanging="240"/>
              <w:rPr>
                <w:spacing w:val="-2"/>
                <w:sz w:val="20"/>
                <w:szCs w:val="20"/>
              </w:rPr>
            </w:pPr>
            <w:r w:rsidRPr="00C41CDE">
              <w:rPr>
                <w:spacing w:val="-2"/>
                <w:sz w:val="20"/>
                <w:szCs w:val="20"/>
              </w:rPr>
              <w:t>El precio del activo subyacente</w:t>
            </w:r>
            <w:r>
              <w:rPr>
                <w:spacing w:val="-2"/>
                <w:sz w:val="20"/>
                <w:szCs w:val="20"/>
              </w:rPr>
              <w:t xml:space="preserve"> (</w:t>
            </w:r>
            <m:oMath>
              <m:sSub>
                <m:sSubPr>
                  <m:ctrlPr>
                    <w:rPr>
                      <w:rFonts w:ascii="Cambria Math" w:hAnsi="Cambria Math"/>
                      <w:i/>
                      <w:sz w:val="20"/>
                      <w:szCs w:val="20"/>
                    </w:rPr>
                  </m:ctrlPr>
                </m:sSubPr>
                <m:e>
                  <m:r>
                    <m:rPr>
                      <m:nor/>
                    </m:rPr>
                    <w:rPr>
                      <w:i/>
                      <w:sz w:val="20"/>
                      <w:szCs w:val="20"/>
                    </w:rPr>
                    <m:t>S</m:t>
                  </m:r>
                </m:e>
                <m:sub>
                  <m:r>
                    <m:rPr>
                      <m:nor/>
                    </m:rPr>
                    <w:rPr>
                      <w:i/>
                      <w:sz w:val="20"/>
                      <w:szCs w:val="20"/>
                    </w:rPr>
                    <m:t>t</m:t>
                  </m:r>
                </m:sub>
              </m:sSub>
            </m:oMath>
            <w:r>
              <w:rPr>
                <w:spacing w:val="-2"/>
                <w:sz w:val="20"/>
                <w:szCs w:val="20"/>
              </w:rPr>
              <w:t>)</w:t>
            </w:r>
            <w:r w:rsidRPr="00C41CDE">
              <w:rPr>
                <w:spacing w:val="-2"/>
                <w:sz w:val="20"/>
                <w:szCs w:val="20"/>
              </w:rPr>
              <w:t>;</w:t>
            </w:r>
          </w:p>
        </w:tc>
        <w:tc>
          <w:tcPr>
            <w:tcW w:w="1417" w:type="dxa"/>
            <w:vAlign w:val="center"/>
          </w:tcPr>
          <w:p w14:paraId="18E874A8"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vAlign w:val="center"/>
          </w:tcPr>
          <w:p w14:paraId="28D0075B" w14:textId="77777777" w:rsidR="00875950" w:rsidRDefault="00875950" w:rsidP="007C5659">
            <w:pPr>
              <w:spacing w:after="0"/>
              <w:jc w:val="center"/>
            </w:pPr>
            <w:r w:rsidRPr="00C94018">
              <w:rPr>
                <w:rFonts w:ascii="Segoe UI Symbol" w:eastAsia="Times New Roman" w:hAnsi="Segoe UI Symbol"/>
                <w:color w:val="C00000"/>
              </w:rPr>
              <w:t>➖</w:t>
            </w:r>
          </w:p>
        </w:tc>
      </w:tr>
      <w:tr w:rsidR="00875950" w14:paraId="3AC987E0" w14:textId="77777777" w:rsidTr="007C5659">
        <w:trPr>
          <w:trHeight w:val="227"/>
        </w:trPr>
        <w:tc>
          <w:tcPr>
            <w:tcW w:w="5930" w:type="dxa"/>
            <w:vAlign w:val="center"/>
          </w:tcPr>
          <w:p w14:paraId="39EDC8CA" w14:textId="77777777" w:rsidR="00875950" w:rsidRPr="00C41CDE" w:rsidRDefault="00875950">
            <w:pPr>
              <w:pStyle w:val="Prrafodelista"/>
              <w:numPr>
                <w:ilvl w:val="0"/>
                <w:numId w:val="16"/>
              </w:numPr>
              <w:spacing w:after="0"/>
              <w:ind w:left="458" w:hanging="240"/>
              <w:rPr>
                <w:spacing w:val="-2"/>
                <w:sz w:val="20"/>
                <w:szCs w:val="20"/>
              </w:rPr>
            </w:pPr>
            <w:r w:rsidRPr="00C41CDE">
              <w:rPr>
                <w:spacing w:val="-2"/>
                <w:sz w:val="20"/>
                <w:szCs w:val="20"/>
              </w:rPr>
              <w:t>El precio de ejercicio</w:t>
            </w:r>
            <w:r>
              <w:rPr>
                <w:spacing w:val="-2"/>
                <w:sz w:val="20"/>
                <w:szCs w:val="20"/>
              </w:rPr>
              <w:t xml:space="preserve"> (</w:t>
            </w:r>
            <m:oMath>
              <m:r>
                <m:rPr>
                  <m:nor/>
                </m:rPr>
                <w:rPr>
                  <w:i/>
                  <w:sz w:val="20"/>
                  <w:szCs w:val="20"/>
                </w:rPr>
                <m:t>X</m:t>
              </m:r>
            </m:oMath>
            <w:r>
              <w:rPr>
                <w:spacing w:val="-2"/>
                <w:sz w:val="20"/>
                <w:szCs w:val="20"/>
              </w:rPr>
              <w:t>)</w:t>
            </w:r>
            <w:r w:rsidRPr="00C41CDE">
              <w:rPr>
                <w:spacing w:val="-2"/>
                <w:sz w:val="20"/>
                <w:szCs w:val="20"/>
              </w:rPr>
              <w:t>;</w:t>
            </w:r>
          </w:p>
        </w:tc>
        <w:tc>
          <w:tcPr>
            <w:tcW w:w="1417" w:type="dxa"/>
            <w:vAlign w:val="center"/>
          </w:tcPr>
          <w:p w14:paraId="723CC9D7" w14:textId="77777777" w:rsidR="00875950" w:rsidRDefault="00875950" w:rsidP="007C5659">
            <w:pPr>
              <w:spacing w:after="0"/>
              <w:jc w:val="center"/>
            </w:pPr>
            <w:r w:rsidRPr="00C94018">
              <w:rPr>
                <w:rFonts w:ascii="Segoe UI Symbol" w:eastAsia="Times New Roman" w:hAnsi="Segoe UI Symbol"/>
                <w:color w:val="C00000"/>
              </w:rPr>
              <w:t>➖</w:t>
            </w:r>
          </w:p>
        </w:tc>
        <w:tc>
          <w:tcPr>
            <w:tcW w:w="1417" w:type="dxa"/>
            <w:vAlign w:val="center"/>
          </w:tcPr>
          <w:p w14:paraId="211842DB" w14:textId="77777777" w:rsidR="00875950" w:rsidRDefault="00875950" w:rsidP="007C5659">
            <w:pPr>
              <w:spacing w:after="0"/>
              <w:jc w:val="center"/>
            </w:pPr>
            <w:r w:rsidRPr="00C94018">
              <w:rPr>
                <w:rFonts w:ascii="Segoe UI Symbol" w:eastAsia="Times New Roman" w:hAnsi="Segoe UI Symbol"/>
                <w:color w:val="00B050"/>
              </w:rPr>
              <w:t>➕</w:t>
            </w:r>
          </w:p>
        </w:tc>
      </w:tr>
      <w:tr w:rsidR="00875950" w14:paraId="7CB4E995" w14:textId="77777777" w:rsidTr="007C5659">
        <w:trPr>
          <w:trHeight w:val="227"/>
        </w:trPr>
        <w:tc>
          <w:tcPr>
            <w:tcW w:w="5930" w:type="dxa"/>
            <w:vAlign w:val="center"/>
          </w:tcPr>
          <w:p w14:paraId="606E7EAE" w14:textId="77777777" w:rsidR="00875950" w:rsidRPr="00C41CDE" w:rsidRDefault="00875950">
            <w:pPr>
              <w:pStyle w:val="Prrafodelista"/>
              <w:numPr>
                <w:ilvl w:val="0"/>
                <w:numId w:val="16"/>
              </w:numPr>
              <w:spacing w:after="0"/>
              <w:ind w:left="458" w:hanging="240"/>
              <w:rPr>
                <w:spacing w:val="-2"/>
                <w:sz w:val="20"/>
                <w:szCs w:val="20"/>
              </w:rPr>
            </w:pPr>
            <w:r w:rsidRPr="00C41CDE">
              <w:rPr>
                <w:spacing w:val="-2"/>
                <w:sz w:val="20"/>
                <w:szCs w:val="20"/>
              </w:rPr>
              <w:t>El plazo a vencimiento;</w:t>
            </w:r>
          </w:p>
        </w:tc>
        <w:tc>
          <w:tcPr>
            <w:tcW w:w="1417" w:type="dxa"/>
            <w:vAlign w:val="center"/>
          </w:tcPr>
          <w:p w14:paraId="09FEBF0B" w14:textId="77777777" w:rsidR="00875950" w:rsidRDefault="00875950" w:rsidP="007C5659">
            <w:pPr>
              <w:spacing w:after="0"/>
              <w:jc w:val="center"/>
            </w:pPr>
            <w:r w:rsidRPr="00C94018">
              <w:rPr>
                <w:rFonts w:ascii="Segoe UI Symbol" w:eastAsia="Times New Roman" w:hAnsi="Segoe UI Symbol"/>
                <w:color w:val="00B050"/>
              </w:rPr>
              <w:t>➕</w:t>
            </w:r>
            <w:r w:rsidRPr="00C94018">
              <w:rPr>
                <w:rFonts w:ascii="Segoe UI Symbol" w:eastAsia="Times New Roman" w:hAnsi="Segoe UI Symbol"/>
                <w:color w:val="C00000"/>
              </w:rPr>
              <w:t xml:space="preserve"> </w:t>
            </w:r>
          </w:p>
        </w:tc>
        <w:tc>
          <w:tcPr>
            <w:tcW w:w="1417" w:type="dxa"/>
            <w:vAlign w:val="center"/>
          </w:tcPr>
          <w:p w14:paraId="0CF3B6B5" w14:textId="77777777" w:rsidR="00875950" w:rsidRPr="00070B6C" w:rsidRDefault="00875950" w:rsidP="007C5659">
            <w:pPr>
              <w:spacing w:after="0"/>
              <w:jc w:val="center"/>
              <w:rPr>
                <w:rFonts w:eastAsia="Times New Roman"/>
                <w:vertAlign w:val="superscript"/>
              </w:rPr>
            </w:pPr>
            <w:r w:rsidRPr="00D6042D">
              <w:rPr>
                <w:rFonts w:ascii="Segoe UI Symbol" w:eastAsia="Times New Roman" w:hAnsi="Segoe UI Symbol"/>
                <w:b/>
                <w:bCs/>
                <w:color w:val="FFC000"/>
              </w:rPr>
              <w:t>∼</w:t>
            </w:r>
            <w:r>
              <w:rPr>
                <w:rStyle w:val="Refdenotaalpie"/>
                <w:rFonts w:eastAsia="Times New Roman"/>
              </w:rPr>
              <w:footnoteReference w:id="26"/>
            </w:r>
          </w:p>
        </w:tc>
      </w:tr>
      <w:tr w:rsidR="00875950" w14:paraId="65E62D3A" w14:textId="77777777" w:rsidTr="007C5659">
        <w:trPr>
          <w:trHeight w:val="227"/>
        </w:trPr>
        <w:tc>
          <w:tcPr>
            <w:tcW w:w="5930" w:type="dxa"/>
            <w:vAlign w:val="center"/>
          </w:tcPr>
          <w:p w14:paraId="4372034C" w14:textId="77777777" w:rsidR="00875950" w:rsidRPr="00C41CDE" w:rsidRDefault="00875950">
            <w:pPr>
              <w:pStyle w:val="Prrafodelista"/>
              <w:numPr>
                <w:ilvl w:val="0"/>
                <w:numId w:val="16"/>
              </w:numPr>
              <w:spacing w:after="0"/>
              <w:ind w:left="458" w:hanging="240"/>
              <w:rPr>
                <w:spacing w:val="-2"/>
                <w:sz w:val="20"/>
                <w:szCs w:val="20"/>
              </w:rPr>
            </w:pPr>
            <w:r w:rsidRPr="00C41CDE">
              <w:rPr>
                <w:spacing w:val="-2"/>
                <w:sz w:val="20"/>
                <w:szCs w:val="20"/>
              </w:rPr>
              <w:t>La volatilidad del precio del activo subyacente;</w:t>
            </w:r>
          </w:p>
        </w:tc>
        <w:tc>
          <w:tcPr>
            <w:tcW w:w="1417" w:type="dxa"/>
            <w:vAlign w:val="center"/>
          </w:tcPr>
          <w:p w14:paraId="07F5525B"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vAlign w:val="center"/>
          </w:tcPr>
          <w:p w14:paraId="69651511" w14:textId="77777777" w:rsidR="00875950" w:rsidRPr="001470A4" w:rsidRDefault="00875950" w:rsidP="007C5659">
            <w:pPr>
              <w:spacing w:after="0"/>
              <w:jc w:val="center"/>
              <w:rPr>
                <w:i/>
                <w:iCs/>
                <w:sz w:val="16"/>
                <w:szCs w:val="16"/>
              </w:rPr>
            </w:pPr>
            <w:r w:rsidRPr="00C94018">
              <w:rPr>
                <w:rFonts w:ascii="Segoe UI Symbol" w:eastAsia="Times New Roman" w:hAnsi="Segoe UI Symbol"/>
                <w:color w:val="00B050"/>
              </w:rPr>
              <w:t>➕</w:t>
            </w:r>
          </w:p>
        </w:tc>
      </w:tr>
      <w:tr w:rsidR="00875950" w14:paraId="54DFB326" w14:textId="77777777" w:rsidTr="007C5659">
        <w:trPr>
          <w:trHeight w:val="227"/>
        </w:trPr>
        <w:tc>
          <w:tcPr>
            <w:tcW w:w="5930" w:type="dxa"/>
            <w:vAlign w:val="center"/>
          </w:tcPr>
          <w:p w14:paraId="4A61F42B" w14:textId="77777777" w:rsidR="00875950" w:rsidRPr="00C41CDE" w:rsidRDefault="00875950">
            <w:pPr>
              <w:pStyle w:val="Prrafodelista"/>
              <w:numPr>
                <w:ilvl w:val="0"/>
                <w:numId w:val="16"/>
              </w:numPr>
              <w:spacing w:after="0"/>
              <w:ind w:left="458" w:hanging="240"/>
              <w:rPr>
                <w:spacing w:val="-2"/>
                <w:sz w:val="20"/>
                <w:szCs w:val="20"/>
              </w:rPr>
            </w:pPr>
            <w:r w:rsidRPr="00C41CDE">
              <w:rPr>
                <w:spacing w:val="-2"/>
                <w:sz w:val="20"/>
                <w:szCs w:val="20"/>
              </w:rPr>
              <w:lastRenderedPageBreak/>
              <w:t>El tipo de interés;</w:t>
            </w:r>
          </w:p>
        </w:tc>
        <w:tc>
          <w:tcPr>
            <w:tcW w:w="1417" w:type="dxa"/>
            <w:vAlign w:val="center"/>
          </w:tcPr>
          <w:p w14:paraId="2AE0F741"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vAlign w:val="center"/>
          </w:tcPr>
          <w:p w14:paraId="137A4618" w14:textId="77777777" w:rsidR="00875950" w:rsidRDefault="00875950" w:rsidP="007C5659">
            <w:pPr>
              <w:spacing w:after="0"/>
              <w:jc w:val="center"/>
            </w:pPr>
            <w:r w:rsidRPr="00C94018">
              <w:rPr>
                <w:rFonts w:ascii="Segoe UI Symbol" w:eastAsia="Times New Roman" w:hAnsi="Segoe UI Symbol"/>
                <w:color w:val="C00000"/>
              </w:rPr>
              <w:t>➖</w:t>
            </w:r>
          </w:p>
        </w:tc>
      </w:tr>
      <w:tr w:rsidR="00875950" w14:paraId="0F165AD6" w14:textId="77777777" w:rsidTr="007C5659">
        <w:trPr>
          <w:trHeight w:val="227"/>
        </w:trPr>
        <w:tc>
          <w:tcPr>
            <w:tcW w:w="5930" w:type="dxa"/>
            <w:tcBorders>
              <w:bottom w:val="single" w:sz="12" w:space="0" w:color="5F2987"/>
            </w:tcBorders>
            <w:vAlign w:val="center"/>
          </w:tcPr>
          <w:p w14:paraId="24E8ADFF" w14:textId="77777777" w:rsidR="00875950" w:rsidRPr="00C41CDE" w:rsidRDefault="00875950">
            <w:pPr>
              <w:pStyle w:val="Prrafodelista"/>
              <w:numPr>
                <w:ilvl w:val="0"/>
                <w:numId w:val="16"/>
              </w:numPr>
              <w:spacing w:after="0"/>
              <w:ind w:left="458" w:hanging="240"/>
              <w:rPr>
                <w:spacing w:val="-2"/>
                <w:sz w:val="20"/>
                <w:szCs w:val="20"/>
              </w:rPr>
            </w:pPr>
            <w:r w:rsidRPr="00C41CDE">
              <w:rPr>
                <w:spacing w:val="-2"/>
                <w:sz w:val="20"/>
                <w:szCs w:val="20"/>
              </w:rPr>
              <w:t>Los dividendos u otros pagos que emita el activo subyacente.</w:t>
            </w:r>
          </w:p>
        </w:tc>
        <w:tc>
          <w:tcPr>
            <w:tcW w:w="1417" w:type="dxa"/>
            <w:tcBorders>
              <w:bottom w:val="single" w:sz="12" w:space="0" w:color="5F2987"/>
            </w:tcBorders>
            <w:vAlign w:val="center"/>
          </w:tcPr>
          <w:p w14:paraId="0D67C66A" w14:textId="77777777" w:rsidR="00875950" w:rsidRDefault="00875950" w:rsidP="007C5659">
            <w:pPr>
              <w:spacing w:after="0"/>
              <w:jc w:val="center"/>
            </w:pPr>
            <w:r w:rsidRPr="00C94018">
              <w:rPr>
                <w:rFonts w:ascii="Segoe UI Symbol" w:eastAsia="Times New Roman" w:hAnsi="Segoe UI Symbol"/>
                <w:color w:val="C00000"/>
              </w:rPr>
              <w:t>➖</w:t>
            </w:r>
          </w:p>
        </w:tc>
        <w:tc>
          <w:tcPr>
            <w:tcW w:w="1417" w:type="dxa"/>
            <w:tcBorders>
              <w:bottom w:val="single" w:sz="12" w:space="0" w:color="5F2987"/>
            </w:tcBorders>
            <w:vAlign w:val="center"/>
          </w:tcPr>
          <w:p w14:paraId="61337B84" w14:textId="77777777" w:rsidR="00875950" w:rsidRDefault="00875950" w:rsidP="007C5659">
            <w:pPr>
              <w:spacing w:after="0"/>
              <w:jc w:val="center"/>
            </w:pPr>
            <w:r w:rsidRPr="00C94018">
              <w:rPr>
                <w:rFonts w:ascii="Segoe UI Symbol" w:eastAsia="Times New Roman" w:hAnsi="Segoe UI Symbol"/>
                <w:color w:val="00B050"/>
              </w:rPr>
              <w:t>➕</w:t>
            </w:r>
          </w:p>
        </w:tc>
      </w:tr>
    </w:tbl>
    <w:p w14:paraId="67A77C16" w14:textId="77777777" w:rsidR="00875950" w:rsidRPr="00B66639" w:rsidRDefault="00875950" w:rsidP="00875950">
      <w:pPr>
        <w:pStyle w:val="Ttulo3"/>
      </w:pPr>
      <w:bookmarkStart w:id="54" w:name="_Toc131840482"/>
      <w:r w:rsidRPr="00B66639">
        <w:t>Métodos de valoración de opciones</w:t>
      </w:r>
      <w:bookmarkEnd w:id="54"/>
    </w:p>
    <w:p w14:paraId="1F50489D" w14:textId="77777777" w:rsidR="00875950" w:rsidRDefault="00875950" w:rsidP="00875950">
      <w:pPr>
        <w:pStyle w:val="Nivel1SM"/>
        <w:keepNext/>
        <w:spacing w:before="0" w:after="0"/>
      </w:pPr>
      <w:r>
        <w:t>Vamos a calcular el valor de las opciones a través de 2 métodos:</w:t>
      </w:r>
    </w:p>
    <w:p w14:paraId="65FE62BC" w14:textId="77777777" w:rsidR="00875950" w:rsidRDefault="00875950">
      <w:pPr>
        <w:pStyle w:val="Prrafodelista"/>
        <w:numPr>
          <w:ilvl w:val="0"/>
          <w:numId w:val="37"/>
        </w:numPr>
        <w:spacing w:after="100"/>
        <w:ind w:left="568" w:hanging="284"/>
      </w:pPr>
      <w:r>
        <w:t>Método de valoración binomial (</w:t>
      </w:r>
      <w:r w:rsidRPr="00B13334">
        <w:rPr>
          <w:smallCaps/>
        </w:rPr>
        <w:t>Cox</w:t>
      </w:r>
      <w:r>
        <w:t xml:space="preserve">, </w:t>
      </w:r>
      <w:r w:rsidRPr="00B13334">
        <w:rPr>
          <w:smallCaps/>
        </w:rPr>
        <w:t>Ross</w:t>
      </w:r>
      <w:r>
        <w:t xml:space="preserve"> y </w:t>
      </w:r>
      <w:r w:rsidRPr="00B13334">
        <w:rPr>
          <w:smallCaps/>
        </w:rPr>
        <w:t>Rubinstein</w:t>
      </w:r>
      <w:r>
        <w:t>, 1979)</w:t>
      </w:r>
    </w:p>
    <w:p w14:paraId="6B1EACDF" w14:textId="77777777" w:rsidR="00875950" w:rsidRDefault="00875950">
      <w:pPr>
        <w:pStyle w:val="Prrafodelista"/>
        <w:numPr>
          <w:ilvl w:val="0"/>
          <w:numId w:val="37"/>
        </w:numPr>
        <w:spacing w:after="100"/>
        <w:ind w:left="568" w:hanging="284"/>
      </w:pPr>
      <w:r>
        <w:t xml:space="preserve">Método de valoración de opciones sobre acciones de </w:t>
      </w:r>
      <w:r w:rsidRPr="00B13334">
        <w:rPr>
          <w:smallCaps/>
        </w:rPr>
        <w:t>Black</w:t>
      </w:r>
      <w:r>
        <w:t xml:space="preserve"> y </w:t>
      </w:r>
      <w:r w:rsidRPr="00B13334">
        <w:rPr>
          <w:smallCaps/>
        </w:rPr>
        <w:t>Scholes</w:t>
      </w:r>
      <w:r>
        <w:t xml:space="preserve"> (1973)</w:t>
      </w:r>
    </w:p>
    <w:p w14:paraId="12DADA68" w14:textId="77777777" w:rsidR="00875950" w:rsidRDefault="00875950" w:rsidP="00875950">
      <w:pPr>
        <w:pStyle w:val="Ttulo6"/>
      </w:pPr>
      <w:bookmarkStart w:id="55" w:name="_Toc131840483"/>
      <w:r>
        <w:t>Método de valoración binomial (</w:t>
      </w:r>
      <w:r w:rsidRPr="001127FC">
        <w:rPr>
          <w:smallCaps/>
        </w:rPr>
        <w:t>Sharpe</w:t>
      </w:r>
      <w:r>
        <w:t xml:space="preserve"> (1978) y </w:t>
      </w:r>
      <w:r>
        <w:rPr>
          <w:smallCaps/>
        </w:rPr>
        <w:t>Cox</w:t>
      </w:r>
      <w:r w:rsidRPr="001127FC">
        <w:t xml:space="preserve">, </w:t>
      </w:r>
      <w:r w:rsidRPr="001127FC">
        <w:rPr>
          <w:smallCaps/>
        </w:rPr>
        <w:t>Ross</w:t>
      </w:r>
      <w:r>
        <w:t xml:space="preserve"> y </w:t>
      </w:r>
      <w:r>
        <w:rPr>
          <w:smallCaps/>
        </w:rPr>
        <w:t>Rubinstein</w:t>
      </w:r>
      <w:r>
        <w:t xml:space="preserve"> (1979))</w:t>
      </w:r>
      <w:bookmarkEnd w:id="55"/>
    </w:p>
    <w:p w14:paraId="0AE0227E" w14:textId="77777777" w:rsidR="00E22354" w:rsidRDefault="00000000" w:rsidP="00875950">
      <w:pPr>
        <w:pStyle w:val="Cajadeanotaciones"/>
        <w:keepNext/>
        <w:tabs>
          <w:tab w:val="left" w:pos="5206"/>
        </w:tabs>
        <w:rPr>
          <w:sz w:val="19"/>
          <w:szCs w:val="19"/>
        </w:rPr>
      </w:pPr>
      <w:hyperlink r:id="rId43" w:history="1">
        <w:r w:rsidR="00875950" w:rsidRPr="00903ED6">
          <w:rPr>
            <w:rStyle w:val="Hipervnculo"/>
            <w:sz w:val="19"/>
            <w:szCs w:val="19"/>
          </w:rPr>
          <w:t>https://youtu.be/JeY4Bq1F-8Q</w:t>
        </w:r>
      </w:hyperlink>
    </w:p>
    <w:p w14:paraId="2C67F6C1" w14:textId="77777777" w:rsidR="00875950" w:rsidRPr="006166E5" w:rsidRDefault="00875950" w:rsidP="00875950">
      <w:pPr>
        <w:pStyle w:val="Ttulo7"/>
        <w:spacing w:before="0"/>
      </w:pPr>
      <w:r>
        <w:t>Idea</w:t>
      </w:r>
    </w:p>
    <w:p w14:paraId="2B722527" w14:textId="77777777" w:rsidR="00875950" w:rsidRDefault="00875950" w:rsidP="00875950">
      <w:pPr>
        <w:pStyle w:val="Nivel1SM"/>
        <w:keepNext/>
        <w:spacing w:before="0" w:after="0"/>
      </w:pPr>
      <w:r>
        <w:t>Un estudio completo de las fórmulas de valoración de opciones requiere una base matemática y estadística sustancial.</w:t>
      </w:r>
    </w:p>
    <w:p w14:paraId="5508173E" w14:textId="77777777" w:rsidR="00875950" w:rsidRPr="00427148" w:rsidRDefault="00875950" w:rsidP="00875950">
      <w:pPr>
        <w:pStyle w:val="Nivel2SM"/>
        <w:rPr>
          <w:spacing w:val="-2"/>
        </w:rPr>
      </w:pPr>
      <w:r w:rsidRPr="00427148">
        <w:rPr>
          <w:spacing w:val="-2"/>
        </w:rPr>
        <w:t xml:space="preserve">Sin embargo, puede ser útil para comprender este problema considerar un caso especial a modo de simplificación. Para esto vamos a desarrollar el </w:t>
      </w:r>
      <w:r w:rsidRPr="00427148">
        <w:rPr>
          <w:b/>
          <w:bCs/>
          <w:spacing w:val="-2"/>
        </w:rPr>
        <w:t>método de valoración de opciones binomial</w:t>
      </w:r>
      <w:r w:rsidRPr="00427148">
        <w:rPr>
          <w:spacing w:val="-2"/>
        </w:rPr>
        <w:t>.</w:t>
      </w:r>
    </w:p>
    <w:p w14:paraId="327089B4" w14:textId="77777777" w:rsidR="00875950" w:rsidRDefault="00875950" w:rsidP="00875950">
      <w:pPr>
        <w:pStyle w:val="Nivel1SM"/>
        <w:keepNext/>
        <w:spacing w:after="0"/>
      </w:pPr>
      <w:r>
        <w:t xml:space="preserve">Un método binomial funciona basado en el supuesto de que, en el siguiente período, el valor de la opción puede cambiar a uno de 2 valores posibles (es decir, a vencimiento el precio del subyacente se distribuye según una distribución binomial). Nótese que </w:t>
      </w:r>
      <w:r w:rsidRPr="00AF1BD9">
        <w:rPr>
          <w:b/>
          <w:bCs/>
        </w:rPr>
        <w:t>consideramos escenarios discretos</w:t>
      </w:r>
      <w:r>
        <w:t>.</w:t>
      </w:r>
    </w:p>
    <w:p w14:paraId="225F929D" w14:textId="77777777" w:rsidR="00875950" w:rsidRDefault="00875950" w:rsidP="00875950">
      <w:pPr>
        <w:pStyle w:val="Nivel2SM"/>
      </w:pPr>
      <w:r>
        <w:t xml:space="preserve">Así, por ejemplo, se puede suponer que cada </w:t>
      </w:r>
      <w:r w:rsidRPr="009E0081">
        <w:t>año</w:t>
      </w:r>
      <w:r>
        <w:t xml:space="preserve"> el precio del subyacente puede o bien aumentar un </w:t>
      </w:r>
      <w:r w:rsidRPr="00AF7F13">
        <w:rPr>
          <w:i/>
        </w:rPr>
        <w:t>Y</w:t>
      </w:r>
      <w:r>
        <w:rPr>
          <w:i/>
        </w:rPr>
        <w:t> </w:t>
      </w:r>
      <w:r w:rsidRPr="00AF7F13">
        <w:rPr>
          <w:i/>
        </w:rPr>
        <w:t>%</w:t>
      </w:r>
      <w:r>
        <w:t xml:space="preserve"> o reducirse un </w:t>
      </w:r>
      <w:r w:rsidRPr="00AF7F13">
        <w:rPr>
          <w:i/>
        </w:rPr>
        <w:t>Z</w:t>
      </w:r>
      <w:r>
        <w:rPr>
          <w:i/>
        </w:rPr>
        <w:t> </w:t>
      </w:r>
      <w:r w:rsidRPr="00AF7F13">
        <w:rPr>
          <w:i/>
        </w:rPr>
        <w:t>%</w:t>
      </w:r>
      <w:r>
        <w:t xml:space="preserve"> (las cifras las acotan los analistas).</w:t>
      </w:r>
    </w:p>
    <w:p w14:paraId="47884ACE" w14:textId="77777777" w:rsidR="00875950" w:rsidRDefault="00875950" w:rsidP="00875950">
      <w:pPr>
        <w:pStyle w:val="Nivel2SM"/>
      </w:pPr>
      <w:r>
        <w:t>Para desarrollar un método binomial, hay que conocer el valor de partida, el tamaño de los dos posibles cambios y el tipo de interés.</w:t>
      </w:r>
    </w:p>
    <w:p w14:paraId="52AA9C66" w14:textId="77777777" w:rsidR="00875950" w:rsidRPr="006166E5" w:rsidRDefault="00875950" w:rsidP="00875950">
      <w:pPr>
        <w:pStyle w:val="Ttulo7"/>
      </w:pPr>
      <w:r>
        <w:t>Modelo (ejemplo)</w:t>
      </w:r>
    </w:p>
    <w:p w14:paraId="763ECD8B" w14:textId="77777777" w:rsidR="00875950" w:rsidRPr="000A5508" w:rsidRDefault="00875950" w:rsidP="00875950">
      <w:pPr>
        <w:pStyle w:val="Nivel1SM"/>
        <w:keepNext/>
        <w:spacing w:before="0" w:after="0"/>
        <w:rPr>
          <w:rFonts w:eastAsiaTheme="minorEastAsia"/>
        </w:rPr>
      </w:pPr>
      <w:r>
        <w:t>Pongamos un ejemplo:</w:t>
      </w:r>
    </w:p>
    <w:p w14:paraId="62603B30" w14:textId="77777777" w:rsidR="00875950" w:rsidRDefault="00875950" w:rsidP="00427148">
      <w:pPr>
        <w:pStyle w:val="Nivel2SM"/>
        <w:keepNext/>
        <w:spacing w:after="0"/>
      </w:pPr>
      <w:r>
        <w:t>Supongamos una acción cuyo precio actual (</w:t>
      </w:r>
      <m:oMath>
        <m:sSub>
          <m:sSubPr>
            <m:ctrlPr>
              <w:rPr>
                <w:rFonts w:ascii="Cambria Math" w:hAnsi="Cambria Math"/>
                <w:i/>
              </w:rPr>
            </m:ctrlPr>
          </m:sSubPr>
          <m:e>
            <m:r>
              <m:rPr>
                <m:nor/>
              </m:rPr>
              <w:rPr>
                <w:i/>
              </w:rPr>
              <m:t>S</m:t>
            </m:r>
          </m:e>
          <m:sub>
            <m:r>
              <m:rPr>
                <m:nor/>
              </m:rPr>
              <w:rPr>
                <w:i/>
              </w:rPr>
              <m:t>0</m:t>
            </m:r>
          </m:sub>
        </m:sSub>
      </m:oMath>
      <w:r>
        <w:t xml:space="preserve">) es 100 €. Este precio puede subir por un factor </w:t>
      </w:r>
      <m:oMath>
        <m:r>
          <m:rPr>
            <m:nor/>
          </m:rPr>
          <w:rPr>
            <w:i/>
          </w:rPr>
          <m:t>u</m:t>
        </m:r>
        <m:r>
          <w:rPr>
            <w:rFonts w:ascii="Cambria Math" w:hAnsi="Cambria Math"/>
          </w:rPr>
          <m:t>=</m:t>
        </m:r>
        <m:r>
          <m:rPr>
            <m:nor/>
          </m:rPr>
          <w:rPr>
            <w:i/>
          </w:rPr>
          <m:t>1,25</m:t>
        </m:r>
      </m:oMath>
      <w:r>
        <w:t xml:space="preserve"> (con una probabilidad de 66,67 %) o bajar en un factor </w:t>
      </w:r>
      <m:oMath>
        <m:r>
          <m:rPr>
            <m:nor/>
          </m:rPr>
          <w:rPr>
            <w:i/>
          </w:rPr>
          <m:t>d</m:t>
        </m:r>
        <m:r>
          <w:rPr>
            <w:rFonts w:ascii="Cambria Math" w:hAnsi="Cambria Math"/>
          </w:rPr>
          <m:t>=</m:t>
        </m:r>
        <m:r>
          <m:rPr>
            <m:nor/>
          </m:rPr>
          <w:rPr>
            <w:i/>
          </w:rPr>
          <m:t>0,8</m:t>
        </m:r>
      </m:oMath>
      <w:r>
        <w:t xml:space="preserve"> (con una probabilidad de 33,33 %) a lo largo de un año.</w:t>
      </w:r>
    </w:p>
    <w:p w14:paraId="20CB9DA5" w14:textId="77777777" w:rsidR="00875950" w:rsidRDefault="00875950" w:rsidP="00875950">
      <w:pPr>
        <w:pStyle w:val="Nivel3SM"/>
      </w:pPr>
      <w:r>
        <w:t xml:space="preserve">Supongamos una opción </w:t>
      </w:r>
      <w:proofErr w:type="spellStart"/>
      <w:r w:rsidRPr="000A5508">
        <w:rPr>
          <w:i/>
          <w:iCs/>
        </w:rPr>
        <w:t>call</w:t>
      </w:r>
      <w:proofErr w:type="spellEnd"/>
      <w:r>
        <w:t xml:space="preserve"> sobre este activo con precio de ejercicio 110 € y vencimiento a un año. El tipo de interés libre de riesgo es de 10 %. Además asumimos capitalización simple y el activo no genera flujos. Las posibilidades son las siguientes:</w:t>
      </w:r>
    </w:p>
    <w:tbl>
      <w:tblPr>
        <w:tblStyle w:val="Tablaconcuadrcula"/>
        <w:tblW w:w="8823" w:type="dxa"/>
        <w:tblInd w:w="709" w:type="dxa"/>
        <w:tblLook w:val="04A0" w:firstRow="1" w:lastRow="0" w:firstColumn="1" w:lastColumn="0" w:noHBand="0" w:noVBand="1"/>
      </w:tblPr>
      <w:tblGrid>
        <w:gridCol w:w="2322"/>
        <w:gridCol w:w="1789"/>
        <w:gridCol w:w="2322"/>
        <w:gridCol w:w="2390"/>
      </w:tblGrid>
      <w:tr w:rsidR="00875950" w14:paraId="22E6F6B2" w14:textId="77777777" w:rsidTr="007C5659">
        <w:tc>
          <w:tcPr>
            <w:tcW w:w="4111" w:type="dxa"/>
            <w:gridSpan w:val="2"/>
            <w:tcBorders>
              <w:top w:val="nil"/>
              <w:left w:val="nil"/>
              <w:bottom w:val="single" w:sz="4" w:space="0" w:color="5F2987"/>
              <w:right w:val="single" w:sz="4" w:space="0" w:color="5F2987"/>
            </w:tcBorders>
            <w:vAlign w:val="center"/>
          </w:tcPr>
          <w:p w14:paraId="3E6B8A6C" w14:textId="77777777" w:rsidR="00875950" w:rsidRPr="00367F6F" w:rsidRDefault="00875950" w:rsidP="007C5659">
            <w:pPr>
              <w:keepNext/>
              <w:spacing w:after="0"/>
              <w:jc w:val="center"/>
              <w:rPr>
                <w:rFonts w:eastAsiaTheme="minorEastAsia"/>
                <w:i/>
                <w:iCs/>
              </w:rPr>
            </w:pPr>
            <w:r w:rsidRPr="008A4F36">
              <w:rPr>
                <w:noProof/>
              </w:rPr>
              <mc:AlternateContent>
                <mc:Choice Requires="wps">
                  <w:drawing>
                    <wp:anchor distT="0" distB="0" distL="114300" distR="114300" simplePos="0" relativeHeight="251665408" behindDoc="0" locked="0" layoutInCell="1" allowOverlap="1" wp14:anchorId="1CFF60E3" wp14:editId="0C349612">
                      <wp:simplePos x="0" y="0"/>
                      <wp:positionH relativeFrom="column">
                        <wp:posOffset>908685</wp:posOffset>
                      </wp:positionH>
                      <wp:positionV relativeFrom="paragraph">
                        <wp:posOffset>600710</wp:posOffset>
                      </wp:positionV>
                      <wp:extent cx="792480" cy="250190"/>
                      <wp:effectExtent l="0" t="0" r="0" b="0"/>
                      <wp:wrapNone/>
                      <wp:docPr id="1922375644" name="Cuadro de texto 2"/>
                      <wp:cNvGraphicFramePr/>
                      <a:graphic xmlns:a="http://schemas.openxmlformats.org/drawingml/2006/main">
                        <a:graphicData uri="http://schemas.microsoft.com/office/word/2010/wordprocessingShape">
                          <wps:wsp>
                            <wps:cNvSpPr txBox="1"/>
                            <wps:spPr>
                              <a:xfrm>
                                <a:off x="0" y="0"/>
                                <a:ext cx="792480" cy="250190"/>
                              </a:xfrm>
                              <a:prstGeom prst="rect">
                                <a:avLst/>
                              </a:prstGeom>
                              <a:noFill/>
                              <a:ln w="6350">
                                <a:noFill/>
                              </a:ln>
                            </wps:spPr>
                            <wps:txbx>
                              <w:txbxContent>
                                <w:p w14:paraId="1681A115"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33,33 %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F60E3" id="_x0000_t202" coordsize="21600,21600" o:spt="202" path="m,l,21600r21600,l21600,xe">
                      <v:stroke joinstyle="miter"/>
                      <v:path gradientshapeok="t" o:connecttype="rect"/>
                    </v:shapetype>
                    <v:shape id="Cuadro de texto 2" o:spid="_x0000_s1026" type="#_x0000_t202" style="position:absolute;left:0;text-align:left;margin-left:71.55pt;margin-top:47.3pt;width:62.4pt;height:1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" filled="f" stroked="f" strokeweight=".5pt">
                      <v:textbox>
                        <w:txbxContent>
                          <w:p w14:paraId="1681A115"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33,33 %</w:t>
                            </w:r>
                          </w:p>
                        </w:txbxContent>
                      </v:textbox>
                    </v:shape>
                  </w:pict>
                </mc:Fallback>
              </mc:AlternateContent>
            </w:r>
            <w:r w:rsidRPr="00423CD0">
              <w:rPr>
                <w:noProof/>
                <w:spacing w:val="-1"/>
              </w:rPr>
              <mc:AlternateContent>
                <mc:Choice Requires="wps">
                  <w:drawing>
                    <wp:anchor distT="0" distB="0" distL="114300" distR="114300" simplePos="0" relativeHeight="251667456" behindDoc="0" locked="0" layoutInCell="1" allowOverlap="1" wp14:anchorId="586DED74" wp14:editId="0C3B6ED5">
                      <wp:simplePos x="0" y="0"/>
                      <wp:positionH relativeFrom="column">
                        <wp:posOffset>907415</wp:posOffset>
                      </wp:positionH>
                      <wp:positionV relativeFrom="paragraph">
                        <wp:posOffset>394970</wp:posOffset>
                      </wp:positionV>
                      <wp:extent cx="792480" cy="244475"/>
                      <wp:effectExtent l="0" t="0" r="0" b="3175"/>
                      <wp:wrapNone/>
                      <wp:docPr id="364680" name="Cuadro de texto 2"/>
                      <wp:cNvGraphicFramePr/>
                      <a:graphic xmlns:a="http://schemas.openxmlformats.org/drawingml/2006/main">
                        <a:graphicData uri="http://schemas.microsoft.com/office/word/2010/wordprocessingShape">
                          <wps:wsp>
                            <wps:cNvSpPr txBox="1"/>
                            <wps:spPr>
                              <a:xfrm>
                                <a:off x="0" y="0"/>
                                <a:ext cx="792480" cy="244475"/>
                              </a:xfrm>
                              <a:prstGeom prst="rect">
                                <a:avLst/>
                              </a:prstGeom>
                              <a:noFill/>
                              <a:ln w="6350">
                                <a:noFill/>
                              </a:ln>
                            </wps:spPr>
                            <wps:txbx>
                              <w:txbxContent>
                                <w:p w14:paraId="060D737B"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66,67 %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DED74" id="_x0000_s1027" type="#_x0000_t202" style="position:absolute;left:0;text-align:left;margin-left:71.45pt;margin-top:31.1pt;width:62.4pt;height:1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" filled="f" stroked="f" strokeweight=".5pt">
                      <v:textbox>
                        <w:txbxContent>
                          <w:p w14:paraId="060D737B"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66,67 %</w:t>
                            </w:r>
                          </w:p>
                        </w:txbxContent>
                      </v:textbox>
                    </v:shape>
                  </w:pict>
                </mc:Fallback>
              </mc:AlternateContent>
            </w:r>
            <w:r w:rsidRPr="00367F6F">
              <w:rPr>
                <w:rFonts w:eastAsiaTheme="minorEastAsia"/>
                <w:i/>
                <w:iCs/>
                <w:noProof/>
              </w:rPr>
              <mc:AlternateContent>
                <mc:Choice Requires="wps">
                  <w:drawing>
                    <wp:anchor distT="0" distB="0" distL="114300" distR="114300" simplePos="0" relativeHeight="251660288" behindDoc="0" locked="0" layoutInCell="1" allowOverlap="1" wp14:anchorId="5F17A63D" wp14:editId="2951493B">
                      <wp:simplePos x="0" y="0"/>
                      <wp:positionH relativeFrom="column">
                        <wp:posOffset>853440</wp:posOffset>
                      </wp:positionH>
                      <wp:positionV relativeFrom="paragraph">
                        <wp:posOffset>444500</wp:posOffset>
                      </wp:positionV>
                      <wp:extent cx="882650" cy="146685"/>
                      <wp:effectExtent l="0" t="0" r="31750" b="24765"/>
                      <wp:wrapNone/>
                      <wp:docPr id="17" name="Conector recto 17"/>
                      <wp:cNvGraphicFramePr/>
                      <a:graphic xmlns:a="http://schemas.openxmlformats.org/drawingml/2006/main">
                        <a:graphicData uri="http://schemas.microsoft.com/office/word/2010/wordprocessingShape">
                          <wps:wsp>
                            <wps:cNvCnPr/>
                            <wps:spPr>
                              <a:xfrm flipV="1">
                                <a:off x="0" y="0"/>
                                <a:ext cx="882650" cy="14668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8D9C73" id="Conector recto 1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pt,35pt" to="136.7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" strokeweight=".5pt">
                      <v:stroke joinstyle="miter"/>
                    </v:line>
                  </w:pict>
                </mc:Fallback>
              </mc:AlternateContent>
            </w:r>
            <w:r w:rsidRPr="00367F6F">
              <w:rPr>
                <w:rFonts w:eastAsiaTheme="minorEastAsia"/>
                <w:i/>
                <w:iCs/>
                <w:noProof/>
              </w:rPr>
              <mc:AlternateContent>
                <mc:Choice Requires="wps">
                  <w:drawing>
                    <wp:anchor distT="0" distB="0" distL="114300" distR="114300" simplePos="0" relativeHeight="251661312" behindDoc="0" locked="0" layoutInCell="1" allowOverlap="1" wp14:anchorId="2E731275" wp14:editId="0F97EAEC">
                      <wp:simplePos x="0" y="0"/>
                      <wp:positionH relativeFrom="column">
                        <wp:posOffset>853440</wp:posOffset>
                      </wp:positionH>
                      <wp:positionV relativeFrom="paragraph">
                        <wp:posOffset>599440</wp:posOffset>
                      </wp:positionV>
                      <wp:extent cx="875030" cy="282575"/>
                      <wp:effectExtent l="0" t="0" r="20320" b="22225"/>
                      <wp:wrapNone/>
                      <wp:docPr id="18" name="Conector recto 18"/>
                      <wp:cNvGraphicFramePr/>
                      <a:graphic xmlns:a="http://schemas.openxmlformats.org/drawingml/2006/main">
                        <a:graphicData uri="http://schemas.microsoft.com/office/word/2010/wordprocessingShape">
                          <wps:wsp>
                            <wps:cNvCnPr/>
                            <wps:spPr>
                              <a:xfrm>
                                <a:off x="0" y="0"/>
                                <a:ext cx="875030" cy="282575"/>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34BF5" id="Conector recto 1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pt,47.2pt" to="136.1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" strokeweight=".5pt">
                      <v:stroke joinstyle="miter"/>
                    </v:line>
                  </w:pict>
                </mc:Fallback>
              </mc:AlternateContent>
            </w:r>
            <w:r w:rsidRPr="00367F6F">
              <w:rPr>
                <w:rFonts w:eastAsiaTheme="minorEastAsia"/>
                <w:i/>
                <w:iCs/>
              </w:rPr>
              <w:t>Precio de la acción</w:t>
            </w:r>
            <w:r>
              <w:rPr>
                <w:rFonts w:eastAsiaTheme="minorEastAsia"/>
                <w:i/>
                <w:iCs/>
              </w:rPr>
              <w:t xml:space="preserve">   </w:t>
            </w:r>
            <m:oMath>
              <m:d>
                <m:dPr>
                  <m:begChr m:val="["/>
                  <m:endChr m:val="]"/>
                  <m:ctrlPr>
                    <w:rPr>
                      <w:rFonts w:ascii="Cambria Math" w:eastAsiaTheme="minorEastAsia" w:hAnsi="Cambria Math"/>
                      <w:i/>
                      <w:iCs/>
                    </w:rPr>
                  </m:ctrlPr>
                </m:dPr>
                <m:e>
                  <m:sSub>
                    <m:sSubPr>
                      <m:ctrlPr>
                        <w:rPr>
                          <w:rFonts w:ascii="Cambria Math" w:hAnsi="Cambria Math"/>
                          <w:i/>
                        </w:rPr>
                      </m:ctrlPr>
                    </m:sSubPr>
                    <m:e>
                      <m:r>
                        <m:rPr>
                          <m:nor/>
                        </m:rPr>
                        <w:rPr>
                          <w:i/>
                        </w:rPr>
                        <m:t>S</m:t>
                      </m:r>
                    </m:e>
                    <m:sub>
                      <m:r>
                        <m:rPr>
                          <m:nor/>
                        </m:rPr>
                        <w:rPr>
                          <w:i/>
                        </w:rPr>
                        <m:t>t</m:t>
                      </m:r>
                    </m:sub>
                  </m:sSub>
                </m:e>
              </m:d>
            </m:oMath>
          </w:p>
        </w:tc>
        <w:tc>
          <w:tcPr>
            <w:tcW w:w="4712" w:type="dxa"/>
            <w:gridSpan w:val="2"/>
            <w:tcBorders>
              <w:top w:val="nil"/>
              <w:left w:val="single" w:sz="4" w:space="0" w:color="5F2987"/>
              <w:bottom w:val="single" w:sz="4" w:space="0" w:color="5F2987"/>
              <w:right w:val="nil"/>
            </w:tcBorders>
            <w:vAlign w:val="center"/>
          </w:tcPr>
          <w:p w14:paraId="3EAA3603" w14:textId="77777777" w:rsidR="00875950" w:rsidRPr="00B94C76" w:rsidRDefault="00875950" w:rsidP="007C5659">
            <w:pPr>
              <w:keepNext/>
              <w:spacing w:after="0"/>
              <w:jc w:val="center"/>
              <w:rPr>
                <w:rFonts w:eastAsiaTheme="minorEastAsia"/>
              </w:rPr>
            </w:pPr>
            <w:r w:rsidRPr="008A4F36">
              <w:rPr>
                <w:noProof/>
              </w:rPr>
              <mc:AlternateContent>
                <mc:Choice Requires="wps">
                  <w:drawing>
                    <wp:anchor distT="0" distB="0" distL="114300" distR="114300" simplePos="0" relativeHeight="251666432" behindDoc="0" locked="0" layoutInCell="1" allowOverlap="1" wp14:anchorId="521C2019" wp14:editId="1C083A0C">
                      <wp:simplePos x="0" y="0"/>
                      <wp:positionH relativeFrom="column">
                        <wp:posOffset>896620</wp:posOffset>
                      </wp:positionH>
                      <wp:positionV relativeFrom="paragraph">
                        <wp:posOffset>468630</wp:posOffset>
                      </wp:positionV>
                      <wp:extent cx="792480" cy="250190"/>
                      <wp:effectExtent l="0" t="0" r="0" b="0"/>
                      <wp:wrapNone/>
                      <wp:docPr id="813044293" name="Cuadro de texto 2"/>
                      <wp:cNvGraphicFramePr/>
                      <a:graphic xmlns:a="http://schemas.openxmlformats.org/drawingml/2006/main">
                        <a:graphicData uri="http://schemas.microsoft.com/office/word/2010/wordprocessingShape">
                          <wps:wsp>
                            <wps:cNvSpPr txBox="1"/>
                            <wps:spPr>
                              <a:xfrm>
                                <a:off x="0" y="0"/>
                                <a:ext cx="792480" cy="250190"/>
                              </a:xfrm>
                              <a:prstGeom prst="rect">
                                <a:avLst/>
                              </a:prstGeom>
                              <a:noFill/>
                              <a:ln w="6350">
                                <a:noFill/>
                              </a:ln>
                            </wps:spPr>
                            <wps:txbx>
                              <w:txbxContent>
                                <w:p w14:paraId="4D13E8C9"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66,67 %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C2019" id="_x0000_s1028" type="#_x0000_t202" style="position:absolute;left:0;text-align:left;margin-left:70.6pt;margin-top:36.9pt;width:62.4pt;height:1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" filled="f" stroked="f" strokeweight=".5pt">
                      <v:textbox>
                        <w:txbxContent>
                          <w:p w14:paraId="4D13E8C9"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66,67 %</w:t>
                            </w:r>
                          </w:p>
                        </w:txbxContent>
                      </v:textbox>
                    </v:shape>
                  </w:pict>
                </mc:Fallback>
              </mc:AlternateContent>
            </w:r>
            <w:r w:rsidRPr="00367F6F">
              <w:rPr>
                <w:rFonts w:eastAsiaTheme="minorEastAsia"/>
                <w:i/>
                <w:iCs/>
                <w:noProof/>
              </w:rPr>
              <mc:AlternateContent>
                <mc:Choice Requires="wps">
                  <w:drawing>
                    <wp:anchor distT="0" distB="0" distL="114300" distR="114300" simplePos="0" relativeHeight="251662336" behindDoc="0" locked="0" layoutInCell="1" allowOverlap="1" wp14:anchorId="02A7A578" wp14:editId="7483AE87">
                      <wp:simplePos x="0" y="0"/>
                      <wp:positionH relativeFrom="column">
                        <wp:posOffset>843915</wp:posOffset>
                      </wp:positionH>
                      <wp:positionV relativeFrom="paragraph">
                        <wp:posOffset>494030</wp:posOffset>
                      </wp:positionV>
                      <wp:extent cx="787400" cy="248920"/>
                      <wp:effectExtent l="0" t="0" r="31750" b="36830"/>
                      <wp:wrapNone/>
                      <wp:docPr id="19" name="Conector recto 19"/>
                      <wp:cNvGraphicFramePr/>
                      <a:graphic xmlns:a="http://schemas.openxmlformats.org/drawingml/2006/main">
                        <a:graphicData uri="http://schemas.microsoft.com/office/word/2010/wordprocessingShape">
                          <wps:wsp>
                            <wps:cNvCnPr/>
                            <wps:spPr>
                              <a:xfrm flipV="1">
                                <a:off x="0" y="0"/>
                                <a:ext cx="787400" cy="24892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77E9FF" id="Conector recto 19"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45pt,38.9pt" to="128.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" strokeweight=".5pt">
                      <v:stroke joinstyle="miter"/>
                    </v:line>
                  </w:pict>
                </mc:Fallback>
              </mc:AlternateContent>
            </w:r>
            <w:r w:rsidRPr="00367F6F">
              <w:rPr>
                <w:rFonts w:eastAsiaTheme="minorEastAsia"/>
                <w:i/>
                <w:iCs/>
                <w:noProof/>
              </w:rPr>
              <mc:AlternateContent>
                <mc:Choice Requires="wps">
                  <w:drawing>
                    <wp:anchor distT="0" distB="0" distL="114300" distR="114300" simplePos="0" relativeHeight="251663360" behindDoc="0" locked="0" layoutInCell="1" allowOverlap="1" wp14:anchorId="7ACB6B40" wp14:editId="68DE70E8">
                      <wp:simplePos x="0" y="0"/>
                      <wp:positionH relativeFrom="column">
                        <wp:posOffset>843915</wp:posOffset>
                      </wp:positionH>
                      <wp:positionV relativeFrom="paragraph">
                        <wp:posOffset>742950</wp:posOffset>
                      </wp:positionV>
                      <wp:extent cx="1117600" cy="243840"/>
                      <wp:effectExtent l="0" t="0" r="25400" b="22860"/>
                      <wp:wrapNone/>
                      <wp:docPr id="20" name="Conector recto 20"/>
                      <wp:cNvGraphicFramePr/>
                      <a:graphic xmlns:a="http://schemas.openxmlformats.org/drawingml/2006/main">
                        <a:graphicData uri="http://schemas.microsoft.com/office/word/2010/wordprocessingShape">
                          <wps:wsp>
                            <wps:cNvCnPr/>
                            <wps:spPr>
                              <a:xfrm>
                                <a:off x="0" y="0"/>
                                <a:ext cx="1117600" cy="24384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A1EC3" id="Conector recto 2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45pt,58.5pt" to="154.45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" strokeweight=".5pt">
                      <v:stroke joinstyle="miter"/>
                    </v:line>
                  </w:pict>
                </mc:Fallback>
              </mc:AlternateContent>
            </w:r>
            <w:r>
              <w:rPr>
                <w:rFonts w:eastAsiaTheme="minorEastAsia"/>
                <w:i/>
                <w:iCs/>
              </w:rPr>
              <w:t>Valor</w:t>
            </w:r>
            <w:r w:rsidRPr="00367F6F">
              <w:rPr>
                <w:rFonts w:eastAsiaTheme="minorEastAsia"/>
                <w:i/>
                <w:iCs/>
              </w:rPr>
              <w:t xml:space="preserve"> de la opción </w:t>
            </w:r>
            <w:proofErr w:type="spellStart"/>
            <w:r w:rsidRPr="00367F6F">
              <w:rPr>
                <w:rFonts w:eastAsiaTheme="minorEastAsia"/>
                <w:i/>
                <w:iCs/>
              </w:rPr>
              <w:t>call</w:t>
            </w:r>
            <w:proofErr w:type="spellEnd"/>
            <w:r>
              <w:rPr>
                <w:rFonts w:eastAsiaTheme="minorEastAsia"/>
                <w:i/>
                <w:iCs/>
              </w:rPr>
              <w:t xml:space="preserve">   </w:t>
            </w:r>
            <w:r>
              <w:rPr>
                <w:rFonts w:eastAsiaTheme="minorEastAsia"/>
              </w:rPr>
              <w:t xml:space="preserve"> </w:t>
            </w:r>
            <m:oMath>
              <m:d>
                <m:dPr>
                  <m:begChr m:val="["/>
                  <m:endChr m:val="]"/>
                  <m:ctrlPr>
                    <w:rPr>
                      <w:rFonts w:ascii="Cambria Math" w:eastAsiaTheme="minorEastAsia" w:hAnsi="Cambria Math"/>
                      <w:i/>
                      <w:iCs/>
                    </w:rPr>
                  </m:ctrlPr>
                </m:dPr>
                <m:e>
                  <w:proofErr w:type="spellStart"/>
                  <m:r>
                    <m:rPr>
                      <m:nor/>
                    </m:rPr>
                    <w:rPr>
                      <w:rFonts w:eastAsiaTheme="minorEastAsia"/>
                      <w:i/>
                      <w:iCs/>
                    </w:rPr>
                    <m:t>max</m:t>
                  </m:r>
                  <w:proofErr w:type="spellEnd"/>
                  <m:d>
                    <m:dPr>
                      <m:begChr m:val="{"/>
                      <m:endChr m:val="}"/>
                      <m:ctrlPr>
                        <w:rPr>
                          <w:rFonts w:ascii="Cambria Math" w:eastAsiaTheme="minorEastAsia" w:hAnsi="Cambria Math"/>
                          <w:i/>
                        </w:rPr>
                      </m:ctrlPr>
                    </m:dPr>
                    <m:e>
                      <m:sSub>
                        <m:sSubPr>
                          <m:ctrlPr>
                            <w:rPr>
                              <w:rFonts w:ascii="Cambria Math" w:hAnsi="Cambria Math"/>
                              <w:i/>
                            </w:rPr>
                          </m:ctrlPr>
                        </m:sSubPr>
                        <m:e>
                          <m:r>
                            <m:rPr>
                              <m:nor/>
                            </m:rPr>
                            <w:rPr>
                              <w:i/>
                            </w:rPr>
                            <m:t>S</m:t>
                          </m:r>
                        </m:e>
                        <m:sub>
                          <m:r>
                            <m:rPr>
                              <m:nor/>
                            </m:rPr>
                            <w:rPr>
                              <w:i/>
                            </w:rPr>
                            <m:t>T</m:t>
                          </m:r>
                        </m:sub>
                      </m:sSub>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X</m:t>
                              </m:r>
                            </m:e>
                          </m:groupChr>
                        </m:e>
                        <m:lim>
                          <m:r>
                            <m:rPr>
                              <m:nor/>
                            </m:rPr>
                            <w:rPr>
                              <w:i/>
                            </w:rPr>
                            <m:t>110 €</m:t>
                          </m:r>
                        </m:lim>
                      </m:limLow>
                      <m:r>
                        <w:rPr>
                          <w:rFonts w:ascii="Cambria Math" w:hAnsi="Cambria Math"/>
                        </w:rPr>
                        <m:t>;</m:t>
                      </m:r>
                      <m:r>
                        <m:rPr>
                          <m:nor/>
                        </m:rPr>
                        <w:rPr>
                          <w:i/>
                          <w:iCs/>
                        </w:rPr>
                        <m:t>0</m:t>
                      </m:r>
                    </m:e>
                  </m:d>
                </m:e>
              </m:d>
            </m:oMath>
          </w:p>
        </w:tc>
      </w:tr>
      <w:tr w:rsidR="00875950" w14:paraId="442543A7" w14:textId="77777777" w:rsidTr="007C5659">
        <w:tc>
          <w:tcPr>
            <w:tcW w:w="2322" w:type="dxa"/>
            <w:vMerge w:val="restart"/>
            <w:tcBorders>
              <w:top w:val="single" w:sz="4" w:space="0" w:color="5F2987"/>
              <w:left w:val="nil"/>
              <w:bottom w:val="nil"/>
              <w:right w:val="nil"/>
            </w:tcBorders>
            <w:vAlign w:val="center"/>
          </w:tcPr>
          <w:p w14:paraId="1192C9D5" w14:textId="77777777" w:rsidR="00875950" w:rsidRDefault="00875950" w:rsidP="007C5659">
            <w:pPr>
              <w:keepNext/>
              <w:spacing w:after="0"/>
              <w:jc w:val="center"/>
              <w:rPr>
                <w:rFonts w:eastAsiaTheme="minorEastAsia"/>
              </w:rPr>
            </w:pPr>
            <m:oMathPara>
              <m:oMath>
                <m:r>
                  <m:rPr>
                    <m:nor/>
                  </m:rPr>
                  <w:rPr>
                    <w:i/>
                  </w:rPr>
                  <m:t>100 €</m:t>
                </m:r>
              </m:oMath>
            </m:oMathPara>
          </w:p>
        </w:tc>
        <w:tc>
          <w:tcPr>
            <w:tcW w:w="1789" w:type="dxa"/>
            <w:tcBorders>
              <w:top w:val="single" w:sz="4" w:space="0" w:color="5F2987"/>
              <w:left w:val="nil"/>
              <w:bottom w:val="nil"/>
              <w:right w:val="single" w:sz="4" w:space="0" w:color="5F2987"/>
            </w:tcBorders>
            <w:vAlign w:val="center"/>
          </w:tcPr>
          <w:p w14:paraId="4755A893" w14:textId="77777777" w:rsidR="00875950" w:rsidRDefault="00875950" w:rsidP="007C5659">
            <w:pPr>
              <w:keepNext/>
              <w:spacing w:after="0"/>
              <w:jc w:val="center"/>
              <w:rPr>
                <w:rFonts w:eastAsiaTheme="minorEastAsia"/>
              </w:rPr>
            </w:pPr>
            <m:oMathPara>
              <m:oMath>
                <m:r>
                  <m:rPr>
                    <m:nor/>
                  </m:rPr>
                  <w:rPr>
                    <w:i/>
                  </w:rPr>
                  <m:t>125 €</m:t>
                </m:r>
              </m:oMath>
            </m:oMathPara>
          </w:p>
        </w:tc>
        <w:tc>
          <w:tcPr>
            <w:tcW w:w="2322" w:type="dxa"/>
            <w:vMerge w:val="restart"/>
            <w:tcBorders>
              <w:top w:val="single" w:sz="4" w:space="0" w:color="5F2987"/>
              <w:left w:val="single" w:sz="4" w:space="0" w:color="5F2987"/>
              <w:bottom w:val="nil"/>
              <w:right w:val="nil"/>
            </w:tcBorders>
            <w:vAlign w:val="center"/>
          </w:tcPr>
          <w:p w14:paraId="3C30F215" w14:textId="77777777" w:rsidR="00875950" w:rsidRDefault="00000000" w:rsidP="007C5659">
            <w:pPr>
              <w:keepNext/>
              <w:spacing w:after="0"/>
              <w:jc w:val="center"/>
              <w:rPr>
                <w:rFonts w:eastAsiaTheme="minorEastAsia"/>
              </w:rPr>
            </w:pPr>
            <m:oMathPara>
              <m:oMath>
                <m:sSub>
                  <m:sSubPr>
                    <m:ctrlPr>
                      <w:rPr>
                        <w:rFonts w:ascii="Cambria Math" w:hAnsi="Cambria Math"/>
                        <w:i/>
                      </w:rPr>
                    </m:ctrlPr>
                  </m:sSubPr>
                  <m:e>
                    <m:r>
                      <m:rPr>
                        <m:nor/>
                      </m:rPr>
                      <w:rPr>
                        <w:i/>
                      </w:rPr>
                      <m:t>C</m:t>
                    </m:r>
                  </m:e>
                  <m:sub>
                    <m:r>
                      <m:rPr>
                        <m:nor/>
                      </m:rPr>
                      <w:rPr>
                        <w:i/>
                      </w:rPr>
                      <m:t>0</m:t>
                    </m:r>
                  </m:sub>
                </m:sSub>
              </m:oMath>
            </m:oMathPara>
          </w:p>
        </w:tc>
        <w:tc>
          <w:tcPr>
            <w:tcW w:w="2390" w:type="dxa"/>
            <w:tcBorders>
              <w:top w:val="single" w:sz="4" w:space="0" w:color="5F2987"/>
              <w:left w:val="nil"/>
              <w:bottom w:val="nil"/>
              <w:right w:val="nil"/>
            </w:tcBorders>
            <w:vAlign w:val="center"/>
          </w:tcPr>
          <w:p w14:paraId="3CC3F1EF" w14:textId="77777777" w:rsidR="00875950" w:rsidRDefault="00000000" w:rsidP="007C5659">
            <w:pPr>
              <w:spacing w:after="0"/>
              <w:jc w:val="center"/>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S</m:t>
                            </m:r>
                          </m:e>
                          <m:sub>
                            <m:r>
                              <m:rPr>
                                <m:nor/>
                              </m:rPr>
                              <w:rPr>
                                <w:i/>
                              </w:rPr>
                              <m:t>T</m:t>
                            </m:r>
                          </m:sub>
                        </m:sSub>
                      </m:e>
                    </m:groupChr>
                  </m:e>
                  <m:lim>
                    <m:r>
                      <m:rPr>
                        <m:nor/>
                      </m:rPr>
                      <w:rPr>
                        <w:i/>
                      </w:rPr>
                      <m:t>125 €</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X</m:t>
                        </m:r>
                      </m:e>
                    </m:groupChr>
                  </m:e>
                  <m:lim>
                    <m:r>
                      <m:rPr>
                        <m:nor/>
                      </m:rPr>
                      <w:rPr>
                        <w:i/>
                      </w:rPr>
                      <m:t>110 €</m:t>
                    </m:r>
                  </m:lim>
                </m:limLow>
                <m:r>
                  <w:rPr>
                    <w:rFonts w:ascii="Cambria Math"/>
                  </w:rPr>
                  <m:t>=</m:t>
                </m:r>
                <m:r>
                  <m:rPr>
                    <m:nor/>
                  </m:rPr>
                  <w:rPr>
                    <w:i/>
                  </w:rPr>
                  <m:t>15 €</m:t>
                </m:r>
              </m:oMath>
            </m:oMathPara>
          </w:p>
        </w:tc>
      </w:tr>
      <w:tr w:rsidR="00875950" w14:paraId="0827266C" w14:textId="77777777" w:rsidTr="007C5659">
        <w:tc>
          <w:tcPr>
            <w:tcW w:w="2322" w:type="dxa"/>
            <w:vMerge/>
            <w:tcBorders>
              <w:left w:val="nil"/>
              <w:bottom w:val="nil"/>
              <w:right w:val="nil"/>
            </w:tcBorders>
            <w:vAlign w:val="center"/>
          </w:tcPr>
          <w:p w14:paraId="64A131BC" w14:textId="77777777" w:rsidR="00875950" w:rsidRDefault="00875950" w:rsidP="007C5659">
            <w:pPr>
              <w:keepNext/>
              <w:spacing w:after="0"/>
              <w:jc w:val="center"/>
              <w:rPr>
                <w:rFonts w:eastAsia="Times New Roman" w:cs="Arial"/>
              </w:rPr>
            </w:pPr>
          </w:p>
        </w:tc>
        <w:tc>
          <w:tcPr>
            <w:tcW w:w="1789" w:type="dxa"/>
            <w:tcBorders>
              <w:top w:val="nil"/>
              <w:left w:val="nil"/>
              <w:bottom w:val="nil"/>
              <w:right w:val="single" w:sz="4" w:space="0" w:color="5F2987"/>
            </w:tcBorders>
            <w:vAlign w:val="center"/>
          </w:tcPr>
          <w:p w14:paraId="16FDF1DC" w14:textId="77777777" w:rsidR="00875950" w:rsidRDefault="00875950" w:rsidP="007C5659">
            <w:pPr>
              <w:keepNext/>
              <w:spacing w:after="0"/>
              <w:jc w:val="center"/>
              <w:rPr>
                <w:rFonts w:eastAsia="Times New Roman" w:cs="Arial"/>
              </w:rPr>
            </w:pPr>
          </w:p>
        </w:tc>
        <w:tc>
          <w:tcPr>
            <w:tcW w:w="2322" w:type="dxa"/>
            <w:vMerge/>
            <w:tcBorders>
              <w:left w:val="single" w:sz="4" w:space="0" w:color="5F2987"/>
              <w:bottom w:val="nil"/>
              <w:right w:val="nil"/>
            </w:tcBorders>
            <w:vAlign w:val="center"/>
          </w:tcPr>
          <w:p w14:paraId="2734425D" w14:textId="77777777" w:rsidR="00875950" w:rsidRDefault="00875950" w:rsidP="007C5659">
            <w:pPr>
              <w:keepNext/>
              <w:spacing w:after="0"/>
              <w:jc w:val="center"/>
              <w:rPr>
                <w:rFonts w:eastAsia="Times New Roman" w:cs="Arial"/>
              </w:rPr>
            </w:pPr>
          </w:p>
        </w:tc>
        <w:tc>
          <w:tcPr>
            <w:tcW w:w="2390" w:type="dxa"/>
            <w:tcBorders>
              <w:top w:val="nil"/>
              <w:left w:val="nil"/>
              <w:bottom w:val="nil"/>
              <w:right w:val="nil"/>
            </w:tcBorders>
            <w:vAlign w:val="center"/>
          </w:tcPr>
          <w:p w14:paraId="1AE2C187" w14:textId="77777777" w:rsidR="00875950" w:rsidRDefault="00875950" w:rsidP="007C5659">
            <w:pPr>
              <w:spacing w:after="0"/>
              <w:jc w:val="center"/>
              <w:rPr>
                <w:rFonts w:eastAsia="Times New Roman" w:cs="Arial"/>
              </w:rPr>
            </w:pPr>
            <w:r>
              <w:rPr>
                <w:noProof/>
              </w:rPr>
              <mc:AlternateContent>
                <mc:Choice Requires="wps">
                  <w:drawing>
                    <wp:anchor distT="0" distB="0" distL="114300" distR="114300" simplePos="0" relativeHeight="251664384" behindDoc="0" locked="0" layoutInCell="1" allowOverlap="1" wp14:anchorId="389E5B75" wp14:editId="2E2775EA">
                      <wp:simplePos x="0" y="0"/>
                      <wp:positionH relativeFrom="column">
                        <wp:posOffset>-581025</wp:posOffset>
                      </wp:positionH>
                      <wp:positionV relativeFrom="paragraph">
                        <wp:posOffset>-13970</wp:posOffset>
                      </wp:positionV>
                      <wp:extent cx="792480" cy="250190"/>
                      <wp:effectExtent l="0" t="0" r="0" b="0"/>
                      <wp:wrapNone/>
                      <wp:docPr id="1282382112" name="Cuadro de texto 2"/>
                      <wp:cNvGraphicFramePr/>
                      <a:graphic xmlns:a="http://schemas.openxmlformats.org/drawingml/2006/main">
                        <a:graphicData uri="http://schemas.microsoft.com/office/word/2010/wordprocessingShape">
                          <wps:wsp>
                            <wps:cNvSpPr txBox="1"/>
                            <wps:spPr>
                              <a:xfrm>
                                <a:off x="0" y="0"/>
                                <a:ext cx="792480" cy="250190"/>
                              </a:xfrm>
                              <a:prstGeom prst="rect">
                                <a:avLst/>
                              </a:prstGeom>
                              <a:noFill/>
                              <a:ln w="6350">
                                <a:noFill/>
                              </a:ln>
                            </wps:spPr>
                            <wps:txbx>
                              <w:txbxContent>
                                <w:p w14:paraId="0FD63C37"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33,33 %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E5B75" id="_x0000_s1029" type="#_x0000_t202" style="position:absolute;left:0;text-align:left;margin-left:-45.75pt;margin-top:-1.1pt;width:62.4pt;height:19.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" filled="f" stroked="f" strokeweight=".5pt">
                      <v:textbox>
                        <w:txbxContent>
                          <w:p w14:paraId="0FD63C37" w14:textId="77777777" w:rsidR="00875950" w:rsidRPr="00423CD0" w:rsidRDefault="00875950" w:rsidP="00875950">
                            <w:pPr>
                              <w:jc w:val="center"/>
                              <w:rPr>
                                <w:sz w:val="17"/>
                                <w:szCs w:val="17"/>
                                <w14:glow w14:rad="127000">
                                  <w14:schemeClr w14:val="bg1"/>
                                </w14:glow>
                              </w:rPr>
                            </w:pPr>
                            <w:r w:rsidRPr="00423CD0">
                              <w:rPr>
                                <w:sz w:val="17"/>
                                <w:szCs w:val="17"/>
                                <w14:glow w14:rad="127000">
                                  <w14:schemeClr w14:val="bg1"/>
                                </w14:glow>
                              </w:rPr>
                              <w:t>33,33 %</w:t>
                            </w:r>
                          </w:p>
                        </w:txbxContent>
                      </v:textbox>
                    </v:shape>
                  </w:pict>
                </mc:Fallback>
              </mc:AlternateContent>
            </w:r>
          </w:p>
        </w:tc>
      </w:tr>
      <w:tr w:rsidR="00875950" w14:paraId="36C51E8C" w14:textId="77777777" w:rsidTr="007C5659">
        <w:tc>
          <w:tcPr>
            <w:tcW w:w="2322" w:type="dxa"/>
            <w:vMerge/>
            <w:tcBorders>
              <w:top w:val="nil"/>
              <w:left w:val="nil"/>
              <w:bottom w:val="dashed" w:sz="4" w:space="0" w:color="5F2987"/>
              <w:right w:val="nil"/>
            </w:tcBorders>
            <w:vAlign w:val="center"/>
          </w:tcPr>
          <w:p w14:paraId="60F9B08F" w14:textId="77777777" w:rsidR="00875950" w:rsidRDefault="00875950" w:rsidP="007C5659">
            <w:pPr>
              <w:keepNext/>
              <w:spacing w:after="0"/>
              <w:jc w:val="center"/>
              <w:rPr>
                <w:rFonts w:eastAsiaTheme="minorEastAsia"/>
              </w:rPr>
            </w:pPr>
          </w:p>
        </w:tc>
        <w:tc>
          <w:tcPr>
            <w:tcW w:w="1789" w:type="dxa"/>
            <w:tcBorders>
              <w:top w:val="nil"/>
              <w:left w:val="nil"/>
              <w:bottom w:val="dashed" w:sz="4" w:space="0" w:color="5F2987"/>
              <w:right w:val="single" w:sz="4" w:space="0" w:color="5F2987"/>
            </w:tcBorders>
            <w:vAlign w:val="center"/>
          </w:tcPr>
          <w:p w14:paraId="65F7480C" w14:textId="77777777" w:rsidR="00875950" w:rsidRDefault="00875950" w:rsidP="007C5659">
            <w:pPr>
              <w:keepNext/>
              <w:spacing w:after="0"/>
              <w:jc w:val="center"/>
              <w:rPr>
                <w:rFonts w:eastAsiaTheme="minorEastAsia"/>
              </w:rPr>
            </w:pPr>
            <m:oMathPara>
              <m:oMath>
                <m:r>
                  <m:rPr>
                    <m:nor/>
                  </m:rPr>
                  <w:rPr>
                    <w:i/>
                  </w:rPr>
                  <m:t>80 €</m:t>
                </m:r>
              </m:oMath>
            </m:oMathPara>
          </w:p>
        </w:tc>
        <w:tc>
          <w:tcPr>
            <w:tcW w:w="2322" w:type="dxa"/>
            <w:vMerge/>
            <w:tcBorders>
              <w:top w:val="nil"/>
              <w:left w:val="single" w:sz="4" w:space="0" w:color="5F2987"/>
              <w:bottom w:val="dashed" w:sz="4" w:space="0" w:color="5F2987"/>
              <w:right w:val="nil"/>
            </w:tcBorders>
            <w:vAlign w:val="center"/>
          </w:tcPr>
          <w:p w14:paraId="5A93D5FD" w14:textId="77777777" w:rsidR="00875950" w:rsidRDefault="00875950" w:rsidP="007C5659">
            <w:pPr>
              <w:spacing w:after="0"/>
              <w:jc w:val="center"/>
              <w:rPr>
                <w:rFonts w:eastAsiaTheme="minorEastAsia"/>
              </w:rPr>
            </w:pPr>
          </w:p>
        </w:tc>
        <w:tc>
          <w:tcPr>
            <w:tcW w:w="2390" w:type="dxa"/>
            <w:tcBorders>
              <w:top w:val="nil"/>
              <w:left w:val="nil"/>
              <w:bottom w:val="dashed" w:sz="4" w:space="0" w:color="5F2987"/>
              <w:right w:val="nil"/>
            </w:tcBorders>
            <w:vAlign w:val="center"/>
          </w:tcPr>
          <w:p w14:paraId="74853EBF" w14:textId="77777777" w:rsidR="00875950" w:rsidRDefault="00875950" w:rsidP="007C5659">
            <w:pPr>
              <w:keepNext/>
              <w:spacing w:after="0"/>
              <w:jc w:val="center"/>
              <w:rPr>
                <w:rFonts w:eastAsiaTheme="minorEastAsia"/>
              </w:rPr>
            </w:pPr>
            <m:oMathPara>
              <m:oMath>
                <m:r>
                  <m:rPr>
                    <m:nor/>
                  </m:rPr>
                  <w:rPr>
                    <w:i/>
                  </w:rPr>
                  <m:t>0 €</m:t>
                </m:r>
              </m:oMath>
            </m:oMathPara>
          </w:p>
        </w:tc>
      </w:tr>
      <w:tr w:rsidR="00875950" w14:paraId="2E30EBF6" w14:textId="77777777" w:rsidTr="007C5659">
        <w:tc>
          <w:tcPr>
            <w:tcW w:w="2322" w:type="dxa"/>
            <w:tcBorders>
              <w:top w:val="dashed" w:sz="4" w:space="0" w:color="5F2987"/>
              <w:left w:val="nil"/>
              <w:bottom w:val="single" w:sz="12" w:space="0" w:color="5F2987"/>
              <w:right w:val="dashed" w:sz="4" w:space="0" w:color="5F2987"/>
            </w:tcBorders>
            <w:vAlign w:val="center"/>
          </w:tcPr>
          <w:p w14:paraId="4331AFC2" w14:textId="77777777" w:rsidR="00875950" w:rsidRPr="00880B65" w:rsidRDefault="00875950" w:rsidP="007C5659">
            <w:pPr>
              <w:spacing w:after="0"/>
              <w:jc w:val="center"/>
              <w:rPr>
                <w:rFonts w:eastAsiaTheme="minorEastAsia"/>
                <w:sz w:val="18"/>
                <w:szCs w:val="18"/>
              </w:rPr>
            </w:pPr>
            <m:oMathPara>
              <m:oMath>
                <m:r>
                  <m:rPr>
                    <m:nor/>
                  </m:rPr>
                  <w:rPr>
                    <w:i/>
                    <w:sz w:val="18"/>
                    <w:szCs w:val="18"/>
                  </w:rPr>
                  <m:t>t</m:t>
                </m:r>
                <m:r>
                  <w:rPr>
                    <w:rFonts w:ascii="Cambria Math" w:eastAsiaTheme="minorEastAsia" w:hAnsi="Cambria Math"/>
                    <w:sz w:val="18"/>
                    <w:szCs w:val="18"/>
                  </w:rPr>
                  <m:t>=</m:t>
                </m:r>
                <m:r>
                  <m:rPr>
                    <m:nor/>
                  </m:rPr>
                  <w:rPr>
                    <w:i/>
                    <w:sz w:val="18"/>
                    <w:szCs w:val="18"/>
                  </w:rPr>
                  <m:t>0</m:t>
                </m:r>
              </m:oMath>
            </m:oMathPara>
          </w:p>
        </w:tc>
        <w:tc>
          <w:tcPr>
            <w:tcW w:w="1789" w:type="dxa"/>
            <w:tcBorders>
              <w:top w:val="dashed" w:sz="4" w:space="0" w:color="5F2987"/>
              <w:left w:val="dashed" w:sz="4" w:space="0" w:color="5F2987"/>
              <w:bottom w:val="single" w:sz="12" w:space="0" w:color="5F2987"/>
              <w:right w:val="single" w:sz="4" w:space="0" w:color="5F2987"/>
            </w:tcBorders>
            <w:vAlign w:val="center"/>
          </w:tcPr>
          <w:p w14:paraId="64308994" w14:textId="77777777" w:rsidR="00875950" w:rsidRPr="00880B65" w:rsidRDefault="00875950" w:rsidP="007C5659">
            <w:pPr>
              <w:spacing w:after="0"/>
              <w:jc w:val="center"/>
              <w:rPr>
                <w:rFonts w:eastAsia="Times New Roman" w:cs="Arial"/>
                <w:sz w:val="18"/>
                <w:szCs w:val="18"/>
              </w:rPr>
            </w:pPr>
            <m:oMathPara>
              <m:oMath>
                <m:r>
                  <m:rPr>
                    <m:nor/>
                  </m:rPr>
                  <w:rPr>
                    <w:i/>
                    <w:sz w:val="18"/>
                    <w:szCs w:val="18"/>
                  </w:rPr>
                  <m:t>t</m:t>
                </m:r>
                <m:r>
                  <w:rPr>
                    <w:rFonts w:ascii="Cambria Math" w:eastAsiaTheme="minorEastAsia" w:hAnsi="Cambria Math"/>
                    <w:sz w:val="18"/>
                    <w:szCs w:val="18"/>
                  </w:rPr>
                  <m:t>=</m:t>
                </m:r>
                <m:r>
                  <m:rPr>
                    <m:nor/>
                  </m:rPr>
                  <w:rPr>
                    <w:i/>
                    <w:sz w:val="18"/>
                    <w:szCs w:val="18"/>
                  </w:rPr>
                  <m:t>1</m:t>
                </m:r>
              </m:oMath>
            </m:oMathPara>
          </w:p>
        </w:tc>
        <w:tc>
          <w:tcPr>
            <w:tcW w:w="2322" w:type="dxa"/>
            <w:tcBorders>
              <w:top w:val="dashed" w:sz="4" w:space="0" w:color="5F2987"/>
              <w:left w:val="single" w:sz="4" w:space="0" w:color="5F2987"/>
              <w:bottom w:val="single" w:sz="12" w:space="0" w:color="5F2987"/>
              <w:right w:val="dashed" w:sz="4" w:space="0" w:color="5F2987"/>
            </w:tcBorders>
            <w:vAlign w:val="center"/>
          </w:tcPr>
          <w:p w14:paraId="351AE662" w14:textId="77777777" w:rsidR="00875950" w:rsidRDefault="00875950" w:rsidP="007C5659">
            <w:pPr>
              <w:spacing w:after="0"/>
              <w:jc w:val="center"/>
              <w:rPr>
                <w:rFonts w:eastAsiaTheme="minorEastAsia"/>
              </w:rPr>
            </w:pPr>
            <m:oMathPara>
              <m:oMath>
                <m:r>
                  <m:rPr>
                    <m:nor/>
                  </m:rPr>
                  <w:rPr>
                    <w:i/>
                    <w:sz w:val="18"/>
                    <w:szCs w:val="18"/>
                  </w:rPr>
                  <m:t>t</m:t>
                </m:r>
                <m:r>
                  <w:rPr>
                    <w:rFonts w:ascii="Cambria Math" w:eastAsiaTheme="minorEastAsia" w:hAnsi="Cambria Math"/>
                    <w:sz w:val="18"/>
                    <w:szCs w:val="18"/>
                  </w:rPr>
                  <m:t>=</m:t>
                </m:r>
                <m:r>
                  <m:rPr>
                    <m:nor/>
                  </m:rPr>
                  <w:rPr>
                    <w:i/>
                    <w:sz w:val="18"/>
                    <w:szCs w:val="18"/>
                  </w:rPr>
                  <m:t>0</m:t>
                </m:r>
              </m:oMath>
            </m:oMathPara>
          </w:p>
        </w:tc>
        <w:tc>
          <w:tcPr>
            <w:tcW w:w="2390" w:type="dxa"/>
            <w:tcBorders>
              <w:top w:val="dashed" w:sz="4" w:space="0" w:color="5F2987"/>
              <w:left w:val="dashed" w:sz="4" w:space="0" w:color="5F2987"/>
              <w:bottom w:val="single" w:sz="12" w:space="0" w:color="5F2987"/>
              <w:right w:val="nil"/>
            </w:tcBorders>
            <w:vAlign w:val="center"/>
          </w:tcPr>
          <w:p w14:paraId="6404FB7E" w14:textId="77777777" w:rsidR="00875950" w:rsidRPr="00790CA8" w:rsidRDefault="00875950" w:rsidP="007C5659">
            <w:pPr>
              <w:spacing w:after="0"/>
              <w:jc w:val="center"/>
              <w:rPr>
                <w:rFonts w:eastAsia="Times New Roman" w:cs="Arial"/>
              </w:rPr>
            </w:pPr>
            <m:oMathPara>
              <m:oMath>
                <m:r>
                  <m:rPr>
                    <m:nor/>
                  </m:rPr>
                  <w:rPr>
                    <w:i/>
                    <w:sz w:val="18"/>
                    <w:szCs w:val="18"/>
                  </w:rPr>
                  <m:t>t</m:t>
                </m:r>
                <m:r>
                  <w:rPr>
                    <w:rFonts w:ascii="Cambria Math" w:eastAsiaTheme="minorEastAsia" w:hAnsi="Cambria Math"/>
                    <w:sz w:val="18"/>
                    <w:szCs w:val="18"/>
                  </w:rPr>
                  <m:t>=</m:t>
                </m:r>
                <m:r>
                  <m:rPr>
                    <m:nor/>
                  </m:rPr>
                  <w:rPr>
                    <w:i/>
                    <w:sz w:val="18"/>
                    <w:szCs w:val="18"/>
                  </w:rPr>
                  <m:t>1</m:t>
                </m:r>
              </m:oMath>
            </m:oMathPara>
          </w:p>
        </w:tc>
      </w:tr>
    </w:tbl>
    <w:p w14:paraId="25D91862" w14:textId="77777777" w:rsidR="00875950" w:rsidRPr="00A3419E" w:rsidRDefault="00875950" w:rsidP="00875950">
      <w:pPr>
        <w:pStyle w:val="Nivel3SM"/>
        <w:rPr>
          <w:spacing w:val="-4"/>
        </w:rPr>
      </w:pPr>
      <w:r w:rsidRPr="00A3419E">
        <w:rPr>
          <w:spacing w:val="-4"/>
        </w:rPr>
        <w:t xml:space="preserve">El valor esperado de la opción </w:t>
      </w:r>
      <w:proofErr w:type="spellStart"/>
      <w:r w:rsidRPr="00A3419E">
        <w:rPr>
          <w:spacing w:val="-4"/>
        </w:rPr>
        <w:t>call</w:t>
      </w:r>
      <w:proofErr w:type="spellEnd"/>
      <w:r w:rsidRPr="00A3419E">
        <w:rPr>
          <w:spacing w:val="-4"/>
        </w:rPr>
        <w:t xml:space="preserve"> en </w:t>
      </w:r>
      <m:oMath>
        <m:r>
          <m:rPr>
            <m:nor/>
          </m:rPr>
          <w:rPr>
            <w:i/>
            <w:spacing w:val="-4"/>
          </w:rPr>
          <m:t>t</m:t>
        </m:r>
        <m:r>
          <w:rPr>
            <w:rFonts w:ascii="Cambria Math" w:eastAsiaTheme="minorEastAsia" w:hAnsi="Cambria Math"/>
            <w:spacing w:val="-4"/>
          </w:rPr>
          <m:t>=</m:t>
        </m:r>
        <m:r>
          <m:rPr>
            <m:nor/>
          </m:rPr>
          <w:rPr>
            <w:i/>
            <w:spacing w:val="-4"/>
          </w:rPr>
          <m:t>1</m:t>
        </m:r>
      </m:oMath>
      <w:r w:rsidRPr="00A3419E">
        <w:rPr>
          <w:rFonts w:eastAsiaTheme="minorEastAsia"/>
          <w:spacing w:val="-4"/>
        </w:rPr>
        <w:t xml:space="preserve"> es </w:t>
      </w:r>
      <m:oMath>
        <m:sSub>
          <m:sSubPr>
            <m:ctrlPr>
              <w:rPr>
                <w:rFonts w:ascii="Cambria Math" w:eastAsiaTheme="minorEastAsia" w:hAnsi="Cambria Math"/>
                <w:i/>
                <w:spacing w:val="-4"/>
              </w:rPr>
            </m:ctrlPr>
          </m:sSubPr>
          <m:e>
            <m:r>
              <m:rPr>
                <m:nor/>
              </m:rPr>
              <w:rPr>
                <w:rFonts w:eastAsiaTheme="minorEastAsia"/>
                <w:i/>
                <w:iCs/>
                <w:spacing w:val="-4"/>
              </w:rPr>
              <m:t>E</m:t>
            </m:r>
          </m:e>
          <m:sub>
            <m:r>
              <m:rPr>
                <m:nor/>
              </m:rPr>
              <w:rPr>
                <w:rFonts w:eastAsiaTheme="minorEastAsia"/>
                <w:i/>
                <w:iCs/>
                <w:spacing w:val="-4"/>
              </w:rPr>
              <m:t>0</m:t>
            </m:r>
          </m:sub>
        </m:sSub>
        <m:d>
          <m:dPr>
            <m:begChr m:val="["/>
            <m:endChr m:val="]"/>
            <m:ctrlPr>
              <w:rPr>
                <w:rFonts w:ascii="Cambria Math" w:eastAsiaTheme="minorEastAsia" w:hAnsi="Cambria Math"/>
                <w:i/>
                <w:iCs/>
                <w:spacing w:val="-4"/>
              </w:rPr>
            </m:ctrlPr>
          </m:dPr>
          <m:e>
            <m:sSub>
              <m:sSubPr>
                <m:ctrlPr>
                  <w:rPr>
                    <w:rFonts w:ascii="Cambria Math" w:hAnsi="Cambria Math"/>
                    <w:i/>
                    <w:spacing w:val="-4"/>
                  </w:rPr>
                </m:ctrlPr>
              </m:sSubPr>
              <m:e>
                <m:r>
                  <m:rPr>
                    <m:nor/>
                  </m:rPr>
                  <w:rPr>
                    <w:i/>
                    <w:spacing w:val="-4"/>
                  </w:rPr>
                  <m:t>C</m:t>
                </m:r>
              </m:e>
              <m:sub>
                <m:r>
                  <m:rPr>
                    <m:nor/>
                  </m:rPr>
                  <w:rPr>
                    <w:i/>
                    <w:spacing w:val="-4"/>
                  </w:rPr>
                  <m:t>1</m:t>
                </m:r>
              </m:sub>
            </m:sSub>
          </m:e>
        </m:d>
        <m:r>
          <w:rPr>
            <w:rFonts w:ascii="Cambria Math" w:eastAsiaTheme="minorEastAsia" w:hAnsi="Cambria Math"/>
            <w:spacing w:val="-4"/>
          </w:rPr>
          <m:t>=</m:t>
        </m:r>
        <m:r>
          <m:rPr>
            <m:nor/>
          </m:rPr>
          <w:rPr>
            <w:i/>
            <w:spacing w:val="-4"/>
          </w:rPr>
          <m:t>15 €</m:t>
        </m:r>
        <m:r>
          <w:rPr>
            <w:rFonts w:ascii="Cambria Math" w:eastAsiaTheme="minorEastAsia" w:hAnsi="Cambria Math"/>
            <w:spacing w:val="-4"/>
          </w:rPr>
          <m:t>×</m:t>
        </m:r>
        <m:r>
          <m:rPr>
            <m:nor/>
          </m:rPr>
          <w:rPr>
            <w:i/>
            <w:spacing w:val="-4"/>
          </w:rPr>
          <m:t>66,67</m:t>
        </m:r>
        <m:r>
          <w:rPr>
            <w:rFonts w:ascii="Cambria Math" w:eastAsiaTheme="minorEastAsia" w:hAnsi="Cambria Math"/>
            <w:spacing w:val="-4"/>
          </w:rPr>
          <m:t> </m:t>
        </m:r>
        <m:r>
          <m:rPr>
            <m:nor/>
          </m:rPr>
          <w:rPr>
            <w:i/>
            <w:spacing w:val="-4"/>
          </w:rPr>
          <m:t>%</m:t>
        </m:r>
        <m:r>
          <w:rPr>
            <w:rFonts w:ascii="Cambria Math" w:eastAsiaTheme="minorEastAsia" w:hAnsi="Cambria Math"/>
            <w:spacing w:val="-4"/>
          </w:rPr>
          <m:t>+</m:t>
        </m:r>
        <m:r>
          <m:rPr>
            <m:nor/>
          </m:rPr>
          <w:rPr>
            <w:i/>
            <w:spacing w:val="-4"/>
          </w:rPr>
          <m:t>0 €</m:t>
        </m:r>
        <m:r>
          <w:rPr>
            <w:rFonts w:ascii="Cambria Math" w:eastAsiaTheme="minorEastAsia" w:hAnsi="Cambria Math"/>
            <w:spacing w:val="-4"/>
          </w:rPr>
          <m:t>×</m:t>
        </m:r>
        <m:r>
          <m:rPr>
            <m:nor/>
          </m:rPr>
          <w:rPr>
            <w:i/>
            <w:spacing w:val="-4"/>
          </w:rPr>
          <m:t>33,33</m:t>
        </m:r>
        <m:r>
          <w:rPr>
            <w:rFonts w:ascii="Cambria Math" w:eastAsiaTheme="minorEastAsia" w:hAnsi="Cambria Math"/>
            <w:spacing w:val="-4"/>
          </w:rPr>
          <m:t> </m:t>
        </m:r>
        <m:r>
          <m:rPr>
            <m:nor/>
          </m:rPr>
          <w:rPr>
            <w:i/>
            <w:spacing w:val="-4"/>
          </w:rPr>
          <m:t>%</m:t>
        </m:r>
        <m:r>
          <w:rPr>
            <w:rFonts w:ascii="Cambria Math" w:eastAsiaTheme="minorEastAsia" w:hAnsi="Cambria Math"/>
            <w:spacing w:val="-4"/>
          </w:rPr>
          <m:t>=</m:t>
        </m:r>
        <m:r>
          <m:rPr>
            <m:nor/>
          </m:rPr>
          <w:rPr>
            <w:i/>
            <w:spacing w:val="-4"/>
          </w:rPr>
          <m:t>10 €</m:t>
        </m:r>
      </m:oMath>
      <w:r w:rsidRPr="00A3419E">
        <w:rPr>
          <w:rFonts w:eastAsiaTheme="minorEastAsia"/>
          <w:spacing w:val="-4"/>
        </w:rPr>
        <w:t>.</w:t>
      </w:r>
    </w:p>
    <w:p w14:paraId="14891D2E" w14:textId="77777777" w:rsidR="00875950" w:rsidRDefault="00875950" w:rsidP="00875950">
      <w:pPr>
        <w:pStyle w:val="Nivel3SM"/>
      </w:pPr>
      <w:r w:rsidRPr="000A5508">
        <w:t xml:space="preserve">Si ahora </w:t>
      </w:r>
      <w:r>
        <w:t xml:space="preserve">descontamos el valor de la opción haciendo uso del tipo de interés libre de riesgo, tenemos que el valor de la opción </w:t>
      </w:r>
      <w:proofErr w:type="spellStart"/>
      <w:r>
        <w:t>call</w:t>
      </w:r>
      <w:proofErr w:type="spellEnd"/>
      <w:r>
        <w:t xml:space="preserve"> en la actualidad es de:</w:t>
      </w:r>
    </w:p>
    <w:p w14:paraId="6B311C50" w14:textId="77777777" w:rsidR="00875950" w:rsidRPr="00423CD0" w:rsidRDefault="00000000" w:rsidP="00875950">
      <w:pPr>
        <w:pStyle w:val="Nivel3SM"/>
        <w:numPr>
          <w:ilvl w:val="0"/>
          <w:numId w:val="0"/>
        </w:numPr>
        <w:ind w:left="963"/>
        <w:rPr>
          <w:rFonts w:eastAsiaTheme="minorEastAsia"/>
          <w:spacing w:val="-4"/>
        </w:rPr>
      </w:pPr>
      <m:oMathPara>
        <m:oMath>
          <m:sSub>
            <m:sSubPr>
              <m:ctrlPr>
                <w:rPr>
                  <w:rFonts w:ascii="Cambria Math" w:hAnsi="Cambria Math"/>
                  <w:i/>
                </w:rPr>
              </m:ctrlPr>
            </m:sSubPr>
            <m:e>
              <m:r>
                <m:rPr>
                  <m:nor/>
                </m:rPr>
                <w:rPr>
                  <w:i/>
                </w:rPr>
                <m:t>C</m:t>
              </m:r>
            </m:e>
            <m:sub>
              <m:r>
                <m:rPr>
                  <m:nor/>
                </m:rPr>
                <w:rPr>
                  <w:i/>
                </w:rPr>
                <m:t>0</m:t>
              </m:r>
            </m:sub>
          </m:sSub>
          <m:r>
            <w:rPr>
              <w:rFonts w:ascii="Cambria Math" w:hAnsi="Cambria Math"/>
            </w:rPr>
            <m:t>=</m:t>
          </m:r>
          <m:limLow>
            <m:limLowPr>
              <m:ctrlPr>
                <w:rPr>
                  <w:rFonts w:ascii="Cambria Math" w:eastAsiaTheme="minorEastAsia" w:hAnsi="Cambria Math"/>
                  <w:i/>
                  <w:spacing w:val="-4"/>
                </w:rPr>
              </m:ctrlPr>
            </m:limLowPr>
            <m:e>
              <m:groupChr>
                <m:groupChrPr>
                  <m:ctrlPr>
                    <w:rPr>
                      <w:rFonts w:ascii="Cambria Math" w:eastAsiaTheme="minorEastAsia" w:hAnsi="Cambria Math"/>
                      <w:i/>
                      <w:spacing w:val="-4"/>
                    </w:rPr>
                  </m:ctrlPr>
                </m:groupChrPr>
                <m:e>
                  <m:sSub>
                    <m:sSubPr>
                      <m:ctrlPr>
                        <w:rPr>
                          <w:rFonts w:ascii="Cambria Math" w:eastAsiaTheme="minorEastAsia" w:hAnsi="Cambria Math"/>
                          <w:i/>
                          <w:spacing w:val="-4"/>
                        </w:rPr>
                      </m:ctrlPr>
                    </m:sSubPr>
                    <m:e>
                      <m:r>
                        <m:rPr>
                          <m:nor/>
                        </m:rPr>
                        <w:rPr>
                          <w:rFonts w:eastAsiaTheme="minorEastAsia"/>
                          <w:i/>
                          <w:iCs/>
                          <w:spacing w:val="-4"/>
                        </w:rPr>
                        <m:t>E</m:t>
                      </m:r>
                    </m:e>
                    <m:sub>
                      <m:r>
                        <m:rPr>
                          <m:nor/>
                        </m:rPr>
                        <w:rPr>
                          <w:rFonts w:eastAsiaTheme="minorEastAsia"/>
                          <w:i/>
                          <w:iCs/>
                          <w:spacing w:val="-4"/>
                        </w:rPr>
                        <m:t>0</m:t>
                      </m:r>
                    </m:sub>
                  </m:sSub>
                  <m:d>
                    <m:dPr>
                      <m:begChr m:val="["/>
                      <m:endChr m:val="]"/>
                      <m:ctrlPr>
                        <w:rPr>
                          <w:rFonts w:ascii="Cambria Math" w:eastAsiaTheme="minorEastAsia" w:hAnsi="Cambria Math"/>
                          <w:i/>
                          <w:iCs/>
                          <w:spacing w:val="-4"/>
                        </w:rPr>
                      </m:ctrlPr>
                    </m:dPr>
                    <m:e>
                      <m:sSub>
                        <m:sSubPr>
                          <m:ctrlPr>
                            <w:rPr>
                              <w:rFonts w:ascii="Cambria Math" w:hAnsi="Cambria Math"/>
                              <w:i/>
                              <w:spacing w:val="-4"/>
                            </w:rPr>
                          </m:ctrlPr>
                        </m:sSubPr>
                        <m:e>
                          <m:r>
                            <m:rPr>
                              <m:nor/>
                            </m:rPr>
                            <w:rPr>
                              <w:i/>
                              <w:spacing w:val="-4"/>
                            </w:rPr>
                            <m:t>C</m:t>
                          </m:r>
                        </m:e>
                        <m:sub>
                          <m:r>
                            <m:rPr>
                              <m:nor/>
                            </m:rPr>
                            <w:rPr>
                              <w:i/>
                              <w:spacing w:val="-4"/>
                            </w:rPr>
                            <m:t>1</m:t>
                          </m:r>
                        </m:sub>
                      </m:sSub>
                    </m:e>
                  </m:d>
                </m:e>
              </m:groupChr>
            </m:e>
            <m:lim>
              <m:r>
                <w:rPr>
                  <w:rFonts w:ascii="Cambria Math" w:eastAsiaTheme="minorEastAsia" w:hAnsi="Cambria Math"/>
                  <w:spacing w:val="-4"/>
                </w:rPr>
                <m:t>=</m:t>
              </m:r>
              <m:r>
                <m:rPr>
                  <m:nor/>
                </m:rPr>
                <w:rPr>
                  <w:i/>
                  <w:spacing w:val="-4"/>
                </w:rPr>
                <m:t>10 €</m:t>
              </m:r>
            </m:lim>
          </m:limLow>
          <m:r>
            <w:rPr>
              <w:rFonts w:ascii="Cambria Math" w:hAnsi="Cambria Math"/>
            </w:rPr>
            <m:t>∙</m:t>
          </m:r>
          <m:d>
            <m:dPr>
              <m:ctrlPr>
                <w:rPr>
                  <w:rFonts w:ascii="Cambria Math" w:hAnsi="Cambria Math"/>
                  <w:i/>
                </w:rPr>
              </m:ctrlPr>
            </m:dPr>
            <m:e>
              <m:r>
                <m:rPr>
                  <m:nor/>
                </m:rPr>
                <w:rPr>
                  <w:i/>
                </w:rPr>
                <m:t>1</m:t>
              </m:r>
              <m:r>
                <w:rPr>
                  <w:rFonts w:ascii="Cambria Math" w:hAnsi="Cambria Math"/>
                </w:rPr>
                <m:t>-</m:t>
              </m:r>
              <m:limLow>
                <m:limLowPr>
                  <m:ctrlPr>
                    <w:rPr>
                      <w:rFonts w:ascii="Cambria Math" w:eastAsiaTheme="minorEastAsia" w:hAnsi="Cambria Math"/>
                      <w:i/>
                      <w:spacing w:val="-4"/>
                    </w:rPr>
                  </m:ctrlPr>
                </m:limLowPr>
                <m:e>
                  <m:groupChr>
                    <m:groupChrPr>
                      <m:ctrlPr>
                        <w:rPr>
                          <w:rFonts w:ascii="Cambria Math" w:eastAsiaTheme="minorEastAsia" w:hAnsi="Cambria Math"/>
                          <w:i/>
                          <w:spacing w:val="-4"/>
                        </w:rPr>
                      </m:ctrlPr>
                    </m:groupChrPr>
                    <m:e>
                      <m:sSub>
                        <m:sSubPr>
                          <m:ctrlPr>
                            <w:rPr>
                              <w:rFonts w:ascii="Cambria Math" w:hAnsi="Cambria Math"/>
                              <w:i/>
                            </w:rPr>
                          </m:ctrlPr>
                        </m:sSubPr>
                        <m:e>
                          <m:r>
                            <m:rPr>
                              <m:nor/>
                            </m:rPr>
                            <w:rPr>
                              <w:i/>
                            </w:rPr>
                            <m:t>r</m:t>
                          </m:r>
                        </m:e>
                        <m:sub>
                          <m:r>
                            <m:rPr>
                              <m:nor/>
                            </m:rPr>
                            <w:rPr>
                              <w:i/>
                            </w:rPr>
                            <m:t>f</m:t>
                          </m:r>
                        </m:sub>
                      </m:sSub>
                    </m:e>
                  </m:groupChr>
                </m:e>
                <m:lim>
                  <m:r>
                    <w:rPr>
                      <w:rFonts w:ascii="Cambria Math" w:eastAsiaTheme="minorEastAsia" w:hAnsi="Cambria Math"/>
                      <w:spacing w:val="-4"/>
                    </w:rPr>
                    <m:t>=</m:t>
                  </m:r>
                  <m:r>
                    <m:rPr>
                      <m:nor/>
                    </m:rPr>
                    <w:rPr>
                      <w:i/>
                      <w:spacing w:val="-4"/>
                    </w:rPr>
                    <m:t>10 %</m:t>
                  </m:r>
                </m:lim>
              </m:limLow>
            </m:e>
          </m:d>
          <m:r>
            <w:rPr>
              <w:rFonts w:ascii="Cambria Math" w:hAnsi="Cambria Math"/>
            </w:rPr>
            <m:t>=</m:t>
          </m:r>
          <m:r>
            <m:rPr>
              <m:nor/>
            </m:rPr>
            <w:rPr>
              <w:i/>
              <w:spacing w:val="-4"/>
            </w:rPr>
            <m:t>9 €</m:t>
          </m:r>
        </m:oMath>
      </m:oMathPara>
    </w:p>
    <w:p w14:paraId="56182884" w14:textId="303710F9" w:rsidR="00875950" w:rsidRPr="000A5508" w:rsidRDefault="00875950" w:rsidP="00875950">
      <w:pPr>
        <w:pStyle w:val="Nivel1SM"/>
      </w:pPr>
      <w:r>
        <w:t xml:space="preserve">Por lo tanto, </w:t>
      </w:r>
      <w:r w:rsidR="00D54430">
        <w:t xml:space="preserve">podemos derivar el valor de una opción </w:t>
      </w:r>
      <w:proofErr w:type="spellStart"/>
      <w:r w:rsidR="00D54430">
        <w:t>call</w:t>
      </w:r>
      <w:proofErr w:type="spellEnd"/>
      <w:r w:rsidR="00D54430">
        <w:t xml:space="preserve"> </w:t>
      </w:r>
      <w:r>
        <w:t xml:space="preserve">dado </w:t>
      </w:r>
      <w:r w:rsidR="00D54430" w:rsidRPr="00D54430">
        <w:rPr>
          <w:i/>
          <w:iCs/>
        </w:rPr>
        <w:t>(i)</w:t>
      </w:r>
      <w:r w:rsidR="00D54430">
        <w:t> </w:t>
      </w:r>
      <w:r>
        <w:t xml:space="preserve">el precio del stock, </w:t>
      </w:r>
      <w:r w:rsidR="00D54430" w:rsidRPr="00D54430">
        <w:rPr>
          <w:i/>
          <w:iCs/>
        </w:rPr>
        <w:t>(</w:t>
      </w:r>
      <w:proofErr w:type="spellStart"/>
      <w:r w:rsidR="00D54430" w:rsidRPr="00D54430">
        <w:rPr>
          <w:i/>
          <w:iCs/>
        </w:rPr>
        <w:t>i</w:t>
      </w:r>
      <w:r w:rsidR="00D54430">
        <w:rPr>
          <w:i/>
          <w:iCs/>
        </w:rPr>
        <w:t>i</w:t>
      </w:r>
      <w:proofErr w:type="spellEnd"/>
      <w:r w:rsidR="00D54430" w:rsidRPr="00D54430">
        <w:rPr>
          <w:i/>
          <w:iCs/>
        </w:rPr>
        <w:t>)</w:t>
      </w:r>
      <w:r w:rsidR="00D54430">
        <w:t> </w:t>
      </w:r>
      <w:r>
        <w:t xml:space="preserve">el precio de ejercicio, </w:t>
      </w:r>
      <w:r w:rsidR="00D54430" w:rsidRPr="00D54430">
        <w:rPr>
          <w:i/>
          <w:iCs/>
        </w:rPr>
        <w:t>(</w:t>
      </w:r>
      <w:proofErr w:type="spellStart"/>
      <w:r w:rsidR="00D54430" w:rsidRPr="00D54430">
        <w:rPr>
          <w:i/>
          <w:iCs/>
        </w:rPr>
        <w:t>i</w:t>
      </w:r>
      <w:r w:rsidR="00D54430">
        <w:rPr>
          <w:i/>
          <w:iCs/>
        </w:rPr>
        <w:t>ii</w:t>
      </w:r>
      <w:proofErr w:type="spellEnd"/>
      <w:r w:rsidR="00D54430" w:rsidRPr="00D54430">
        <w:rPr>
          <w:i/>
          <w:iCs/>
        </w:rPr>
        <w:t>)</w:t>
      </w:r>
      <w:r w:rsidR="00D54430">
        <w:t> </w:t>
      </w:r>
      <w:r>
        <w:t xml:space="preserve">el tipo de interés y </w:t>
      </w:r>
      <w:r w:rsidR="00D54430" w:rsidRPr="00D54430">
        <w:rPr>
          <w:i/>
          <w:iCs/>
        </w:rPr>
        <w:t>(</w:t>
      </w:r>
      <w:proofErr w:type="spellStart"/>
      <w:r w:rsidR="00D54430" w:rsidRPr="00D54430">
        <w:rPr>
          <w:i/>
          <w:iCs/>
        </w:rPr>
        <w:t>i</w:t>
      </w:r>
      <w:r w:rsidR="00D54430">
        <w:rPr>
          <w:i/>
          <w:iCs/>
        </w:rPr>
        <w:t>v</w:t>
      </w:r>
      <w:proofErr w:type="spellEnd"/>
      <w:r w:rsidR="00D54430" w:rsidRPr="00D54430">
        <w:rPr>
          <w:i/>
          <w:iCs/>
        </w:rPr>
        <w:t>)</w:t>
      </w:r>
      <w:r w:rsidR="00D54430">
        <w:t> </w:t>
      </w:r>
      <w:r>
        <w:t>la volatilidad del precio del stock.</w:t>
      </w:r>
    </w:p>
    <w:p w14:paraId="77D728BD" w14:textId="77777777" w:rsidR="00875950" w:rsidRPr="006166E5" w:rsidRDefault="00875950" w:rsidP="00875950">
      <w:pPr>
        <w:pStyle w:val="Ttulo7"/>
      </w:pPr>
      <w:r>
        <w:lastRenderedPageBreak/>
        <w:t>Valoración</w:t>
      </w:r>
    </w:p>
    <w:p w14:paraId="1442E43B" w14:textId="77777777" w:rsidR="00875950" w:rsidRDefault="00875950" w:rsidP="00875950">
      <w:pPr>
        <w:pStyle w:val="Nivel1SM"/>
        <w:keepNext/>
        <w:spacing w:before="0" w:after="0"/>
      </w:pPr>
      <w:r>
        <w:t xml:space="preserve">En este caso, hemos considerado la valoración de opciones a un año, pero </w:t>
      </w:r>
      <w:r w:rsidRPr="005F07A0">
        <w:rPr>
          <w:b/>
          <w:bCs/>
        </w:rPr>
        <w:t>este método se podría generalizar para valorar opciones durante más períodos</w:t>
      </w:r>
      <w:r>
        <w:t>.</w:t>
      </w:r>
    </w:p>
    <w:p w14:paraId="653A71CA" w14:textId="77777777" w:rsidR="00875950" w:rsidRDefault="00875950" w:rsidP="00875950">
      <w:pPr>
        <w:pStyle w:val="Nivel2SM"/>
      </w:pPr>
      <w:r>
        <w:t>De este modo, la rentabilidad del activo hasta el vencimiento sería la suma de las rentabilidades en cada subperíodo.</w:t>
      </w:r>
    </w:p>
    <w:p w14:paraId="0E2C41BB" w14:textId="77777777" w:rsidR="00875950" w:rsidRDefault="00875950" w:rsidP="00875950">
      <w:pPr>
        <w:pStyle w:val="Nivel2SM"/>
      </w:pPr>
      <w:r>
        <w:t>Las rentabilidades de cada subperíodo son variables aleatorias binomiales independientes entre sí.</w:t>
      </w:r>
    </w:p>
    <w:p w14:paraId="52E25343" w14:textId="750233A2" w:rsidR="00875950" w:rsidRDefault="00875950" w:rsidP="00875950">
      <w:pPr>
        <w:pStyle w:val="Nivel2SM"/>
        <w:keepNext/>
        <w:spacing w:after="0"/>
      </w:pPr>
      <w:r>
        <w:t>Por el teorema central del límite, a medida que se suman más y más binomiales no</w:t>
      </w:r>
      <w:r w:rsidR="00436847">
        <w:t> </w:t>
      </w:r>
      <w:r>
        <w:t>correlacionadas, la distribución de su suma se va pareciendo a una normal.</w:t>
      </w:r>
    </w:p>
    <w:p w14:paraId="4FA1113F" w14:textId="77777777" w:rsidR="00875950" w:rsidRPr="002C7E96" w:rsidRDefault="00875950" w:rsidP="00875950">
      <w:pPr>
        <w:pStyle w:val="Nivel3SM"/>
      </w:pPr>
      <w:r>
        <w:t xml:space="preserve">De este modo, si la vida de la opción se divide en infinitos saltos binomiales, el resultado al final de la vida de la opción es una distribución normal, que es precisamente la que utilizan </w:t>
      </w:r>
      <w:r w:rsidRPr="00A340E2">
        <w:rPr>
          <w:smallCaps/>
        </w:rPr>
        <w:t>Black</w:t>
      </w:r>
      <w:r>
        <w:t xml:space="preserve"> y </w:t>
      </w:r>
      <w:r w:rsidRPr="00A340E2">
        <w:rPr>
          <w:smallCaps/>
        </w:rPr>
        <w:t>Scholes</w:t>
      </w:r>
      <w:r>
        <w:t xml:space="preserve"> para llegar a su famosa fórmula.</w:t>
      </w:r>
    </w:p>
    <w:p w14:paraId="711F8AE8" w14:textId="77777777" w:rsidR="00875950" w:rsidRDefault="00875950" w:rsidP="00875950">
      <w:pPr>
        <w:pStyle w:val="Ttulo6"/>
      </w:pPr>
      <w:bookmarkStart w:id="56" w:name="_Toc131840484"/>
      <w:r>
        <w:t xml:space="preserve">Modelo de </w:t>
      </w:r>
      <w:r w:rsidRPr="00586821">
        <w:rPr>
          <w:smallCaps/>
        </w:rPr>
        <w:t>Black</w:t>
      </w:r>
      <w:r>
        <w:t xml:space="preserve"> y </w:t>
      </w:r>
      <w:r w:rsidRPr="00586821">
        <w:rPr>
          <w:smallCaps/>
        </w:rPr>
        <w:t>Scholes</w:t>
      </w:r>
      <w:r w:rsidRPr="00850A24">
        <w:t xml:space="preserve"> (</w:t>
      </w:r>
      <w:r>
        <w:t>1973</w:t>
      </w:r>
      <w:r w:rsidRPr="00850A24">
        <w:t>)</w:t>
      </w:r>
      <w:bookmarkEnd w:id="56"/>
    </w:p>
    <w:p w14:paraId="6220CB22" w14:textId="77777777" w:rsidR="00875950" w:rsidRDefault="00875950" w:rsidP="00875950">
      <w:pPr>
        <w:pStyle w:val="Ttulo7"/>
        <w:spacing w:before="0"/>
      </w:pPr>
      <w:r>
        <w:t>Idea</w:t>
      </w:r>
    </w:p>
    <w:p w14:paraId="1F1DC413" w14:textId="77777777" w:rsidR="00875950" w:rsidRDefault="00875950" w:rsidP="00875950">
      <w:pPr>
        <w:pStyle w:val="Nivel1SM"/>
        <w:keepNext/>
        <w:spacing w:before="0" w:after="0"/>
      </w:pPr>
      <w:r>
        <w:t xml:space="preserve">El modelo de la binomial es extremadamente flexible, pero se requeriría un ordenador para calcular el valor real de las opciones y que fuera realmente útil para el </w:t>
      </w:r>
      <w:proofErr w:type="spellStart"/>
      <w:r>
        <w:rPr>
          <w:i/>
          <w:iCs/>
        </w:rPr>
        <w:t>trader</w:t>
      </w:r>
      <w:proofErr w:type="spellEnd"/>
      <w:r>
        <w:t>. Una fórmula que permitiera determinar el precio de la opción sería más fácil de usar y no necesitaría de complejos algoritmos.</w:t>
      </w:r>
    </w:p>
    <w:p w14:paraId="53F7D5E2" w14:textId="77777777" w:rsidR="00875950" w:rsidRDefault="00875950" w:rsidP="00875950">
      <w:pPr>
        <w:pStyle w:val="Nivel2SM"/>
      </w:pPr>
      <w:r>
        <w:t xml:space="preserve">En esto es en lo que trabajan </w:t>
      </w:r>
      <w:r>
        <w:rPr>
          <w:smallCaps/>
        </w:rPr>
        <w:t>Black</w:t>
      </w:r>
      <w:r>
        <w:t xml:space="preserve">, </w:t>
      </w:r>
      <w:r>
        <w:rPr>
          <w:smallCaps/>
        </w:rPr>
        <w:t>Scholes</w:t>
      </w:r>
      <w:r>
        <w:t xml:space="preserve"> y </w:t>
      </w:r>
      <w:r>
        <w:rPr>
          <w:smallCaps/>
        </w:rPr>
        <w:t>Merton</w:t>
      </w:r>
      <w:r>
        <w:rPr>
          <w:rStyle w:val="Refdenotaalpie"/>
          <w:smallCaps/>
        </w:rPr>
        <w:footnoteReference w:id="27"/>
      </w:r>
      <w:r>
        <w:t xml:space="preserve"> (y lo que valdría el Premio Nobel de Economía de 1997 para </w:t>
      </w:r>
      <w:r>
        <w:rPr>
          <w:smallCaps/>
        </w:rPr>
        <w:t>Scholes</w:t>
      </w:r>
      <w:r>
        <w:t xml:space="preserve"> y </w:t>
      </w:r>
      <w:r>
        <w:rPr>
          <w:smallCaps/>
        </w:rPr>
        <w:t>Merton</w:t>
      </w:r>
      <w:r>
        <w:rPr>
          <w:rStyle w:val="Refdenotaalpie"/>
          <w:smallCaps/>
        </w:rPr>
        <w:footnoteReference w:id="28"/>
      </w:r>
      <w:r>
        <w:t>).</w:t>
      </w:r>
    </w:p>
    <w:p w14:paraId="65D515CB" w14:textId="77777777" w:rsidR="00875950" w:rsidRDefault="00875950" w:rsidP="00875950">
      <w:pPr>
        <w:pStyle w:val="Ttulo7"/>
      </w:pPr>
      <w:r>
        <w:t>Modelo</w:t>
      </w:r>
    </w:p>
    <w:p w14:paraId="3AB1ECA8" w14:textId="77777777" w:rsidR="00875950" w:rsidRPr="00066A64" w:rsidRDefault="00875950" w:rsidP="00875950">
      <w:pPr>
        <w:pStyle w:val="Ttulo8"/>
        <w:spacing w:before="0"/>
      </w:pPr>
      <w:r>
        <w:t>Supuestos</w:t>
      </w:r>
    </w:p>
    <w:p w14:paraId="56D0AFB0" w14:textId="77777777" w:rsidR="00875950" w:rsidRDefault="00875950" w:rsidP="00875950">
      <w:pPr>
        <w:pStyle w:val="Nivel1SM"/>
        <w:keepNext/>
        <w:spacing w:before="0" w:after="0"/>
      </w:pPr>
      <w:r>
        <w:rPr>
          <w:smallCaps/>
        </w:rPr>
        <w:t xml:space="preserve">Black </w:t>
      </w:r>
      <w:r>
        <w:t xml:space="preserve">y </w:t>
      </w:r>
      <w:r>
        <w:rPr>
          <w:smallCaps/>
        </w:rPr>
        <w:t>Scholes</w:t>
      </w:r>
      <w:r>
        <w:t xml:space="preserve"> descubren que se puede conseguir una fórmula para valorar opciones añadiendo </w:t>
      </w:r>
      <w:r>
        <w:rPr>
          <w:b/>
          <w:bCs/>
        </w:rPr>
        <w:t>2 </w:t>
      </w:r>
      <w:r w:rsidRPr="00875200">
        <w:rPr>
          <w:b/>
          <w:bCs/>
        </w:rPr>
        <w:t>supuestos</w:t>
      </w:r>
      <w:r>
        <w:t xml:space="preserve"> al método de la binomial</w:t>
      </w:r>
      <w:r>
        <w:rPr>
          <w:rStyle w:val="Refdenotaalpie"/>
        </w:rPr>
        <w:footnoteReference w:id="29"/>
      </w:r>
      <w:r w:rsidRPr="00DD550B">
        <w:rPr>
          <w:vertAlign w:val="superscript"/>
        </w:rPr>
        <w:t>,</w:t>
      </w:r>
      <w:r>
        <w:rPr>
          <w:rStyle w:val="Refdenotaalpie"/>
        </w:rPr>
        <w:footnoteReference w:id="30"/>
      </w:r>
      <w:r>
        <w:t xml:space="preserve">: que el </w:t>
      </w:r>
      <w:r w:rsidRPr="00875200">
        <w:rPr>
          <w:i/>
          <w:iCs/>
        </w:rPr>
        <w:t>tipo de interés libre de riesgo</w:t>
      </w:r>
      <w:r>
        <w:t xml:space="preserve"> (</w:t>
      </w:r>
      <m:oMath>
        <m:sSub>
          <m:sSubPr>
            <m:ctrlPr>
              <w:rPr>
                <w:rFonts w:ascii="Cambria Math" w:hAnsi="Cambria Math"/>
                <w:i/>
              </w:rPr>
            </m:ctrlPr>
          </m:sSubPr>
          <m:e>
            <m:r>
              <m:rPr>
                <m:nor/>
              </m:rPr>
              <w:rPr>
                <w:i/>
              </w:rPr>
              <m:t>r</m:t>
            </m:r>
          </m:e>
          <m:sub>
            <m:r>
              <m:rPr>
                <m:nor/>
              </m:rPr>
              <w:rPr>
                <w:i/>
              </w:rPr>
              <m:t>f</m:t>
            </m:r>
          </m:sub>
        </m:sSub>
      </m:oMath>
      <w:r>
        <w:t xml:space="preserve">) y la </w:t>
      </w:r>
      <w:r w:rsidRPr="00875200">
        <w:rPr>
          <w:i/>
          <w:iCs/>
        </w:rPr>
        <w:t>volatilidad en el precio del stock</w:t>
      </w:r>
      <w:r>
        <w:t xml:space="preserve"> (</w:t>
      </w:r>
      <m:oMath>
        <m:r>
          <m:rPr>
            <m:nor/>
          </m:rPr>
          <w:rPr>
            <w:i/>
          </w:rPr>
          <m:t>σ</m:t>
        </m:r>
      </m:oMath>
      <w:r>
        <w:t xml:space="preserve">) sean </w:t>
      </w:r>
      <w:r w:rsidRPr="00875200">
        <w:rPr>
          <w:u w:val="single"/>
        </w:rPr>
        <w:t>constantes a lo largo de la vida de la opción</w:t>
      </w:r>
      <w:r>
        <w:t>.</w:t>
      </w:r>
    </w:p>
    <w:p w14:paraId="1EF0D7CB" w14:textId="77777777" w:rsidR="00875950" w:rsidRDefault="00875950" w:rsidP="00875950">
      <w:pPr>
        <w:pStyle w:val="Nivel2SM"/>
        <w:keepLines/>
      </w:pPr>
      <w:r>
        <w:t xml:space="preserve">De cumplirse estos supuestos, a medida que dividimos el plazo a vencimiento en más y más subperíodos, la distribución del precio de stock a vencimiento tiende a una distribución </w:t>
      </w:r>
      <w:proofErr w:type="spellStart"/>
      <w:r>
        <w:t>lognormal</w:t>
      </w:r>
      <w:proofErr w:type="spellEnd"/>
      <w:r>
        <w:t xml:space="preserve">. Y cuando el precio del stock sigue una distribución </w:t>
      </w:r>
      <w:proofErr w:type="spellStart"/>
      <w:r>
        <w:t>lognormal</w:t>
      </w:r>
      <w:proofErr w:type="spellEnd"/>
      <w:r>
        <w:t>, podemos derivar una fórmula exacta para valorar las opciones.</w:t>
      </w:r>
    </w:p>
    <w:p w14:paraId="18934CF5" w14:textId="77777777" w:rsidR="00875950" w:rsidRDefault="00875950" w:rsidP="00875950">
      <w:pPr>
        <w:pStyle w:val="Ttulo8"/>
      </w:pPr>
      <w:r>
        <w:lastRenderedPageBreak/>
        <w:t>Desarrollo</w:t>
      </w:r>
    </w:p>
    <w:p w14:paraId="65FC0E0C" w14:textId="77777777" w:rsidR="00875950" w:rsidRDefault="00875950" w:rsidP="00875950">
      <w:pPr>
        <w:pStyle w:val="Nivel1SM"/>
        <w:keepNext/>
        <w:spacing w:before="0" w:after="0"/>
      </w:pPr>
      <w:r>
        <w:t xml:space="preserve">El </w:t>
      </w:r>
      <w:r w:rsidRPr="000054C8">
        <w:rPr>
          <w:b/>
          <w:bCs/>
        </w:rPr>
        <w:t xml:space="preserve">procedimiento para valorar una opción </w:t>
      </w:r>
      <w:proofErr w:type="spellStart"/>
      <w:r w:rsidRPr="00AC1191">
        <w:rPr>
          <w:b/>
          <w:bCs/>
          <w:i/>
          <w:iCs/>
        </w:rPr>
        <w:t>call</w:t>
      </w:r>
      <w:proofErr w:type="spellEnd"/>
      <w:r w:rsidRPr="000054C8">
        <w:rPr>
          <w:b/>
          <w:bCs/>
        </w:rPr>
        <w:t xml:space="preserve"> europea que no paga dividendos</w:t>
      </w:r>
      <w:r>
        <w:t xml:space="preserve"> es el siguiente:</w:t>
      </w:r>
    </w:p>
    <w:p w14:paraId="11B3C14C" w14:textId="77777777" w:rsidR="00875950" w:rsidRDefault="00875950" w:rsidP="00875950">
      <w:pPr>
        <w:pStyle w:val="Nivel2SM"/>
        <w:keepNext/>
        <w:spacing w:after="0"/>
      </w:pPr>
      <w:r>
        <w:t xml:space="preserve">El valor actual de una opción </w:t>
      </w:r>
      <w:proofErr w:type="spellStart"/>
      <w:r w:rsidRPr="00AC1191">
        <w:rPr>
          <w:i/>
          <w:iCs/>
        </w:rPr>
        <w:t>call</w:t>
      </w:r>
      <w:proofErr w:type="spellEnd"/>
      <w:r>
        <w:t xml:space="preserve"> mantenida a vencimiento sobre un activo que no reporta rentabilidad se puede calcular con la siguiente </w:t>
      </w:r>
      <w:r w:rsidRPr="00DD41DD">
        <w:rPr>
          <w:b/>
          <w:bCs/>
        </w:rPr>
        <w:t>ecuación diferencial</w:t>
      </w:r>
      <w:r>
        <w:t>:</w:t>
      </w:r>
    </w:p>
    <w:p w14:paraId="380B3968" w14:textId="77777777" w:rsidR="00875950" w:rsidRPr="00810135" w:rsidRDefault="00000000" w:rsidP="00875950">
      <w:pPr>
        <w:pStyle w:val="Nivel1SM"/>
        <w:keepNext/>
        <w:numPr>
          <w:ilvl w:val="0"/>
          <w:numId w:val="0"/>
        </w:numPr>
        <w:spacing w:before="0" w:after="0"/>
        <w:ind w:left="198"/>
        <w:rPr>
          <w:rFonts w:eastAsiaTheme="minorEastAsia"/>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C</m:t>
                    </m:r>
                  </m:e>
                  <m:sub>
                    <m:r>
                      <m:rPr>
                        <m:nor/>
                      </m:rPr>
                      <w:rPr>
                        <w:i/>
                        <w:lang w:val="fr-FR"/>
                      </w:rPr>
                      <m:t>0</m:t>
                    </m:r>
                  </m:sub>
                </m:sSub>
                <m:r>
                  <w:rPr>
                    <w:rFonts w:ascii="Cambria Math" w:hAnsi="Cambria Math"/>
                    <w:lang w:val="fr-FR"/>
                  </w:rPr>
                  <m:t>=</m:t>
                </m:r>
                <m:nary>
                  <m:naryPr>
                    <m:limLoc m:val="subSup"/>
                    <m:ctrlPr>
                      <w:rPr>
                        <w:rFonts w:ascii="Cambria Math" w:hAnsi="Cambria Math"/>
                        <w:i/>
                      </w:rPr>
                    </m:ctrlPr>
                  </m:naryPr>
                  <m:sub>
                    <m:r>
                      <w:rPr>
                        <w:rFonts w:ascii="Cambria Math" w:hAnsi="Cambria Math"/>
                        <w:lang w:val="fr-FR"/>
                      </w:rPr>
                      <m:t>-∞</m:t>
                    </m:r>
                  </m:sub>
                  <m:sup>
                    <m:r>
                      <w:rPr>
                        <w:rFonts w:ascii="Cambria Math" w:hAnsi="Cambria Math"/>
                        <w:lang w:val="fr-FR"/>
                      </w:rPr>
                      <m:t>+∞</m:t>
                    </m:r>
                  </m:sup>
                  <m:e>
                    <m:r>
                      <m:rPr>
                        <m:nor/>
                      </m:rPr>
                      <w:rPr>
                        <w:rFonts w:eastAsiaTheme="minorEastAsia"/>
                        <w:i/>
                        <w:iCs/>
                        <w:lang w:val="fr-FR"/>
                      </w:rPr>
                      <m:t>max</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r>
                              <m:rPr>
                                <m:nor/>
                              </m:rPr>
                              <w:rPr>
                                <w:i/>
                                <w:lang w:val="fr-FR"/>
                              </w:rPr>
                              <m:t>X</m:t>
                            </m:r>
                            <m:r>
                              <w:rPr>
                                <w:rFonts w:ascii="Cambria Math" w:hAnsi="Cambria Math"/>
                                <w:lang w:val="fr-FR"/>
                              </w:rPr>
                              <m:t>∙</m:t>
                            </m:r>
                            <m:sSup>
                              <m:sSupPr>
                                <m:ctrlPr>
                                  <w:rPr>
                                    <w:rFonts w:ascii="Cambria Math" w:hAnsi="Cambria Math"/>
                                    <w:i/>
                                  </w:rPr>
                                </m:ctrlPr>
                              </m:sSupPr>
                              <m:e>
                                <m:r>
                                  <m:rPr>
                                    <m:nor/>
                                  </m:rPr>
                                  <w:rPr>
                                    <w:i/>
                                    <w:lang w:val="fr-FR"/>
                                  </w:rPr>
                                  <m:t>e</m:t>
                                </m:r>
                              </m:e>
                              <m:sup>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f</m:t>
                                    </m:r>
                                  </m:sub>
                                </m:sSub>
                                <m:r>
                                  <w:rPr>
                                    <w:rFonts w:ascii="Cambria Math" w:hAnsi="Cambria Math"/>
                                    <w:lang w:val="fr-FR"/>
                                  </w:rPr>
                                  <m:t>∙</m:t>
                                </m:r>
                                <m:r>
                                  <m:rPr>
                                    <m:nor/>
                                  </m:rPr>
                                  <w:rPr>
                                    <w:i/>
                                    <w:lang w:val="fr-FR"/>
                                  </w:rPr>
                                  <m:t>T</m:t>
                                </m:r>
                              </m:sup>
                            </m:sSup>
                          </m:e>
                        </m:d>
                        <m:r>
                          <w:rPr>
                            <w:rFonts w:ascii="Cambria Math" w:hAnsi="Cambria Math"/>
                            <w:lang w:val="fr-FR"/>
                          </w:rPr>
                          <m:t>;</m:t>
                        </m:r>
                        <m:r>
                          <m:rPr>
                            <m:nor/>
                          </m:rPr>
                          <w:rPr>
                            <w:i/>
                            <w:lang w:val="fr-FR"/>
                          </w:rPr>
                          <m:t>0</m:t>
                        </m:r>
                      </m:e>
                    </m:d>
                    <m:r>
                      <w:rPr>
                        <w:rFonts w:ascii="Cambria Math" w:hAnsi="Cambria Math"/>
                        <w:lang w:val="fr-FR"/>
                      </w:rPr>
                      <m:t>∙</m:t>
                    </m:r>
                    <m:r>
                      <m:rPr>
                        <m:nor/>
                      </m:rPr>
                      <w:rPr>
                        <w:i/>
                        <w:lang w:val="fr-FR"/>
                      </w:rPr>
                      <m:t>g</m:t>
                    </m:r>
                    <m:d>
                      <m:dPr>
                        <m:ctrlPr>
                          <w:rPr>
                            <w:rFonts w:ascii="Cambria Math" w:hAnsi="Cambria Math"/>
                            <w:i/>
                          </w:rPr>
                        </m:ctrlPr>
                      </m:dPr>
                      <m:e>
                        <m:sSub>
                          <m:sSubPr>
                            <m:ctrlPr>
                              <w:rPr>
                                <w:rFonts w:ascii="Cambria Math" w:hAnsi="Cambria Math"/>
                                <w:i/>
                              </w:rPr>
                            </m:ctrlPr>
                          </m:sSubPr>
                          <m:e>
                            <m:r>
                              <m:rPr>
                                <m:nor/>
                              </m:rPr>
                              <w:rPr>
                                <w:i/>
                                <w:lang w:val="fr-FR"/>
                              </w:rPr>
                              <m:t>S</m:t>
                            </m:r>
                          </m:e>
                          <m:sub>
                            <m:r>
                              <m:rPr>
                                <m:nor/>
                              </m:rPr>
                              <w:rPr>
                                <w:i/>
                                <w:lang w:val="fr-FR"/>
                              </w:rPr>
                              <m:t>T</m:t>
                            </m:r>
                          </m:sub>
                        </m:sSub>
                      </m:e>
                    </m:d>
                    <m:r>
                      <w:rPr>
                        <w:rFonts w:ascii="Cambria Math" w:hAnsi="Cambria Math"/>
                        <w:lang w:val="fr-FR"/>
                      </w:rPr>
                      <m:t xml:space="preserve"> </m:t>
                    </m:r>
                    <m:r>
                      <m:rPr>
                        <m:nor/>
                      </m:rPr>
                      <w:rPr>
                        <w:i/>
                        <w:lang w:val="fr-FR"/>
                      </w:rPr>
                      <m:t>d</m:t>
                    </m:r>
                    <m:sSub>
                      <m:sSubPr>
                        <m:ctrlPr>
                          <w:rPr>
                            <w:rFonts w:ascii="Cambria Math" w:hAnsi="Cambria Math"/>
                            <w:i/>
                          </w:rPr>
                        </m:ctrlPr>
                      </m:sSubPr>
                      <m:e>
                        <m:r>
                          <m:rPr>
                            <m:nor/>
                          </m:rPr>
                          <w:rPr>
                            <w:i/>
                            <w:lang w:val="fr-FR"/>
                          </w:rPr>
                          <m:t>S</m:t>
                        </m:r>
                      </m:e>
                      <m:sub>
                        <m:r>
                          <m:rPr>
                            <m:nor/>
                          </m:rPr>
                          <w:rPr>
                            <w:i/>
                            <w:lang w:val="fr-FR"/>
                          </w:rPr>
                          <m:t>T</m:t>
                        </m:r>
                      </m:sub>
                    </m:sSub>
                  </m:e>
                </m:nary>
              </m:e>
            </m:mr>
            <m:mr>
              <m:e>
                <m:r>
                  <w:rPr>
                    <w:rFonts w:ascii="Cambria Math" w:hAnsi="Cambria Math" w:cs="Cambria Math"/>
                    <w:lang w:val="fr-FR"/>
                  </w:rPr>
                  <m:t>⇓</m:t>
                </m:r>
              </m:e>
            </m:mr>
            <m:mr>
              <m:e>
                <m:sSub>
                  <m:sSubPr>
                    <m:ctrlPr>
                      <w:rPr>
                        <w:rFonts w:ascii="Cambria Math" w:hAnsi="Cambria Math"/>
                        <w:i/>
                      </w:rPr>
                    </m:ctrlPr>
                  </m:sSubPr>
                  <m:e>
                    <m:r>
                      <m:rPr>
                        <m:nor/>
                      </m:rPr>
                      <w:rPr>
                        <w:i/>
                        <w:lang w:val="fr-FR"/>
                      </w:rPr>
                      <m:t>C</m:t>
                    </m:r>
                  </m:e>
                  <m:sub>
                    <m:r>
                      <m:rPr>
                        <m:nor/>
                      </m:rPr>
                      <w:rPr>
                        <w:i/>
                        <w:lang w:val="fr-FR"/>
                      </w:rPr>
                      <m:t>0</m:t>
                    </m:r>
                  </m:sub>
                </m:sSub>
                <m:r>
                  <w:rPr>
                    <w:rFonts w:ascii="Cambria Math" w:hAnsi="Cambria Math"/>
                    <w:lang w:val="fr-FR"/>
                  </w:rPr>
                  <m:t>=</m:t>
                </m:r>
                <m:nary>
                  <m:naryPr>
                    <m:limLoc m:val="subSup"/>
                    <m:ctrlPr>
                      <w:rPr>
                        <w:rFonts w:ascii="Cambria Math" w:hAnsi="Cambria Math"/>
                        <w:i/>
                      </w:rPr>
                    </m:ctrlPr>
                  </m:naryPr>
                  <m:sub>
                    <m:r>
                      <m:rPr>
                        <m:nor/>
                      </m:rPr>
                      <w:rPr>
                        <w:i/>
                        <w:lang w:val="fr-FR"/>
                      </w:rPr>
                      <m:t>X</m:t>
                    </m:r>
                    <m:r>
                      <w:rPr>
                        <w:rFonts w:ascii="Cambria Math" w:hAnsi="Cambria Math"/>
                        <w:lang w:val="fr-FR"/>
                      </w:rPr>
                      <m:t>∙</m:t>
                    </m:r>
                    <m:sSup>
                      <m:sSupPr>
                        <m:ctrlPr>
                          <w:rPr>
                            <w:rFonts w:ascii="Cambria Math" w:hAnsi="Cambria Math"/>
                            <w:i/>
                          </w:rPr>
                        </m:ctrlPr>
                      </m:sSupPr>
                      <m:e>
                        <m:r>
                          <m:rPr>
                            <m:nor/>
                          </m:rPr>
                          <w:rPr>
                            <w:i/>
                            <w:lang w:val="fr-FR"/>
                          </w:rPr>
                          <m:t>e</m:t>
                        </m:r>
                      </m:e>
                      <m:sup>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f</m:t>
                            </m:r>
                          </m:sub>
                        </m:sSub>
                        <m:r>
                          <w:rPr>
                            <w:rFonts w:ascii="Cambria Math" w:hAnsi="Cambria Math"/>
                            <w:lang w:val="fr-FR"/>
                          </w:rPr>
                          <m:t>∙</m:t>
                        </m:r>
                        <m:r>
                          <m:rPr>
                            <m:nor/>
                          </m:rPr>
                          <w:rPr>
                            <w:i/>
                            <w:lang w:val="fr-FR"/>
                          </w:rPr>
                          <m:t>T</m:t>
                        </m:r>
                      </m:sup>
                    </m:sSup>
                  </m:sub>
                  <m:sup>
                    <m:r>
                      <w:rPr>
                        <w:rFonts w:ascii="Cambria Math" w:hAnsi="Cambria Math"/>
                        <w:lang w:val="fr-FR"/>
                      </w:rPr>
                      <m:t>+∞</m:t>
                    </m:r>
                  </m:sup>
                  <m:e>
                    <m:d>
                      <m:dPr>
                        <m:ctrlPr>
                          <w:rPr>
                            <w:rFonts w:ascii="Cambria Math" w:hAnsi="Cambria Math"/>
                            <w:i/>
                          </w:rPr>
                        </m:ctrlPr>
                      </m:dPr>
                      <m:e>
                        <m:sSub>
                          <m:sSubPr>
                            <m:ctrlPr>
                              <w:rPr>
                                <w:rFonts w:ascii="Cambria Math" w:hAnsi="Cambria Math"/>
                                <w:i/>
                              </w:rPr>
                            </m:ctrlPr>
                          </m:sSubPr>
                          <m:e>
                            <m:r>
                              <m:rPr>
                                <m:nor/>
                              </m:rPr>
                              <w:rPr>
                                <w:i/>
                                <w:lang w:val="fr-FR"/>
                              </w:rPr>
                              <m:t>S</m:t>
                            </m:r>
                          </m:e>
                          <m:sub>
                            <m:r>
                              <m:rPr>
                                <m:nor/>
                              </m:rPr>
                              <w:rPr>
                                <w:i/>
                                <w:lang w:val="fr-FR"/>
                              </w:rPr>
                              <m:t>T</m:t>
                            </m:r>
                          </m:sub>
                        </m:sSub>
                        <m:r>
                          <w:rPr>
                            <w:rFonts w:ascii="Cambria Math" w:hAnsi="Cambria Math"/>
                            <w:lang w:val="fr-FR"/>
                          </w:rPr>
                          <m:t>-</m:t>
                        </m:r>
                        <m:r>
                          <m:rPr>
                            <m:nor/>
                          </m:rPr>
                          <w:rPr>
                            <w:i/>
                            <w:lang w:val="fr-FR"/>
                          </w:rPr>
                          <m:t>X</m:t>
                        </m:r>
                        <m:r>
                          <w:rPr>
                            <w:rFonts w:ascii="Cambria Math" w:hAnsi="Cambria Math"/>
                            <w:lang w:val="fr-FR"/>
                          </w:rPr>
                          <m:t>∙</m:t>
                        </m:r>
                        <m:sSup>
                          <m:sSupPr>
                            <m:ctrlPr>
                              <w:rPr>
                                <w:rFonts w:ascii="Cambria Math" w:hAnsi="Cambria Math"/>
                                <w:i/>
                              </w:rPr>
                            </m:ctrlPr>
                          </m:sSupPr>
                          <m:e>
                            <m:r>
                              <m:rPr>
                                <m:nor/>
                              </m:rPr>
                              <w:rPr>
                                <w:i/>
                                <w:lang w:val="fr-FR"/>
                              </w:rPr>
                              <m:t>e</m:t>
                            </m:r>
                          </m:e>
                          <m:sup>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f</m:t>
                                </m:r>
                              </m:sub>
                            </m:sSub>
                            <m:r>
                              <w:rPr>
                                <w:rFonts w:ascii="Cambria Math" w:hAnsi="Cambria Math"/>
                                <w:lang w:val="fr-FR"/>
                              </w:rPr>
                              <m:t>∙</m:t>
                            </m:r>
                            <m:r>
                              <m:rPr>
                                <m:nor/>
                              </m:rPr>
                              <w:rPr>
                                <w:i/>
                                <w:lang w:val="fr-FR"/>
                              </w:rPr>
                              <m:t>T</m:t>
                            </m:r>
                          </m:sup>
                        </m:sSup>
                      </m:e>
                    </m:d>
                    <m:r>
                      <w:rPr>
                        <w:rFonts w:ascii="Cambria Math" w:hAnsi="Cambria Math"/>
                        <w:lang w:val="fr-FR"/>
                      </w:rPr>
                      <m:t>∙</m:t>
                    </m:r>
                    <m:r>
                      <m:rPr>
                        <m:nor/>
                      </m:rPr>
                      <w:rPr>
                        <w:i/>
                        <w:lang w:val="fr-FR"/>
                      </w:rPr>
                      <m:t>g</m:t>
                    </m:r>
                    <m:d>
                      <m:dPr>
                        <m:ctrlPr>
                          <w:rPr>
                            <w:rFonts w:ascii="Cambria Math" w:hAnsi="Cambria Math"/>
                            <w:i/>
                          </w:rPr>
                        </m:ctrlPr>
                      </m:dPr>
                      <m:e>
                        <m:sSub>
                          <m:sSubPr>
                            <m:ctrlPr>
                              <w:rPr>
                                <w:rFonts w:ascii="Cambria Math" w:hAnsi="Cambria Math"/>
                                <w:i/>
                              </w:rPr>
                            </m:ctrlPr>
                          </m:sSubPr>
                          <m:e>
                            <m:r>
                              <m:rPr>
                                <m:nor/>
                              </m:rPr>
                              <w:rPr>
                                <w:i/>
                                <w:lang w:val="fr-FR"/>
                              </w:rPr>
                              <m:t>S</m:t>
                            </m:r>
                          </m:e>
                          <m:sub>
                            <m:r>
                              <m:rPr>
                                <m:nor/>
                              </m:rPr>
                              <w:rPr>
                                <w:i/>
                                <w:lang w:val="fr-FR"/>
                              </w:rPr>
                              <m:t>T</m:t>
                            </m:r>
                          </m:sub>
                        </m:sSub>
                      </m:e>
                    </m:d>
                    <m:r>
                      <m:rPr>
                        <m:nor/>
                      </m:rPr>
                      <w:rPr>
                        <w:rFonts w:ascii="Cambria Math"/>
                        <w:i/>
                        <w:lang w:val="fr-FR"/>
                      </w:rPr>
                      <m:t xml:space="preserve"> </m:t>
                    </m:r>
                    <m:r>
                      <m:rPr>
                        <m:nor/>
                      </m:rPr>
                      <w:rPr>
                        <w:i/>
                        <w:lang w:val="fr-FR"/>
                      </w:rPr>
                      <m:t>d</m:t>
                    </m:r>
                    <m:sSub>
                      <m:sSubPr>
                        <m:ctrlPr>
                          <w:rPr>
                            <w:rFonts w:ascii="Cambria Math" w:hAnsi="Cambria Math"/>
                            <w:i/>
                          </w:rPr>
                        </m:ctrlPr>
                      </m:sSubPr>
                      <m:e>
                        <m:r>
                          <m:rPr>
                            <m:nor/>
                          </m:rPr>
                          <w:rPr>
                            <w:i/>
                            <w:lang w:val="fr-FR"/>
                          </w:rPr>
                          <m:t>S</m:t>
                        </m:r>
                      </m:e>
                      <m:sub>
                        <m:r>
                          <m:rPr>
                            <m:nor/>
                          </m:rPr>
                          <w:rPr>
                            <w:i/>
                            <w:lang w:val="fr-FR"/>
                          </w:rPr>
                          <m:t>T</m:t>
                        </m:r>
                      </m:sub>
                    </m:sSub>
                  </m:e>
                </m:nary>
              </m:e>
            </m:mr>
          </m:m>
        </m:oMath>
      </m:oMathPara>
    </w:p>
    <w:p w14:paraId="21A6187C" w14:textId="77777777" w:rsidR="00875950" w:rsidRDefault="00875950" w:rsidP="00875950">
      <w:pPr>
        <w:pStyle w:val="Nivel3SM"/>
      </w:pPr>
      <w:r>
        <w:t>La razón por la que actualizamos al tipo de interés libre de riesgo (</w:t>
      </w:r>
      <m:oMath>
        <m:sSub>
          <m:sSubPr>
            <m:ctrlPr>
              <w:rPr>
                <w:rFonts w:ascii="Cambria Math" w:hAnsi="Cambria Math"/>
                <w:i/>
              </w:rPr>
            </m:ctrlPr>
          </m:sSubPr>
          <m:e>
            <m:r>
              <m:rPr>
                <m:nor/>
              </m:rPr>
              <w:rPr>
                <w:i/>
              </w:rPr>
              <m:t>r</m:t>
            </m:r>
          </m:e>
          <m:sub>
            <m:r>
              <m:rPr>
                <m:nor/>
              </m:rPr>
              <w:rPr>
                <w:i/>
              </w:rPr>
              <m:t>f</m:t>
            </m:r>
          </m:sub>
        </m:sSub>
      </m:oMath>
      <w:r>
        <w:t>) el precio de ejercicio (</w:t>
      </w:r>
      <m:oMath>
        <m:r>
          <m:rPr>
            <m:nor/>
          </m:rPr>
          <w:rPr>
            <w:i/>
          </w:rPr>
          <m:t>X</m:t>
        </m:r>
      </m:oMath>
      <w:r>
        <w:t xml:space="preserve">) es que, como durante el tiempo que no se ejerza la opción el individuo va a tener invertido dicho dinero </w:t>
      </w:r>
      <m:oMath>
        <m:r>
          <m:rPr>
            <m:nor/>
          </m:rPr>
          <w:rPr>
            <w:i/>
          </w:rPr>
          <m:t>X</m:t>
        </m:r>
      </m:oMath>
      <w:r>
        <w:t xml:space="preserve"> y va a obtener por él una rentabilidad </w:t>
      </w:r>
      <m:oMath>
        <m:sSub>
          <m:sSubPr>
            <m:ctrlPr>
              <w:rPr>
                <w:rFonts w:ascii="Cambria Math" w:hAnsi="Cambria Math"/>
                <w:i/>
              </w:rPr>
            </m:ctrlPr>
          </m:sSubPr>
          <m:e>
            <m:r>
              <m:rPr>
                <m:nor/>
              </m:rPr>
              <w:rPr>
                <w:i/>
              </w:rPr>
              <m:t>r</m:t>
            </m:r>
          </m:e>
          <m:sub>
            <m:r>
              <m:rPr>
                <m:nor/>
              </m:rPr>
              <w:rPr>
                <w:i/>
              </w:rPr>
              <m:t>f</m:t>
            </m:r>
          </m:sub>
        </m:sSub>
      </m:oMath>
      <w:r>
        <w:t xml:space="preserve">, en verdad lo que va a tener llegado el momento </w:t>
      </w:r>
      <m:oMath>
        <m:r>
          <m:rPr>
            <m:nor/>
          </m:rPr>
          <w:rPr>
            <w:i/>
          </w:rPr>
          <m:t>T</m:t>
        </m:r>
      </m:oMath>
      <w:r>
        <w:t xml:space="preserve"> no es </w:t>
      </w:r>
      <m:oMath>
        <m:r>
          <w:rPr>
            <w:rFonts w:ascii="Cambria Math" w:hAnsi="Cambria Math"/>
          </w:rPr>
          <m:t>-</m:t>
        </m:r>
        <m:r>
          <m:rPr>
            <m:nor/>
          </m:rPr>
          <w:rPr>
            <w:i/>
          </w:rPr>
          <m:t>X</m:t>
        </m:r>
      </m:oMath>
      <w:r>
        <w:t xml:space="preserve">, sino </w:t>
      </w:r>
      <m:oMath>
        <m:r>
          <w:rPr>
            <w:rFonts w:ascii="Cambria Math" w:hAnsi="Cambria Math"/>
          </w:rPr>
          <m:t>-</m:t>
        </m:r>
        <m:r>
          <m:rPr>
            <m:nor/>
          </m:rPr>
          <w:rPr>
            <w:i/>
          </w:rPr>
          <m:t>X</m:t>
        </m:r>
      </m:oMath>
      <w:r>
        <w:t xml:space="preserve"> más intereses devengados (</w:t>
      </w:r>
      <m:oMath>
        <m:sSub>
          <m:sSubPr>
            <m:ctrlPr>
              <w:rPr>
                <w:rFonts w:ascii="Cambria Math" w:hAnsi="Cambria Math"/>
                <w:i/>
              </w:rPr>
            </m:ctrlPr>
          </m:sSubPr>
          <m:e>
            <m:r>
              <m:rPr>
                <m:nor/>
              </m:rPr>
              <w:rPr>
                <w:i/>
              </w:rPr>
              <m:t>S</m:t>
            </m:r>
          </m:e>
          <m:sub>
            <m:r>
              <m:rPr>
                <m:nor/>
              </m:rPr>
              <w:rPr>
                <w:i/>
              </w:rPr>
              <m:t>T</m:t>
            </m:r>
          </m:sub>
        </m:sSub>
        <m:r>
          <w:rPr>
            <w:rFonts w:ascii="Cambria Math" w:hAnsi="Cambria Math"/>
          </w:rPr>
          <m:t>-</m:t>
        </m:r>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oMath>
      <w:r>
        <w:t>) (</w:t>
      </w:r>
      <w:proofErr w:type="spellStart"/>
      <w:r>
        <w:rPr>
          <w:i/>
          <w:iCs/>
        </w:rPr>
        <w:t>fiduciary</w:t>
      </w:r>
      <w:proofErr w:type="spellEnd"/>
      <w:r>
        <w:rPr>
          <w:i/>
          <w:iCs/>
        </w:rPr>
        <w:t xml:space="preserve"> </w:t>
      </w:r>
      <w:proofErr w:type="spellStart"/>
      <w:r>
        <w:rPr>
          <w:i/>
          <w:iCs/>
        </w:rPr>
        <w:t>call</w:t>
      </w:r>
      <w:proofErr w:type="spellEnd"/>
      <w:r>
        <w:rPr>
          <w:i/>
          <w:iCs/>
        </w:rPr>
        <w:t>)</w:t>
      </w:r>
      <w:r>
        <w:t>.</w:t>
      </w:r>
    </w:p>
    <w:p w14:paraId="7C060E62" w14:textId="77777777" w:rsidR="00875950" w:rsidRDefault="00875950" w:rsidP="00875950">
      <w:pPr>
        <w:pStyle w:val="Nivel3SM"/>
      </w:pPr>
      <w:r>
        <w:t xml:space="preserve">Dicho de otra manera, el valor actual de la opción </w:t>
      </w:r>
      <w:proofErr w:type="spellStart"/>
      <w:r w:rsidRPr="00233473">
        <w:rPr>
          <w:i/>
          <w:iCs/>
        </w:rPr>
        <w:t>call</w:t>
      </w:r>
      <w:proofErr w:type="spellEnd"/>
      <w:r>
        <w:t xml:space="preserve"> será igual al valor intrínseco de la opción </w:t>
      </w:r>
      <m:oMath>
        <m:d>
          <m:dPr>
            <m:ctrlPr>
              <w:rPr>
                <w:rFonts w:ascii="Cambria Math" w:hAnsi="Cambria Math"/>
                <w:i/>
                <w:iCs/>
              </w:rPr>
            </m:ctrlPr>
          </m:dPr>
          <m:e>
            <w:proofErr w:type="spellStart"/>
            <m:r>
              <m:rPr>
                <m:nor/>
              </m:rPr>
              <w:rPr>
                <w:i/>
                <w:iCs/>
              </w:rPr>
              <m:t>max</m:t>
            </m:r>
            <w:proofErr w:type="spellEnd"/>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r>
                      <w:rPr>
                        <w:rFonts w:ascii="Cambria Math" w:hAnsi="Cambria Math"/>
                      </w:rPr>
                      <m:t>-</m:t>
                    </m:r>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e>
                </m:d>
                <m:r>
                  <w:rPr>
                    <w:rFonts w:ascii="Cambria Math" w:hAnsi="Cambria Math"/>
                  </w:rPr>
                  <m:t>;</m:t>
                </m:r>
                <m:r>
                  <m:rPr>
                    <m:nor/>
                  </m:rPr>
                  <w:rPr>
                    <w:i/>
                  </w:rPr>
                  <m:t>0</m:t>
                </m:r>
              </m:e>
            </m:d>
          </m:e>
        </m:d>
      </m:oMath>
      <w:r>
        <w:rPr>
          <w:iCs/>
        </w:rPr>
        <w:t xml:space="preserve"> ponderado por la probabilidad de que la opción se encuentre en cada uno de los distintos valores </w:t>
      </w:r>
      <m:oMath>
        <m:d>
          <m:dPr>
            <m:ctrlPr>
              <w:rPr>
                <w:rFonts w:ascii="Cambria Math" w:hAnsi="Cambria Math"/>
                <w:i/>
              </w:rPr>
            </m:ctrlPr>
          </m:dPr>
          <m:e>
            <m:nary>
              <m:naryPr>
                <m:limLoc m:val="subSup"/>
                <m:ctrlPr>
                  <w:rPr>
                    <w:rFonts w:ascii="Cambria Math" w:hAnsi="Cambria Math"/>
                    <w:i/>
                  </w:rPr>
                </m:ctrlPr>
              </m:naryPr>
              <m:sub>
                <m:r>
                  <w:rPr>
                    <w:rFonts w:ascii="Cambria Math" w:hAnsi="Cambria Math"/>
                  </w:rPr>
                  <m:t>-∞</m:t>
                </m:r>
              </m:sub>
              <m:sup>
                <m:r>
                  <w:rPr>
                    <w:rFonts w:ascii="Cambria Math" w:hAnsi="Cambria Math"/>
                  </w:rPr>
                  <m:t>+∞</m:t>
                </m:r>
              </m:sup>
              <m:e>
                <m:r>
                  <m:rPr>
                    <m:nor/>
                  </m:rPr>
                  <w:rPr>
                    <w:i/>
                  </w:rPr>
                  <m:t>g</m:t>
                </m:r>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e>
                </m:d>
                <m:r>
                  <w:rPr>
                    <w:rFonts w:ascii="Cambria Math" w:hAnsi="Cambria Math"/>
                  </w:rPr>
                  <m:t xml:space="preserve"> </m:t>
                </m:r>
                <m:r>
                  <m:rPr>
                    <m:nor/>
                  </m:rPr>
                  <w:rPr>
                    <w:i/>
                  </w:rPr>
                  <m:t>d</m:t>
                </m:r>
                <m:sSub>
                  <m:sSubPr>
                    <m:ctrlPr>
                      <w:rPr>
                        <w:rFonts w:ascii="Cambria Math" w:hAnsi="Cambria Math"/>
                        <w:i/>
                      </w:rPr>
                    </m:ctrlPr>
                  </m:sSubPr>
                  <m:e>
                    <m:r>
                      <m:rPr>
                        <m:nor/>
                      </m:rPr>
                      <w:rPr>
                        <w:i/>
                      </w:rPr>
                      <m:t>S</m:t>
                    </m:r>
                  </m:e>
                  <m:sub>
                    <m:r>
                      <m:rPr>
                        <m:nor/>
                      </m:rPr>
                      <w:rPr>
                        <w:i/>
                      </w:rPr>
                      <m:t>T</m:t>
                    </m:r>
                  </m:sub>
                </m:sSub>
              </m:e>
            </m:nary>
          </m:e>
        </m:d>
      </m:oMath>
      <w:r>
        <w:t xml:space="preserve">, donde </w:t>
      </w:r>
      <m:oMath>
        <m:r>
          <m:rPr>
            <m:nor/>
          </m:rPr>
          <w:rPr>
            <w:i/>
          </w:rPr>
          <m:t>g</m:t>
        </m:r>
        <m:r>
          <m:rPr>
            <m:nor/>
          </m:rPr>
          <m:t>(</m:t>
        </m:r>
        <m:sSub>
          <m:sSubPr>
            <m:ctrlPr>
              <w:rPr>
                <w:rFonts w:ascii="Cambria Math" w:hAnsi="Cambria Math"/>
                <w:i/>
                <w:iCs/>
              </w:rPr>
            </m:ctrlPr>
          </m:sSubPr>
          <m:e>
            <m:r>
              <m:rPr>
                <m:nor/>
              </m:rPr>
              <w:rPr>
                <w:i/>
                <w:iCs/>
              </w:rPr>
              <m:t>S</m:t>
            </m:r>
          </m:e>
          <m:sub>
            <m:r>
              <m:rPr>
                <m:nor/>
              </m:rPr>
              <w:rPr>
                <w:i/>
                <w:iCs/>
              </w:rPr>
              <m:t>T</m:t>
            </m:r>
          </m:sub>
        </m:sSub>
        <m:r>
          <m:rPr>
            <m:nor/>
          </m:rPr>
          <m:t>)</m:t>
        </m:r>
      </m:oMath>
      <w:r>
        <w:t xml:space="preserve"> es la </w:t>
      </w:r>
      <w:r w:rsidRPr="000225E0">
        <w:rPr>
          <w:i/>
          <w:iCs/>
        </w:rPr>
        <w:t>función de densidad</w:t>
      </w:r>
      <w:r>
        <w:t xml:space="preserve"> de </w:t>
      </w:r>
      <m:oMath>
        <m:sSub>
          <m:sSubPr>
            <m:ctrlPr>
              <w:rPr>
                <w:rFonts w:ascii="Cambria Math" w:hAnsi="Cambria Math"/>
                <w:i/>
              </w:rPr>
            </m:ctrlPr>
          </m:sSubPr>
          <m:e>
            <m:r>
              <m:rPr>
                <m:nor/>
              </m:rPr>
              <w:rPr>
                <w:i/>
              </w:rPr>
              <m:t>S</m:t>
            </m:r>
          </m:e>
          <m:sub>
            <m:r>
              <m:rPr>
                <m:nor/>
              </m:rPr>
              <w:rPr>
                <w:i/>
              </w:rPr>
              <m:t>T</m:t>
            </m:r>
          </m:sub>
        </m:sSub>
      </m:oMath>
      <w:r>
        <w:t>.</w:t>
      </w:r>
    </w:p>
    <w:p w14:paraId="0F62AE6E" w14:textId="77777777" w:rsidR="00875950" w:rsidRPr="00781920" w:rsidRDefault="00875950" w:rsidP="00875950">
      <w:pPr>
        <w:pStyle w:val="Nivel3SM"/>
        <w:rPr>
          <w:rFonts w:eastAsiaTheme="minorEastAsia"/>
        </w:rPr>
      </w:pPr>
      <w:r>
        <w:rPr>
          <w:rFonts w:eastAsiaTheme="minorEastAsia"/>
        </w:rPr>
        <w:t xml:space="preserve">El término </w:t>
      </w:r>
      <m:oMath>
        <m:nary>
          <m:naryPr>
            <m:limLoc m:val="subSup"/>
            <m:ctrlPr>
              <w:rPr>
                <w:rFonts w:ascii="Cambria Math" w:hAnsi="Cambria Math"/>
                <w:i/>
              </w:rPr>
            </m:ctrlPr>
          </m:naryPr>
          <m:sub>
            <m:r>
              <w:rPr>
                <w:rFonts w:ascii="Cambria Math" w:hAnsi="Cambria Math"/>
              </w:rPr>
              <m:t>-∞</m:t>
            </m:r>
          </m:sub>
          <m:sup>
            <m:r>
              <w:rPr>
                <w:rFonts w:ascii="Cambria Math" w:hAnsi="Cambria Math"/>
              </w:rPr>
              <m:t>+∞</m:t>
            </m:r>
          </m:sup>
          <m:e>
            <m:r>
              <m:rPr>
                <m:nor/>
              </m:rPr>
              <w:rPr>
                <w:i/>
              </w:rPr>
              <m:t>g</m:t>
            </m:r>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e>
            </m:d>
            <m:r>
              <w:rPr>
                <w:rFonts w:ascii="Cambria Math" w:hAnsi="Cambria Math"/>
              </w:rPr>
              <m:t xml:space="preserve"> </m:t>
            </m:r>
            <m:r>
              <m:rPr>
                <m:nor/>
              </m:rPr>
              <w:rPr>
                <w:i/>
              </w:rPr>
              <m:t>d</m:t>
            </m:r>
            <m:sSub>
              <m:sSubPr>
                <m:ctrlPr>
                  <w:rPr>
                    <w:rFonts w:ascii="Cambria Math" w:hAnsi="Cambria Math"/>
                    <w:i/>
                  </w:rPr>
                </m:ctrlPr>
              </m:sSubPr>
              <m:e>
                <m:r>
                  <m:rPr>
                    <m:nor/>
                  </m:rPr>
                  <w:rPr>
                    <w:i/>
                  </w:rPr>
                  <m:t>S</m:t>
                </m:r>
              </m:e>
              <m:sub>
                <m:r>
                  <m:rPr>
                    <m:nor/>
                  </m:rPr>
                  <w:rPr>
                    <w:i/>
                  </w:rPr>
                  <m:t>T</m:t>
                </m:r>
              </m:sub>
            </m:sSub>
          </m:e>
        </m:nary>
      </m:oMath>
      <w:r w:rsidRPr="00781920">
        <w:rPr>
          <w:rFonts w:eastAsiaTheme="minorEastAsia"/>
        </w:rPr>
        <w:t xml:space="preserve"> </w:t>
      </w:r>
      <w:r>
        <w:rPr>
          <w:rFonts w:eastAsiaTheme="minorEastAsia"/>
        </w:rPr>
        <w:t xml:space="preserve">de la primera expresión </w:t>
      </w:r>
      <w:r>
        <w:rPr>
          <w:lang w:eastAsia="es-ES"/>
        </w:rPr>
        <w:t xml:space="preserve">sería igual a </w:t>
      </w:r>
      <w:r w:rsidRPr="00781920">
        <w:rPr>
          <w:i/>
          <w:iCs/>
          <w:lang w:eastAsia="es-ES"/>
        </w:rPr>
        <w:t>1</w:t>
      </w:r>
      <w:r>
        <w:rPr>
          <w:lang w:eastAsia="es-ES"/>
        </w:rPr>
        <w:t xml:space="preserve"> (pues estaríamos calculando el área entre </w:t>
      </w:r>
      <m:oMath>
        <m:r>
          <w:rPr>
            <w:rFonts w:ascii="Cambria Math" w:hAnsi="Cambria Math"/>
          </w:rPr>
          <m:t>-∞</m:t>
        </m:r>
      </m:oMath>
      <w:r>
        <w:rPr>
          <w:lang w:eastAsia="es-ES"/>
        </w:rPr>
        <w:t xml:space="preserve"> y </w:t>
      </w:r>
      <m:oMath>
        <m:r>
          <w:rPr>
            <w:rFonts w:ascii="Cambria Math" w:hAnsi="Cambria Math"/>
          </w:rPr>
          <m:t>+∞</m:t>
        </m:r>
      </m:oMath>
      <w:r>
        <w:rPr>
          <w:lang w:eastAsia="es-ES"/>
        </w:rPr>
        <w:t xml:space="preserve"> de una función de densidad, lo que por definición es igual a la unidad), mientras que la segunda expresión, hemos simplificado eliminando los valores para los que la opción no tiene valor intrínseco, que son los valores para los que </w:t>
      </w:r>
      <m:oMath>
        <m:sSub>
          <m:sSubPr>
            <m:ctrlPr>
              <w:rPr>
                <w:rFonts w:ascii="Cambria Math" w:hAnsi="Cambria Math"/>
                <w:i/>
              </w:rPr>
            </m:ctrlPr>
          </m:sSubPr>
          <m:e>
            <m:r>
              <m:rPr>
                <m:nor/>
              </m:rPr>
              <w:rPr>
                <w:i/>
              </w:rPr>
              <m:t>S</m:t>
            </m:r>
          </m:e>
          <m:sub>
            <m:r>
              <m:rPr>
                <m:nor/>
              </m:rPr>
              <w:rPr>
                <w:i/>
              </w:rPr>
              <m:t>T</m:t>
            </m:r>
          </m:sub>
        </m:sSub>
      </m:oMath>
      <w:r>
        <w:rPr>
          <w:rFonts w:eastAsiaTheme="minorEastAsia"/>
        </w:rPr>
        <w:t xml:space="preserve"> es menor que </w:t>
      </w:r>
      <m:oMath>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oMath>
      <w:r>
        <w:rPr>
          <w:rFonts w:eastAsiaTheme="minorEastAsia"/>
        </w:rPr>
        <w:t>.</w:t>
      </w:r>
      <w:r>
        <w:rPr>
          <w:lang w:eastAsia="es-ES"/>
        </w:rPr>
        <w:t xml:space="preserve"> Por lo tanto, en la segunda expresión, </w:t>
      </w:r>
      <m:oMath>
        <m:nary>
          <m:naryPr>
            <m:limLoc m:val="subSup"/>
            <m:ctrlPr>
              <w:rPr>
                <w:rFonts w:ascii="Cambria Math" w:hAnsi="Cambria Math"/>
                <w:i/>
              </w:rPr>
            </m:ctrlPr>
          </m:naryPr>
          <m:sub>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m:rPr>
                    <m:nor/>
                  </m:rPr>
                  <w:rPr>
                    <w:rFonts w:ascii="Cambria Math" w:hAnsi="Cambria Math"/>
                  </w:rPr>
                  <m:t>∙</m:t>
                </m:r>
                <m:r>
                  <m:rPr>
                    <m:nor/>
                  </m:rPr>
                  <w:rPr>
                    <w:i/>
                  </w:rPr>
                  <m:t>T</m:t>
                </m:r>
              </m:sup>
            </m:sSup>
          </m:sub>
          <m:sup>
            <m:r>
              <w:rPr>
                <w:rFonts w:ascii="Cambria Math" w:hAnsi="Cambria Math"/>
              </w:rPr>
              <m:t>+∞</m:t>
            </m:r>
          </m:sup>
          <m:e>
            <m:r>
              <m:rPr>
                <m:nor/>
              </m:rPr>
              <w:rPr>
                <w:i/>
              </w:rPr>
              <m:t>g</m:t>
            </m:r>
            <m:d>
              <m:dPr>
                <m:ctrlPr>
                  <w:rPr>
                    <w:rFonts w:ascii="Cambria Math" w:hAnsi="Cambria Math"/>
                    <w:i/>
                  </w:rPr>
                </m:ctrlPr>
              </m:dPr>
              <m:e>
                <m:sSub>
                  <m:sSubPr>
                    <m:ctrlPr>
                      <w:rPr>
                        <w:rFonts w:ascii="Cambria Math" w:hAnsi="Cambria Math"/>
                        <w:i/>
                      </w:rPr>
                    </m:ctrlPr>
                  </m:sSubPr>
                  <m:e>
                    <m:r>
                      <m:rPr>
                        <m:nor/>
                      </m:rPr>
                      <w:rPr>
                        <w:i/>
                      </w:rPr>
                      <m:t>S</m:t>
                    </m:r>
                  </m:e>
                  <m:sub>
                    <m:r>
                      <m:rPr>
                        <m:nor/>
                      </m:rPr>
                      <w:rPr>
                        <w:i/>
                      </w:rPr>
                      <m:t>T</m:t>
                    </m:r>
                  </m:sub>
                </m:sSub>
              </m:e>
            </m:d>
            <m:r>
              <w:rPr>
                <w:rFonts w:ascii="Cambria Math" w:hAnsi="Cambria Math"/>
              </w:rPr>
              <m:t>∙</m:t>
            </m:r>
            <m:r>
              <m:rPr>
                <m:nor/>
              </m:rPr>
              <w:rPr>
                <w:i/>
              </w:rPr>
              <m:t>d</m:t>
            </m:r>
            <m:sSub>
              <m:sSubPr>
                <m:ctrlPr>
                  <w:rPr>
                    <w:rFonts w:ascii="Cambria Math" w:hAnsi="Cambria Math"/>
                    <w:i/>
                  </w:rPr>
                </m:ctrlPr>
              </m:sSubPr>
              <m:e>
                <m:r>
                  <m:rPr>
                    <m:nor/>
                  </m:rPr>
                  <w:rPr>
                    <w:i/>
                  </w:rPr>
                  <m:t>S</m:t>
                </m:r>
              </m:e>
              <m:sub>
                <m:r>
                  <m:rPr>
                    <m:nor/>
                  </m:rPr>
                  <w:rPr>
                    <w:i/>
                  </w:rPr>
                  <m:t>T</m:t>
                </m:r>
              </m:sub>
            </m:sSub>
          </m:e>
        </m:nary>
      </m:oMath>
      <w:r>
        <w:rPr>
          <w:lang w:eastAsia="es-ES"/>
        </w:rPr>
        <w:t xml:space="preserve"> sería igual al área entre </w:t>
      </w:r>
      <m:oMath>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oMath>
      <w:r>
        <w:rPr>
          <w:lang w:eastAsia="es-ES"/>
        </w:rPr>
        <w:t xml:space="preserve"> y </w:t>
      </w:r>
      <m:oMath>
        <m:r>
          <w:rPr>
            <w:rFonts w:ascii="Cambria Math" w:hAnsi="Cambria Math"/>
          </w:rPr>
          <m:t>+∞</m:t>
        </m:r>
      </m:oMath>
      <w:r>
        <w:rPr>
          <w:lang w:eastAsia="es-ES"/>
        </w:rPr>
        <w:t xml:space="preserve"> de la función de densidad de la variable aleatoria </w:t>
      </w:r>
      <m:oMath>
        <m:sSub>
          <m:sSubPr>
            <m:ctrlPr>
              <w:rPr>
                <w:rFonts w:ascii="Cambria Math" w:hAnsi="Cambria Math"/>
                <w:i/>
              </w:rPr>
            </m:ctrlPr>
          </m:sSubPr>
          <m:e>
            <m:r>
              <m:rPr>
                <m:nor/>
              </m:rPr>
              <w:rPr>
                <w:i/>
              </w:rPr>
              <m:t>S</m:t>
            </m:r>
          </m:e>
          <m:sub>
            <m:r>
              <m:rPr>
                <m:nor/>
              </m:rPr>
              <w:rPr>
                <w:i/>
              </w:rPr>
              <m:t>T</m:t>
            </m:r>
          </m:sub>
        </m:sSub>
      </m:oMath>
      <w:r>
        <w:rPr>
          <w:rFonts w:eastAsiaTheme="minorEastAsia"/>
        </w:rPr>
        <w:t xml:space="preserve"> – precio del subyacente a vencimiento –</w:t>
      </w:r>
      <w:r>
        <w:rPr>
          <w:lang w:eastAsia="es-ES"/>
        </w:rPr>
        <w:t>.</w:t>
      </w:r>
    </w:p>
    <w:p w14:paraId="57CA69EE" w14:textId="77777777" w:rsidR="00875950" w:rsidRPr="004D6A3D" w:rsidRDefault="00875950" w:rsidP="00875950">
      <w:pPr>
        <w:pStyle w:val="Nivel2SM"/>
        <w:keepNext/>
        <w:spacing w:after="0"/>
        <w:rPr>
          <w:b/>
          <w:bCs/>
          <w:smallCaps/>
        </w:rPr>
      </w:pPr>
      <w:r>
        <w:t xml:space="preserve">Resolviendo la integral anterior, obtenemos la </w:t>
      </w:r>
      <w:r>
        <w:rPr>
          <w:b/>
          <w:bCs/>
        </w:rPr>
        <w:t>fórmula de Black-Scholes</w:t>
      </w:r>
      <w:r w:rsidRPr="004D6A3D">
        <w:t xml:space="preserve"> para el precio de una opción </w:t>
      </w:r>
      <w:proofErr w:type="spellStart"/>
      <w:r w:rsidRPr="004D6A3D">
        <w:t>call</w:t>
      </w:r>
      <w:proofErr w:type="spellEnd"/>
      <w:r w:rsidRPr="004D6A3D">
        <w:t xml:space="preserve"> europea que no paga dividendos:</w:t>
      </w:r>
    </w:p>
    <w:p w14:paraId="0B4EC39A" w14:textId="77777777" w:rsidR="00875950" w:rsidRDefault="00000000" w:rsidP="00875950">
      <w:pPr>
        <w:spacing w:after="0"/>
        <w:ind w:left="567" w:hanging="198"/>
        <w:rPr>
          <w:rFonts w:eastAsiaTheme="minorEastAsia"/>
          <w:iCs/>
        </w:rPr>
      </w:pPr>
      <m:oMathPara>
        <m:oMath>
          <m:borderBox>
            <m:borderBoxPr>
              <m:ctrlPr>
                <w:rPr>
                  <w:rFonts w:ascii="Cambria Math" w:hAnsi="Cambria Math"/>
                  <w:i/>
                  <w:color w:val="5F2987"/>
                </w:rPr>
              </m:ctrlPr>
            </m:borderBoxPr>
            <m:e>
              <m:sSub>
                <m:sSubPr>
                  <m:ctrlPr>
                    <w:rPr>
                      <w:rFonts w:ascii="Cambria Math" w:hAnsi="Cambria Math"/>
                      <w:i/>
                      <w:color w:val="5F2987"/>
                    </w:rPr>
                  </m:ctrlPr>
                </m:sSubPr>
                <m:e>
                  <m:r>
                    <m:rPr>
                      <m:nor/>
                    </m:rPr>
                    <w:rPr>
                      <w:i/>
                      <w:color w:val="5F2987"/>
                    </w:rPr>
                    <m:t>C</m:t>
                  </m:r>
                </m:e>
                <m:sub>
                  <m:r>
                    <m:rPr>
                      <m:nor/>
                    </m:rPr>
                    <w:rPr>
                      <w:i/>
                      <w:color w:val="5F2987"/>
                    </w:rPr>
                    <m:t>0</m:t>
                  </m:r>
                </m:sub>
              </m:sSub>
              <m:r>
                <w:rPr>
                  <w:rFonts w:ascii="Cambria Math" w:hAnsi="Cambria Math"/>
                  <w:color w:val="5F2987"/>
                </w:rPr>
                <m:t>=</m:t>
              </m:r>
              <m:sSub>
                <m:sSubPr>
                  <m:ctrlPr>
                    <w:rPr>
                      <w:rFonts w:ascii="Cambria Math" w:hAnsi="Cambria Math"/>
                      <w:i/>
                      <w:color w:val="5F2987"/>
                    </w:rPr>
                  </m:ctrlPr>
                </m:sSubPr>
                <m:e>
                  <m:r>
                    <m:rPr>
                      <m:nor/>
                    </m:rPr>
                    <w:rPr>
                      <w:i/>
                      <w:color w:val="5F2987"/>
                    </w:rPr>
                    <m:t>S</m:t>
                  </m:r>
                </m:e>
                <m:sub>
                  <m:r>
                    <m:rPr>
                      <m:nor/>
                    </m:rPr>
                    <w:rPr>
                      <w:i/>
                      <w:color w:val="5F2987"/>
                    </w:rPr>
                    <m:t>0</m:t>
                  </m:r>
                </m:sub>
              </m:sSub>
              <m:r>
                <w:rPr>
                  <w:rFonts w:ascii="Cambria Math" w:hAnsi="Cambria Math"/>
                  <w:color w:val="5F2987"/>
                </w:rPr>
                <m:t>∙</m:t>
              </m:r>
              <m:r>
                <m:rPr>
                  <m:nor/>
                </m:rPr>
                <w:rPr>
                  <w:i/>
                  <w:color w:val="5F2987"/>
                </w:rPr>
                <m:t>N</m:t>
              </m:r>
              <m:d>
                <m:dPr>
                  <m:ctrlPr>
                    <w:rPr>
                      <w:rFonts w:ascii="Cambria Math" w:hAnsi="Cambria Math"/>
                      <w:i/>
                      <w:color w:val="5F2987"/>
                    </w:rPr>
                  </m:ctrlPr>
                </m:dPr>
                <m:e>
                  <m:sSub>
                    <m:sSubPr>
                      <m:ctrlPr>
                        <w:rPr>
                          <w:rFonts w:ascii="Cambria Math" w:hAnsi="Cambria Math"/>
                          <w:i/>
                          <w:color w:val="5F2987"/>
                        </w:rPr>
                      </m:ctrlPr>
                    </m:sSubPr>
                    <m:e>
                      <m:r>
                        <m:rPr>
                          <m:nor/>
                        </m:rPr>
                        <w:rPr>
                          <w:i/>
                          <w:color w:val="5F2987"/>
                        </w:rPr>
                        <m:t>d</m:t>
                      </m:r>
                    </m:e>
                    <m:sub>
                      <m:r>
                        <m:rPr>
                          <m:nor/>
                        </m:rPr>
                        <w:rPr>
                          <w:i/>
                          <w:color w:val="5F2987"/>
                        </w:rPr>
                        <m:t>1</m:t>
                      </m:r>
                    </m:sub>
                  </m:sSub>
                </m:e>
              </m:d>
              <m:r>
                <w:rPr>
                  <w:rFonts w:ascii="Cambria Math" w:hAnsi="Cambria Math"/>
                  <w:color w:val="5F2987"/>
                </w:rPr>
                <m:t>-</m:t>
              </m:r>
              <m:r>
                <m:rPr>
                  <m:nor/>
                </m:rPr>
                <w:rPr>
                  <w:i/>
                  <w:color w:val="5F2987"/>
                </w:rPr>
                <m:t>X</m:t>
              </m:r>
              <m:r>
                <w:rPr>
                  <w:rFonts w:ascii="Cambria Math" w:hAnsi="Cambria Math"/>
                  <w:color w:val="5F2987"/>
                </w:rPr>
                <m:t>∙</m:t>
              </m:r>
              <m:sSup>
                <m:sSupPr>
                  <m:ctrlPr>
                    <w:rPr>
                      <w:rFonts w:ascii="Cambria Math" w:hAnsi="Cambria Math"/>
                      <w:i/>
                      <w:color w:val="5F2987"/>
                    </w:rPr>
                  </m:ctrlPr>
                </m:sSupPr>
                <m:e>
                  <m:r>
                    <m:rPr>
                      <m:nor/>
                    </m:rPr>
                    <w:rPr>
                      <w:i/>
                      <w:color w:val="5F2987"/>
                    </w:rPr>
                    <m:t>e</m:t>
                  </m:r>
                </m:e>
                <m:sup>
                  <m:r>
                    <w:rPr>
                      <w:rFonts w:ascii="Cambria Math" w:hAnsi="Cambria Math"/>
                      <w:color w:val="5F2987"/>
                    </w:rPr>
                    <m:t>-</m:t>
                  </m:r>
                  <m:sSub>
                    <m:sSubPr>
                      <m:ctrlPr>
                        <w:rPr>
                          <w:rFonts w:ascii="Cambria Math" w:hAnsi="Cambria Math"/>
                          <w:i/>
                          <w:color w:val="5F2987"/>
                        </w:rPr>
                      </m:ctrlPr>
                    </m:sSubPr>
                    <m:e>
                      <m:r>
                        <m:rPr>
                          <m:nor/>
                        </m:rPr>
                        <w:rPr>
                          <w:i/>
                          <w:color w:val="5F2987"/>
                        </w:rPr>
                        <m:t>r</m:t>
                      </m:r>
                    </m:e>
                    <m:sub>
                      <m:r>
                        <m:rPr>
                          <m:nor/>
                        </m:rPr>
                        <w:rPr>
                          <w:i/>
                          <w:color w:val="5F2987"/>
                        </w:rPr>
                        <m:t>f</m:t>
                      </m:r>
                    </m:sub>
                  </m:sSub>
                  <m:r>
                    <w:rPr>
                      <w:rFonts w:ascii="Cambria Math" w:hAnsi="Cambria Math"/>
                      <w:color w:val="5F2987"/>
                    </w:rPr>
                    <m:t>∙</m:t>
                  </m:r>
                  <m:r>
                    <m:rPr>
                      <m:nor/>
                    </m:rPr>
                    <w:rPr>
                      <w:i/>
                      <w:color w:val="5F2987"/>
                    </w:rPr>
                    <m:t>T</m:t>
                  </m:r>
                </m:sup>
              </m:sSup>
              <m:r>
                <w:rPr>
                  <w:rFonts w:ascii="Cambria Math" w:hAnsi="Cambria Math"/>
                  <w:color w:val="5F2987"/>
                </w:rPr>
                <m:t>∙</m:t>
              </m:r>
              <m:r>
                <m:rPr>
                  <m:nor/>
                </m:rPr>
                <w:rPr>
                  <w:i/>
                  <w:color w:val="5F2987"/>
                </w:rPr>
                <m:t>N</m:t>
              </m:r>
              <m:d>
                <m:dPr>
                  <m:ctrlPr>
                    <w:rPr>
                      <w:rFonts w:ascii="Cambria Math" w:hAnsi="Cambria Math"/>
                      <w:i/>
                      <w:color w:val="5F2987"/>
                    </w:rPr>
                  </m:ctrlPr>
                </m:dPr>
                <m:e>
                  <m:sSub>
                    <m:sSubPr>
                      <m:ctrlPr>
                        <w:rPr>
                          <w:rFonts w:ascii="Cambria Math" w:hAnsi="Cambria Math"/>
                          <w:i/>
                          <w:color w:val="5F2987"/>
                        </w:rPr>
                      </m:ctrlPr>
                    </m:sSubPr>
                    <m:e>
                      <m:r>
                        <m:rPr>
                          <m:nor/>
                        </m:rPr>
                        <w:rPr>
                          <w:i/>
                          <w:color w:val="5F2987"/>
                        </w:rPr>
                        <m:t>d</m:t>
                      </m:r>
                    </m:e>
                    <m:sub>
                      <m:r>
                        <m:rPr>
                          <m:nor/>
                        </m:rPr>
                        <w:rPr>
                          <w:i/>
                          <w:color w:val="5F2987"/>
                        </w:rPr>
                        <m:t>2</m:t>
                      </m:r>
                    </m:sub>
                  </m:sSub>
                </m:e>
              </m:d>
            </m:e>
          </m:borderBox>
          <m:r>
            <m:rPr>
              <m:sty m:val="p"/>
            </m:rPr>
            <w:rPr>
              <w:rFonts w:ascii="Cambria Math" w:eastAsiaTheme="minorEastAsia" w:hAnsi="Cambria Math"/>
            </w:rPr>
            <w:br/>
          </m:r>
        </m:oMath>
      </m:oMathPara>
      <w:r w:rsidR="00875950">
        <w:rPr>
          <w:rFonts w:eastAsiaTheme="minorEastAsia"/>
          <w:iCs/>
        </w:rPr>
        <w:t>donde:</w:t>
      </w:r>
    </w:p>
    <w:p w14:paraId="67B2B340" w14:textId="77777777" w:rsidR="00875950" w:rsidRPr="00BE5014" w:rsidRDefault="00875950" w:rsidP="00875950">
      <w:pPr>
        <w:pStyle w:val="Nivel3SM"/>
        <w:rPr>
          <w:iCs/>
        </w:rPr>
      </w:pPr>
      <m:oMath>
        <m:r>
          <w:rPr>
            <w:rFonts w:ascii="Cambria Math" w:hAnsi="Cambria Math"/>
          </w:rPr>
          <m:t xml:space="preserve"> </m:t>
        </m:r>
        <m:sSub>
          <m:sSubPr>
            <m:ctrlPr>
              <w:rPr>
                <w:rFonts w:ascii="Cambria Math" w:hAnsi="Cambria Math"/>
                <w:i/>
              </w:rPr>
            </m:ctrlPr>
          </m:sSubPr>
          <m:e>
            <m:r>
              <m:rPr>
                <m:nor/>
              </m:rPr>
              <w:rPr>
                <w:i/>
              </w:rPr>
              <m:t>C</m:t>
            </m:r>
          </m:e>
          <m:sub>
            <m:r>
              <m:rPr>
                <m:nor/>
              </m:rPr>
              <w:rPr>
                <w:i/>
              </w:rPr>
              <m:t>0</m:t>
            </m:r>
          </m:sub>
        </m:sSub>
        <m:r>
          <w:rPr>
            <w:rFonts w:ascii="Cambria Math" w:hAnsi="Cambria Math"/>
          </w:rPr>
          <m:t>=</m:t>
        </m:r>
      </m:oMath>
      <w:r>
        <w:t xml:space="preserve"> Valor de la opción call en el presente.</w:t>
      </w:r>
    </w:p>
    <w:p w14:paraId="4D9382F4" w14:textId="77777777" w:rsidR="00875950" w:rsidRPr="00BE5014" w:rsidRDefault="00875950" w:rsidP="00875950">
      <w:pPr>
        <w:pStyle w:val="Nivel3SM"/>
        <w:rPr>
          <w:iCs/>
        </w:rPr>
      </w:pPr>
      <m:oMath>
        <m:r>
          <w:rPr>
            <w:rFonts w:ascii="Cambria Math" w:hAnsi="Cambria Math"/>
          </w:rPr>
          <m:t xml:space="preserve"> </m:t>
        </m:r>
        <m:sSub>
          <m:sSubPr>
            <m:ctrlPr>
              <w:rPr>
                <w:rFonts w:ascii="Cambria Math" w:hAnsi="Cambria Math"/>
                <w:i/>
              </w:rPr>
            </m:ctrlPr>
          </m:sSubPr>
          <m:e>
            <m:r>
              <m:rPr>
                <m:nor/>
              </m:rPr>
              <w:rPr>
                <w:i/>
              </w:rPr>
              <m:t>S</m:t>
            </m:r>
          </m:e>
          <m:sub>
            <m:r>
              <m:rPr>
                <m:nor/>
              </m:rPr>
              <w:rPr>
                <w:i/>
              </w:rPr>
              <m:t>0</m:t>
            </m:r>
          </m:sub>
        </m:sSub>
        <m:r>
          <w:rPr>
            <w:rFonts w:ascii="Cambria Math" w:hAnsi="Cambria Math"/>
          </w:rPr>
          <m:t>=</m:t>
        </m:r>
      </m:oMath>
      <w:r>
        <w:t xml:space="preserve"> Precio de la acción en el presente.</w:t>
      </w:r>
    </w:p>
    <w:p w14:paraId="2F13A947" w14:textId="77777777" w:rsidR="00875950" w:rsidRPr="00AB650D" w:rsidRDefault="00875950" w:rsidP="00875950">
      <w:pPr>
        <w:pStyle w:val="Nivel3SM"/>
        <w:keepNext/>
        <w:keepLines/>
        <w:rPr>
          <w:iCs/>
        </w:rPr>
      </w:pPr>
      <m:oMath>
        <m:r>
          <m:rPr>
            <m:nor/>
          </m:rPr>
          <w:rPr>
            <w:rFonts w:ascii="Cambria Math"/>
            <w:iCs/>
          </w:rPr>
          <m:t xml:space="preserve"> </m:t>
        </m:r>
        <m:r>
          <m:rPr>
            <m:nor/>
          </m:rPr>
          <w:rPr>
            <w:i/>
          </w:rPr>
          <m:t>N</m:t>
        </m:r>
        <m:d>
          <m:dPr>
            <m:ctrlPr>
              <w:rPr>
                <w:rFonts w:ascii="Cambria Math" w:hAnsi="Cambria Math"/>
                <w:i/>
              </w:rPr>
            </m:ctrlPr>
          </m:dPr>
          <m:e>
            <m:r>
              <m:rPr>
                <m:nor/>
              </m:rPr>
              <w:rPr>
                <w:i/>
              </w:rPr>
              <m:t>d</m:t>
            </m:r>
          </m:e>
        </m:d>
        <m:r>
          <w:rPr>
            <w:rFonts w:ascii="Cambria Math" w:hAnsi="Cambria Math"/>
          </w:rPr>
          <m:t>=</m:t>
        </m:r>
      </m:oMath>
      <w:r>
        <w:t xml:space="preserve"> Función de distribución acumulada, es decir, probabilidad de que un valor aleatorio de una distribución normal estándar sea menor que </w:t>
      </w:r>
      <m:oMath>
        <m:r>
          <m:rPr>
            <m:nor/>
          </m:rPr>
          <w:rPr>
            <w:i/>
          </w:rPr>
          <m:t>d</m:t>
        </m:r>
      </m:oMath>
      <w:r>
        <w:t xml:space="preserve"> y el individuo ejerza la opción (i.e. estos términos ponderarán por la posibilidad de que la opción se encuentre </w:t>
      </w:r>
      <w:proofErr w:type="spellStart"/>
      <w:r>
        <w:rPr>
          <w:i/>
          <w:iCs/>
        </w:rPr>
        <w:t>in-the-money</w:t>
      </w:r>
      <w:proofErr w:type="spellEnd"/>
      <w:r>
        <w:t xml:space="preserve"> a vencimiento). Esto equivale al área debajo de la curva normal hasta </w:t>
      </w:r>
      <m:oMath>
        <m:r>
          <m:rPr>
            <m:nor/>
          </m:rPr>
          <w:rPr>
            <w:i/>
          </w:rPr>
          <m:t>d</m:t>
        </m:r>
      </m:oMath>
      <w:r>
        <w:t xml:space="preserve"> </w:t>
      </w:r>
      <w:r>
        <w:rPr>
          <w:rStyle w:val="Refdenotaalpie"/>
          <w:rFonts w:eastAsiaTheme="minorEastAsia"/>
        </w:rPr>
        <w:footnoteReference w:id="31"/>
      </w:r>
      <w:r>
        <w:t>.</w:t>
      </w:r>
    </w:p>
    <w:p w14:paraId="2051CC15" w14:textId="77777777" w:rsidR="00875950" w:rsidRPr="000054C8" w:rsidRDefault="00000000" w:rsidP="00875950">
      <w:pPr>
        <w:pStyle w:val="Nivel4"/>
        <w:keepNext/>
        <w:ind w:left="1474"/>
        <w:rPr>
          <w:i/>
          <w:iCs/>
          <w:lang w:val="fr-FR"/>
        </w:rPr>
      </w:pPr>
      <m:oMath>
        <m:sSub>
          <m:sSubPr>
            <m:ctrlPr>
              <w:rPr>
                <w:rFonts w:ascii="Cambria Math" w:hAnsi="Cambria Math"/>
                <w:i/>
                <w:iCs/>
              </w:rPr>
            </m:ctrlPr>
          </m:sSubPr>
          <m:e>
            <m:r>
              <m:rPr>
                <m:nor/>
              </m:rPr>
              <w:rPr>
                <w:i/>
                <w:iCs/>
                <w:lang w:val="fr-FR"/>
              </w:rPr>
              <m:t>d</m:t>
            </m:r>
          </m:e>
          <m:sub>
            <m:r>
              <m:rPr>
                <m:nor/>
              </m:rPr>
              <w:rPr>
                <w:i/>
                <w:iCs/>
                <w:lang w:val="fr-FR"/>
              </w:rPr>
              <m:t>1</m:t>
            </m:r>
          </m:sub>
        </m:sSub>
        <m:r>
          <w:rPr>
            <w:rFonts w:ascii="Cambria Math" w:hAnsi="Cambria Math"/>
            <w:lang w:val="fr-FR"/>
          </w:rPr>
          <m:t>=</m:t>
        </m:r>
        <m:f>
          <m:fPr>
            <m:ctrlPr>
              <w:rPr>
                <w:rFonts w:ascii="Cambria Math" w:hAnsi="Cambria Math"/>
                <w:i/>
                <w:iCs/>
              </w:rPr>
            </m:ctrlPr>
          </m:fPr>
          <m:num>
            <m:r>
              <m:rPr>
                <m:nor/>
              </m:rPr>
              <w:rPr>
                <w:i/>
                <w:iCs/>
                <w:lang w:val="fr-FR"/>
              </w:rPr>
              <m:t>ln</m:t>
            </m:r>
            <m:d>
              <m:dPr>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S</m:t>
                        </m:r>
                      </m:e>
                      <m:sub>
                        <m:r>
                          <m:rPr>
                            <m:nor/>
                          </m:rPr>
                          <w:rPr>
                            <w:i/>
                            <w:iCs/>
                            <w:lang w:val="fr-FR"/>
                          </w:rPr>
                          <m:t>0</m:t>
                        </m:r>
                      </m:sub>
                    </m:sSub>
                  </m:num>
                  <m:den>
                    <m:r>
                      <m:rPr>
                        <m:nor/>
                      </m:rPr>
                      <w:rPr>
                        <w:i/>
                        <w:iCs/>
                        <w:lang w:val="fr-FR"/>
                      </w:rPr>
                      <m:t>X</m:t>
                    </m:r>
                  </m:den>
                </m:f>
              </m:e>
            </m:d>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f</m:t>
                    </m:r>
                  </m:sub>
                </m:sSub>
                <m:r>
                  <w:rPr>
                    <w:rFonts w:ascii="Cambria Math" w:hAnsi="Cambria Math"/>
                    <w:lang w:val="fr-FR"/>
                  </w:rPr>
                  <m:t>+</m:t>
                </m:r>
                <m:f>
                  <m:fPr>
                    <m:type m:val="lin"/>
                    <m:ctrlPr>
                      <w:rPr>
                        <w:rFonts w:ascii="Cambria Math" w:hAnsi="Cambria Math"/>
                        <w:i/>
                        <w:iCs/>
                      </w:rPr>
                    </m:ctrlPr>
                  </m:fPr>
                  <m:num>
                    <m:sSup>
                      <m:sSupPr>
                        <m:ctrlPr>
                          <w:rPr>
                            <w:rFonts w:ascii="Cambria Math" w:hAnsi="Cambria Math"/>
                            <w:i/>
                            <w:iCs/>
                          </w:rPr>
                        </m:ctrlPr>
                      </m:sSupPr>
                      <m:e>
                        <m:r>
                          <m:rPr>
                            <m:nor/>
                          </m:rPr>
                          <w:rPr>
                            <w:i/>
                            <w:iCs/>
                          </w:rPr>
                          <m:t>σ</m:t>
                        </m:r>
                      </m:e>
                      <m:sup>
                        <m:r>
                          <m:rPr>
                            <m:nor/>
                          </m:rPr>
                          <w:rPr>
                            <w:i/>
                            <w:iCs/>
                            <w:lang w:val="fr-FR"/>
                          </w:rPr>
                          <m:t>2</m:t>
                        </m:r>
                      </m:sup>
                    </m:sSup>
                  </m:num>
                  <m:den>
                    <m:r>
                      <m:rPr>
                        <m:nor/>
                      </m:rPr>
                      <w:rPr>
                        <w:i/>
                        <w:iCs/>
                        <w:lang w:val="fr-FR"/>
                      </w:rPr>
                      <m:t>2</m:t>
                    </m:r>
                  </m:den>
                </m:f>
              </m:e>
            </m:d>
            <m:r>
              <w:rPr>
                <w:rFonts w:ascii="Cambria Math" w:hAnsi="Cambria Math"/>
                <w:lang w:val="fr-FR"/>
              </w:rPr>
              <m:t>∙</m:t>
            </m:r>
            <m:r>
              <m:rPr>
                <m:nor/>
              </m:rPr>
              <w:rPr>
                <w:i/>
                <w:iCs/>
                <w:lang w:val="fr-FR"/>
              </w:rPr>
              <m:t>T</m:t>
            </m:r>
          </m:num>
          <m:den>
            <m:r>
              <m:rPr>
                <m:nor/>
              </m:rPr>
              <w:rPr>
                <w:i/>
                <w:iCs/>
              </w:rPr>
              <m:t>σ</m:t>
            </m:r>
            <m:r>
              <w:rPr>
                <w:rFonts w:ascii="Cambria Math" w:hAnsi="Cambria Math"/>
                <w:lang w:val="fr-FR"/>
              </w:rPr>
              <m:t>∙</m:t>
            </m:r>
            <m:rad>
              <m:radPr>
                <m:degHide m:val="1"/>
                <m:ctrlPr>
                  <w:rPr>
                    <w:rFonts w:ascii="Cambria Math" w:hAnsi="Cambria Math"/>
                    <w:i/>
                    <w:iCs/>
                  </w:rPr>
                </m:ctrlPr>
              </m:radPr>
              <m:deg/>
              <m:e>
                <m:r>
                  <m:rPr>
                    <m:nor/>
                  </m:rPr>
                  <w:rPr>
                    <w:i/>
                    <w:iCs/>
                    <w:lang w:val="fr-FR"/>
                  </w:rPr>
                  <m:t>T</m:t>
                </m:r>
              </m:e>
            </m:rad>
          </m:den>
        </m:f>
      </m:oMath>
    </w:p>
    <w:p w14:paraId="7D0EF972" w14:textId="77777777" w:rsidR="00875950" w:rsidRPr="000054C8" w:rsidRDefault="00000000" w:rsidP="00875950">
      <w:pPr>
        <w:pStyle w:val="Nivel4"/>
        <w:ind w:left="1474"/>
        <w:rPr>
          <w:i/>
          <w:iCs/>
          <w:lang w:val="fr-FR"/>
        </w:rPr>
      </w:pPr>
      <m:oMath>
        <m:sSub>
          <m:sSubPr>
            <m:ctrlPr>
              <w:rPr>
                <w:rFonts w:ascii="Cambria Math" w:hAnsi="Cambria Math"/>
                <w:i/>
                <w:iCs/>
              </w:rPr>
            </m:ctrlPr>
          </m:sSubPr>
          <m:e>
            <m:r>
              <m:rPr>
                <m:nor/>
              </m:rPr>
              <w:rPr>
                <w:i/>
                <w:iCs/>
                <w:lang w:val="fr-FR"/>
              </w:rPr>
              <m:t>d</m:t>
            </m:r>
          </m:e>
          <m:sub>
            <m:r>
              <m:rPr>
                <m:nor/>
              </m:rPr>
              <w:rPr>
                <w:i/>
                <w:iCs/>
                <w:lang w:val="fr-FR"/>
              </w:rPr>
              <m:t>2</m:t>
            </m:r>
          </m:sub>
        </m:sSub>
        <m:r>
          <w:rPr>
            <w:rFonts w:ascii="Cambria Math" w:hAnsi="Cambria Math"/>
            <w:lang w:val="fr-FR"/>
          </w:rPr>
          <m:t>=</m:t>
        </m:r>
        <m:sSub>
          <m:sSubPr>
            <m:ctrlPr>
              <w:rPr>
                <w:rFonts w:ascii="Cambria Math" w:hAnsi="Cambria Math"/>
                <w:i/>
                <w:iCs/>
              </w:rPr>
            </m:ctrlPr>
          </m:sSubPr>
          <m:e>
            <m:r>
              <m:rPr>
                <m:nor/>
              </m:rPr>
              <w:rPr>
                <w:i/>
                <w:iCs/>
                <w:lang w:val="fr-FR"/>
              </w:rPr>
              <m:t>d</m:t>
            </m:r>
          </m:e>
          <m:sub>
            <m:r>
              <m:rPr>
                <m:nor/>
              </m:rPr>
              <w:rPr>
                <w:i/>
                <w:iCs/>
                <w:lang w:val="fr-FR"/>
              </w:rPr>
              <m:t>1</m:t>
            </m:r>
          </m:sub>
        </m:sSub>
        <m:r>
          <w:rPr>
            <w:rFonts w:ascii="Cambria Math" w:hAnsi="Cambria Math"/>
            <w:lang w:val="fr-FR"/>
          </w:rPr>
          <m:t>-</m:t>
        </m:r>
        <m:r>
          <m:rPr>
            <m:nor/>
          </m:rPr>
          <w:rPr>
            <w:i/>
            <w:iCs/>
          </w:rPr>
          <m:t>σ</m:t>
        </m:r>
        <m:r>
          <w:rPr>
            <w:rFonts w:ascii="Cambria Math" w:hAnsi="Cambria Math"/>
            <w:lang w:val="fr-FR"/>
          </w:rPr>
          <m:t>∙</m:t>
        </m:r>
        <m:rad>
          <m:radPr>
            <m:degHide m:val="1"/>
            <m:ctrlPr>
              <w:rPr>
                <w:rFonts w:ascii="Cambria Math" w:hAnsi="Cambria Math"/>
                <w:i/>
                <w:iCs/>
              </w:rPr>
            </m:ctrlPr>
          </m:radPr>
          <m:deg/>
          <m:e>
            <m:r>
              <m:rPr>
                <m:nor/>
              </m:rPr>
              <w:rPr>
                <w:i/>
                <w:iCs/>
                <w:lang w:val="fr-FR"/>
              </w:rPr>
              <m:t>T</m:t>
            </m:r>
          </m:e>
        </m:rad>
      </m:oMath>
    </w:p>
    <w:p w14:paraId="428496FB" w14:textId="77777777" w:rsidR="00875950" w:rsidRPr="00AB650D" w:rsidRDefault="00875950" w:rsidP="00875950">
      <w:pPr>
        <w:pStyle w:val="Nivel3SM"/>
        <w:rPr>
          <w:iCs/>
        </w:rPr>
      </w:pPr>
      <m:oMath>
        <m:r>
          <w:rPr>
            <w:rFonts w:ascii="Cambria Math" w:hAnsi="Cambria Math"/>
          </w:rPr>
          <m:t xml:space="preserve"> </m:t>
        </m:r>
        <m:r>
          <m:rPr>
            <m:nor/>
          </m:rPr>
          <w:rPr>
            <w:i/>
          </w:rPr>
          <m:t>σ</m:t>
        </m:r>
        <m:r>
          <w:rPr>
            <w:rFonts w:ascii="Cambria Math" w:hAnsi="Cambria Math"/>
          </w:rPr>
          <m:t>=</m:t>
        </m:r>
      </m:oMath>
      <w:r w:rsidRPr="00AB650D">
        <w:t xml:space="preserve"> Desviaci</w:t>
      </w:r>
      <w:proofErr w:type="spellStart"/>
      <w:r>
        <w:t>ón</w:t>
      </w:r>
      <w:proofErr w:type="spellEnd"/>
      <w:r>
        <w:t xml:space="preserve"> estándar de la tasa de retorno de la acción.</w:t>
      </w:r>
    </w:p>
    <w:p w14:paraId="73A0EBBB" w14:textId="77777777" w:rsidR="00875950" w:rsidRPr="00BE5014" w:rsidRDefault="00875950" w:rsidP="00875950">
      <w:pPr>
        <w:pStyle w:val="Nivel3SM"/>
        <w:rPr>
          <w:iCs/>
        </w:rPr>
      </w:pPr>
      <m:oMath>
        <m:r>
          <w:rPr>
            <w:rFonts w:ascii="Cambria Math" w:hAnsi="Cambria Math"/>
          </w:rPr>
          <w:lastRenderedPageBreak/>
          <m:t xml:space="preserve"> </m:t>
        </m:r>
        <m:r>
          <m:rPr>
            <m:nor/>
          </m:rPr>
          <w:rPr>
            <w:i/>
          </w:rPr>
          <m:t>X</m:t>
        </m:r>
        <m:r>
          <w:rPr>
            <w:rFonts w:ascii="Cambria Math" w:hAnsi="Cambria Math"/>
          </w:rPr>
          <m:t>=</m:t>
        </m:r>
      </m:oMath>
      <w:r>
        <w:t xml:space="preserve"> Precio de ejercicio de la opción.</w:t>
      </w:r>
    </w:p>
    <w:p w14:paraId="7F8048E2" w14:textId="77777777" w:rsidR="00875950" w:rsidRPr="00AB650D" w:rsidRDefault="00875950" w:rsidP="00875950">
      <w:pPr>
        <w:pStyle w:val="Nivel3SM"/>
        <w:keepNext/>
        <w:rPr>
          <w:iCs/>
        </w:rPr>
      </w:pPr>
      <m:oMath>
        <m:r>
          <w:rPr>
            <w:rFonts w:ascii="Cambria Math" w:hAnsi="Cambria Math"/>
          </w:rPr>
          <m:t xml:space="preserve"> </m:t>
        </m:r>
        <m:sSub>
          <m:sSubPr>
            <m:ctrlPr>
              <w:rPr>
                <w:rFonts w:ascii="Cambria Math" w:hAnsi="Cambria Math"/>
                <w:i/>
              </w:rPr>
            </m:ctrlPr>
          </m:sSubPr>
          <m:e>
            <m:r>
              <m:rPr>
                <m:nor/>
              </m:rPr>
              <w:rPr>
                <w:i/>
              </w:rPr>
              <m:t>r</m:t>
            </m:r>
          </m:e>
          <m:sub>
            <m:r>
              <m:rPr>
                <m:nor/>
              </m:rPr>
              <w:rPr>
                <w:i/>
              </w:rPr>
              <m:t>f</m:t>
            </m:r>
          </m:sub>
        </m:sSub>
        <m:r>
          <w:rPr>
            <w:rFonts w:ascii="Cambria Math" w:hAnsi="Cambria Math"/>
          </w:rPr>
          <m:t>=</m:t>
        </m:r>
      </m:oMath>
      <w:r>
        <w:t xml:space="preserve"> Tipo de interés libre de riesgo.</w:t>
      </w:r>
    </w:p>
    <w:p w14:paraId="7779124A" w14:textId="77777777" w:rsidR="00875950" w:rsidRPr="002F5931" w:rsidRDefault="00875950" w:rsidP="00875950">
      <w:pPr>
        <w:pStyle w:val="Nivel3SM"/>
        <w:rPr>
          <w:iCs/>
        </w:rPr>
      </w:pPr>
      <m:oMath>
        <m:r>
          <m:rPr>
            <m:nor/>
          </m:rPr>
          <w:rPr>
            <w:rFonts w:ascii="Cambria Math"/>
            <w:i/>
          </w:rPr>
          <m:t xml:space="preserve"> </m:t>
        </m:r>
        <m:r>
          <m:rPr>
            <m:nor/>
          </m:rPr>
          <w:rPr>
            <w:i/>
          </w:rPr>
          <m:t>T</m:t>
        </m:r>
        <m:r>
          <w:rPr>
            <w:rFonts w:ascii="Cambria Math" w:hAnsi="Cambria Math"/>
          </w:rPr>
          <m:t>=</m:t>
        </m:r>
      </m:oMath>
      <w:r>
        <w:t xml:space="preserve"> Plazo a vencimiento.</w:t>
      </w:r>
    </w:p>
    <w:p w14:paraId="7ABF9B63" w14:textId="77777777" w:rsidR="00875950" w:rsidRPr="00AB650D" w:rsidRDefault="00875950" w:rsidP="00875950">
      <w:pPr>
        <w:pStyle w:val="Nivel2SM"/>
      </w:pPr>
      <w:r>
        <w:t xml:space="preserve">Por tanto, la ecuación muestra que el valor de una opción </w:t>
      </w:r>
      <w:proofErr w:type="spellStart"/>
      <w:r>
        <w:rPr>
          <w:i/>
          <w:iCs/>
        </w:rPr>
        <w:t>call</w:t>
      </w:r>
      <w:proofErr w:type="spellEnd"/>
      <w:r>
        <w:t xml:space="preserve"> será el valor de una opción </w:t>
      </w:r>
      <w:proofErr w:type="spellStart"/>
      <w:r>
        <w:rPr>
          <w:i/>
          <w:iCs/>
        </w:rPr>
        <w:t>call</w:t>
      </w:r>
      <w:proofErr w:type="spellEnd"/>
      <w:r>
        <w:t xml:space="preserve"> </w:t>
      </w:r>
      <w:proofErr w:type="spellStart"/>
      <w:r>
        <w:rPr>
          <w:i/>
          <w:iCs/>
        </w:rPr>
        <w:t>in-the-money</w:t>
      </w:r>
      <w:proofErr w:type="spellEnd"/>
      <w:r>
        <w:t xml:space="preserve"> ponderado por la probabilidad de que dicha opción esté </w:t>
      </w:r>
      <w:proofErr w:type="spellStart"/>
      <w:r>
        <w:rPr>
          <w:i/>
          <w:iCs/>
        </w:rPr>
        <w:t>in-the-money</w:t>
      </w:r>
      <w:proofErr w:type="spellEnd"/>
      <w:r>
        <w:t>.</w:t>
      </w:r>
    </w:p>
    <w:p w14:paraId="23B92492" w14:textId="77777777" w:rsidR="00875950" w:rsidRDefault="00875950" w:rsidP="00875950">
      <w:pPr>
        <w:pStyle w:val="Ttulo8"/>
      </w:pPr>
      <w:r>
        <w:t>Implicaciones</w:t>
      </w:r>
    </w:p>
    <w:p w14:paraId="10BCB568" w14:textId="77777777" w:rsidR="00875950" w:rsidRDefault="00875950" w:rsidP="00875950">
      <w:pPr>
        <w:pStyle w:val="Nivel1SM"/>
        <w:keepNext/>
        <w:spacing w:before="0" w:after="0"/>
      </w:pPr>
      <w:r>
        <w:t xml:space="preserve">Es decir, el valor de una opción </w:t>
      </w:r>
      <w:proofErr w:type="spellStart"/>
      <w:r>
        <w:rPr>
          <w:i/>
          <w:iCs/>
        </w:rPr>
        <w:t>call</w:t>
      </w:r>
      <w:proofErr w:type="spellEnd"/>
      <w:r>
        <w:t xml:space="preserve"> (</w:t>
      </w:r>
      <m:oMath>
        <m:sSub>
          <m:sSubPr>
            <m:ctrlPr>
              <w:rPr>
                <w:rFonts w:ascii="Cambria Math" w:hAnsi="Cambria Math"/>
                <w:i/>
              </w:rPr>
            </m:ctrlPr>
          </m:sSubPr>
          <m:e>
            <m:r>
              <m:rPr>
                <m:nor/>
              </m:rPr>
              <w:rPr>
                <w:i/>
              </w:rPr>
              <m:t>C</m:t>
            </m:r>
          </m:e>
          <m:sub>
            <m:r>
              <m:rPr>
                <m:nor/>
              </m:rPr>
              <w:rPr>
                <w:i/>
              </w:rPr>
              <m:t>0</m:t>
            </m:r>
          </m:sub>
        </m:sSub>
      </m:oMath>
      <w:r>
        <w:t>) dependerá fundamentalmente de 5 variables:</w:t>
      </w:r>
    </w:p>
    <w:p w14:paraId="32880B62" w14:textId="77777777" w:rsidR="00875950" w:rsidRPr="00673958" w:rsidRDefault="00000000" w:rsidP="00875950">
      <w:pPr>
        <w:spacing w:after="0"/>
        <w:rPr>
          <w:rFonts w:eastAsiaTheme="minorEastAsia"/>
          <w:i/>
          <w:color w:val="5F2987"/>
          <w:lang w:val="fr-FR"/>
        </w:rPr>
      </w:pPr>
      <m:oMathPara>
        <m:oMath>
          <m:borderBox>
            <m:borderBoxPr>
              <m:ctrlPr>
                <w:rPr>
                  <w:rFonts w:ascii="Cambria Math" w:hAnsi="Cambria Math"/>
                  <w:i/>
                  <w:color w:val="5F2987"/>
                </w:rPr>
              </m:ctrlPr>
            </m:borderBoxPr>
            <m:e>
              <m:sSub>
                <m:sSubPr>
                  <m:ctrlPr>
                    <w:rPr>
                      <w:rFonts w:ascii="Cambria Math" w:hAnsi="Cambria Math"/>
                      <w:i/>
                      <w:color w:val="5F2987"/>
                    </w:rPr>
                  </m:ctrlPr>
                </m:sSubPr>
                <m:e>
                  <m:r>
                    <m:rPr>
                      <m:nor/>
                    </m:rPr>
                    <w:rPr>
                      <w:i/>
                      <w:color w:val="5F2987"/>
                      <w:lang w:val="fr-FR"/>
                    </w:rPr>
                    <m:t>C</m:t>
                  </m:r>
                </m:e>
                <m:sub>
                  <m:r>
                    <m:rPr>
                      <m:nor/>
                    </m:rPr>
                    <w:rPr>
                      <w:i/>
                      <w:color w:val="5F2987"/>
                      <w:lang w:val="fr-FR"/>
                    </w:rPr>
                    <m:t>0</m:t>
                  </m:r>
                </m:sub>
              </m:sSub>
              <m:r>
                <w:rPr>
                  <w:rFonts w:ascii="Cambria Math" w:hAnsi="Cambria Math"/>
                  <w:color w:val="5F2987"/>
                  <w:lang w:val="fr-FR"/>
                </w:rPr>
                <m:t>=</m:t>
              </m:r>
              <m:sSub>
                <m:sSubPr>
                  <m:ctrlPr>
                    <w:rPr>
                      <w:rFonts w:ascii="Cambria Math" w:hAnsi="Cambria Math"/>
                      <w:i/>
                      <w:color w:val="5F2987"/>
                    </w:rPr>
                  </m:ctrlPr>
                </m:sSubPr>
                <m:e>
                  <m:r>
                    <m:rPr>
                      <m:nor/>
                    </m:rPr>
                    <w:rPr>
                      <w:i/>
                      <w:color w:val="5F2987"/>
                      <w:lang w:val="fr-FR"/>
                    </w:rPr>
                    <m:t>S</m:t>
                  </m:r>
                </m:e>
                <m:sub>
                  <m:r>
                    <m:rPr>
                      <m:nor/>
                    </m:rPr>
                    <w:rPr>
                      <w:i/>
                      <w:color w:val="5F2987"/>
                      <w:lang w:val="fr-FR"/>
                    </w:rPr>
                    <m:t>0</m:t>
                  </m:r>
                </m:sub>
              </m:sSub>
              <m:r>
                <w:rPr>
                  <w:rFonts w:ascii="Cambria Math" w:hAnsi="Cambria Math"/>
                  <w:color w:val="5F2987"/>
                  <w:lang w:val="fr-FR"/>
                </w:rPr>
                <m:t>∙</m:t>
              </m:r>
              <m:r>
                <m:rPr>
                  <m:nor/>
                </m:rPr>
                <w:rPr>
                  <w:i/>
                  <w:color w:val="5F2987"/>
                  <w:lang w:val="fr-FR"/>
                </w:rPr>
                <m:t>N</m:t>
              </m:r>
              <m:d>
                <m:dPr>
                  <m:ctrlPr>
                    <w:rPr>
                      <w:rFonts w:ascii="Cambria Math" w:hAnsi="Cambria Math"/>
                      <w:i/>
                      <w:color w:val="5F2987"/>
                    </w:rPr>
                  </m:ctrlPr>
                </m:dPr>
                <m:e>
                  <m:f>
                    <m:fPr>
                      <m:ctrlPr>
                        <w:rPr>
                          <w:rFonts w:ascii="Cambria Math" w:hAnsi="Cambria Math"/>
                          <w:i/>
                          <w:color w:val="5F2987"/>
                        </w:rPr>
                      </m:ctrlPr>
                    </m:fPr>
                    <m:num>
                      <m:r>
                        <m:rPr>
                          <m:nor/>
                        </m:rPr>
                        <w:rPr>
                          <w:i/>
                          <w:color w:val="5F2987"/>
                          <w:lang w:val="fr-FR"/>
                        </w:rPr>
                        <m:t>ln</m:t>
                      </m:r>
                      <m:d>
                        <m:dPr>
                          <m:ctrlPr>
                            <w:rPr>
                              <w:rFonts w:ascii="Cambria Math" w:hAnsi="Cambria Math"/>
                              <w:i/>
                              <w:color w:val="5F2987"/>
                            </w:rPr>
                          </m:ctrlPr>
                        </m:dPr>
                        <m:e>
                          <m:f>
                            <m:fPr>
                              <m:type m:val="lin"/>
                              <m:ctrlPr>
                                <w:rPr>
                                  <w:rFonts w:ascii="Cambria Math" w:hAnsi="Cambria Math"/>
                                  <w:i/>
                                  <w:color w:val="5F2987"/>
                                </w:rPr>
                              </m:ctrlPr>
                            </m:fPr>
                            <m:num>
                              <m:sSub>
                                <m:sSubPr>
                                  <m:ctrlPr>
                                    <w:rPr>
                                      <w:rFonts w:ascii="Cambria Math" w:hAnsi="Cambria Math"/>
                                      <w:i/>
                                      <w:color w:val="5F2987"/>
                                    </w:rPr>
                                  </m:ctrlPr>
                                </m:sSubPr>
                                <m:e>
                                  <m:r>
                                    <m:rPr>
                                      <m:nor/>
                                    </m:rPr>
                                    <w:rPr>
                                      <w:i/>
                                      <w:color w:val="5F2987"/>
                                      <w:lang w:val="fr-FR"/>
                                    </w:rPr>
                                    <m:t>S</m:t>
                                  </m:r>
                                </m:e>
                                <m:sub>
                                  <m:r>
                                    <m:rPr>
                                      <m:nor/>
                                    </m:rPr>
                                    <w:rPr>
                                      <w:i/>
                                      <w:color w:val="5F2987"/>
                                      <w:lang w:val="fr-FR"/>
                                    </w:rPr>
                                    <m:t>0</m:t>
                                  </m:r>
                                </m:sub>
                              </m:sSub>
                            </m:num>
                            <m:den>
                              <m:r>
                                <m:rPr>
                                  <m:nor/>
                                </m:rPr>
                                <w:rPr>
                                  <w:i/>
                                  <w:color w:val="5F2987"/>
                                  <w:lang w:val="fr-FR"/>
                                </w:rPr>
                                <m:t>X</m:t>
                              </m:r>
                            </m:den>
                          </m:f>
                        </m:e>
                      </m:d>
                      <m:r>
                        <w:rPr>
                          <w:rFonts w:ascii="Cambria Math" w:hAnsi="Cambria Math"/>
                          <w:color w:val="5F2987"/>
                          <w:lang w:val="fr-FR"/>
                        </w:rPr>
                        <m:t>+</m:t>
                      </m:r>
                      <m:d>
                        <m:dPr>
                          <m:ctrlPr>
                            <w:rPr>
                              <w:rFonts w:ascii="Cambria Math" w:hAnsi="Cambria Math"/>
                              <w:i/>
                              <w:color w:val="5F2987"/>
                            </w:rPr>
                          </m:ctrlPr>
                        </m:dPr>
                        <m:e>
                          <m:sSub>
                            <m:sSubPr>
                              <m:ctrlPr>
                                <w:rPr>
                                  <w:rFonts w:ascii="Cambria Math" w:hAnsi="Cambria Math"/>
                                  <w:i/>
                                  <w:color w:val="5F2987"/>
                                </w:rPr>
                              </m:ctrlPr>
                            </m:sSubPr>
                            <m:e>
                              <m:r>
                                <m:rPr>
                                  <m:nor/>
                                </m:rPr>
                                <w:rPr>
                                  <w:i/>
                                  <w:color w:val="5F2987"/>
                                  <w:lang w:val="fr-FR"/>
                                </w:rPr>
                                <m:t>r</m:t>
                              </m:r>
                            </m:e>
                            <m:sub>
                              <m:r>
                                <m:rPr>
                                  <m:nor/>
                                </m:rPr>
                                <w:rPr>
                                  <w:i/>
                                  <w:color w:val="5F2987"/>
                                  <w:lang w:val="fr-FR"/>
                                </w:rPr>
                                <m:t>f</m:t>
                              </m:r>
                            </m:sub>
                          </m:sSub>
                          <m:r>
                            <w:rPr>
                              <w:rFonts w:ascii="Cambria Math" w:hAnsi="Cambria Math"/>
                              <w:color w:val="5F2987"/>
                              <w:lang w:val="fr-FR"/>
                            </w:rPr>
                            <m:t>+</m:t>
                          </m:r>
                          <m:f>
                            <m:fPr>
                              <m:type m:val="lin"/>
                              <m:ctrlPr>
                                <w:rPr>
                                  <w:rFonts w:ascii="Cambria Math" w:hAnsi="Cambria Math"/>
                                  <w:i/>
                                  <w:color w:val="5F2987"/>
                                </w:rPr>
                              </m:ctrlPr>
                            </m:fPr>
                            <m:num>
                              <m:sSup>
                                <m:sSupPr>
                                  <m:ctrlPr>
                                    <w:rPr>
                                      <w:rFonts w:ascii="Cambria Math" w:hAnsi="Cambria Math"/>
                                      <w:i/>
                                      <w:color w:val="5F2987"/>
                                    </w:rPr>
                                  </m:ctrlPr>
                                </m:sSupPr>
                                <m:e>
                                  <m:r>
                                    <m:rPr>
                                      <m:nor/>
                                    </m:rPr>
                                    <w:rPr>
                                      <w:i/>
                                      <w:color w:val="5F2987"/>
                                    </w:rPr>
                                    <m:t>σ</m:t>
                                  </m:r>
                                </m:e>
                                <m:sup>
                                  <m:r>
                                    <m:rPr>
                                      <m:nor/>
                                    </m:rPr>
                                    <w:rPr>
                                      <w:i/>
                                      <w:color w:val="5F2987"/>
                                      <w:lang w:val="fr-FR"/>
                                    </w:rPr>
                                    <m:t>2</m:t>
                                  </m:r>
                                </m:sup>
                              </m:sSup>
                            </m:num>
                            <m:den>
                              <m:r>
                                <m:rPr>
                                  <m:nor/>
                                </m:rPr>
                                <w:rPr>
                                  <w:i/>
                                  <w:color w:val="5F2987"/>
                                  <w:lang w:val="fr-FR"/>
                                </w:rPr>
                                <m:t>2</m:t>
                              </m:r>
                            </m:den>
                          </m:f>
                        </m:e>
                      </m:d>
                      <m:r>
                        <w:rPr>
                          <w:rFonts w:ascii="Cambria Math" w:hAnsi="Cambria Math"/>
                          <w:color w:val="5F2987"/>
                          <w:lang w:val="fr-FR"/>
                        </w:rPr>
                        <m:t>∙</m:t>
                      </m:r>
                      <m:r>
                        <m:rPr>
                          <m:nor/>
                        </m:rPr>
                        <w:rPr>
                          <w:i/>
                          <w:color w:val="5F2987"/>
                          <w:lang w:val="fr-FR"/>
                        </w:rPr>
                        <m:t>T</m:t>
                      </m:r>
                    </m:num>
                    <m:den>
                      <m:r>
                        <m:rPr>
                          <m:nor/>
                        </m:rPr>
                        <w:rPr>
                          <w:i/>
                          <w:color w:val="5F2987"/>
                        </w:rPr>
                        <m:t>σ</m:t>
                      </m:r>
                      <m:r>
                        <w:rPr>
                          <w:rFonts w:ascii="Cambria Math" w:hAnsi="Cambria Math"/>
                          <w:color w:val="5F2987"/>
                          <w:lang w:val="fr-FR"/>
                        </w:rPr>
                        <m:t>∙</m:t>
                      </m:r>
                      <m:rad>
                        <m:radPr>
                          <m:degHide m:val="1"/>
                          <m:ctrlPr>
                            <w:rPr>
                              <w:rFonts w:ascii="Cambria Math" w:hAnsi="Cambria Math"/>
                              <w:i/>
                              <w:color w:val="5F2987"/>
                            </w:rPr>
                          </m:ctrlPr>
                        </m:radPr>
                        <m:deg/>
                        <m:e>
                          <m:r>
                            <m:rPr>
                              <m:nor/>
                            </m:rPr>
                            <w:rPr>
                              <w:i/>
                              <w:color w:val="5F2987"/>
                              <w:lang w:val="fr-FR"/>
                            </w:rPr>
                            <m:t>T</m:t>
                          </m:r>
                        </m:e>
                      </m:rad>
                    </m:den>
                  </m:f>
                </m:e>
              </m:d>
              <m:r>
                <w:rPr>
                  <w:rFonts w:ascii="Cambria Math" w:hAnsi="Cambria Math"/>
                  <w:color w:val="5F2987"/>
                  <w:lang w:val="fr-FR"/>
                </w:rPr>
                <m:t>-</m:t>
              </m:r>
              <m:r>
                <m:rPr>
                  <m:nor/>
                </m:rPr>
                <w:rPr>
                  <w:i/>
                  <w:color w:val="5F2987"/>
                  <w:lang w:val="fr-FR"/>
                </w:rPr>
                <m:t>X</m:t>
              </m:r>
              <m:r>
                <w:rPr>
                  <w:rFonts w:ascii="Cambria Math" w:hAnsi="Cambria Math"/>
                  <w:color w:val="5F2987"/>
                  <w:lang w:val="fr-FR"/>
                </w:rPr>
                <m:t>∙</m:t>
              </m:r>
              <m:sSup>
                <m:sSupPr>
                  <m:ctrlPr>
                    <w:rPr>
                      <w:rFonts w:ascii="Cambria Math" w:hAnsi="Cambria Math"/>
                      <w:i/>
                      <w:color w:val="5F2987"/>
                    </w:rPr>
                  </m:ctrlPr>
                </m:sSupPr>
                <m:e>
                  <m:r>
                    <m:rPr>
                      <m:nor/>
                    </m:rPr>
                    <w:rPr>
                      <w:i/>
                      <w:color w:val="5F2987"/>
                      <w:lang w:val="fr-FR"/>
                    </w:rPr>
                    <m:t>e</m:t>
                  </m:r>
                </m:e>
                <m:sup>
                  <m:r>
                    <w:rPr>
                      <w:rFonts w:ascii="Cambria Math" w:hAnsi="Cambria Math"/>
                      <w:color w:val="5F2987"/>
                      <w:lang w:val="fr-FR"/>
                    </w:rPr>
                    <m:t>-</m:t>
                  </m:r>
                  <m:sSub>
                    <m:sSubPr>
                      <m:ctrlPr>
                        <w:rPr>
                          <w:rFonts w:ascii="Cambria Math" w:hAnsi="Cambria Math"/>
                          <w:i/>
                          <w:color w:val="5F2987"/>
                        </w:rPr>
                      </m:ctrlPr>
                    </m:sSubPr>
                    <m:e>
                      <m:r>
                        <m:rPr>
                          <m:nor/>
                        </m:rPr>
                        <w:rPr>
                          <w:i/>
                          <w:color w:val="5F2987"/>
                          <w:lang w:val="fr-FR"/>
                        </w:rPr>
                        <m:t>r</m:t>
                      </m:r>
                    </m:e>
                    <m:sub>
                      <m:r>
                        <m:rPr>
                          <m:nor/>
                        </m:rPr>
                        <w:rPr>
                          <w:i/>
                          <w:color w:val="5F2987"/>
                          <w:lang w:val="fr-FR"/>
                        </w:rPr>
                        <m:t>f</m:t>
                      </m:r>
                    </m:sub>
                  </m:sSub>
                  <m:r>
                    <w:rPr>
                      <w:rFonts w:ascii="Cambria Math" w:hAnsi="Cambria Math"/>
                      <w:color w:val="5F2987"/>
                      <w:lang w:val="fr-FR"/>
                    </w:rPr>
                    <m:t>∙</m:t>
                  </m:r>
                  <m:r>
                    <m:rPr>
                      <m:nor/>
                    </m:rPr>
                    <w:rPr>
                      <w:i/>
                      <w:color w:val="5F2987"/>
                      <w:lang w:val="fr-FR"/>
                    </w:rPr>
                    <m:t>T</m:t>
                  </m:r>
                </m:sup>
              </m:sSup>
              <m:r>
                <w:rPr>
                  <w:rFonts w:ascii="Cambria Math" w:hAnsi="Cambria Math"/>
                  <w:color w:val="5F2987"/>
                  <w:lang w:val="fr-FR"/>
                </w:rPr>
                <m:t>∙</m:t>
              </m:r>
              <m:r>
                <m:rPr>
                  <m:nor/>
                </m:rPr>
                <w:rPr>
                  <w:i/>
                  <w:color w:val="5F2987"/>
                  <w:lang w:val="fr-FR"/>
                </w:rPr>
                <m:t>N</m:t>
              </m:r>
              <m:d>
                <m:dPr>
                  <m:ctrlPr>
                    <w:rPr>
                      <w:rFonts w:ascii="Cambria Math" w:hAnsi="Cambria Math"/>
                      <w:i/>
                      <w:color w:val="5F2987"/>
                    </w:rPr>
                  </m:ctrlPr>
                </m:dPr>
                <m:e>
                  <m:f>
                    <m:fPr>
                      <m:ctrlPr>
                        <w:rPr>
                          <w:rFonts w:ascii="Cambria Math" w:hAnsi="Cambria Math"/>
                          <w:i/>
                          <w:color w:val="5F2987"/>
                        </w:rPr>
                      </m:ctrlPr>
                    </m:fPr>
                    <m:num>
                      <m:r>
                        <m:rPr>
                          <m:nor/>
                        </m:rPr>
                        <w:rPr>
                          <w:i/>
                          <w:color w:val="5F2987"/>
                          <w:lang w:val="fr-FR"/>
                        </w:rPr>
                        <m:t>ln</m:t>
                      </m:r>
                      <m:d>
                        <m:dPr>
                          <m:ctrlPr>
                            <w:rPr>
                              <w:rFonts w:ascii="Cambria Math" w:hAnsi="Cambria Math"/>
                              <w:i/>
                              <w:color w:val="5F2987"/>
                            </w:rPr>
                          </m:ctrlPr>
                        </m:dPr>
                        <m:e>
                          <m:f>
                            <m:fPr>
                              <m:type m:val="lin"/>
                              <m:ctrlPr>
                                <w:rPr>
                                  <w:rFonts w:ascii="Cambria Math" w:hAnsi="Cambria Math"/>
                                  <w:i/>
                                  <w:color w:val="5F2987"/>
                                </w:rPr>
                              </m:ctrlPr>
                            </m:fPr>
                            <m:num>
                              <m:sSub>
                                <m:sSubPr>
                                  <m:ctrlPr>
                                    <w:rPr>
                                      <w:rFonts w:ascii="Cambria Math" w:hAnsi="Cambria Math"/>
                                      <w:i/>
                                      <w:color w:val="5F2987"/>
                                    </w:rPr>
                                  </m:ctrlPr>
                                </m:sSubPr>
                                <m:e>
                                  <m:r>
                                    <m:rPr>
                                      <m:nor/>
                                    </m:rPr>
                                    <w:rPr>
                                      <w:i/>
                                      <w:color w:val="5F2987"/>
                                      <w:lang w:val="fr-FR"/>
                                    </w:rPr>
                                    <m:t>S</m:t>
                                  </m:r>
                                </m:e>
                                <m:sub>
                                  <m:r>
                                    <m:rPr>
                                      <m:nor/>
                                    </m:rPr>
                                    <w:rPr>
                                      <w:i/>
                                      <w:color w:val="5F2987"/>
                                      <w:lang w:val="fr-FR"/>
                                    </w:rPr>
                                    <m:t>0</m:t>
                                  </m:r>
                                </m:sub>
                              </m:sSub>
                            </m:num>
                            <m:den>
                              <m:r>
                                <m:rPr>
                                  <m:nor/>
                                </m:rPr>
                                <w:rPr>
                                  <w:i/>
                                  <w:color w:val="5F2987"/>
                                  <w:lang w:val="fr-FR"/>
                                </w:rPr>
                                <m:t>X</m:t>
                              </m:r>
                            </m:den>
                          </m:f>
                        </m:e>
                      </m:d>
                      <m:r>
                        <w:rPr>
                          <w:rFonts w:ascii="Cambria Math" w:hAnsi="Cambria Math"/>
                          <w:color w:val="5F2987"/>
                          <w:lang w:val="fr-FR"/>
                        </w:rPr>
                        <m:t>+</m:t>
                      </m:r>
                      <m:d>
                        <m:dPr>
                          <m:ctrlPr>
                            <w:rPr>
                              <w:rFonts w:ascii="Cambria Math" w:hAnsi="Cambria Math"/>
                              <w:i/>
                              <w:color w:val="5F2987"/>
                            </w:rPr>
                          </m:ctrlPr>
                        </m:dPr>
                        <m:e>
                          <m:sSub>
                            <m:sSubPr>
                              <m:ctrlPr>
                                <w:rPr>
                                  <w:rFonts w:ascii="Cambria Math" w:hAnsi="Cambria Math"/>
                                  <w:i/>
                                  <w:color w:val="5F2987"/>
                                </w:rPr>
                              </m:ctrlPr>
                            </m:sSubPr>
                            <m:e>
                              <m:r>
                                <m:rPr>
                                  <m:nor/>
                                </m:rPr>
                                <w:rPr>
                                  <w:i/>
                                  <w:color w:val="5F2987"/>
                                  <w:lang w:val="fr-FR"/>
                                </w:rPr>
                                <m:t>r</m:t>
                              </m:r>
                            </m:e>
                            <m:sub>
                              <m:r>
                                <m:rPr>
                                  <m:nor/>
                                </m:rPr>
                                <w:rPr>
                                  <w:i/>
                                  <w:color w:val="5F2987"/>
                                  <w:lang w:val="fr-FR"/>
                                </w:rPr>
                                <m:t>f</m:t>
                              </m:r>
                            </m:sub>
                          </m:sSub>
                          <m:r>
                            <w:rPr>
                              <w:rFonts w:ascii="Cambria Math" w:hAnsi="Cambria Math"/>
                              <w:color w:val="5F2987"/>
                              <w:lang w:val="fr-FR"/>
                            </w:rPr>
                            <m:t>+</m:t>
                          </m:r>
                          <m:f>
                            <m:fPr>
                              <m:type m:val="lin"/>
                              <m:ctrlPr>
                                <w:rPr>
                                  <w:rFonts w:ascii="Cambria Math" w:hAnsi="Cambria Math"/>
                                  <w:i/>
                                  <w:color w:val="5F2987"/>
                                </w:rPr>
                              </m:ctrlPr>
                            </m:fPr>
                            <m:num>
                              <m:sSup>
                                <m:sSupPr>
                                  <m:ctrlPr>
                                    <w:rPr>
                                      <w:rFonts w:ascii="Cambria Math" w:hAnsi="Cambria Math"/>
                                      <w:i/>
                                      <w:color w:val="5F2987"/>
                                    </w:rPr>
                                  </m:ctrlPr>
                                </m:sSupPr>
                                <m:e>
                                  <m:r>
                                    <m:rPr>
                                      <m:nor/>
                                    </m:rPr>
                                    <w:rPr>
                                      <w:i/>
                                      <w:color w:val="5F2987"/>
                                    </w:rPr>
                                    <m:t>σ</m:t>
                                  </m:r>
                                </m:e>
                                <m:sup>
                                  <m:r>
                                    <m:rPr>
                                      <m:nor/>
                                    </m:rPr>
                                    <w:rPr>
                                      <w:i/>
                                      <w:color w:val="5F2987"/>
                                      <w:lang w:val="fr-FR"/>
                                    </w:rPr>
                                    <m:t>2</m:t>
                                  </m:r>
                                </m:sup>
                              </m:sSup>
                            </m:num>
                            <m:den>
                              <m:r>
                                <m:rPr>
                                  <m:nor/>
                                </m:rPr>
                                <w:rPr>
                                  <w:i/>
                                  <w:color w:val="5F2987"/>
                                  <w:lang w:val="fr-FR"/>
                                </w:rPr>
                                <m:t>2</m:t>
                              </m:r>
                            </m:den>
                          </m:f>
                        </m:e>
                      </m:d>
                      <m:r>
                        <w:rPr>
                          <w:rFonts w:ascii="Cambria Math" w:hAnsi="Cambria Math"/>
                          <w:color w:val="5F2987"/>
                          <w:lang w:val="fr-FR"/>
                        </w:rPr>
                        <m:t>∙</m:t>
                      </m:r>
                      <m:r>
                        <m:rPr>
                          <m:nor/>
                        </m:rPr>
                        <w:rPr>
                          <w:i/>
                          <w:color w:val="5F2987"/>
                          <w:lang w:val="fr-FR"/>
                        </w:rPr>
                        <m:t>T</m:t>
                      </m:r>
                    </m:num>
                    <m:den>
                      <m:r>
                        <m:rPr>
                          <m:nor/>
                        </m:rPr>
                        <w:rPr>
                          <w:i/>
                          <w:color w:val="5F2987"/>
                        </w:rPr>
                        <m:t>σ</m:t>
                      </m:r>
                      <m:r>
                        <w:rPr>
                          <w:rFonts w:ascii="Cambria Math" w:hAnsi="Cambria Math"/>
                          <w:color w:val="5F2987"/>
                          <w:lang w:val="fr-FR"/>
                        </w:rPr>
                        <m:t>∙</m:t>
                      </m:r>
                      <m:rad>
                        <m:radPr>
                          <m:degHide m:val="1"/>
                          <m:ctrlPr>
                            <w:rPr>
                              <w:rFonts w:ascii="Cambria Math" w:hAnsi="Cambria Math"/>
                              <w:i/>
                              <w:color w:val="5F2987"/>
                            </w:rPr>
                          </m:ctrlPr>
                        </m:radPr>
                        <m:deg/>
                        <m:e>
                          <m:r>
                            <m:rPr>
                              <m:nor/>
                            </m:rPr>
                            <w:rPr>
                              <w:i/>
                              <w:color w:val="5F2987"/>
                              <w:lang w:val="fr-FR"/>
                            </w:rPr>
                            <m:t>T</m:t>
                          </m:r>
                        </m:e>
                      </m:rad>
                    </m:den>
                  </m:f>
                  <m:r>
                    <w:rPr>
                      <w:rFonts w:ascii="Cambria Math" w:hAnsi="Cambria Math"/>
                      <w:color w:val="5F2987"/>
                      <w:lang w:val="fr-FR"/>
                    </w:rPr>
                    <m:t>-</m:t>
                  </m:r>
                  <m:r>
                    <m:rPr>
                      <m:nor/>
                    </m:rPr>
                    <w:rPr>
                      <w:i/>
                      <w:color w:val="5F2987"/>
                    </w:rPr>
                    <m:t>σ</m:t>
                  </m:r>
                  <m:r>
                    <w:rPr>
                      <w:rFonts w:ascii="Cambria Math" w:hAnsi="Cambria Math"/>
                      <w:color w:val="5F2987"/>
                      <w:lang w:val="fr-FR"/>
                    </w:rPr>
                    <m:t>∙</m:t>
                  </m:r>
                  <m:rad>
                    <m:radPr>
                      <m:degHide m:val="1"/>
                      <m:ctrlPr>
                        <w:rPr>
                          <w:rFonts w:ascii="Cambria Math" w:hAnsi="Cambria Math"/>
                          <w:i/>
                          <w:color w:val="5F2987"/>
                        </w:rPr>
                      </m:ctrlPr>
                    </m:radPr>
                    <m:deg/>
                    <m:e>
                      <m:r>
                        <m:rPr>
                          <m:nor/>
                        </m:rPr>
                        <w:rPr>
                          <w:i/>
                          <w:color w:val="5F2987"/>
                          <w:lang w:val="fr-FR"/>
                        </w:rPr>
                        <m:t>T</m:t>
                      </m:r>
                    </m:e>
                  </m:rad>
                </m:e>
              </m:d>
            </m:e>
          </m:borderBox>
        </m:oMath>
      </m:oMathPara>
    </w:p>
    <w:tbl>
      <w:tblPr>
        <w:tblStyle w:val="Tablaconcuadrcula"/>
        <w:tblW w:w="9127" w:type="dxa"/>
        <w:tblInd w:w="284" w:type="dxa"/>
        <w:tblBorders>
          <w:top w:val="none" w:sz="0" w:space="0" w:color="auto"/>
          <w:left w:val="none" w:sz="0" w:space="0" w:color="auto"/>
          <w:bottom w:val="none" w:sz="0" w:space="0" w:color="auto"/>
          <w:right w:val="none" w:sz="0" w:space="0" w:color="auto"/>
          <w:insideH w:val="dashed" w:sz="4" w:space="0" w:color="5F2987"/>
          <w:insideV w:val="dashed" w:sz="4" w:space="0" w:color="5F2987"/>
        </w:tblBorders>
        <w:tblLook w:val="04A0" w:firstRow="1" w:lastRow="0" w:firstColumn="1" w:lastColumn="0" w:noHBand="0" w:noVBand="1"/>
      </w:tblPr>
      <w:tblGrid>
        <w:gridCol w:w="6293"/>
        <w:gridCol w:w="1417"/>
        <w:gridCol w:w="1417"/>
      </w:tblGrid>
      <w:tr w:rsidR="00875950" w14:paraId="1A31DB1E" w14:textId="77777777" w:rsidTr="007C5659">
        <w:trPr>
          <w:trHeight w:val="227"/>
        </w:trPr>
        <w:tc>
          <w:tcPr>
            <w:tcW w:w="6293" w:type="dxa"/>
            <w:vAlign w:val="center"/>
          </w:tcPr>
          <w:p w14:paraId="282975B6" w14:textId="77777777" w:rsidR="00875950" w:rsidRPr="00A000DF" w:rsidRDefault="00875950" w:rsidP="007C5659">
            <w:pPr>
              <w:spacing w:after="0"/>
              <w:jc w:val="left"/>
              <w:rPr>
                <w:lang w:val="fr-FR"/>
              </w:rPr>
            </w:pPr>
          </w:p>
        </w:tc>
        <w:tc>
          <w:tcPr>
            <w:tcW w:w="1417" w:type="dxa"/>
            <w:vAlign w:val="center"/>
          </w:tcPr>
          <w:p w14:paraId="5995890E" w14:textId="77777777" w:rsidR="00875950" w:rsidRPr="00233473" w:rsidRDefault="00875950" w:rsidP="007C5659">
            <w:pPr>
              <w:spacing w:after="0"/>
              <w:jc w:val="center"/>
            </w:pPr>
            <w:r w:rsidRPr="00B45C5C">
              <w:rPr>
                <w:i/>
                <w:iCs/>
              </w:rPr>
              <w:t xml:space="preserve">Opciones </w:t>
            </w:r>
            <w:proofErr w:type="spellStart"/>
            <w:r w:rsidRPr="00B45C5C">
              <w:rPr>
                <w:i/>
                <w:iCs/>
              </w:rPr>
              <w:t>call</w:t>
            </w:r>
            <w:proofErr w:type="spellEnd"/>
          </w:p>
        </w:tc>
        <w:tc>
          <w:tcPr>
            <w:tcW w:w="1417" w:type="dxa"/>
            <w:vAlign w:val="center"/>
          </w:tcPr>
          <w:p w14:paraId="58B7B1EE" w14:textId="77777777" w:rsidR="00875950" w:rsidRPr="00B45C5C" w:rsidRDefault="00875950" w:rsidP="007C5659">
            <w:pPr>
              <w:spacing w:after="0"/>
              <w:jc w:val="center"/>
              <w:rPr>
                <w:i/>
                <w:iCs/>
              </w:rPr>
            </w:pPr>
            <w:r w:rsidRPr="00B45C5C">
              <w:rPr>
                <w:i/>
                <w:iCs/>
              </w:rPr>
              <w:t xml:space="preserve">Opciones </w:t>
            </w:r>
            <w:proofErr w:type="spellStart"/>
            <w:r w:rsidRPr="00B45C5C">
              <w:rPr>
                <w:i/>
                <w:iCs/>
              </w:rPr>
              <w:t>put</w:t>
            </w:r>
            <w:proofErr w:type="spellEnd"/>
          </w:p>
        </w:tc>
      </w:tr>
      <w:tr w:rsidR="00875950" w14:paraId="7AA45EE5" w14:textId="77777777" w:rsidTr="007C5659">
        <w:trPr>
          <w:trHeight w:val="227"/>
        </w:trPr>
        <w:tc>
          <w:tcPr>
            <w:tcW w:w="6293" w:type="dxa"/>
            <w:vAlign w:val="center"/>
          </w:tcPr>
          <w:p w14:paraId="05AFD7B5" w14:textId="77777777" w:rsidR="00875950" w:rsidRPr="00C41CDE" w:rsidRDefault="00875950">
            <w:pPr>
              <w:pStyle w:val="Prrafodelista"/>
              <w:numPr>
                <w:ilvl w:val="0"/>
                <w:numId w:val="18"/>
              </w:numPr>
              <w:spacing w:after="0"/>
              <w:ind w:left="227" w:hanging="227"/>
              <w:rPr>
                <w:spacing w:val="-2"/>
                <w:sz w:val="20"/>
                <w:szCs w:val="20"/>
              </w:rPr>
            </w:pPr>
            <w:r w:rsidRPr="00C41CDE">
              <w:rPr>
                <w:spacing w:val="-2"/>
                <w:sz w:val="20"/>
                <w:szCs w:val="20"/>
              </w:rPr>
              <w:t>El precio del activo subyac</w:t>
            </w:r>
            <w:r w:rsidRPr="003848BD">
              <w:rPr>
                <w:spacing w:val="-2"/>
                <w:sz w:val="20"/>
                <w:szCs w:val="20"/>
              </w:rPr>
              <w:t>ente (</w:t>
            </w:r>
            <m:oMath>
              <m:sSub>
                <m:sSubPr>
                  <m:ctrlPr>
                    <w:rPr>
                      <w:rFonts w:ascii="Cambria Math" w:hAnsi="Cambria Math"/>
                      <w:i/>
                      <w:sz w:val="20"/>
                      <w:szCs w:val="20"/>
                    </w:rPr>
                  </m:ctrlPr>
                </m:sSubPr>
                <m:e>
                  <m:r>
                    <m:rPr>
                      <m:nor/>
                    </m:rPr>
                    <w:rPr>
                      <w:i/>
                      <w:sz w:val="20"/>
                      <w:szCs w:val="20"/>
                    </w:rPr>
                    <m:t>S</m:t>
                  </m:r>
                </m:e>
                <m:sub>
                  <m:r>
                    <m:rPr>
                      <m:nor/>
                    </m:rPr>
                    <w:rPr>
                      <w:i/>
                      <w:sz w:val="20"/>
                      <w:szCs w:val="20"/>
                    </w:rPr>
                    <m:t>0</m:t>
                  </m:r>
                </m:sub>
              </m:sSub>
            </m:oMath>
            <w:r w:rsidRPr="003848BD">
              <w:rPr>
                <w:spacing w:val="-2"/>
                <w:sz w:val="20"/>
                <w:szCs w:val="20"/>
              </w:rPr>
              <w:t>);</w:t>
            </w:r>
            <w:r>
              <w:rPr>
                <w:spacing w:val="-2"/>
                <w:sz w:val="20"/>
                <w:szCs w:val="20"/>
              </w:rPr>
              <w:t xml:space="preserve"> – viene medido por </w:t>
            </w:r>
            <m:oMath>
              <m:r>
                <m:rPr>
                  <m:nor/>
                </m:rPr>
                <w:rPr>
                  <w:i/>
                  <w:iCs/>
                  <w:sz w:val="20"/>
                  <w:szCs w:val="20"/>
                </w:rPr>
                <m:t>δ</m:t>
              </m:r>
            </m:oMath>
            <w:r>
              <w:rPr>
                <w:rFonts w:eastAsiaTheme="minorEastAsia"/>
                <w:iCs/>
                <w:sz w:val="20"/>
                <w:szCs w:val="20"/>
              </w:rPr>
              <w:t xml:space="preserve"> </w:t>
            </w:r>
            <w:r w:rsidRPr="00552DA8">
              <w:rPr>
                <w:rFonts w:eastAsiaTheme="minorEastAsia"/>
                <w:sz w:val="10"/>
                <w:szCs w:val="10"/>
              </w:rPr>
              <w:t>(</w:t>
            </w:r>
            <w:r>
              <w:rPr>
                <w:rFonts w:eastAsiaTheme="minorEastAsia"/>
                <w:sz w:val="10"/>
                <w:szCs w:val="10"/>
              </w:rPr>
              <w:t>delta</w:t>
            </w:r>
            <w:r w:rsidRPr="00552DA8">
              <w:rPr>
                <w:rFonts w:eastAsiaTheme="minorEastAsia"/>
                <w:sz w:val="10"/>
                <w:szCs w:val="10"/>
              </w:rPr>
              <w:t>)</w:t>
            </w:r>
          </w:p>
        </w:tc>
        <w:tc>
          <w:tcPr>
            <w:tcW w:w="1417" w:type="dxa"/>
            <w:vAlign w:val="center"/>
          </w:tcPr>
          <w:p w14:paraId="45F2EB02"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vAlign w:val="center"/>
          </w:tcPr>
          <w:p w14:paraId="132E84AB" w14:textId="77777777" w:rsidR="00875950" w:rsidRDefault="00875950" w:rsidP="007C5659">
            <w:pPr>
              <w:spacing w:after="0"/>
              <w:jc w:val="center"/>
            </w:pPr>
            <w:r w:rsidRPr="00C94018">
              <w:rPr>
                <w:rFonts w:ascii="Segoe UI Symbol" w:eastAsia="Times New Roman" w:hAnsi="Segoe UI Symbol"/>
                <w:color w:val="C00000"/>
              </w:rPr>
              <w:t>➖</w:t>
            </w:r>
          </w:p>
        </w:tc>
      </w:tr>
      <w:tr w:rsidR="00875950" w14:paraId="6C8D5F41" w14:textId="77777777" w:rsidTr="007C5659">
        <w:trPr>
          <w:trHeight w:val="227"/>
        </w:trPr>
        <w:tc>
          <w:tcPr>
            <w:tcW w:w="6293" w:type="dxa"/>
            <w:vAlign w:val="center"/>
          </w:tcPr>
          <w:p w14:paraId="0ED98209" w14:textId="77777777" w:rsidR="00875950" w:rsidRPr="00C41CDE" w:rsidRDefault="00875950">
            <w:pPr>
              <w:pStyle w:val="Prrafodelista"/>
              <w:numPr>
                <w:ilvl w:val="0"/>
                <w:numId w:val="18"/>
              </w:numPr>
              <w:spacing w:after="0"/>
              <w:ind w:left="227" w:hanging="227"/>
              <w:rPr>
                <w:spacing w:val="-2"/>
                <w:sz w:val="20"/>
                <w:szCs w:val="20"/>
              </w:rPr>
            </w:pPr>
            <w:r w:rsidRPr="00C41CDE">
              <w:rPr>
                <w:spacing w:val="-2"/>
                <w:sz w:val="20"/>
                <w:szCs w:val="20"/>
              </w:rPr>
              <w:t>El precio de ejercicio</w:t>
            </w:r>
            <w:r>
              <w:rPr>
                <w:spacing w:val="-2"/>
                <w:sz w:val="20"/>
                <w:szCs w:val="20"/>
              </w:rPr>
              <w:t xml:space="preserve"> (</w:t>
            </w:r>
            <m:oMath>
              <m:r>
                <m:rPr>
                  <m:nor/>
                </m:rPr>
                <w:rPr>
                  <w:i/>
                  <w:sz w:val="20"/>
                  <w:szCs w:val="20"/>
                </w:rPr>
                <m:t>X</m:t>
              </m:r>
            </m:oMath>
            <w:r>
              <w:rPr>
                <w:spacing w:val="-2"/>
                <w:sz w:val="20"/>
                <w:szCs w:val="20"/>
              </w:rPr>
              <w:t>)</w:t>
            </w:r>
            <w:r w:rsidRPr="00C41CDE">
              <w:rPr>
                <w:spacing w:val="-2"/>
                <w:sz w:val="20"/>
                <w:szCs w:val="20"/>
              </w:rPr>
              <w:t>;</w:t>
            </w:r>
          </w:p>
        </w:tc>
        <w:tc>
          <w:tcPr>
            <w:tcW w:w="1417" w:type="dxa"/>
            <w:vAlign w:val="center"/>
          </w:tcPr>
          <w:p w14:paraId="495E5D13" w14:textId="77777777" w:rsidR="00875950" w:rsidRDefault="00875950" w:rsidP="007C5659">
            <w:pPr>
              <w:spacing w:after="0"/>
              <w:jc w:val="center"/>
            </w:pPr>
            <w:r w:rsidRPr="00C94018">
              <w:rPr>
                <w:rFonts w:ascii="Segoe UI Symbol" w:eastAsia="Times New Roman" w:hAnsi="Segoe UI Symbol"/>
                <w:color w:val="C00000"/>
              </w:rPr>
              <w:t>➖</w:t>
            </w:r>
          </w:p>
        </w:tc>
        <w:tc>
          <w:tcPr>
            <w:tcW w:w="1417" w:type="dxa"/>
            <w:vAlign w:val="center"/>
          </w:tcPr>
          <w:p w14:paraId="44257885" w14:textId="77777777" w:rsidR="00875950" w:rsidRDefault="00875950" w:rsidP="007C5659">
            <w:pPr>
              <w:spacing w:after="0"/>
              <w:jc w:val="center"/>
            </w:pPr>
            <w:r w:rsidRPr="00C94018">
              <w:rPr>
                <w:rFonts w:ascii="Segoe UI Symbol" w:eastAsia="Times New Roman" w:hAnsi="Segoe UI Symbol"/>
                <w:color w:val="00B050"/>
              </w:rPr>
              <w:t>➕</w:t>
            </w:r>
          </w:p>
        </w:tc>
      </w:tr>
      <w:tr w:rsidR="00875950" w14:paraId="0772A2B6" w14:textId="77777777" w:rsidTr="007C5659">
        <w:trPr>
          <w:trHeight w:val="227"/>
        </w:trPr>
        <w:tc>
          <w:tcPr>
            <w:tcW w:w="6293" w:type="dxa"/>
            <w:vAlign w:val="center"/>
          </w:tcPr>
          <w:p w14:paraId="068C31C2" w14:textId="77777777" w:rsidR="00875950" w:rsidRPr="00C41CDE" w:rsidRDefault="00875950">
            <w:pPr>
              <w:pStyle w:val="Prrafodelista"/>
              <w:numPr>
                <w:ilvl w:val="0"/>
                <w:numId w:val="18"/>
              </w:numPr>
              <w:spacing w:after="0"/>
              <w:ind w:left="227" w:hanging="227"/>
              <w:rPr>
                <w:spacing w:val="-2"/>
                <w:sz w:val="20"/>
                <w:szCs w:val="20"/>
              </w:rPr>
            </w:pPr>
            <w:r w:rsidRPr="00C41CDE">
              <w:rPr>
                <w:spacing w:val="-2"/>
                <w:sz w:val="20"/>
                <w:szCs w:val="20"/>
              </w:rPr>
              <w:t>El plazo a vencimiento;</w:t>
            </w:r>
            <w:r>
              <w:rPr>
                <w:spacing w:val="-2"/>
                <w:sz w:val="20"/>
                <w:szCs w:val="20"/>
              </w:rPr>
              <w:t xml:space="preserve"> – medido por </w:t>
            </w:r>
            <m:oMath>
              <m:r>
                <m:rPr>
                  <m:nor/>
                </m:rPr>
                <w:rPr>
                  <w:i/>
                  <w:iCs/>
                  <w:sz w:val="20"/>
                  <w:szCs w:val="20"/>
                </w:rPr>
                <m:t>θ</m:t>
              </m:r>
            </m:oMath>
            <w:r>
              <w:rPr>
                <w:rFonts w:eastAsiaTheme="minorEastAsia"/>
                <w:iCs/>
                <w:sz w:val="20"/>
                <w:szCs w:val="20"/>
              </w:rPr>
              <w:t xml:space="preserve"> </w:t>
            </w:r>
            <w:r w:rsidRPr="00552DA8">
              <w:rPr>
                <w:rFonts w:eastAsiaTheme="minorEastAsia"/>
                <w:sz w:val="10"/>
                <w:szCs w:val="10"/>
              </w:rPr>
              <w:t>(</w:t>
            </w:r>
            <w:r>
              <w:rPr>
                <w:rFonts w:eastAsiaTheme="minorEastAsia"/>
                <w:sz w:val="10"/>
                <w:szCs w:val="10"/>
              </w:rPr>
              <w:t>theta</w:t>
            </w:r>
            <w:r w:rsidRPr="00552DA8">
              <w:rPr>
                <w:rFonts w:eastAsiaTheme="minorEastAsia"/>
                <w:sz w:val="10"/>
                <w:szCs w:val="10"/>
              </w:rPr>
              <w:t>)</w:t>
            </w:r>
          </w:p>
        </w:tc>
        <w:tc>
          <w:tcPr>
            <w:tcW w:w="1417" w:type="dxa"/>
            <w:vAlign w:val="center"/>
          </w:tcPr>
          <w:p w14:paraId="4B5D9DBE"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vAlign w:val="center"/>
          </w:tcPr>
          <w:p w14:paraId="617959B0" w14:textId="77777777" w:rsidR="00875950" w:rsidRPr="00070B6C" w:rsidRDefault="00875950" w:rsidP="007C5659">
            <w:pPr>
              <w:spacing w:after="0"/>
              <w:jc w:val="center"/>
              <w:rPr>
                <w:rFonts w:eastAsia="Times New Roman"/>
                <w:vertAlign w:val="superscript"/>
              </w:rPr>
            </w:pPr>
            <w:r w:rsidRPr="00D6042D">
              <w:rPr>
                <w:rFonts w:ascii="Segoe UI Symbol" w:eastAsia="Times New Roman" w:hAnsi="Segoe UI Symbol"/>
                <w:b/>
                <w:bCs/>
                <w:color w:val="FFC000"/>
              </w:rPr>
              <w:t>∼</w:t>
            </w:r>
            <w:r>
              <w:rPr>
                <w:rStyle w:val="Refdenotaalpie"/>
                <w:rFonts w:eastAsia="Times New Roman"/>
              </w:rPr>
              <w:footnoteReference w:id="32"/>
            </w:r>
          </w:p>
        </w:tc>
      </w:tr>
      <w:tr w:rsidR="00875950" w14:paraId="13CCB852" w14:textId="77777777" w:rsidTr="007C5659">
        <w:trPr>
          <w:trHeight w:val="227"/>
        </w:trPr>
        <w:tc>
          <w:tcPr>
            <w:tcW w:w="6293" w:type="dxa"/>
            <w:tcBorders>
              <w:bottom w:val="dashed" w:sz="4" w:space="0" w:color="5F2987"/>
            </w:tcBorders>
            <w:vAlign w:val="center"/>
          </w:tcPr>
          <w:p w14:paraId="53D8D790" w14:textId="77777777" w:rsidR="00875950" w:rsidRPr="00C41CDE" w:rsidRDefault="00875950">
            <w:pPr>
              <w:pStyle w:val="Prrafodelista"/>
              <w:numPr>
                <w:ilvl w:val="0"/>
                <w:numId w:val="18"/>
              </w:numPr>
              <w:spacing w:after="0"/>
              <w:ind w:left="227" w:hanging="227"/>
              <w:rPr>
                <w:spacing w:val="-2"/>
                <w:sz w:val="20"/>
                <w:szCs w:val="20"/>
              </w:rPr>
            </w:pPr>
            <w:r w:rsidRPr="00C41CDE">
              <w:rPr>
                <w:spacing w:val="-2"/>
                <w:sz w:val="20"/>
                <w:szCs w:val="20"/>
              </w:rPr>
              <w:t>La volatilidad del precio del activo subyacente</w:t>
            </w:r>
            <w:r>
              <w:rPr>
                <w:rStyle w:val="Refdenotaalpie"/>
                <w:spacing w:val="-2"/>
                <w:sz w:val="20"/>
                <w:szCs w:val="20"/>
              </w:rPr>
              <w:footnoteReference w:id="33"/>
            </w:r>
            <w:r w:rsidRPr="00C41CDE">
              <w:rPr>
                <w:spacing w:val="-2"/>
                <w:sz w:val="20"/>
                <w:szCs w:val="20"/>
              </w:rPr>
              <w:t>;</w:t>
            </w:r>
            <w:r>
              <w:rPr>
                <w:spacing w:val="-2"/>
                <w:sz w:val="20"/>
                <w:szCs w:val="20"/>
              </w:rPr>
              <w:t xml:space="preserve"> – medido por </w:t>
            </w:r>
            <m:oMath>
              <m:r>
                <m:rPr>
                  <m:nor/>
                </m:rPr>
                <w:rPr>
                  <w:i/>
                  <w:iCs/>
                  <w:sz w:val="20"/>
                  <w:szCs w:val="20"/>
                </w:rPr>
                <m:t>ν</m:t>
              </m:r>
            </m:oMath>
            <w:r>
              <w:rPr>
                <w:rFonts w:eastAsiaTheme="minorEastAsia"/>
                <w:sz w:val="20"/>
                <w:szCs w:val="20"/>
              </w:rPr>
              <w:t xml:space="preserve"> </w:t>
            </w:r>
            <w:r w:rsidRPr="00552DA8">
              <w:rPr>
                <w:rFonts w:eastAsiaTheme="minorEastAsia"/>
                <w:sz w:val="10"/>
                <w:szCs w:val="10"/>
              </w:rPr>
              <w:t>(</w:t>
            </w:r>
            <w:r>
              <w:rPr>
                <w:rFonts w:eastAsiaTheme="minorEastAsia"/>
                <w:sz w:val="10"/>
                <w:szCs w:val="10"/>
              </w:rPr>
              <w:t>vega</w:t>
            </w:r>
            <w:r w:rsidRPr="00552DA8">
              <w:rPr>
                <w:rFonts w:eastAsiaTheme="minorEastAsia"/>
                <w:sz w:val="10"/>
                <w:szCs w:val="10"/>
              </w:rPr>
              <w:t>)</w:t>
            </w:r>
          </w:p>
        </w:tc>
        <w:tc>
          <w:tcPr>
            <w:tcW w:w="1417" w:type="dxa"/>
            <w:tcBorders>
              <w:bottom w:val="dashed" w:sz="4" w:space="0" w:color="5F2987"/>
            </w:tcBorders>
            <w:vAlign w:val="center"/>
          </w:tcPr>
          <w:p w14:paraId="40D29909"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tcBorders>
              <w:bottom w:val="dashed" w:sz="4" w:space="0" w:color="5F2987"/>
            </w:tcBorders>
            <w:vAlign w:val="center"/>
          </w:tcPr>
          <w:p w14:paraId="6A45D36C" w14:textId="77777777" w:rsidR="00875950" w:rsidRPr="001470A4" w:rsidRDefault="00875950" w:rsidP="007C5659">
            <w:pPr>
              <w:spacing w:after="0"/>
              <w:jc w:val="center"/>
              <w:rPr>
                <w:i/>
                <w:iCs/>
                <w:sz w:val="16"/>
                <w:szCs w:val="16"/>
              </w:rPr>
            </w:pPr>
            <w:r w:rsidRPr="00C94018">
              <w:rPr>
                <w:rFonts w:ascii="Segoe UI Symbol" w:eastAsia="Times New Roman" w:hAnsi="Segoe UI Symbol"/>
                <w:color w:val="00B050"/>
              </w:rPr>
              <w:t>➕</w:t>
            </w:r>
          </w:p>
        </w:tc>
      </w:tr>
      <w:tr w:rsidR="00875950" w14:paraId="52443DCC" w14:textId="77777777" w:rsidTr="007C5659">
        <w:trPr>
          <w:trHeight w:val="227"/>
        </w:trPr>
        <w:tc>
          <w:tcPr>
            <w:tcW w:w="6293" w:type="dxa"/>
            <w:tcBorders>
              <w:top w:val="dashed" w:sz="4" w:space="0" w:color="5F2987"/>
              <w:bottom w:val="dashed" w:sz="4" w:space="0" w:color="5F2987"/>
            </w:tcBorders>
            <w:vAlign w:val="center"/>
          </w:tcPr>
          <w:p w14:paraId="2FC7CC5A" w14:textId="77777777" w:rsidR="00875950" w:rsidRPr="00C41CDE" w:rsidRDefault="00875950">
            <w:pPr>
              <w:pStyle w:val="Prrafodelista"/>
              <w:numPr>
                <w:ilvl w:val="0"/>
                <w:numId w:val="18"/>
              </w:numPr>
              <w:spacing w:after="0"/>
              <w:ind w:left="227" w:hanging="227"/>
              <w:rPr>
                <w:spacing w:val="-2"/>
                <w:sz w:val="20"/>
                <w:szCs w:val="20"/>
              </w:rPr>
            </w:pPr>
            <w:r w:rsidRPr="00C41CDE">
              <w:rPr>
                <w:spacing w:val="-2"/>
                <w:sz w:val="20"/>
                <w:szCs w:val="20"/>
              </w:rPr>
              <w:t>El tipo de interés</w:t>
            </w:r>
            <w:r>
              <w:rPr>
                <w:spacing w:val="-2"/>
                <w:sz w:val="20"/>
                <w:szCs w:val="20"/>
              </w:rPr>
              <w:t xml:space="preserve"> libre de riesgo (</w:t>
            </w:r>
            <m:oMath>
              <m:sSub>
                <m:sSubPr>
                  <m:ctrlPr>
                    <w:rPr>
                      <w:rFonts w:ascii="Cambria Math" w:hAnsi="Cambria Math"/>
                      <w:i/>
                    </w:rPr>
                  </m:ctrlPr>
                </m:sSubPr>
                <m:e>
                  <m:r>
                    <m:rPr>
                      <m:nor/>
                    </m:rPr>
                    <w:rPr>
                      <w:i/>
                    </w:rPr>
                    <m:t>r</m:t>
                  </m:r>
                </m:e>
                <m:sub>
                  <m:r>
                    <m:rPr>
                      <m:nor/>
                    </m:rPr>
                    <w:rPr>
                      <w:i/>
                    </w:rPr>
                    <m:t>f</m:t>
                  </m:r>
                </m:sub>
              </m:sSub>
            </m:oMath>
            <w:r>
              <w:rPr>
                <w:spacing w:val="-2"/>
                <w:sz w:val="20"/>
                <w:szCs w:val="20"/>
              </w:rPr>
              <w:t>)</w:t>
            </w:r>
            <w:r w:rsidRPr="00C41CDE">
              <w:rPr>
                <w:spacing w:val="-2"/>
                <w:sz w:val="20"/>
                <w:szCs w:val="20"/>
              </w:rPr>
              <w:t>;</w:t>
            </w:r>
            <w:r>
              <w:rPr>
                <w:spacing w:val="-2"/>
                <w:sz w:val="20"/>
                <w:szCs w:val="20"/>
              </w:rPr>
              <w:t xml:space="preserve"> – medido por </w:t>
            </w:r>
            <m:oMath>
              <m:r>
                <m:rPr>
                  <m:nor/>
                </m:rPr>
                <w:rPr>
                  <w:i/>
                  <w:iCs/>
                  <w:sz w:val="20"/>
                  <w:szCs w:val="20"/>
                </w:rPr>
                <m:t>ρ</m:t>
              </m:r>
            </m:oMath>
            <w:r>
              <w:rPr>
                <w:rFonts w:eastAsiaTheme="minorEastAsia"/>
                <w:iCs/>
                <w:sz w:val="20"/>
                <w:szCs w:val="20"/>
              </w:rPr>
              <w:t xml:space="preserve"> </w:t>
            </w:r>
            <w:r w:rsidRPr="00552DA8">
              <w:rPr>
                <w:rFonts w:eastAsiaTheme="minorEastAsia"/>
                <w:sz w:val="10"/>
                <w:szCs w:val="10"/>
              </w:rPr>
              <w:t>(</w:t>
            </w:r>
            <w:r>
              <w:rPr>
                <w:rFonts w:eastAsiaTheme="minorEastAsia"/>
                <w:sz w:val="10"/>
                <w:szCs w:val="10"/>
              </w:rPr>
              <w:t>rho</w:t>
            </w:r>
            <w:r w:rsidRPr="00552DA8">
              <w:rPr>
                <w:rFonts w:eastAsiaTheme="minorEastAsia"/>
                <w:sz w:val="10"/>
                <w:szCs w:val="10"/>
              </w:rPr>
              <w:t>)</w:t>
            </w:r>
          </w:p>
        </w:tc>
        <w:tc>
          <w:tcPr>
            <w:tcW w:w="1417" w:type="dxa"/>
            <w:tcBorders>
              <w:top w:val="dashed" w:sz="4" w:space="0" w:color="5F2987"/>
              <w:bottom w:val="dashed" w:sz="4" w:space="0" w:color="5F2987"/>
            </w:tcBorders>
            <w:vAlign w:val="center"/>
          </w:tcPr>
          <w:p w14:paraId="1EF752C4" w14:textId="77777777" w:rsidR="00875950" w:rsidRDefault="00875950" w:rsidP="007C5659">
            <w:pPr>
              <w:spacing w:after="0"/>
              <w:jc w:val="center"/>
            </w:pPr>
            <w:r w:rsidRPr="00C94018">
              <w:rPr>
                <w:rFonts w:ascii="Segoe UI Symbol" w:eastAsia="Times New Roman" w:hAnsi="Segoe UI Symbol"/>
                <w:color w:val="00B050"/>
              </w:rPr>
              <w:t>➕</w:t>
            </w:r>
          </w:p>
        </w:tc>
        <w:tc>
          <w:tcPr>
            <w:tcW w:w="1417" w:type="dxa"/>
            <w:tcBorders>
              <w:top w:val="dashed" w:sz="4" w:space="0" w:color="5F2987"/>
              <w:bottom w:val="dashed" w:sz="4" w:space="0" w:color="5F2987"/>
            </w:tcBorders>
            <w:vAlign w:val="center"/>
          </w:tcPr>
          <w:p w14:paraId="112EFA47" w14:textId="77777777" w:rsidR="00875950" w:rsidRDefault="00875950" w:rsidP="007C5659">
            <w:pPr>
              <w:spacing w:after="0"/>
              <w:jc w:val="center"/>
            </w:pPr>
            <w:r w:rsidRPr="00C94018">
              <w:rPr>
                <w:rFonts w:ascii="Segoe UI Symbol" w:eastAsia="Times New Roman" w:hAnsi="Segoe UI Symbol"/>
                <w:color w:val="C00000"/>
              </w:rPr>
              <w:t>➖</w:t>
            </w:r>
          </w:p>
        </w:tc>
      </w:tr>
    </w:tbl>
    <w:p w14:paraId="1F03AA4E" w14:textId="77777777" w:rsidR="00875950" w:rsidRDefault="00875950" w:rsidP="00875950">
      <w:pPr>
        <w:pStyle w:val="Nivel1SM"/>
        <w:keepNext/>
        <w:spacing w:after="0"/>
      </w:pPr>
      <w:r>
        <w:t xml:space="preserve">Hemos aplicado este modelo para valorar las opciones </w:t>
      </w:r>
      <w:proofErr w:type="spellStart"/>
      <w:r>
        <w:rPr>
          <w:i/>
          <w:iCs/>
        </w:rPr>
        <w:t>call</w:t>
      </w:r>
      <w:proofErr w:type="spellEnd"/>
      <w:r>
        <w:t xml:space="preserve">, pero ¿sería necesario otro modelo para valorar las opciones </w:t>
      </w:r>
      <w:proofErr w:type="spellStart"/>
      <w:r>
        <w:rPr>
          <w:i/>
          <w:iCs/>
        </w:rPr>
        <w:t>put</w:t>
      </w:r>
      <w:proofErr w:type="spellEnd"/>
      <w:r>
        <w:t xml:space="preserve">? En realidad no, ya que como hemos visto, la existencia de arbitraje impone la paridad </w:t>
      </w:r>
      <w:proofErr w:type="spellStart"/>
      <w:r>
        <w:t>put-call</w:t>
      </w:r>
      <w:proofErr w:type="spellEnd"/>
      <w:r>
        <w:t>, de forma que podemos calcular el precio de una a partir de la otra y viceversa</w:t>
      </w:r>
      <w:r>
        <w:rPr>
          <w:rStyle w:val="Refdenotaalpie"/>
        </w:rPr>
        <w:footnoteReference w:id="34"/>
      </w:r>
      <w:r>
        <w:t>:</w:t>
      </w:r>
    </w:p>
    <w:p w14:paraId="6AA93B17" w14:textId="77777777" w:rsidR="00875950" w:rsidRPr="006D18A2" w:rsidRDefault="00000000" w:rsidP="00875950">
      <w:pPr>
        <w:keepNext/>
        <w:spacing w:after="0"/>
        <w:rPr>
          <w:rFonts w:eastAsiaTheme="minorEastAsia"/>
        </w:rPr>
      </w:pPr>
      <m:oMathPara>
        <m:oMath>
          <m:sSub>
            <m:sSubPr>
              <m:ctrlPr>
                <w:rPr>
                  <w:rFonts w:ascii="Cambria Math" w:hAnsi="Cambria Math"/>
                  <w:i/>
                </w:rPr>
              </m:ctrlPr>
            </m:sSubPr>
            <m:e>
              <m:r>
                <m:rPr>
                  <m:nor/>
                </m:rPr>
                <w:rPr>
                  <w:i/>
                </w:rPr>
                <m:t>C</m:t>
              </m:r>
            </m:e>
            <m:sub>
              <m:r>
                <m:rPr>
                  <m:nor/>
                </m:rPr>
                <w:rPr>
                  <w:i/>
                </w:rPr>
                <m:t>0</m:t>
              </m:r>
            </m:sub>
          </m:sSub>
          <m:r>
            <w:rPr>
              <w:rFonts w:ascii="Cambria Math" w:hAnsi="Cambria Math"/>
            </w:rPr>
            <m:t>+</m:t>
          </m:r>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r>
            <w:rPr>
              <w:rFonts w:ascii="Cambria Math" w:hAnsi="Cambria Math"/>
            </w:rPr>
            <m:t>=</m:t>
          </m:r>
          <m:sSub>
            <m:sSubPr>
              <m:ctrlPr>
                <w:rPr>
                  <w:rFonts w:ascii="Cambria Math" w:hAnsi="Cambria Math"/>
                  <w:i/>
                </w:rPr>
              </m:ctrlPr>
            </m:sSubPr>
            <m:e>
              <w:bookmarkStart w:id="57" w:name="_Hlk93082279"/>
              <m:r>
                <m:rPr>
                  <m:nor/>
                </m:rPr>
                <w:rPr>
                  <w:i/>
                </w:rPr>
                <m:t>P</m:t>
              </m:r>
              <w:bookmarkEnd w:id="57"/>
            </m:e>
            <m:sub>
              <m:r>
                <m:rPr>
                  <m:nor/>
                </m:rPr>
                <w:rPr>
                  <w:i/>
                </w:rPr>
                <m:t>0</m:t>
              </m:r>
            </m:sub>
          </m:sSub>
          <m:r>
            <w:rPr>
              <w:rFonts w:ascii="Cambria Math" w:hAnsi="Cambria Math"/>
            </w:rPr>
            <m:t>+</m:t>
          </m:r>
          <m:sSub>
            <m:sSubPr>
              <m:ctrlPr>
                <w:rPr>
                  <w:rFonts w:ascii="Cambria Math" w:hAnsi="Cambria Math"/>
                  <w:i/>
                </w:rPr>
              </m:ctrlPr>
            </m:sSubPr>
            <m:e>
              <m:r>
                <m:rPr>
                  <m:nor/>
                </m:rPr>
                <w:rPr>
                  <w:i/>
                </w:rPr>
                <m:t>S</m:t>
              </m:r>
            </m:e>
            <m:sub>
              <m:r>
                <m:rPr>
                  <m:nor/>
                </m:rPr>
                <w:rPr>
                  <w:i/>
                </w:rPr>
                <m:t>0</m:t>
              </m:r>
            </m:sub>
          </m:sSub>
        </m:oMath>
      </m:oMathPara>
    </w:p>
    <w:p w14:paraId="794CC981" w14:textId="77777777" w:rsidR="00875950" w:rsidRPr="00D67F2D" w:rsidRDefault="00875950" w:rsidP="00875950">
      <w:pPr>
        <w:pStyle w:val="Nivel2SM"/>
      </w:pPr>
      <w:r>
        <w:t xml:space="preserve">Es decir, es lo mismo comprar una </w:t>
      </w:r>
      <w:proofErr w:type="spellStart"/>
      <w:r w:rsidRPr="00C31B66">
        <w:t>call</w:t>
      </w:r>
      <w:proofErr w:type="spellEnd"/>
      <w:r>
        <w:t xml:space="preserve"> (</w:t>
      </w:r>
      <m:oMath>
        <m:sSub>
          <m:sSubPr>
            <m:ctrlPr>
              <w:rPr>
                <w:rFonts w:ascii="Cambria Math" w:hAnsi="Cambria Math"/>
                <w:i/>
              </w:rPr>
            </m:ctrlPr>
          </m:sSubPr>
          <m:e>
            <m:r>
              <m:rPr>
                <m:nor/>
              </m:rPr>
              <w:rPr>
                <w:i/>
              </w:rPr>
              <m:t>C</m:t>
            </m:r>
          </m:e>
          <m:sub>
            <m:r>
              <m:rPr>
                <m:nor/>
              </m:rPr>
              <w:rPr>
                <w:i/>
              </w:rPr>
              <m:t>0</m:t>
            </m:r>
          </m:sub>
        </m:sSub>
      </m:oMath>
      <w:r>
        <w:t xml:space="preserve">) e invertir el valor del precio de ejercicio a una tasa </w:t>
      </w:r>
      <m:oMath>
        <m:sSub>
          <m:sSubPr>
            <m:ctrlPr>
              <w:rPr>
                <w:rFonts w:ascii="Cambria Math" w:hAnsi="Cambria Math"/>
                <w:i/>
              </w:rPr>
            </m:ctrlPr>
          </m:sSubPr>
          <m:e>
            <m:r>
              <m:rPr>
                <m:nor/>
              </m:rPr>
              <w:rPr>
                <w:i/>
              </w:rPr>
              <m:t>r</m:t>
            </m:r>
          </m:e>
          <m:sub>
            <m:r>
              <m:rPr>
                <m:nor/>
              </m:rPr>
              <w:rPr>
                <w:i/>
              </w:rPr>
              <m:t>f</m:t>
            </m:r>
          </m:sub>
        </m:sSub>
      </m:oMath>
      <w:r>
        <w:t xml:space="preserve"> (</w:t>
      </w:r>
      <m:oMath>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oMath>
      <w:r>
        <w:t xml:space="preserve">), que comprar una </w:t>
      </w:r>
      <w:proofErr w:type="spellStart"/>
      <w:r w:rsidRPr="00C31B66">
        <w:t>put</w:t>
      </w:r>
      <w:proofErr w:type="spellEnd"/>
      <w:r>
        <w:t xml:space="preserve"> (</w:t>
      </w:r>
      <m:oMath>
        <m:sSub>
          <m:sSubPr>
            <m:ctrlPr>
              <w:rPr>
                <w:rFonts w:ascii="Cambria Math" w:hAnsi="Cambria Math"/>
                <w:i/>
              </w:rPr>
            </m:ctrlPr>
          </m:sSubPr>
          <m:e>
            <m:r>
              <m:rPr>
                <m:nor/>
              </m:rPr>
              <w:rPr>
                <w:i/>
              </w:rPr>
              <m:t>P</m:t>
            </m:r>
          </m:e>
          <m:sub>
            <m:r>
              <m:rPr>
                <m:nor/>
              </m:rPr>
              <w:rPr>
                <w:i/>
              </w:rPr>
              <m:t>0</m:t>
            </m:r>
          </m:sub>
        </m:sSub>
      </m:oMath>
      <w:r>
        <w:t>) y el subyacente (</w:t>
      </w:r>
      <m:oMath>
        <m:sSub>
          <m:sSubPr>
            <m:ctrlPr>
              <w:rPr>
                <w:rFonts w:ascii="Cambria Math" w:hAnsi="Cambria Math"/>
                <w:i/>
              </w:rPr>
            </m:ctrlPr>
          </m:sSubPr>
          <m:e>
            <m:r>
              <m:rPr>
                <m:nor/>
              </m:rPr>
              <w:rPr>
                <w:i/>
              </w:rPr>
              <m:t>S</m:t>
            </m:r>
          </m:e>
          <m:sub>
            <m:r>
              <m:rPr>
                <m:nor/>
              </m:rPr>
              <w:rPr>
                <w:i/>
              </w:rPr>
              <m:t>0</m:t>
            </m:r>
          </m:sub>
        </m:sSub>
      </m:oMath>
      <w:r>
        <w:t>).</w:t>
      </w:r>
    </w:p>
    <w:tbl>
      <w:tblPr>
        <w:tblStyle w:val="Tablaconcuadrcula"/>
        <w:tblW w:w="10205" w:type="dxa"/>
        <w:jc w:val="center"/>
        <w:tblBorders>
          <w:top w:val="single" w:sz="12" w:space="0" w:color="5F2987"/>
          <w:left w:val="single" w:sz="12" w:space="0" w:color="5F2987"/>
          <w:bottom w:val="single" w:sz="12" w:space="0" w:color="5F2987"/>
          <w:right w:val="single" w:sz="12" w:space="0" w:color="5F2987"/>
          <w:insideH w:val="none" w:sz="0" w:space="0" w:color="auto"/>
          <w:insideV w:val="none" w:sz="0" w:space="0" w:color="auto"/>
        </w:tblBorders>
        <w:tblLook w:val="04A0" w:firstRow="1" w:lastRow="0" w:firstColumn="1" w:lastColumn="0" w:noHBand="0" w:noVBand="1"/>
      </w:tblPr>
      <w:tblGrid>
        <w:gridCol w:w="10205"/>
      </w:tblGrid>
      <w:tr w:rsidR="00875950" w14:paraId="72E6FEE3" w14:textId="77777777" w:rsidTr="007C5659">
        <w:trPr>
          <w:cantSplit/>
          <w:trHeight w:val="15591"/>
          <w:jc w:val="center"/>
        </w:trPr>
        <w:tc>
          <w:tcPr>
            <w:tcW w:w="10205" w:type="dxa"/>
            <w:shd w:val="clear" w:color="auto" w:fill="E2EFD9" w:themeFill="accent6" w:themeFillTint="33"/>
            <w:vAlign w:val="center"/>
          </w:tcPr>
          <w:p w14:paraId="11DB4623" w14:textId="77777777" w:rsidR="00875950" w:rsidRPr="002818E9" w:rsidRDefault="00875950" w:rsidP="007C5659">
            <w:pPr>
              <w:keepNext/>
              <w:spacing w:after="60"/>
              <w:jc w:val="center"/>
              <w:rPr>
                <w:b/>
                <w:bCs/>
                <w:i/>
                <w:iCs/>
                <w:color w:val="5F2987" w:themeColor="accent1"/>
                <w:u w:val="single"/>
              </w:rPr>
            </w:pPr>
            <w:r w:rsidRPr="002818E9">
              <w:rPr>
                <w:b/>
                <w:bCs/>
                <w:i/>
                <w:iCs/>
                <w:color w:val="5F2987" w:themeColor="accent1"/>
                <w:u w:val="single"/>
              </w:rPr>
              <w:lastRenderedPageBreak/>
              <w:t>Las griegas y la gestión de carteras de derivados</w:t>
            </w:r>
          </w:p>
          <w:p w14:paraId="241E7253" w14:textId="77777777" w:rsidR="00875950" w:rsidRPr="002818E9" w:rsidRDefault="00875950">
            <w:pPr>
              <w:pStyle w:val="Prrafodelista"/>
              <w:keepNext/>
              <w:numPr>
                <w:ilvl w:val="0"/>
                <w:numId w:val="30"/>
              </w:numPr>
              <w:spacing w:after="0"/>
              <w:ind w:left="0" w:hanging="198"/>
              <w:rPr>
                <w:rFonts w:cs="Times New Roman"/>
              </w:rPr>
            </w:pPr>
            <w:r>
              <w:t xml:space="preserve">Es común hablar de </w:t>
            </w:r>
            <w:r w:rsidRPr="002818E9">
              <w:rPr>
                <w:rFonts w:cs="Times New Roman"/>
                <w:i/>
                <w:iCs/>
              </w:rPr>
              <w:t>«las griegas»</w:t>
            </w:r>
            <w:r w:rsidRPr="002818E9">
              <w:rPr>
                <w:rFonts w:cs="Times New Roman"/>
              </w:rPr>
              <w:t xml:space="preserve"> como</w:t>
            </w:r>
            <w:r w:rsidRPr="002818E9">
              <w:rPr>
                <w:rFonts w:ascii="Times New Roman" w:hAnsi="Times New Roman" w:cs="Times New Roman"/>
              </w:rPr>
              <w:t xml:space="preserve"> </w:t>
            </w:r>
            <w:r w:rsidRPr="002818E9">
              <w:rPr>
                <w:rFonts w:cs="Times New Roman"/>
              </w:rPr>
              <w:t>variables fundamentales en la valoración de las opciones y para la gestión de carteras de derivados:</w:t>
            </w:r>
          </w:p>
          <w:p w14:paraId="3F14AA2D" w14:textId="77777777" w:rsidR="00875950" w:rsidRDefault="00875950">
            <w:pPr>
              <w:pStyle w:val="Prrafodelista"/>
              <w:keepNext/>
              <w:numPr>
                <w:ilvl w:val="0"/>
                <w:numId w:val="19"/>
              </w:numPr>
              <w:spacing w:before="60" w:after="0"/>
              <w:ind w:left="595" w:hanging="170"/>
            </w:pPr>
            <w:r>
              <w:rPr>
                <w:i/>
                <w:iCs/>
                <w:u w:val="single"/>
              </w:rPr>
              <w:t>Delta</w:t>
            </w:r>
            <w:r>
              <w:t xml:space="preserve"> (</w:t>
            </w:r>
            <m:oMath>
              <m:r>
                <m:rPr>
                  <m:nor/>
                </m:rPr>
                <w:rPr>
                  <w:i/>
                  <w:iCs/>
                </w:rPr>
                <m:t>δ</m:t>
              </m:r>
            </m:oMath>
            <w:r>
              <w:t>): Mide la sensibilidad del valor de una opción en respuesta un incremento en 1 </w:t>
            </w:r>
            <w:proofErr w:type="spellStart"/>
            <w:r>
              <w:t>u.m</w:t>
            </w:r>
            <w:proofErr w:type="spellEnd"/>
            <w:r>
              <w:t>. en el precio del activo subyacente.</w:t>
            </w:r>
          </w:p>
          <w:p w14:paraId="16D159E4" w14:textId="77777777" w:rsidR="00875950" w:rsidRDefault="00875950">
            <w:pPr>
              <w:pStyle w:val="Prrafodelista"/>
              <w:numPr>
                <w:ilvl w:val="1"/>
                <w:numId w:val="19"/>
              </w:numPr>
              <w:spacing w:before="60" w:after="0"/>
              <w:ind w:left="1049" w:hanging="198"/>
            </w:pPr>
            <w:r w:rsidRPr="00976648">
              <w:t>En</w:t>
            </w:r>
            <w:r>
              <w:t xml:space="preserve"> el caso de las opciones </w:t>
            </w:r>
            <w:proofErr w:type="spellStart"/>
            <w:r>
              <w:rPr>
                <w:i/>
                <w:iCs/>
              </w:rPr>
              <w:t>call</w:t>
            </w:r>
            <w:proofErr w:type="spellEnd"/>
            <w:r>
              <w:t xml:space="preserve"> es positivo, pues a mayor precio del subyacente, más probabilidad de estar </w:t>
            </w:r>
            <w:proofErr w:type="spellStart"/>
            <w:r>
              <w:rPr>
                <w:i/>
                <w:iCs/>
              </w:rPr>
              <w:t>in-the-money</w:t>
            </w:r>
            <w:proofErr w:type="spellEnd"/>
            <w:r>
              <w:t xml:space="preserve"> y mayor valor de la opción.</w:t>
            </w:r>
          </w:p>
          <w:p w14:paraId="787235A0" w14:textId="77777777" w:rsidR="00875950" w:rsidRDefault="00875950">
            <w:pPr>
              <w:pStyle w:val="Prrafodelista"/>
              <w:keepNext/>
              <w:numPr>
                <w:ilvl w:val="1"/>
                <w:numId w:val="19"/>
              </w:numPr>
              <w:spacing w:before="60" w:after="40"/>
              <w:ind w:left="1049" w:hanging="198"/>
              <w:contextualSpacing w:val="0"/>
            </w:pPr>
            <w:r w:rsidRPr="00976648">
              <w:t>En</w:t>
            </w:r>
            <w:r>
              <w:t xml:space="preserve"> el caso de las opciones </w:t>
            </w:r>
            <w:proofErr w:type="spellStart"/>
            <w:r>
              <w:rPr>
                <w:i/>
                <w:iCs/>
              </w:rPr>
              <w:t>put</w:t>
            </w:r>
            <w:proofErr w:type="spellEnd"/>
            <w:r w:rsidRPr="008E5C3F">
              <w:t xml:space="preserve"> </w:t>
            </w:r>
            <w:r>
              <w:t xml:space="preserve">es negativo, pues a mayor precio del subyacente, menor probabilidad de estar </w:t>
            </w:r>
            <w:proofErr w:type="spellStart"/>
            <w:r>
              <w:rPr>
                <w:i/>
                <w:iCs/>
              </w:rPr>
              <w:t>in-the-money</w:t>
            </w:r>
            <w:proofErr w:type="spellEnd"/>
            <w:r>
              <w:t xml:space="preserve"> y menor valor de la opción.</w:t>
            </w:r>
          </w:p>
          <w:p w14:paraId="508024FF" w14:textId="77777777" w:rsidR="00875950" w:rsidRDefault="00875950" w:rsidP="007C5659">
            <w:pPr>
              <w:pStyle w:val="Prrafodelista"/>
              <w:spacing w:before="60" w:after="0"/>
              <w:ind w:left="1440"/>
              <w:jc w:val="center"/>
            </w:pPr>
            <w:r w:rsidRPr="008E5C3F">
              <w:rPr>
                <w:noProof/>
              </w:rPr>
              <w:drawing>
                <wp:inline distT="0" distB="0" distL="0" distR="0" wp14:anchorId="3AE366C1" wp14:editId="40E9BE4C">
                  <wp:extent cx="1816778" cy="900000"/>
                  <wp:effectExtent l="0" t="0" r="0" b="0"/>
                  <wp:docPr id="54" name="Picture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descr="Diagrama&#10;&#10;Descripción generada automáticamente"/>
                          <pic:cNvPicPr>
                            <a:picLocks noChangeAspect="1" noChangeArrowheads="1"/>
                          </pic:cNvPicPr>
                        </pic:nvPicPr>
                        <pic:blipFill>
                          <a:blip r:embed="rId44" cstate="print"/>
                          <a:srcRect/>
                          <a:stretch>
                            <a:fillRect/>
                          </a:stretch>
                        </pic:blipFill>
                        <pic:spPr bwMode="auto">
                          <a:xfrm>
                            <a:off x="0" y="0"/>
                            <a:ext cx="1816778" cy="900000"/>
                          </a:xfrm>
                          <a:prstGeom prst="rect">
                            <a:avLst/>
                          </a:prstGeom>
                          <a:noFill/>
                          <a:ln w="9525">
                            <a:noFill/>
                            <a:miter lim="800000"/>
                            <a:headEnd/>
                            <a:tailEnd/>
                          </a:ln>
                        </pic:spPr>
                      </pic:pic>
                    </a:graphicData>
                  </a:graphic>
                </wp:inline>
              </w:drawing>
            </w:r>
          </w:p>
          <w:p w14:paraId="5F183DCD" w14:textId="77777777" w:rsidR="00875950" w:rsidRDefault="00875950">
            <w:pPr>
              <w:pStyle w:val="Prrafodelista"/>
              <w:numPr>
                <w:ilvl w:val="2"/>
                <w:numId w:val="19"/>
              </w:numPr>
              <w:spacing w:before="60" w:after="0"/>
              <w:ind w:left="1616" w:hanging="198"/>
            </w:pPr>
            <w:r>
              <w:t xml:space="preserve">Observamos que cuanto más </w:t>
            </w:r>
            <w:proofErr w:type="spellStart"/>
            <w:r>
              <w:rPr>
                <w:i/>
                <w:iCs/>
              </w:rPr>
              <w:t>in-the-money</w:t>
            </w:r>
            <w:proofErr w:type="spellEnd"/>
            <w:r>
              <w:t xml:space="preserve"> estamos mayor es la delta, es decir, mayor es el efecto de un cambio en el precio del subyacente</w:t>
            </w:r>
            <w:r>
              <w:rPr>
                <w:rStyle w:val="Refdenotaalpie"/>
              </w:rPr>
              <w:footnoteReference w:id="35"/>
            </w:r>
            <w:r>
              <w:t>.</w:t>
            </w:r>
          </w:p>
          <w:p w14:paraId="4007C248" w14:textId="77777777" w:rsidR="00875950" w:rsidRPr="00A30DE0" w:rsidRDefault="00875950">
            <w:pPr>
              <w:pStyle w:val="Prrafodelista"/>
              <w:keepNext/>
              <w:numPr>
                <w:ilvl w:val="2"/>
                <w:numId w:val="19"/>
              </w:numPr>
              <w:spacing w:before="60" w:after="0"/>
              <w:ind w:left="1616" w:hanging="198"/>
              <w:rPr>
                <w:spacing w:val="-2"/>
              </w:rPr>
            </w:pPr>
            <w:r w:rsidRPr="00A30DE0">
              <w:rPr>
                <w:spacing w:val="-2"/>
              </w:rPr>
              <w:t>Se suelen buscar carteras con delta neutral (igual a cero), para la cobertura de riesgos.</w:t>
            </w:r>
          </w:p>
          <w:p w14:paraId="04B511B6" w14:textId="77777777" w:rsidR="00875950" w:rsidRDefault="00875950">
            <w:pPr>
              <w:pStyle w:val="Prrafodelista"/>
              <w:numPr>
                <w:ilvl w:val="3"/>
                <w:numId w:val="19"/>
              </w:numPr>
              <w:spacing w:before="60" w:after="0"/>
              <w:ind w:left="2041" w:hanging="198"/>
            </w:pPr>
            <w:r>
              <w:t xml:space="preserve">Pero la delta no es constante y sufre cambios con el paso del tiempo, por lo que es necesaria una </w:t>
            </w:r>
            <w:r>
              <w:rPr>
                <w:i/>
                <w:iCs/>
              </w:rPr>
              <w:t>cobertura dinámica</w:t>
            </w:r>
            <w:r>
              <w:t xml:space="preserve"> mediante el ajuste de cartera.</w:t>
            </w:r>
          </w:p>
          <w:p w14:paraId="31752685" w14:textId="77777777" w:rsidR="00875950" w:rsidRDefault="00875950">
            <w:pPr>
              <w:pStyle w:val="Prrafodelista"/>
              <w:numPr>
                <w:ilvl w:val="3"/>
                <w:numId w:val="19"/>
              </w:numPr>
              <w:spacing w:before="60" w:after="0"/>
              <w:ind w:left="2041" w:hanging="198"/>
            </w:pPr>
            <w:r>
              <w:t>El ajuste de cartera es costoso, por lo que tenemos que saber con qué frecuencia ajustar el portfolio. Para ello empleamos la gamma.</w:t>
            </w:r>
          </w:p>
          <w:p w14:paraId="76538704" w14:textId="77777777" w:rsidR="00875950" w:rsidRDefault="00875950">
            <w:pPr>
              <w:pStyle w:val="Prrafodelista"/>
              <w:keepNext/>
              <w:numPr>
                <w:ilvl w:val="0"/>
                <w:numId w:val="19"/>
              </w:numPr>
              <w:spacing w:before="60" w:after="0"/>
              <w:ind w:left="595" w:hanging="170"/>
            </w:pPr>
            <w:r>
              <w:rPr>
                <w:i/>
                <w:iCs/>
                <w:u w:val="single"/>
              </w:rPr>
              <w:t>Gamma</w:t>
            </w:r>
            <w:r>
              <w:t xml:space="preserve"> (</w:t>
            </w:r>
            <m:oMath>
              <m:r>
                <m:rPr>
                  <m:nor/>
                </m:rPr>
                <w:rPr>
                  <w:i/>
                  <w:sz w:val="20"/>
                  <w:szCs w:val="20"/>
                </w:rPr>
                <m:t>γ</m:t>
              </m:r>
            </m:oMath>
            <w:r>
              <w:t>): Mientras que delta es la derivada del valor de la opción con respecto al precio del subyacente, gamma es la segunda derivada, es decir, mide la variación en delta en respuesta a un cambio en el subyacente.</w:t>
            </w:r>
          </w:p>
          <w:p w14:paraId="7D6FA853" w14:textId="77777777" w:rsidR="00875950" w:rsidRDefault="00875950" w:rsidP="007C5659">
            <w:pPr>
              <w:pStyle w:val="Prrafodelista"/>
              <w:keepNext/>
              <w:spacing w:before="60" w:after="0"/>
              <w:ind w:left="595"/>
              <w:jc w:val="center"/>
            </w:pPr>
            <w:r w:rsidRPr="00E00404">
              <w:rPr>
                <w:noProof/>
              </w:rPr>
              <w:drawing>
                <wp:inline distT="0" distB="0" distL="0" distR="0" wp14:anchorId="62364EB0" wp14:editId="5875910D">
                  <wp:extent cx="1500767" cy="720000"/>
                  <wp:effectExtent l="0" t="0" r="4445" b="4445"/>
                  <wp:docPr id="55" name="Picture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 descr="Diagrama&#10;&#10;Descripción generada automáticament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00767" cy="720000"/>
                          </a:xfrm>
                          <a:prstGeom prst="rect">
                            <a:avLst/>
                          </a:prstGeom>
                          <a:noFill/>
                          <a:ln w="9525">
                            <a:noFill/>
                            <a:miter lim="800000"/>
                            <a:headEnd/>
                            <a:tailEnd/>
                          </a:ln>
                        </pic:spPr>
                      </pic:pic>
                    </a:graphicData>
                  </a:graphic>
                </wp:inline>
              </w:drawing>
            </w:r>
          </w:p>
          <w:p w14:paraId="3F996C5E" w14:textId="77777777" w:rsidR="00875950" w:rsidRDefault="00875950">
            <w:pPr>
              <w:pStyle w:val="Prrafodelista"/>
              <w:keepNext/>
              <w:numPr>
                <w:ilvl w:val="1"/>
                <w:numId w:val="19"/>
              </w:numPr>
              <w:spacing w:before="60" w:after="0"/>
              <w:ind w:left="1049" w:hanging="198"/>
            </w:pPr>
            <w:r>
              <w:t>Si gamma es alta, delta es muy sensible y sufrirá muchos cambios, por lo que hay que ajustar los pesos de la cartera con mucha frecuencia.</w:t>
            </w:r>
          </w:p>
          <w:p w14:paraId="7BDF217F" w14:textId="77777777" w:rsidR="00875950" w:rsidRPr="00A30DE0" w:rsidRDefault="00875950">
            <w:pPr>
              <w:pStyle w:val="Prrafodelista"/>
              <w:keepNext/>
              <w:numPr>
                <w:ilvl w:val="1"/>
                <w:numId w:val="19"/>
              </w:numPr>
              <w:spacing w:before="60" w:after="0"/>
              <w:ind w:left="1049" w:hanging="198"/>
              <w:rPr>
                <w:spacing w:val="-3"/>
              </w:rPr>
            </w:pPr>
            <w:r w:rsidRPr="00A30DE0">
              <w:rPr>
                <w:spacing w:val="-3"/>
              </w:rPr>
              <w:t>Si gamma es baja, delta es poco sensible y podremos mantener la cartera durante más tiempo.</w:t>
            </w:r>
          </w:p>
          <w:p w14:paraId="3A14ECB0" w14:textId="77777777" w:rsidR="00875950" w:rsidRDefault="00875950">
            <w:pPr>
              <w:pStyle w:val="Prrafodelista"/>
              <w:numPr>
                <w:ilvl w:val="2"/>
                <w:numId w:val="19"/>
              </w:numPr>
              <w:spacing w:before="60" w:after="0"/>
              <w:ind w:left="1616" w:hanging="198"/>
            </w:pPr>
            <w:r>
              <w:t xml:space="preserve">Al igual que sucede con las otras griegas, gamma varía con el paso del tiempo, la </w:t>
            </w:r>
            <w:r w:rsidRPr="00C43FC1">
              <w:rPr>
                <w:i/>
                <w:iCs/>
                <w:u w:val="single"/>
              </w:rPr>
              <w:t>velocidad</w:t>
            </w:r>
            <w:r>
              <w:t xml:space="preserve"> mediría la sensibilidad de tercer orden al precio.</w:t>
            </w:r>
          </w:p>
          <w:p w14:paraId="4FC8F6FA" w14:textId="77777777" w:rsidR="00875950" w:rsidRPr="00A30DE0" w:rsidRDefault="00875950">
            <w:pPr>
              <w:pStyle w:val="Prrafodelista"/>
              <w:keepNext/>
              <w:numPr>
                <w:ilvl w:val="0"/>
                <w:numId w:val="19"/>
              </w:numPr>
              <w:spacing w:before="60" w:after="0"/>
              <w:ind w:left="595" w:hanging="170"/>
              <w:rPr>
                <w:u w:val="single"/>
              </w:rPr>
            </w:pPr>
            <w:r w:rsidRPr="00E00404">
              <w:rPr>
                <w:i/>
                <w:iCs/>
                <w:u w:val="single"/>
              </w:rPr>
              <w:t>Vega</w:t>
            </w:r>
            <w:r>
              <w:t xml:space="preserve"> (</w:t>
            </w:r>
            <m:oMath>
              <m:r>
                <m:rPr>
                  <m:nor/>
                </m:rPr>
                <w:rPr>
                  <w:i/>
                  <w:iCs/>
                  <w:sz w:val="20"/>
                  <w:szCs w:val="20"/>
                </w:rPr>
                <m:t>ν</m:t>
              </m:r>
            </m:oMath>
            <w:r>
              <w:t>): M</w:t>
            </w:r>
            <w:r w:rsidRPr="00C43FC1">
              <w:t xml:space="preserve">ide la sensibilidad </w:t>
            </w:r>
            <w:r>
              <w:t xml:space="preserve">del precio de la opción </w:t>
            </w:r>
            <w:r w:rsidRPr="00C43FC1">
              <w:t>a la volatilidad (</w:t>
            </w:r>
            <m:oMath>
              <m:r>
                <m:rPr>
                  <m:nor/>
                </m:rPr>
                <w:rPr>
                  <w:i/>
                </w:rPr>
                <m:t>σ</m:t>
              </m:r>
            </m:oMath>
            <w:r w:rsidRPr="00C43FC1">
              <w:t>). Vega es la derivada de</w:t>
            </w:r>
            <w:r>
              <w:t>l precio de la opción</w:t>
            </w:r>
            <w:r w:rsidRPr="00C43FC1">
              <w:t xml:space="preserve"> con respecto a la volatilidad del subyacente</w:t>
            </w:r>
            <w:r>
              <w:t>.</w:t>
            </w:r>
          </w:p>
          <w:p w14:paraId="6BB7A2E5" w14:textId="77777777" w:rsidR="00875950" w:rsidRPr="00C43FC1" w:rsidRDefault="00875950" w:rsidP="007C5659">
            <w:pPr>
              <w:pStyle w:val="Prrafodelista"/>
              <w:keepNext/>
              <w:spacing w:before="60" w:after="0"/>
              <w:ind w:left="595"/>
              <w:jc w:val="center"/>
              <w:rPr>
                <w:u w:val="single"/>
              </w:rPr>
            </w:pPr>
            <w:r w:rsidRPr="0017484D">
              <w:rPr>
                <w:noProof/>
              </w:rPr>
              <w:drawing>
                <wp:inline distT="0" distB="0" distL="0" distR="0" wp14:anchorId="314A74C4" wp14:editId="106E6344">
                  <wp:extent cx="1235224" cy="720000"/>
                  <wp:effectExtent l="0" t="0" r="3175" b="4445"/>
                  <wp:docPr id="56" name="Picture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 descr="Diagrama&#10;&#10;Descripción generada automáticamente"/>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1726"/>
                          <a:stretch/>
                        </pic:blipFill>
                        <pic:spPr bwMode="auto">
                          <a:xfrm>
                            <a:off x="0" y="0"/>
                            <a:ext cx="1235224" cy="720000"/>
                          </a:xfrm>
                          <a:prstGeom prst="rect">
                            <a:avLst/>
                          </a:prstGeom>
                          <a:noFill/>
                          <a:ln>
                            <a:noFill/>
                          </a:ln>
                          <a:extLst>
                            <a:ext uri="{53640926-AAD7-44D8-BBD7-CCE9431645EC}">
                              <a14:shadowObscured xmlns:a14="http://schemas.microsoft.com/office/drawing/2010/main"/>
                            </a:ext>
                          </a:extLst>
                        </pic:spPr>
                      </pic:pic>
                    </a:graphicData>
                  </a:graphic>
                </wp:inline>
              </w:drawing>
            </w:r>
          </w:p>
          <w:p w14:paraId="7EF10F5E" w14:textId="77777777" w:rsidR="00875950" w:rsidRPr="0017484D" w:rsidRDefault="00875950">
            <w:pPr>
              <w:pStyle w:val="Prrafodelista"/>
              <w:keepNext/>
              <w:numPr>
                <w:ilvl w:val="1"/>
                <w:numId w:val="19"/>
              </w:numPr>
              <w:spacing w:before="60" w:after="0"/>
              <w:ind w:left="1049" w:hanging="198"/>
              <w:rPr>
                <w:u w:val="single"/>
              </w:rPr>
            </w:pPr>
            <w:r>
              <w:t xml:space="preserve">Cuanto mayor sea la volatilidad, mayor será el valor temporal, ya que habrá más posibilidades de que la opción consiga estar </w:t>
            </w:r>
            <w:proofErr w:type="spellStart"/>
            <w:r w:rsidRPr="00315918">
              <w:rPr>
                <w:i/>
                <w:iCs/>
              </w:rPr>
              <w:t>in-the</w:t>
            </w:r>
            <w:r>
              <w:rPr>
                <w:i/>
                <w:iCs/>
              </w:rPr>
              <w:t>-</w:t>
            </w:r>
            <w:r w:rsidRPr="00315918">
              <w:rPr>
                <w:i/>
                <w:iCs/>
              </w:rPr>
              <w:t>money</w:t>
            </w:r>
            <w:proofErr w:type="spellEnd"/>
            <w:r>
              <w:t>.</w:t>
            </w:r>
          </w:p>
          <w:p w14:paraId="00E783CF" w14:textId="77777777" w:rsidR="00875950" w:rsidRPr="0017484D" w:rsidRDefault="00875950">
            <w:pPr>
              <w:pStyle w:val="Prrafodelista"/>
              <w:keepNext/>
              <w:numPr>
                <w:ilvl w:val="0"/>
                <w:numId w:val="19"/>
              </w:numPr>
              <w:spacing w:before="60" w:after="0"/>
              <w:ind w:left="595" w:hanging="170"/>
              <w:rPr>
                <w:u w:val="single"/>
              </w:rPr>
            </w:pPr>
            <w:r w:rsidRPr="0017484D">
              <w:rPr>
                <w:i/>
                <w:iCs/>
                <w:u w:val="single"/>
              </w:rPr>
              <w:t>Rho</w:t>
            </w:r>
            <w:r w:rsidRPr="0017484D">
              <w:t xml:space="preserve"> (</w:t>
            </w:r>
            <m:oMath>
              <m:r>
                <m:rPr>
                  <m:nor/>
                </m:rPr>
                <w:rPr>
                  <w:i/>
                  <w:sz w:val="20"/>
                  <w:szCs w:val="20"/>
                </w:rPr>
                <m:t>ρ</m:t>
              </m:r>
            </m:oMath>
            <w:r w:rsidRPr="0017484D">
              <w:t>): Mide la sensibilid</w:t>
            </w:r>
            <w:r>
              <w:t>ad del precio de la opción a los tipos de interés (</w:t>
            </w:r>
            <m:oMath>
              <m:sSub>
                <m:sSubPr>
                  <m:ctrlPr>
                    <w:rPr>
                      <w:rFonts w:ascii="Cambria Math" w:hAnsi="Cambria Math"/>
                      <w:i/>
                    </w:rPr>
                  </m:ctrlPr>
                </m:sSubPr>
                <m:e>
                  <m:r>
                    <m:rPr>
                      <m:nor/>
                    </m:rPr>
                    <w:rPr>
                      <w:i/>
                    </w:rPr>
                    <m:t>r</m:t>
                  </m:r>
                </m:e>
                <m:sub>
                  <m:r>
                    <m:rPr>
                      <m:nor/>
                    </m:rPr>
                    <w:rPr>
                      <w:i/>
                    </w:rPr>
                    <m:t>f</m:t>
                  </m:r>
                </m:sub>
              </m:sSub>
            </m:oMath>
            <w:r>
              <w:t>).</w:t>
            </w:r>
          </w:p>
          <w:p w14:paraId="4CB85D03" w14:textId="77777777" w:rsidR="00875950" w:rsidRPr="0017484D" w:rsidRDefault="00875950">
            <w:pPr>
              <w:pStyle w:val="Prrafodelista"/>
              <w:numPr>
                <w:ilvl w:val="1"/>
                <w:numId w:val="19"/>
              </w:numPr>
              <w:spacing w:before="60" w:after="0"/>
              <w:ind w:left="1049" w:hanging="198"/>
              <w:rPr>
                <w:u w:val="single"/>
              </w:rPr>
            </w:pPr>
            <w:r>
              <w:t>Cuanto mayor sea el tipo de interés, menor será el valor descontado del precio de ejercicio, luego el tipo de interés afectará en sentido contrario al precio de ejercicio.</w:t>
            </w:r>
          </w:p>
          <w:p w14:paraId="57D51A80" w14:textId="77777777" w:rsidR="00875950" w:rsidRPr="00A30DE0" w:rsidRDefault="00875950">
            <w:pPr>
              <w:pStyle w:val="Prrafodelista"/>
              <w:keepNext/>
              <w:numPr>
                <w:ilvl w:val="0"/>
                <w:numId w:val="19"/>
              </w:numPr>
              <w:spacing w:before="60" w:after="0"/>
              <w:ind w:left="595" w:hanging="170"/>
              <w:rPr>
                <w:u w:val="single"/>
              </w:rPr>
            </w:pPr>
            <w:r w:rsidRPr="00D0619E">
              <w:rPr>
                <w:i/>
                <w:iCs/>
                <w:u w:val="single"/>
              </w:rPr>
              <w:t>Theta</w:t>
            </w:r>
            <w:r w:rsidRPr="00D0619E">
              <w:t xml:space="preserve"> (</w:t>
            </w:r>
            <m:oMath>
              <m:r>
                <m:rPr>
                  <m:nor/>
                </m:rPr>
                <w:rPr>
                  <w:i/>
                  <w:iCs/>
                  <w:sz w:val="20"/>
                  <w:szCs w:val="20"/>
                </w:rPr>
                <m:t>θ</m:t>
              </m:r>
            </m:oMath>
            <w:r w:rsidRPr="00D0619E">
              <w:t>): Mide la sensibilid</w:t>
            </w:r>
            <w:r>
              <w:t>ad del precio de la opción al paso del tiempo. Es decir,</w:t>
            </w:r>
            <w:r w:rsidRPr="00D0619E">
              <w:rPr>
                <w:i/>
                <w:iCs/>
                <w:sz w:val="20"/>
                <w:szCs w:val="20"/>
              </w:rPr>
              <w:t xml:space="preserve"> </w:t>
            </w:r>
            <m:oMath>
              <m:r>
                <m:rPr>
                  <m:nor/>
                </m:rPr>
                <w:rPr>
                  <w:i/>
                  <w:iCs/>
                  <w:sz w:val="20"/>
                  <w:szCs w:val="20"/>
                </w:rPr>
                <m:t>θ</m:t>
              </m:r>
            </m:oMath>
            <w:r>
              <w:t xml:space="preserve"> mide la reducción del valor de la opción debida al paso de un día.</w:t>
            </w:r>
          </w:p>
          <w:p w14:paraId="256680B6" w14:textId="77777777" w:rsidR="00875950" w:rsidRPr="00BA1EFB" w:rsidRDefault="00875950" w:rsidP="007C5659">
            <w:pPr>
              <w:pStyle w:val="Prrafodelista"/>
              <w:keepNext/>
              <w:spacing w:before="60" w:after="0"/>
              <w:ind w:left="595"/>
              <w:jc w:val="center"/>
              <w:rPr>
                <w:u w:val="single"/>
              </w:rPr>
            </w:pPr>
            <w:r w:rsidRPr="00D0619E">
              <w:rPr>
                <w:noProof/>
              </w:rPr>
              <w:drawing>
                <wp:inline distT="0" distB="0" distL="0" distR="0" wp14:anchorId="75E2D5EE" wp14:editId="1A360E70">
                  <wp:extent cx="974119" cy="720000"/>
                  <wp:effectExtent l="0" t="0" r="0" b="4445"/>
                  <wp:docPr id="57" name="Picture 2" descr="Imagen en blanco y neg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descr="Imagen en blanco y negro&#10;&#10;Descripción generada automáticament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74119" cy="720000"/>
                          </a:xfrm>
                          <a:prstGeom prst="rect">
                            <a:avLst/>
                          </a:prstGeom>
                          <a:noFill/>
                          <a:ln w="9525">
                            <a:noFill/>
                            <a:miter lim="800000"/>
                            <a:headEnd/>
                            <a:tailEnd/>
                          </a:ln>
                        </pic:spPr>
                      </pic:pic>
                    </a:graphicData>
                  </a:graphic>
                </wp:inline>
              </w:drawing>
            </w:r>
          </w:p>
          <w:p w14:paraId="68648248" w14:textId="77777777" w:rsidR="00875950" w:rsidRPr="002E0FAD" w:rsidRDefault="00875950">
            <w:pPr>
              <w:pStyle w:val="Prrafodelista"/>
              <w:numPr>
                <w:ilvl w:val="1"/>
                <w:numId w:val="19"/>
              </w:numPr>
              <w:spacing w:before="60" w:after="60"/>
              <w:ind w:left="1049" w:hanging="198"/>
              <w:rPr>
                <w:u w:val="single"/>
              </w:rPr>
            </w:pPr>
            <m:oMath>
              <m:r>
                <m:rPr>
                  <m:nor/>
                </m:rPr>
                <w:rPr>
                  <w:i/>
                  <w:iCs/>
                  <w:sz w:val="20"/>
                  <w:szCs w:val="20"/>
                </w:rPr>
                <m:t>θ</m:t>
              </m:r>
            </m:oMath>
            <w:r>
              <w:rPr>
                <w:rFonts w:eastAsiaTheme="minorEastAsia"/>
                <w:iCs/>
                <w:sz w:val="20"/>
                <w:szCs w:val="20"/>
              </w:rPr>
              <w:t xml:space="preserve"> es muy negativa cuando estamos </w:t>
            </w:r>
            <w:r>
              <w:rPr>
                <w:rFonts w:eastAsiaTheme="minorEastAsia"/>
                <w:i/>
                <w:sz w:val="20"/>
                <w:szCs w:val="20"/>
              </w:rPr>
              <w:t>at-</w:t>
            </w:r>
            <w:proofErr w:type="spellStart"/>
            <w:r>
              <w:rPr>
                <w:rFonts w:eastAsiaTheme="minorEastAsia"/>
                <w:i/>
                <w:sz w:val="20"/>
                <w:szCs w:val="20"/>
              </w:rPr>
              <w:t>the</w:t>
            </w:r>
            <w:proofErr w:type="spellEnd"/>
            <w:r>
              <w:rPr>
                <w:rFonts w:eastAsiaTheme="minorEastAsia"/>
                <w:i/>
                <w:sz w:val="20"/>
                <w:szCs w:val="20"/>
              </w:rPr>
              <w:t>-</w:t>
            </w:r>
            <w:proofErr w:type="spellStart"/>
            <w:r>
              <w:rPr>
                <w:rFonts w:eastAsiaTheme="minorEastAsia"/>
                <w:i/>
                <w:sz w:val="20"/>
                <w:szCs w:val="20"/>
              </w:rPr>
              <w:t>money</w:t>
            </w:r>
            <w:proofErr w:type="spellEnd"/>
            <w:r>
              <w:rPr>
                <w:rFonts w:eastAsiaTheme="minorEastAsia"/>
                <w:iCs/>
                <w:sz w:val="20"/>
                <w:szCs w:val="20"/>
              </w:rPr>
              <w:t xml:space="preserve"> y tiende a cero cuanto más </w:t>
            </w:r>
            <w:proofErr w:type="spellStart"/>
            <w:r>
              <w:rPr>
                <w:rFonts w:eastAsiaTheme="minorEastAsia"/>
                <w:i/>
                <w:sz w:val="20"/>
                <w:szCs w:val="20"/>
              </w:rPr>
              <w:t>out-of-the-money</w:t>
            </w:r>
            <w:proofErr w:type="spellEnd"/>
            <w:r>
              <w:rPr>
                <w:rFonts w:eastAsiaTheme="minorEastAsia"/>
                <w:iCs/>
                <w:sz w:val="20"/>
                <w:szCs w:val="20"/>
              </w:rPr>
              <w:t xml:space="preserve"> estemos (no tenemos nada que perder).</w:t>
            </w:r>
          </w:p>
        </w:tc>
      </w:tr>
    </w:tbl>
    <w:p w14:paraId="22CD3889" w14:textId="77777777" w:rsidR="00875950" w:rsidRDefault="00875950" w:rsidP="00875950">
      <w:pPr>
        <w:pStyle w:val="Ttulo7"/>
      </w:pPr>
      <w:r>
        <w:lastRenderedPageBreak/>
        <w:t>Valoración</w:t>
      </w:r>
    </w:p>
    <w:p w14:paraId="35FEB32A" w14:textId="77777777" w:rsidR="00875950" w:rsidRDefault="00875950" w:rsidP="00875950">
      <w:pPr>
        <w:pStyle w:val="Nivel1SM"/>
        <w:keepNext/>
        <w:spacing w:before="0" w:after="0"/>
      </w:pPr>
      <w:r>
        <w:t>El modelo de Black-Scholes es muy útil para la valoración de opciones.</w:t>
      </w:r>
    </w:p>
    <w:p w14:paraId="072C3278" w14:textId="77777777" w:rsidR="00875950" w:rsidRDefault="00875950" w:rsidP="00875950">
      <w:pPr>
        <w:pStyle w:val="Nivel2SM"/>
      </w:pPr>
      <w:r>
        <w:t xml:space="preserve">Los </w:t>
      </w:r>
      <w:r w:rsidRPr="009B3198">
        <w:rPr>
          <w:i/>
          <w:iCs/>
          <w:u w:val="single"/>
        </w:rPr>
        <w:t>resultados empíricos han sido en general positivos</w:t>
      </w:r>
      <w:r>
        <w:t xml:space="preserve"> ya que el modelo de Black-Scholes genera valores de opciones cercanos a los precios actuales a los que se comercian las opciones.</w:t>
      </w:r>
    </w:p>
    <w:p w14:paraId="4598E1C3" w14:textId="77777777" w:rsidR="00875950" w:rsidRDefault="00875950" w:rsidP="00875950">
      <w:pPr>
        <w:pStyle w:val="Nivel2SM"/>
      </w:pPr>
      <w:r>
        <w:t xml:space="preserve">Además, supuso una aportación muy importante con </w:t>
      </w:r>
      <w:r w:rsidRPr="009B3198">
        <w:rPr>
          <w:i/>
          <w:iCs/>
          <w:u w:val="single"/>
        </w:rPr>
        <w:t>aplicabilidad en otros campos</w:t>
      </w:r>
      <w:r>
        <w:t>.</w:t>
      </w:r>
    </w:p>
    <w:p w14:paraId="1519CA36" w14:textId="77777777" w:rsidR="00875950" w:rsidRDefault="00875950" w:rsidP="00875950">
      <w:pPr>
        <w:pStyle w:val="Nivel1SM"/>
        <w:keepNext/>
        <w:spacing w:after="0"/>
      </w:pPr>
      <w:r>
        <w:t xml:space="preserve">Sin embargo, sufre </w:t>
      </w:r>
      <w:r w:rsidRPr="00546D82">
        <w:rPr>
          <w:b/>
          <w:bCs/>
        </w:rPr>
        <w:t>3</w:t>
      </w:r>
      <w:r>
        <w:rPr>
          <w:b/>
          <w:bCs/>
        </w:rPr>
        <w:t> </w:t>
      </w:r>
      <w:r w:rsidRPr="00546D82">
        <w:rPr>
          <w:b/>
          <w:bCs/>
        </w:rPr>
        <w:t>críticas</w:t>
      </w:r>
      <w:r>
        <w:t xml:space="preserve"> fundamentales debido a sus restrictivos supuestos:</w:t>
      </w:r>
    </w:p>
    <w:p w14:paraId="196F4154" w14:textId="77777777" w:rsidR="00875950" w:rsidRDefault="00875950">
      <w:pPr>
        <w:pStyle w:val="Prrafodelista"/>
        <w:numPr>
          <w:ilvl w:val="0"/>
          <w:numId w:val="20"/>
        </w:numPr>
        <w:spacing w:after="100"/>
        <w:ind w:left="568" w:hanging="284"/>
      </w:pPr>
      <w:r w:rsidRPr="002818E9">
        <w:rPr>
          <w:i/>
          <w:iCs/>
          <w:u w:val="single"/>
        </w:rPr>
        <w:t>La volatilidad no es constante</w:t>
      </w:r>
      <w:r>
        <w:t>, sino que en el mercado se alternan períodos de fuerte volatilidad con períodos de calma: el valor de la opción no es el mismo si vence en un período en que se espera volatilidad.</w:t>
      </w:r>
    </w:p>
    <w:p w14:paraId="5C29E079" w14:textId="77777777" w:rsidR="00875950" w:rsidRDefault="00875950">
      <w:pPr>
        <w:pStyle w:val="Prrafodelista"/>
        <w:numPr>
          <w:ilvl w:val="0"/>
          <w:numId w:val="20"/>
        </w:numPr>
        <w:spacing w:after="100"/>
        <w:ind w:left="568" w:hanging="284"/>
      </w:pPr>
      <w:r w:rsidRPr="002818E9">
        <w:rPr>
          <w:i/>
          <w:iCs/>
          <w:u w:val="single"/>
        </w:rPr>
        <w:t>Los movimientos de los activos no son independientes de los movimientos pasados</w:t>
      </w:r>
      <w:r>
        <w:t>. Existen comportamientos inerciales (tipos de interés) o rebotes (i.e. en la bolsa en ocasiones tras una subida se suele dar una caída por las ventas para cristalizar beneficios).</w:t>
      </w:r>
    </w:p>
    <w:p w14:paraId="4D955B32" w14:textId="77777777" w:rsidR="00875950" w:rsidRDefault="00875950">
      <w:pPr>
        <w:pStyle w:val="Prrafodelista"/>
        <w:numPr>
          <w:ilvl w:val="0"/>
          <w:numId w:val="20"/>
        </w:numPr>
        <w:spacing w:after="100"/>
        <w:ind w:left="568" w:hanging="284"/>
      </w:pPr>
      <w:r w:rsidRPr="002818E9">
        <w:rPr>
          <w:i/>
          <w:iCs/>
          <w:u w:val="single"/>
        </w:rPr>
        <w:t>Los movimientos de los activos no siguen distribuciones normales</w:t>
      </w:r>
      <w:r>
        <w:t>. Se producen eventos extremos con más frecuencia de lo que sugiere una distribución normal (lo que se mide mediante la curtosis, que sería mayor que en una distribución normal). Además la distribución también suele tener una asimetría hacia la izquierda (una normal es simétrica)</w:t>
      </w:r>
      <w:r>
        <w:rPr>
          <w:rStyle w:val="Refdenotaalpie"/>
        </w:rPr>
        <w:footnoteReference w:id="36"/>
      </w:r>
      <w:r>
        <w:t>.</w:t>
      </w:r>
    </w:p>
    <w:p w14:paraId="75D873D0" w14:textId="77777777" w:rsidR="00875950" w:rsidRPr="00C2222D" w:rsidRDefault="00875950" w:rsidP="00875950">
      <w:pPr>
        <w:pStyle w:val="Nivel1SM"/>
      </w:pPr>
      <w:r>
        <w:t xml:space="preserve">Estas críticas, en principio, deberían invalidar el modelo de </w:t>
      </w:r>
      <w:r w:rsidRPr="00C2222D">
        <w:t>Black</w:t>
      </w:r>
      <w:r>
        <w:t xml:space="preserve">-Scholes. Sin embargo, el modelo es tremendamente útil al dar una fórmula cerrada para valorar opciones y analizar sus griegas. </w:t>
      </w:r>
    </w:p>
    <w:p w14:paraId="2D9D3FED" w14:textId="77777777" w:rsidR="003F4934" w:rsidRDefault="003F4934" w:rsidP="003F4934">
      <w:pPr>
        <w:pStyle w:val="Ttulo1"/>
      </w:pPr>
      <w:r>
        <w:t>MERCADOS DE SWAPS</w:t>
      </w:r>
      <w:bookmarkEnd w:id="39"/>
    </w:p>
    <w:p w14:paraId="105C61F4" w14:textId="77777777" w:rsidR="003F4934" w:rsidRPr="00813130" w:rsidRDefault="00000000" w:rsidP="003F4934">
      <w:pPr>
        <w:pStyle w:val="Cajadeanotaciones"/>
      </w:pPr>
      <w:hyperlink r:id="rId48" w:history="1">
        <w:r w:rsidR="003F4934" w:rsidRPr="004578B0">
          <w:rPr>
            <w:rStyle w:val="Hipervnculo"/>
          </w:rPr>
          <w:t>https://www.brokeronline.es/academia-de-trading/swaps/</w:t>
        </w:r>
      </w:hyperlink>
    </w:p>
    <w:p w14:paraId="43267A86" w14:textId="77777777" w:rsidR="003F4934" w:rsidRPr="00B66639" w:rsidRDefault="003F4934" w:rsidP="003F4934">
      <w:pPr>
        <w:pStyle w:val="Ttulo2"/>
      </w:pPr>
      <w:bookmarkStart w:id="58" w:name="_Toc131840486"/>
      <w:r w:rsidRPr="00B66639">
        <w:t>Definición</w:t>
      </w:r>
      <w:bookmarkEnd w:id="58"/>
    </w:p>
    <w:p w14:paraId="363738F4" w14:textId="77777777" w:rsidR="003F4934" w:rsidRDefault="003F4934" w:rsidP="003F4934">
      <w:pPr>
        <w:pStyle w:val="Nivel1SM"/>
        <w:keepNext/>
        <w:spacing w:after="0"/>
      </w:pPr>
      <w:r w:rsidRPr="00B0093D">
        <w:t>Un</w:t>
      </w:r>
      <w:r>
        <w:t xml:space="preserve"> </w:t>
      </w:r>
      <w:r w:rsidRPr="000D3252">
        <w:rPr>
          <w:b/>
          <w:bCs/>
        </w:rPr>
        <w:t>swap</w:t>
      </w:r>
      <w:r>
        <w:t xml:space="preserve"> o un</w:t>
      </w:r>
      <w:r w:rsidRPr="000D3252">
        <w:t>a</w:t>
      </w:r>
      <w:r w:rsidRPr="00B0093D">
        <w:t xml:space="preserve"> </w:t>
      </w:r>
      <w:r>
        <w:rPr>
          <w:b/>
          <w:bCs/>
        </w:rPr>
        <w:t xml:space="preserve">permuta </w:t>
      </w:r>
      <w:r w:rsidRPr="00B0093D">
        <w:rPr>
          <w:b/>
          <w:bCs/>
        </w:rPr>
        <w:t>financiera</w:t>
      </w:r>
      <w:r w:rsidRPr="00B0093D">
        <w:t xml:space="preserve"> es un </w:t>
      </w:r>
      <w:r w:rsidRPr="00B0093D">
        <w:rPr>
          <w:i/>
          <w:iCs/>
        </w:rPr>
        <w:t>contrato</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①</w:t>
      </w:r>
      <w:r w:rsidRPr="00B0093D">
        <w:t xml:space="preserve"> que </w:t>
      </w:r>
      <w:r>
        <w:t xml:space="preserve">permite que dos agentes </w:t>
      </w:r>
      <w:r w:rsidRPr="00195751">
        <w:rPr>
          <w:i/>
          <w:iCs/>
        </w:rPr>
        <w:t>intercambien flujos de caja</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②</w:t>
      </w:r>
      <w:r w:rsidRPr="00B0093D">
        <w:t xml:space="preserve">, </w:t>
      </w:r>
      <w:r>
        <w:t>desde</w:t>
      </w:r>
      <w:r w:rsidRPr="00B0093D">
        <w:t xml:space="preserve">/hasta una </w:t>
      </w:r>
      <w:r w:rsidRPr="00B0093D">
        <w:rPr>
          <w:i/>
          <w:iCs/>
        </w:rPr>
        <w:t>fecha de vencimiento determinada</w:t>
      </w:r>
      <w:r w:rsidRPr="000B5AD3">
        <w:rPr>
          <w:i/>
          <w:iCs/>
          <w:sz w:val="2"/>
          <w:szCs w:val="2"/>
        </w:rPr>
        <w:t> </w:t>
      </w:r>
      <w:r w:rsidRPr="00B0093D">
        <w:rPr>
          <w:rFonts w:hint="eastAsia"/>
          <w:color w:val="5F2987"/>
          <w:vertAlign w:val="superscript"/>
          <w14:glow w14:rad="38100">
            <w14:schemeClr w14:val="accent6">
              <w14:lumMod w14:val="20000"/>
              <w14:lumOff w14:val="80000"/>
            </w14:schemeClr>
          </w14:glow>
          <w14:shadow w14:blurRad="0" w14:dist="0" w14:dir="0" w14:sx="100000" w14:sy="100000" w14:kx="0" w14:ky="0" w14:algn="ctr">
            <w14:schemeClr w14:val="accent6">
              <w14:lumMod w14:val="20000"/>
              <w14:lumOff w14:val="80000"/>
            </w14:schemeClr>
          </w14:shadow>
        </w:rPr>
        <w:t>③</w:t>
      </w:r>
      <w:r>
        <w:t>.</w:t>
      </w:r>
    </w:p>
    <w:p w14:paraId="7F90AD0C" w14:textId="77777777" w:rsidR="003F4934" w:rsidRDefault="003F4934" w:rsidP="003F4934">
      <w:pPr>
        <w:pStyle w:val="Nivel2SM"/>
      </w:pPr>
      <w:r w:rsidRPr="00E94C5D">
        <w:t xml:space="preserve">Por lo tanto, podemos definir un </w:t>
      </w:r>
      <w:r w:rsidRPr="00E94C5D">
        <w:rPr>
          <w:b/>
          <w:bCs/>
          <w:i/>
          <w:iCs/>
        </w:rPr>
        <w:t>swap</w:t>
      </w:r>
      <w:r w:rsidRPr="00E94C5D">
        <w:t xml:space="preserve"> como un </w:t>
      </w:r>
      <w:r w:rsidRPr="00E94C5D">
        <w:rPr>
          <w:b/>
          <w:bCs/>
        </w:rPr>
        <w:t xml:space="preserve">contrato </w:t>
      </w:r>
      <w:r w:rsidRPr="00E94C5D">
        <w:rPr>
          <w:b/>
          <w:bCs/>
          <w:i/>
          <w:iCs/>
        </w:rPr>
        <w:t>forward</w:t>
      </w:r>
      <w:r w:rsidRPr="00E94C5D">
        <w:rPr>
          <w:b/>
          <w:bCs/>
        </w:rPr>
        <w:t xml:space="preserve"> </w:t>
      </w:r>
      <w:proofErr w:type="spellStart"/>
      <w:r w:rsidRPr="00E94C5D">
        <w:rPr>
          <w:b/>
          <w:bCs/>
        </w:rPr>
        <w:t>multiperíodo</w:t>
      </w:r>
      <w:proofErr w:type="spellEnd"/>
      <w:r w:rsidRPr="00E94C5D">
        <w:t xml:space="preserve"> (i.e. el hecho distintico es que ambas partes van a comprometerse a intercambiar unos activos en sucesivos períodos futuros).</w:t>
      </w:r>
    </w:p>
    <w:p w14:paraId="6C4B9F57" w14:textId="77777777" w:rsidR="003F4934" w:rsidRDefault="003F4934" w:rsidP="003F4934">
      <w:pPr>
        <w:pStyle w:val="Nivel2SM"/>
      </w:pPr>
      <w:r>
        <w:t>De esta manera, cada parte consigue transformar una corriente de caja futuros por otra de características diferentes más ajustada a su perfil de riesgo.</w:t>
      </w:r>
    </w:p>
    <w:p w14:paraId="2C2CC1B8" w14:textId="3E7B8DFA" w:rsidR="003F4934" w:rsidRDefault="003F4934" w:rsidP="003F4934">
      <w:pPr>
        <w:pStyle w:val="Nivel1SM"/>
      </w:pPr>
      <w:r>
        <w:t xml:space="preserve">Los </w:t>
      </w:r>
      <w:r>
        <w:rPr>
          <w:i/>
          <w:iCs/>
        </w:rPr>
        <w:t>swaps</w:t>
      </w:r>
      <w:r>
        <w:t xml:space="preserve"> se negocian principalmente en </w:t>
      </w:r>
      <w:r w:rsidRPr="00195751">
        <w:rPr>
          <w:i/>
          <w:iCs/>
        </w:rPr>
        <w:t xml:space="preserve">mercados </w:t>
      </w:r>
      <w:proofErr w:type="spellStart"/>
      <w:r w:rsidRPr="00195751">
        <w:rPr>
          <w:i/>
          <w:iCs/>
        </w:rPr>
        <w:t>over-the-counter</w:t>
      </w:r>
      <w:proofErr w:type="spellEnd"/>
      <w:r>
        <w:t>, y surgen y se expanden a partir de los años</w:t>
      </w:r>
      <w:r w:rsidR="0026155D">
        <w:t> </w:t>
      </w:r>
      <w:r>
        <w:t>70 gracias a la creciente internalización de la economía y a la creciente volatilidad.</w:t>
      </w:r>
    </w:p>
    <w:p w14:paraId="4C108616" w14:textId="77777777" w:rsidR="003F4934" w:rsidRDefault="003F4934" w:rsidP="003F4934">
      <w:pPr>
        <w:pStyle w:val="Ttulo2"/>
      </w:pPr>
      <w:bookmarkStart w:id="59" w:name="_Toc131840487"/>
      <w:r w:rsidRPr="00B66639">
        <w:t>Tipos</w:t>
      </w:r>
      <w:bookmarkEnd w:id="59"/>
    </w:p>
    <w:p w14:paraId="30F4D674" w14:textId="77777777" w:rsidR="003F4934" w:rsidRDefault="003F4934" w:rsidP="003F4934">
      <w:pPr>
        <w:pStyle w:val="Nivel1SM"/>
        <w:keepNext/>
        <w:spacing w:after="0"/>
      </w:pPr>
      <w:r>
        <w:t>Según el activo subyacente existen distintos tipos de swaps:</w:t>
      </w:r>
    </w:p>
    <w:p w14:paraId="3BD3FF86" w14:textId="77777777" w:rsidR="003F4934" w:rsidRDefault="003F4934">
      <w:pPr>
        <w:pStyle w:val="Prrafodelista"/>
        <w:keepNext/>
        <w:numPr>
          <w:ilvl w:val="0"/>
          <w:numId w:val="33"/>
        </w:numPr>
        <w:spacing w:after="100"/>
        <w:ind w:left="567" w:hanging="113"/>
      </w:pPr>
      <w:r>
        <w:t>Permuta de tipos de interés (</w:t>
      </w:r>
      <w:proofErr w:type="spellStart"/>
      <w:r w:rsidRPr="00DF7D2D">
        <w:rPr>
          <w:i/>
          <w:iCs/>
        </w:rPr>
        <w:t>Interest</w:t>
      </w:r>
      <w:proofErr w:type="spellEnd"/>
      <w:r w:rsidRPr="00DF7D2D">
        <w:rPr>
          <w:i/>
          <w:iCs/>
        </w:rPr>
        <w:t xml:space="preserve"> </w:t>
      </w:r>
      <w:proofErr w:type="spellStart"/>
      <w:r w:rsidRPr="00DF7D2D">
        <w:rPr>
          <w:i/>
          <w:iCs/>
        </w:rPr>
        <w:t>Rate</w:t>
      </w:r>
      <w:proofErr w:type="spellEnd"/>
      <w:r w:rsidRPr="00DF7D2D">
        <w:rPr>
          <w:i/>
          <w:iCs/>
        </w:rPr>
        <w:t xml:space="preserve"> Swaps</w:t>
      </w:r>
      <w:r>
        <w:t>).</w:t>
      </w:r>
    </w:p>
    <w:p w14:paraId="4EFE9A49" w14:textId="77777777" w:rsidR="003F4934" w:rsidRDefault="003F4934">
      <w:pPr>
        <w:pStyle w:val="Prrafodelista"/>
        <w:keepNext/>
        <w:numPr>
          <w:ilvl w:val="0"/>
          <w:numId w:val="33"/>
        </w:numPr>
        <w:spacing w:after="100"/>
        <w:ind w:left="567" w:hanging="113"/>
      </w:pPr>
      <w:r>
        <w:t>Permuta de acciones (</w:t>
      </w:r>
      <w:r w:rsidRPr="00DF7D2D">
        <w:rPr>
          <w:i/>
          <w:iCs/>
        </w:rPr>
        <w:t>Stock Swaps</w:t>
      </w:r>
      <w:r>
        <w:t>).</w:t>
      </w:r>
    </w:p>
    <w:p w14:paraId="1871BDDC" w14:textId="77777777" w:rsidR="003F4934" w:rsidRDefault="003F4934">
      <w:pPr>
        <w:pStyle w:val="Prrafodelista"/>
        <w:keepNext/>
        <w:numPr>
          <w:ilvl w:val="0"/>
          <w:numId w:val="33"/>
        </w:numPr>
        <w:spacing w:after="100"/>
        <w:ind w:left="567" w:hanging="113"/>
      </w:pPr>
      <w:r>
        <w:t>Permuta de tipo de cambio (</w:t>
      </w:r>
      <w:proofErr w:type="spellStart"/>
      <w:r w:rsidRPr="00DF7D2D">
        <w:rPr>
          <w:i/>
          <w:iCs/>
        </w:rPr>
        <w:t>Foreign</w:t>
      </w:r>
      <w:proofErr w:type="spellEnd"/>
      <w:r w:rsidRPr="00DF7D2D">
        <w:rPr>
          <w:i/>
          <w:iCs/>
        </w:rPr>
        <w:t xml:space="preserve"> Exchange Swaps</w:t>
      </w:r>
      <w:r>
        <w:t>).</w:t>
      </w:r>
    </w:p>
    <w:p w14:paraId="5E8D6481" w14:textId="77777777" w:rsidR="003F4934" w:rsidRDefault="003F4934">
      <w:pPr>
        <w:pStyle w:val="Prrafodelista"/>
        <w:keepNext/>
        <w:numPr>
          <w:ilvl w:val="0"/>
          <w:numId w:val="33"/>
        </w:numPr>
        <w:spacing w:after="100"/>
        <w:ind w:left="567" w:hanging="113"/>
      </w:pPr>
      <w:r>
        <w:t>Permuta de divisas (</w:t>
      </w:r>
      <w:proofErr w:type="spellStart"/>
      <w:r w:rsidRPr="00DF7D2D">
        <w:rPr>
          <w:i/>
          <w:iCs/>
        </w:rPr>
        <w:t>Currency</w:t>
      </w:r>
      <w:proofErr w:type="spellEnd"/>
      <w:r w:rsidRPr="00DF7D2D">
        <w:rPr>
          <w:i/>
          <w:iCs/>
        </w:rPr>
        <w:t xml:space="preserve"> Swaps</w:t>
      </w:r>
      <w:r>
        <w:t>).</w:t>
      </w:r>
    </w:p>
    <w:p w14:paraId="7155A2EB" w14:textId="77777777" w:rsidR="003F4934" w:rsidRPr="00D019FD" w:rsidRDefault="003F4934">
      <w:pPr>
        <w:pStyle w:val="Prrafodelista"/>
        <w:numPr>
          <w:ilvl w:val="0"/>
          <w:numId w:val="33"/>
        </w:numPr>
        <w:spacing w:after="100"/>
        <w:ind w:left="567" w:hanging="113"/>
      </w:pPr>
      <w:r>
        <w:t>Permuta de incumplimiento crediticio (</w:t>
      </w:r>
      <w:proofErr w:type="spellStart"/>
      <w:r w:rsidRPr="00DF7D2D">
        <w:rPr>
          <w:i/>
          <w:iCs/>
        </w:rPr>
        <w:t>Credit</w:t>
      </w:r>
      <w:proofErr w:type="spellEnd"/>
      <w:r w:rsidRPr="00DF7D2D">
        <w:rPr>
          <w:i/>
          <w:iCs/>
        </w:rPr>
        <w:t xml:space="preserve"> Default Swaps</w:t>
      </w:r>
      <w:r>
        <w:t>).</w:t>
      </w:r>
    </w:p>
    <w:p w14:paraId="7D580D73" w14:textId="77777777" w:rsidR="003F4934" w:rsidRDefault="003F4934" w:rsidP="003F4934">
      <w:pPr>
        <w:pStyle w:val="Ttulo3"/>
      </w:pPr>
      <w:bookmarkStart w:id="60" w:name="_Toc131840488"/>
      <w:r>
        <w:lastRenderedPageBreak/>
        <w:t>Permuta</w:t>
      </w:r>
      <w:r w:rsidRPr="00B66639">
        <w:t xml:space="preserve"> de tipo de interés (</w:t>
      </w:r>
      <w:proofErr w:type="spellStart"/>
      <w:r w:rsidRPr="00B66639">
        <w:t>Interest</w:t>
      </w:r>
      <w:proofErr w:type="spellEnd"/>
      <w:r w:rsidRPr="00B66639">
        <w:t xml:space="preserve"> </w:t>
      </w:r>
      <w:proofErr w:type="spellStart"/>
      <w:r w:rsidRPr="00B66639">
        <w:t>Rate</w:t>
      </w:r>
      <w:proofErr w:type="spellEnd"/>
      <w:r w:rsidRPr="00B66639">
        <w:t xml:space="preserve"> Swaps)</w:t>
      </w:r>
      <w:bookmarkEnd w:id="60"/>
    </w:p>
    <w:p w14:paraId="6DB58692" w14:textId="661D1D63" w:rsidR="0026155D" w:rsidRPr="0026155D" w:rsidRDefault="0026155D" w:rsidP="0026155D">
      <w:pPr>
        <w:pStyle w:val="Ttulo6"/>
        <w:spacing w:after="0"/>
      </w:pPr>
      <w:r>
        <w:t>Delimitación</w:t>
      </w:r>
    </w:p>
    <w:p w14:paraId="3608ED30" w14:textId="77777777" w:rsidR="003F4934" w:rsidRDefault="003F4934" w:rsidP="0026155D">
      <w:pPr>
        <w:pStyle w:val="Nivel1SM"/>
        <w:keepNext/>
        <w:spacing w:before="0" w:after="0"/>
      </w:pPr>
      <w:r>
        <w:t xml:space="preserve">Las </w:t>
      </w:r>
      <w:r w:rsidRPr="00797E72">
        <w:rPr>
          <w:b/>
          <w:bCs/>
        </w:rPr>
        <w:t>permutas de tipo de interés</w:t>
      </w:r>
      <w:r>
        <w:t xml:space="preserve"> son </w:t>
      </w:r>
      <w:r w:rsidRPr="00797E72">
        <w:rPr>
          <w:i/>
          <w:iCs/>
        </w:rPr>
        <w:t>swaps</w:t>
      </w:r>
      <w:r>
        <w:t xml:space="preserve"> en los que los agentes (principalmente instituciones financieras) intercambian flujos de caja de tipos de interés denominados en la </w:t>
      </w:r>
      <w:r w:rsidRPr="00502881">
        <w:rPr>
          <w:b/>
          <w:bCs/>
        </w:rPr>
        <w:t>misma moneda</w:t>
      </w:r>
      <w:r>
        <w:t>.</w:t>
      </w:r>
    </w:p>
    <w:p w14:paraId="0F802062" w14:textId="77777777" w:rsidR="003F4934" w:rsidRDefault="003F4934" w:rsidP="003F4934">
      <w:pPr>
        <w:pStyle w:val="Nivel2SM"/>
      </w:pPr>
      <w:r>
        <w:t xml:space="preserve">Es el </w:t>
      </w:r>
      <w:r w:rsidRPr="00797E72">
        <w:rPr>
          <w:i/>
          <w:iCs/>
        </w:rPr>
        <w:t>swap</w:t>
      </w:r>
      <w:r>
        <w:t xml:space="preserve"> más importante en términos de volumen de transacciones.</w:t>
      </w:r>
    </w:p>
    <w:p w14:paraId="08C2764A" w14:textId="44C7F6B6" w:rsidR="0026155D" w:rsidRDefault="0026155D" w:rsidP="0026155D">
      <w:pPr>
        <w:pStyle w:val="Ttulo6"/>
      </w:pPr>
      <w:r>
        <w:t>Clasificación</w:t>
      </w:r>
    </w:p>
    <w:p w14:paraId="41671031" w14:textId="77777777" w:rsidR="003F4934" w:rsidRDefault="003F4934" w:rsidP="0026155D">
      <w:pPr>
        <w:pStyle w:val="Nivel1SM"/>
        <w:keepNext/>
        <w:spacing w:before="0" w:after="0"/>
      </w:pPr>
      <w:r>
        <w:t>En función de los tipos de interés utilizados, podemos identificar 2 subcategorías:</w:t>
      </w:r>
    </w:p>
    <w:p w14:paraId="29E4F14F" w14:textId="77777777" w:rsidR="003F4934" w:rsidRDefault="003F4934">
      <w:pPr>
        <w:pStyle w:val="Prrafodelista"/>
        <w:keepNext/>
        <w:numPr>
          <w:ilvl w:val="0"/>
          <w:numId w:val="14"/>
        </w:numPr>
        <w:spacing w:after="0"/>
        <w:ind w:left="568" w:hanging="284"/>
      </w:pPr>
      <w:proofErr w:type="spellStart"/>
      <w:r w:rsidRPr="00797E72">
        <w:rPr>
          <w:i/>
          <w:iCs/>
          <w:u w:val="single"/>
        </w:rPr>
        <w:t>Plain</w:t>
      </w:r>
      <w:proofErr w:type="spellEnd"/>
      <w:r w:rsidRPr="00797E72">
        <w:rPr>
          <w:i/>
          <w:iCs/>
          <w:u w:val="single"/>
        </w:rPr>
        <w:t xml:space="preserve"> </w:t>
      </w:r>
      <w:proofErr w:type="spellStart"/>
      <w:r w:rsidRPr="00797E72">
        <w:rPr>
          <w:i/>
          <w:iCs/>
          <w:u w:val="single"/>
        </w:rPr>
        <w:t>vanilla</w:t>
      </w:r>
      <w:proofErr w:type="spellEnd"/>
      <w:r w:rsidRPr="00797E72">
        <w:rPr>
          <w:i/>
          <w:iCs/>
          <w:u w:val="single"/>
        </w:rPr>
        <w:t xml:space="preserve"> </w:t>
      </w:r>
      <w:proofErr w:type="spellStart"/>
      <w:r w:rsidRPr="00797E72">
        <w:rPr>
          <w:i/>
          <w:iCs/>
          <w:u w:val="single"/>
        </w:rPr>
        <w:t>coupon</w:t>
      </w:r>
      <w:proofErr w:type="spellEnd"/>
      <w:r w:rsidRPr="00797E72">
        <w:rPr>
          <w:i/>
          <w:iCs/>
          <w:u w:val="single"/>
        </w:rPr>
        <w:t xml:space="preserve"> swap</w:t>
      </w:r>
      <w:r w:rsidRPr="00187960">
        <w:t xml:space="preserve">: </w:t>
      </w:r>
      <w:r w:rsidRPr="00797E72">
        <w:rPr>
          <w:i/>
          <w:iCs/>
        </w:rPr>
        <w:t>Swap</w:t>
      </w:r>
      <w:r w:rsidRPr="00187960">
        <w:t xml:space="preserve"> de tipo de interés fijo</w:t>
      </w:r>
      <w:r>
        <w:t xml:space="preserve"> contra variable.</w:t>
      </w:r>
    </w:p>
    <w:p w14:paraId="4F0A1E71" w14:textId="77777777" w:rsidR="003F4934" w:rsidRDefault="003F4934">
      <w:pPr>
        <w:pStyle w:val="Prrafodelista"/>
        <w:numPr>
          <w:ilvl w:val="0"/>
          <w:numId w:val="14"/>
        </w:numPr>
        <w:spacing w:after="60"/>
        <w:ind w:left="568" w:hanging="284"/>
      </w:pPr>
      <w:r w:rsidRPr="00797E72">
        <w:rPr>
          <w:i/>
          <w:iCs/>
          <w:u w:val="single"/>
        </w:rPr>
        <w:t>Basis swap</w:t>
      </w:r>
      <w:r>
        <w:t xml:space="preserve">: </w:t>
      </w:r>
      <w:r w:rsidRPr="00797E72">
        <w:rPr>
          <w:i/>
          <w:iCs/>
        </w:rPr>
        <w:t>Swap</w:t>
      </w:r>
      <w:r w:rsidRPr="00187960">
        <w:t xml:space="preserve"> de tipo de interés </w:t>
      </w:r>
      <w:r>
        <w:t>variable contra variable.</w:t>
      </w:r>
    </w:p>
    <w:p w14:paraId="795336DB" w14:textId="37B6D947" w:rsidR="0026155D" w:rsidRDefault="0026155D" w:rsidP="0026155D">
      <w:pPr>
        <w:pStyle w:val="Ttulo6"/>
      </w:pPr>
      <w:r>
        <w:t>Ejemplo</w:t>
      </w:r>
    </w:p>
    <w:p w14:paraId="523EBE79" w14:textId="676719BC" w:rsidR="003F4934" w:rsidRDefault="003F4934" w:rsidP="0026155D">
      <w:pPr>
        <w:pStyle w:val="Nivel1SM"/>
        <w:spacing w:before="0"/>
      </w:pPr>
      <w:r>
        <w:t xml:space="preserve">Los pagos de intereses se calculan aplicando los </w:t>
      </w:r>
      <w:r>
        <w:rPr>
          <w:b/>
          <w:bCs/>
        </w:rPr>
        <w:t>tipos de interés</w:t>
      </w:r>
      <w:r>
        <w:t xml:space="preserve"> pactados por ambas partes a un valor nominal. No obstante, este valor nominal no se intercambia a vencimiento, sino que sólo se utiliza en el contrato para el cálculo de los pagos por intereses.</w:t>
      </w:r>
    </w:p>
    <w:p w14:paraId="4C1E179A" w14:textId="77777777" w:rsidR="003F4934" w:rsidRDefault="003F4934" w:rsidP="003F4934">
      <w:pPr>
        <w:pStyle w:val="Nivel1SM"/>
        <w:keepNext/>
        <w:spacing w:after="0"/>
      </w:pPr>
      <w:r>
        <w:t>Ejemplo de operación de cobertura (</w:t>
      </w:r>
      <w:proofErr w:type="spellStart"/>
      <w:r w:rsidRPr="00187960">
        <w:rPr>
          <w:i/>
          <w:iCs/>
        </w:rPr>
        <w:t>plain</w:t>
      </w:r>
      <w:proofErr w:type="spellEnd"/>
      <w:r w:rsidRPr="00187960">
        <w:rPr>
          <w:i/>
          <w:iCs/>
        </w:rPr>
        <w:t xml:space="preserve"> </w:t>
      </w:r>
      <w:proofErr w:type="spellStart"/>
      <w:r w:rsidRPr="00187960">
        <w:rPr>
          <w:i/>
          <w:iCs/>
        </w:rPr>
        <w:t>vanilla</w:t>
      </w:r>
      <w:proofErr w:type="spellEnd"/>
      <w:r>
        <w:t>):</w:t>
      </w:r>
    </w:p>
    <w:p w14:paraId="397C3B26" w14:textId="77777777" w:rsidR="003F4934" w:rsidRDefault="003F4934" w:rsidP="003F4934">
      <w:pPr>
        <w:pStyle w:val="Nivel2SM"/>
      </w:pPr>
      <w:r>
        <w:t xml:space="preserve">Se da cuando una entidad tiene un activo, digamos, a tipo variable financiado con un pasivo a tipo fijo. Esta situación expone a la entidad a un </w:t>
      </w:r>
      <w:r w:rsidRPr="005D32A4">
        <w:rPr>
          <w:i/>
          <w:iCs/>
        </w:rPr>
        <w:t>riesgo</w:t>
      </w:r>
      <w:r>
        <w:t xml:space="preserve">: si </w:t>
      </w:r>
      <w:r>
        <w:rPr>
          <w:i/>
          <w:iCs/>
        </w:rPr>
        <w:t>caen</w:t>
      </w:r>
      <w:r>
        <w:t xml:space="preserve"> los tipos de interés, el tipo variable se reducirá y disminuirán sus ingresos financieros, mientras que el fijo que se paga permanecerá constante. Para cubrirse ante dicho riesgo, la entidad podría entrar en un </w:t>
      </w:r>
      <w:r>
        <w:rPr>
          <w:i/>
          <w:iCs/>
        </w:rPr>
        <w:t>swap de tipo de interés</w:t>
      </w:r>
      <w:r>
        <w:t xml:space="preserve"> como </w:t>
      </w:r>
      <w:r>
        <w:rPr>
          <w:i/>
          <w:iCs/>
        </w:rPr>
        <w:t>pagador variable</w:t>
      </w:r>
      <w:r>
        <w:t xml:space="preserve">, recibiendo de su contraparte un </w:t>
      </w:r>
      <w:r>
        <w:rPr>
          <w:i/>
          <w:iCs/>
        </w:rPr>
        <w:t>tipo fijo</w:t>
      </w:r>
      <w:r>
        <w:t>.</w:t>
      </w:r>
    </w:p>
    <w:p w14:paraId="6DF5F03A" w14:textId="605D5AB8" w:rsidR="003F4934" w:rsidRPr="00175410" w:rsidRDefault="003F4934" w:rsidP="003F4934">
      <w:pPr>
        <w:pStyle w:val="Ttuloimagen"/>
        <w:rPr>
          <w:smallCaps w:val="0"/>
        </w:rPr>
      </w:pPr>
      <w:r>
        <w:t>Imagen </w:t>
      </w:r>
      <w:r>
        <w:fldChar w:fldCharType="begin"/>
      </w:r>
      <w:r>
        <w:instrText xml:space="preserve"> SEQ Ilustración \* ARABIC </w:instrText>
      </w:r>
      <w:r>
        <w:fldChar w:fldCharType="separate"/>
      </w:r>
      <w:r w:rsidR="003F2FF6">
        <w:t>10</w:t>
      </w:r>
      <w:r>
        <w:fldChar w:fldCharType="end"/>
      </w:r>
      <w:r>
        <w:rPr>
          <w:smallCaps w:val="0"/>
        </w:rPr>
        <w:t xml:space="preserve">.– </w:t>
      </w:r>
      <w:r>
        <w:rPr>
          <w:i/>
          <w:iCs/>
          <w:smallCaps w:val="0"/>
        </w:rPr>
        <w:t>Esquema de un Interest Rate Swap (p</w:t>
      </w:r>
      <w:r w:rsidRPr="003A0329">
        <w:rPr>
          <w:i/>
          <w:iCs/>
          <w:smallCaps w:val="0"/>
        </w:rPr>
        <w:t>lain vanilla coupon swap</w:t>
      </w:r>
      <w:r>
        <w:rPr>
          <w:i/>
          <w:iCs/>
          <w:smallCaps w:val="0"/>
        </w:rPr>
        <w:t>)</w:t>
      </w:r>
    </w:p>
    <w:p w14:paraId="0F0DCF98" w14:textId="77777777" w:rsidR="003F4934" w:rsidRDefault="003F4934" w:rsidP="003F4934">
      <w:pPr>
        <w:pStyle w:val="Imagen"/>
      </w:pPr>
      <w:r w:rsidRPr="005965E5">
        <w:drawing>
          <wp:inline distT="0" distB="0" distL="0" distR="0" wp14:anchorId="486619EF" wp14:editId="0FFDB57A">
            <wp:extent cx="1922145" cy="1261745"/>
            <wp:effectExtent l="0" t="0" r="190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22145" cy="1261745"/>
                    </a:xfrm>
                    <a:prstGeom prst="rect">
                      <a:avLst/>
                    </a:prstGeom>
                    <a:noFill/>
                    <a:ln>
                      <a:noFill/>
                    </a:ln>
                  </pic:spPr>
                </pic:pic>
              </a:graphicData>
            </a:graphic>
          </wp:inline>
        </w:drawing>
      </w:r>
    </w:p>
    <w:p w14:paraId="1FE1AAB3" w14:textId="77777777" w:rsidR="003F4934" w:rsidRDefault="003F4934" w:rsidP="003F4934">
      <w:pPr>
        <w:pStyle w:val="PiedeImagen"/>
        <w:rPr>
          <w:i w:val="0"/>
          <w:iCs/>
        </w:rPr>
      </w:pPr>
      <w:r>
        <w:t>Fuente</w:t>
      </w:r>
      <w:r>
        <w:rPr>
          <w:i w:val="0"/>
          <w:iCs/>
        </w:rPr>
        <w:t xml:space="preserve">: Sahuquillo, A. (2017) </w:t>
      </w:r>
      <w:r>
        <w:t>3B-27: Análisis de los instrumentos y de los mercados de derivados</w:t>
      </w:r>
      <w:r>
        <w:rPr>
          <w:i w:val="0"/>
          <w:iCs/>
        </w:rPr>
        <w:t>.</w:t>
      </w:r>
    </w:p>
    <w:p w14:paraId="5FBF5E5F" w14:textId="28254B82" w:rsidR="0026155D" w:rsidRDefault="0026155D" w:rsidP="0026155D">
      <w:pPr>
        <w:pStyle w:val="Ttulo6"/>
      </w:pPr>
      <w:r>
        <w:t>Valoración</w:t>
      </w:r>
    </w:p>
    <w:p w14:paraId="34659E99" w14:textId="7BFD9D20" w:rsidR="0026155D" w:rsidRDefault="0026155D" w:rsidP="00FF602C">
      <w:pPr>
        <w:pStyle w:val="Nivel1SM"/>
        <w:keepNext/>
        <w:spacing w:before="0" w:after="0"/>
      </w:pPr>
      <w:r>
        <w:t>El valor de un swap es cero en el momento de su contratación</w:t>
      </w:r>
      <w:r w:rsidR="00FF602C">
        <w:t xml:space="preserve"> </w:t>
      </w:r>
      <w:r>
        <w:t>(se entiende que si el swap es “justo”, en el momento de contratación no existen oportunidades de arbitraje.</w:t>
      </w:r>
    </w:p>
    <w:p w14:paraId="41A9492A" w14:textId="3EF51718" w:rsidR="0026155D" w:rsidRDefault="0026155D" w:rsidP="00FF602C">
      <w:pPr>
        <w:pStyle w:val="Nivel2SM"/>
      </w:pPr>
      <w:r>
        <w:t xml:space="preserve">Una cuestión relevante es conocer cuál es el tipo de interés fijo justo en contrapartida al tipo de interés variable. En este caso, cuando el tipo de interés es variable debemos trabajar con la </w:t>
      </w:r>
      <w:r w:rsidRPr="0026155D">
        <w:rPr>
          <w:i/>
          <w:iCs/>
        </w:rPr>
        <w:t>estructura temporal de los tipos de interés</w:t>
      </w:r>
      <w:r>
        <w:t xml:space="preserve"> (los pagos variables son desconocidos)</w:t>
      </w:r>
      <w:r>
        <w:rPr>
          <w:rStyle w:val="Refdenotaalpie"/>
        </w:rPr>
        <w:footnoteReference w:id="37"/>
      </w:r>
      <w:r>
        <w:t>.</w:t>
      </w:r>
    </w:p>
    <w:p w14:paraId="4851C71A" w14:textId="7A3051EA" w:rsidR="0026155D" w:rsidRDefault="0026155D" w:rsidP="0026155D">
      <w:pPr>
        <w:pStyle w:val="Ttulo6"/>
      </w:pPr>
      <w:r>
        <w:t>Operaciones</w:t>
      </w:r>
    </w:p>
    <w:p w14:paraId="620EEBCF" w14:textId="73337E31" w:rsidR="00771AF9" w:rsidRDefault="00771AF9" w:rsidP="00771AF9">
      <w:pPr>
        <w:pStyle w:val="Ttulo7"/>
        <w:spacing w:before="0"/>
      </w:pPr>
      <w:r>
        <w:t>Mercado interbancario</w:t>
      </w:r>
    </w:p>
    <w:p w14:paraId="7FCB01F0" w14:textId="23DC544F" w:rsidR="00771AF9" w:rsidRPr="00FF602C" w:rsidRDefault="00771AF9" w:rsidP="00B20286">
      <w:pPr>
        <w:pStyle w:val="Nivel1SM"/>
        <w:spacing w:before="0"/>
        <w:rPr>
          <w:spacing w:val="-3"/>
        </w:rPr>
      </w:pPr>
      <w:r w:rsidRPr="00FF602C">
        <w:rPr>
          <w:spacing w:val="-3"/>
        </w:rPr>
        <w:t>Se da cuando una entidad tiene un activo, digamos, a tipo variable financiado con un pasivo a tipo fijo.</w:t>
      </w:r>
    </w:p>
    <w:p w14:paraId="35E6EFB2" w14:textId="054C50E9" w:rsidR="00771AF9" w:rsidRDefault="00771AF9" w:rsidP="00771AF9">
      <w:pPr>
        <w:pStyle w:val="Nivel1SM"/>
      </w:pPr>
      <w:proofErr w:type="spellStart"/>
      <w:r>
        <w:t>Ej</w:t>
      </w:r>
      <w:proofErr w:type="spellEnd"/>
      <w:r>
        <w:t>: Banco comercial tiene en cartera activos inmobiliarios cuyos pagos son a tipo variable</w:t>
      </w:r>
      <w:r w:rsidR="00B20286">
        <w:t xml:space="preserve"> </w:t>
      </w:r>
      <w:r>
        <w:t>(índice referencia como Euribor</w:t>
      </w:r>
      <w:r w:rsidR="00B20286">
        <w:t> </w:t>
      </w:r>
      <w:r>
        <w:t>+</w:t>
      </w:r>
      <w:r w:rsidR="00B20286">
        <w:t> </w:t>
      </w:r>
      <w:r>
        <w:t>spread).</w:t>
      </w:r>
    </w:p>
    <w:p w14:paraId="742DC92F" w14:textId="569B1F8F" w:rsidR="00771AF9" w:rsidRDefault="00771AF9" w:rsidP="00771AF9">
      <w:pPr>
        <w:pStyle w:val="Nivel1SM"/>
      </w:pPr>
      <w:r>
        <w:t>Sin embargo, su cartera de pasivos- financiado con depósitos a tipo fijo.</w:t>
      </w:r>
    </w:p>
    <w:p w14:paraId="1EFFC6E5" w14:textId="7EBB78A5" w:rsidR="00771AF9" w:rsidRDefault="00771AF9" w:rsidP="00771AF9">
      <w:pPr>
        <w:pStyle w:val="Nivel1SM"/>
      </w:pPr>
      <w:r>
        <w:lastRenderedPageBreak/>
        <w:t>Para cubrirse de movimientos adversos en los tipos de interés variables (p.ej. EURIBOR caiga), la entidad bancaria podría entrar en un IRS como pagador variable, recibiendo de su contraparte un tipo fijo. La contraparte esperaría así pagar un tipo variable menor.</w:t>
      </w:r>
    </w:p>
    <w:p w14:paraId="431227F7" w14:textId="77777777" w:rsidR="003F4934" w:rsidRDefault="003F4934" w:rsidP="003F4934">
      <w:pPr>
        <w:pStyle w:val="Ttulo3"/>
      </w:pPr>
      <w:bookmarkStart w:id="61" w:name="_Toc131840489"/>
      <w:r>
        <w:t>Permuta de acciones (Stock Swaps)</w:t>
      </w:r>
      <w:bookmarkEnd w:id="61"/>
    </w:p>
    <w:p w14:paraId="2A941443" w14:textId="77777777" w:rsidR="003F4934" w:rsidRPr="00797E72" w:rsidRDefault="003F4934" w:rsidP="003F4934">
      <w:pPr>
        <w:pStyle w:val="Nivel1SM"/>
        <w:spacing w:before="0"/>
        <w:rPr>
          <w:spacing w:val="-4"/>
        </w:rPr>
      </w:pPr>
      <w:r w:rsidRPr="00797E72">
        <w:rPr>
          <w:spacing w:val="-4"/>
        </w:rPr>
        <w:t xml:space="preserve">Un </w:t>
      </w:r>
      <w:r w:rsidRPr="00797E72">
        <w:rPr>
          <w:b/>
          <w:bCs/>
          <w:i/>
          <w:iCs/>
          <w:spacing w:val="-4"/>
        </w:rPr>
        <w:t>stock swap</w:t>
      </w:r>
      <w:r w:rsidRPr="00797E72">
        <w:rPr>
          <w:spacing w:val="-4"/>
        </w:rPr>
        <w:t xml:space="preserve"> es el intercambio de retornos totales de un índice de acciones a cambio de un interés fijo.</w:t>
      </w:r>
    </w:p>
    <w:p w14:paraId="0DDA068A" w14:textId="77777777" w:rsidR="003F4934" w:rsidRPr="00B66639" w:rsidRDefault="003F4934" w:rsidP="003F4934">
      <w:pPr>
        <w:pStyle w:val="Ttulo3"/>
      </w:pPr>
      <w:bookmarkStart w:id="62" w:name="_Toc131840490"/>
      <w:r>
        <w:t>Permuta de tipo de cambio (</w:t>
      </w:r>
      <w:proofErr w:type="spellStart"/>
      <w:r w:rsidRPr="00797E72">
        <w:t>Foreign</w:t>
      </w:r>
      <w:proofErr w:type="spellEnd"/>
      <w:r w:rsidRPr="00B66639">
        <w:t xml:space="preserve"> </w:t>
      </w:r>
      <w:r>
        <w:t>E</w:t>
      </w:r>
      <w:r w:rsidRPr="00B66639">
        <w:t xml:space="preserve">xchange </w:t>
      </w:r>
      <w:r>
        <w:t>S</w:t>
      </w:r>
      <w:r w:rsidRPr="00B66639">
        <w:t>waps</w:t>
      </w:r>
      <w:r>
        <w:t>)</w:t>
      </w:r>
      <w:bookmarkEnd w:id="62"/>
    </w:p>
    <w:p w14:paraId="00399874" w14:textId="77777777" w:rsidR="003F4934" w:rsidRDefault="003F4934" w:rsidP="003F4934">
      <w:pPr>
        <w:pStyle w:val="Nivel1SM"/>
        <w:spacing w:before="0"/>
      </w:pPr>
      <w:r>
        <w:t xml:space="preserve">Los </w:t>
      </w:r>
      <w:r w:rsidRPr="00797E72">
        <w:rPr>
          <w:b/>
          <w:bCs/>
          <w:i/>
          <w:iCs/>
        </w:rPr>
        <w:t>swaps</w:t>
      </w:r>
      <w:r w:rsidRPr="00DC2D95">
        <w:rPr>
          <w:b/>
          <w:bCs/>
        </w:rPr>
        <w:t xml:space="preserve"> de tipo de cambio</w:t>
      </w:r>
      <w:r>
        <w:t xml:space="preserve"> son contratos que incluyen 2 operaciones entre 2 partes: una </w:t>
      </w:r>
      <w:r>
        <w:rPr>
          <w:i/>
          <w:iCs/>
        </w:rPr>
        <w:t>compraventa de divisas</w:t>
      </w:r>
      <w:r w:rsidRPr="00FD5F77">
        <w:rPr>
          <w:i/>
          <w:iCs/>
        </w:rPr>
        <w:t xml:space="preserve"> en el momento actual</w:t>
      </w:r>
      <w:r>
        <w:t xml:space="preserve"> al tipo de cambio spot y una </w:t>
      </w:r>
      <w:r w:rsidRPr="00FD5F77">
        <w:rPr>
          <w:i/>
          <w:iCs/>
        </w:rPr>
        <w:t>compraventa futura en sentido contrario</w:t>
      </w:r>
      <w:r>
        <w:t xml:space="preserve"> de las mismas divisas en una fecha concreta al tipo de cambio forward.</w:t>
      </w:r>
    </w:p>
    <w:p w14:paraId="3C9A5615" w14:textId="4A11119C" w:rsidR="003F4934" w:rsidRPr="0065641A" w:rsidRDefault="003F4934" w:rsidP="003F4934">
      <w:pPr>
        <w:pStyle w:val="Nivel1SM"/>
      </w:pPr>
      <w:r>
        <w:t xml:space="preserve">Se trata del instrumento más utilizado en el mercado de divisas </w:t>
      </w:r>
      <w:r w:rsidRPr="0065641A">
        <w:rPr>
          <w:color w:val="767171" w:themeColor="background2" w:themeShade="80"/>
          <w:sz w:val="19"/>
          <w:szCs w:val="19"/>
        </w:rPr>
        <w:t>[ver tema 3.B.1</w:t>
      </w:r>
      <w:r w:rsidR="00BE3150">
        <w:rPr>
          <w:color w:val="767171" w:themeColor="background2" w:themeShade="80"/>
          <w:sz w:val="19"/>
          <w:szCs w:val="19"/>
        </w:rPr>
        <w:t>3</w:t>
      </w:r>
      <w:r w:rsidRPr="0065641A">
        <w:rPr>
          <w:color w:val="767171" w:themeColor="background2" w:themeShade="80"/>
          <w:sz w:val="19"/>
          <w:szCs w:val="19"/>
        </w:rPr>
        <w:t>]</w:t>
      </w:r>
      <w:r>
        <w:t>. Son instrumentos que se utilizan cuando al menos una de las dos partes tiene divisas que la otra necesita. Son muy utilizados para evitar el riesgo de tipo de cambio.</w:t>
      </w:r>
    </w:p>
    <w:p w14:paraId="07E54976" w14:textId="77777777" w:rsidR="003F4934" w:rsidRPr="00B66639" w:rsidRDefault="003F4934" w:rsidP="003F4934">
      <w:pPr>
        <w:pStyle w:val="Ttulo3"/>
      </w:pPr>
      <w:bookmarkStart w:id="63" w:name="_Toc131840491"/>
      <w:r>
        <w:t>Permuta de divisas (</w:t>
      </w:r>
      <w:proofErr w:type="spellStart"/>
      <w:r w:rsidRPr="00B66639">
        <w:t>Currency</w:t>
      </w:r>
      <w:proofErr w:type="spellEnd"/>
      <w:r w:rsidRPr="00B66639">
        <w:t xml:space="preserve"> </w:t>
      </w:r>
      <w:r>
        <w:t>S</w:t>
      </w:r>
      <w:r w:rsidRPr="00B66639">
        <w:t>waps</w:t>
      </w:r>
      <w:r>
        <w:t>)</w:t>
      </w:r>
      <w:bookmarkEnd w:id="63"/>
    </w:p>
    <w:p w14:paraId="023FEFF7" w14:textId="77777777" w:rsidR="003F4934" w:rsidRDefault="003F4934" w:rsidP="003F4934">
      <w:pPr>
        <w:pStyle w:val="Nivel1SM"/>
        <w:spacing w:before="0"/>
      </w:pPr>
      <w:r>
        <w:t xml:space="preserve">Los </w:t>
      </w:r>
      <w:r w:rsidRPr="00797E72">
        <w:rPr>
          <w:b/>
          <w:bCs/>
          <w:i/>
          <w:iCs/>
        </w:rPr>
        <w:t>swaps</w:t>
      </w:r>
      <w:r w:rsidRPr="00DC2D95">
        <w:rPr>
          <w:b/>
          <w:bCs/>
        </w:rPr>
        <w:t xml:space="preserve"> de divisas</w:t>
      </w:r>
      <w:r>
        <w:t xml:space="preserve">, al igual que los swaps de tipo de cambio, incluyen 2 operaciones entre 2 partes: una </w:t>
      </w:r>
      <w:r>
        <w:rPr>
          <w:i/>
          <w:iCs/>
        </w:rPr>
        <w:t>compraventa de divisas</w:t>
      </w:r>
      <w:r w:rsidRPr="00FD5F77">
        <w:rPr>
          <w:i/>
          <w:iCs/>
        </w:rPr>
        <w:t xml:space="preserve"> en el momento actual</w:t>
      </w:r>
      <w:r>
        <w:t xml:space="preserve"> al tipo de cambio spot y una </w:t>
      </w:r>
      <w:r w:rsidRPr="00FD5F77">
        <w:rPr>
          <w:i/>
          <w:iCs/>
        </w:rPr>
        <w:t>compraventa futura en sentido contrario</w:t>
      </w:r>
      <w:r>
        <w:t xml:space="preserve"> de las mismas divisas en una fecha concreta al tipo de cambio forward.</w:t>
      </w:r>
    </w:p>
    <w:p w14:paraId="69E57DC4" w14:textId="77777777" w:rsidR="003F4934" w:rsidRDefault="003F4934" w:rsidP="003F4934">
      <w:pPr>
        <w:pStyle w:val="Nivel1SM"/>
      </w:pPr>
      <w:r>
        <w:t xml:space="preserve">Sin embargo, se </w:t>
      </w:r>
      <w:r w:rsidRPr="00DC2D95">
        <w:rPr>
          <w:b/>
          <w:bCs/>
        </w:rPr>
        <w:t>diferencian</w:t>
      </w:r>
      <w:r>
        <w:t xml:space="preserve"> en que los </w:t>
      </w:r>
      <w:r w:rsidRPr="00B752F8">
        <w:rPr>
          <w:i/>
          <w:iCs/>
        </w:rPr>
        <w:t>swaps</w:t>
      </w:r>
      <w:r>
        <w:t xml:space="preserve"> de divisas incorporan pagos entre las 2 partes durante el período del contrato en la divisa que cada parte recibió al inicio del contrato. Dichos pagos periódicos pueden ser fijos o variables</w:t>
      </w:r>
      <w:r>
        <w:rPr>
          <w:rStyle w:val="Refdenotaalpie"/>
        </w:rPr>
        <w:footnoteReference w:id="38"/>
      </w:r>
      <w:r>
        <w:t>.</w:t>
      </w:r>
    </w:p>
    <w:p w14:paraId="2416BA66" w14:textId="77777777" w:rsidR="003F4934" w:rsidRDefault="003F4934" w:rsidP="003F4934">
      <w:pPr>
        <w:pStyle w:val="Nivel1SM"/>
      </w:pPr>
      <w:r>
        <w:t>Estos instrumentos son utilizados, por ejemplo, por instituciones multilaterales como el FMI que prestan fondos a medio y largo plazo a países en desarrollo y quieren cubrirse del riesgo de los reembolsos para mitigar la volatilidad del tipo de cambio.</w:t>
      </w:r>
    </w:p>
    <w:p w14:paraId="16F99EA5" w14:textId="77777777" w:rsidR="003F4934" w:rsidRPr="00DC2D95" w:rsidRDefault="003F4934" w:rsidP="003F4934">
      <w:pPr>
        <w:pStyle w:val="Nivel1SM"/>
      </w:pPr>
      <w:r>
        <w:t xml:space="preserve">Misma lógica de entender un </w:t>
      </w:r>
      <w:r>
        <w:rPr>
          <w:i/>
          <w:iCs/>
        </w:rPr>
        <w:t>swap de tipo de cambio</w:t>
      </w:r>
      <w:r>
        <w:t xml:space="preserve"> como un contrato forward donde el activo subyacente es la cotización de la divisa. Se trabaja con la paridad de intereses (la tasa de depreciación de una moneda debe reflejar el diferencial de intereses).</w:t>
      </w:r>
    </w:p>
    <w:p w14:paraId="1060B044" w14:textId="77777777" w:rsidR="00FF602C" w:rsidRDefault="00FF602C" w:rsidP="00FF602C">
      <w:pPr>
        <w:pStyle w:val="Ttulo7"/>
      </w:pPr>
      <w:bookmarkStart w:id="64" w:name="_Toc131840492"/>
      <w:r w:rsidRPr="00FF602C">
        <w:rPr>
          <w:highlight w:val="yellow"/>
        </w:rPr>
        <w:t>Swaps de la Reserva Federal</w:t>
      </w:r>
      <w:r>
        <w:t xml:space="preserve"> (</w:t>
      </w:r>
      <w:proofErr w:type="spellStart"/>
      <w:r w:rsidRPr="00FF602C">
        <w:t>Foreign-currency</w:t>
      </w:r>
      <w:proofErr w:type="spellEnd"/>
      <w:r w:rsidRPr="00FF602C">
        <w:t xml:space="preserve"> </w:t>
      </w:r>
      <w:proofErr w:type="spellStart"/>
      <w:r w:rsidRPr="00FF602C">
        <w:t>liquidity</w:t>
      </w:r>
      <w:proofErr w:type="spellEnd"/>
      <w:r w:rsidRPr="00FF602C">
        <w:t xml:space="preserve"> swap</w:t>
      </w:r>
      <w:r>
        <w:t>)</w:t>
      </w:r>
    </w:p>
    <w:p w14:paraId="47F0E041" w14:textId="7D07494F" w:rsidR="006F6E18" w:rsidRPr="006F6E18" w:rsidRDefault="00000000" w:rsidP="006F6E18">
      <w:pPr>
        <w:pStyle w:val="Cajadeanotaciones"/>
        <w:keepNext/>
        <w:rPr>
          <w:sz w:val="19"/>
          <w:szCs w:val="19"/>
        </w:rPr>
      </w:pPr>
      <w:hyperlink r:id="rId51" w:history="1">
        <w:r w:rsidR="006F6E18" w:rsidRPr="006F6E18">
          <w:rPr>
            <w:rStyle w:val="Hipervnculo"/>
            <w:sz w:val="19"/>
            <w:szCs w:val="19"/>
          </w:rPr>
          <w:t>https://www.ecb.europa.eu/ecb/educational/explainers/tell-me-more/html/currency_swap_lines.es.html</w:t>
        </w:r>
      </w:hyperlink>
    </w:p>
    <w:p w14:paraId="6856DED1" w14:textId="77777777" w:rsidR="00FF602C" w:rsidRPr="00FF602C" w:rsidRDefault="00FF602C" w:rsidP="00FF602C">
      <w:pPr>
        <w:pStyle w:val="Nivel1SM"/>
        <w:spacing w:before="0"/>
        <w:rPr>
          <w:highlight w:val="yellow"/>
        </w:rPr>
      </w:pPr>
      <w:proofErr w:type="spellStart"/>
      <w:r w:rsidRPr="00FF602C">
        <w:rPr>
          <w:highlight w:val="yellow"/>
        </w:rPr>
        <w:t>Ej</w:t>
      </w:r>
      <w:proofErr w:type="spellEnd"/>
      <w:r w:rsidRPr="00FF602C">
        <w:rPr>
          <w:highlight w:val="yellow"/>
        </w:rPr>
        <w:t xml:space="preserve">: crisis del </w:t>
      </w:r>
      <w:proofErr w:type="spellStart"/>
      <w:r w:rsidRPr="00FF602C">
        <w:rPr>
          <w:highlight w:val="yellow"/>
        </w:rPr>
        <w:t>Covid</w:t>
      </w:r>
      <w:proofErr w:type="spellEnd"/>
      <w:r w:rsidRPr="00FF602C">
        <w:rPr>
          <w:highlight w:val="yellow"/>
        </w:rPr>
        <w:t>- falta de dólares. Una característica de la transmisión de la política monetaria- los bancos centrales sólo pueden adquirir ciertos activos dentro del mercado interbancario: solo operan con grandes bancos que suelen ser residentes.</w:t>
      </w:r>
    </w:p>
    <w:p w14:paraId="67AEE804" w14:textId="77777777" w:rsidR="00FF602C" w:rsidRPr="00FF602C" w:rsidRDefault="00FF602C" w:rsidP="00FF602C">
      <w:pPr>
        <w:pStyle w:val="Nivel1SM"/>
        <w:rPr>
          <w:highlight w:val="yellow"/>
        </w:rPr>
      </w:pPr>
      <w:r w:rsidRPr="00FF602C">
        <w:rPr>
          <w:highlight w:val="yellow"/>
        </w:rPr>
        <w:t xml:space="preserve">Un banco global como puede ser UBS suizo (de hecho otro gran participante en el mercado de divisas) podría no tener acceso a dólares, </w:t>
      </w:r>
      <w:proofErr w:type="gramStart"/>
      <w:r w:rsidRPr="00FF602C">
        <w:rPr>
          <w:highlight w:val="yellow"/>
        </w:rPr>
        <w:t>tendría que tener</w:t>
      </w:r>
      <w:proofErr w:type="gramEnd"/>
      <w:r w:rsidRPr="00FF602C">
        <w:rPr>
          <w:highlight w:val="yellow"/>
        </w:rPr>
        <w:t xml:space="preserve"> acceso vía JP Morgan.</w:t>
      </w:r>
    </w:p>
    <w:p w14:paraId="3C07D777" w14:textId="77777777" w:rsidR="00FF602C" w:rsidRPr="00FF602C" w:rsidRDefault="00FF602C" w:rsidP="00FF602C">
      <w:pPr>
        <w:pStyle w:val="Nivel1SM"/>
        <w:keepNext/>
        <w:spacing w:after="0"/>
        <w:rPr>
          <w:highlight w:val="yellow"/>
        </w:rPr>
      </w:pPr>
      <w:r w:rsidRPr="00FF602C">
        <w:rPr>
          <w:highlight w:val="yellow"/>
        </w:rPr>
        <w:t>Sin embargo, un gran banco americano como JP Morgan podría no proveer dólares en un contexto de crisis por 2 razones:</w:t>
      </w:r>
    </w:p>
    <w:p w14:paraId="13E1CD4B" w14:textId="77777777" w:rsidR="00FF602C" w:rsidRPr="00FF602C" w:rsidRDefault="00FF602C" w:rsidP="00FF602C">
      <w:pPr>
        <w:pStyle w:val="Prrafodelista"/>
        <w:numPr>
          <w:ilvl w:val="2"/>
          <w:numId w:val="5"/>
        </w:numPr>
        <w:spacing w:after="100"/>
        <w:ind w:left="567" w:hanging="113"/>
        <w:rPr>
          <w:highlight w:val="yellow"/>
        </w:rPr>
      </w:pPr>
      <w:r w:rsidRPr="00FF602C">
        <w:rPr>
          <w:highlight w:val="yellow"/>
        </w:rPr>
        <w:t>Incertidumbre</w:t>
      </w:r>
    </w:p>
    <w:p w14:paraId="588D80A6" w14:textId="77777777" w:rsidR="00FF602C" w:rsidRPr="00FF602C" w:rsidRDefault="00FF602C" w:rsidP="00FF602C">
      <w:pPr>
        <w:pStyle w:val="Prrafodelista"/>
        <w:numPr>
          <w:ilvl w:val="2"/>
          <w:numId w:val="5"/>
        </w:numPr>
        <w:spacing w:after="100"/>
        <w:ind w:left="567" w:hanging="113"/>
        <w:rPr>
          <w:highlight w:val="yellow"/>
        </w:rPr>
      </w:pPr>
      <w:r w:rsidRPr="00FF602C">
        <w:rPr>
          <w:highlight w:val="yellow"/>
        </w:rPr>
        <w:t xml:space="preserve">Escasez de dólares en el balance de los bancos. </w:t>
      </w:r>
      <w:proofErr w:type="spellStart"/>
      <w:r w:rsidRPr="00FF602C">
        <w:rPr>
          <w:highlight w:val="yellow"/>
        </w:rPr>
        <w:t>Ej</w:t>
      </w:r>
      <w:proofErr w:type="spellEnd"/>
      <w:r w:rsidRPr="00FF602C">
        <w:rPr>
          <w:highlight w:val="yellow"/>
        </w:rPr>
        <w:t>: en los meses entre marzo 2020 y mayo 2020, especial demanda del Tesoro Americano de financiación. En un primer momento, el Tesoro opera con estos grandes bancos quienes compran los bonos del Tesoro a cambio de dólares. El símbolo claro de la escasez de dólares en los mercados interbancarios fue la subida del tipo repo(empleado por estos grandes bancos para financiar compras de Letras y Bonos del Tesoro.</w:t>
      </w:r>
    </w:p>
    <w:p w14:paraId="407C4038" w14:textId="13AA957C" w:rsidR="00793057" w:rsidRPr="00793057" w:rsidRDefault="00FF602C" w:rsidP="00793057">
      <w:pPr>
        <w:pStyle w:val="Nivel1SM"/>
        <w:rPr>
          <w:highlight w:val="yellow"/>
        </w:rPr>
      </w:pPr>
      <w:r w:rsidRPr="00FF602C">
        <w:rPr>
          <w:highlight w:val="yellow"/>
        </w:rPr>
        <w:t xml:space="preserve">Así pues, las tensiones de dólares fueron muy grandes, sobre todo en algunos países en desarrollo. En este contexto, la Reserva Federal amplió sus 'swap' de divisas con otros 9 bancos centrales. El </w:t>
      </w:r>
      <w:r w:rsidRPr="00FF602C">
        <w:rPr>
          <w:highlight w:val="yellow"/>
        </w:rPr>
        <w:lastRenderedPageBreak/>
        <w:t>mero anuncio de las líneas de swaps fue efectivo en calmar a los mercados y estabilizar las condiciones de financiación De los 9 bancos centrales, 2 son de países emergentes (Brasil y México). En estos países las monedas se apreciaron tras anuncio.</w:t>
      </w:r>
    </w:p>
    <w:p w14:paraId="0147CD47" w14:textId="77777777" w:rsidR="003F4934" w:rsidRPr="00B66639" w:rsidRDefault="003F4934" w:rsidP="003F4934">
      <w:pPr>
        <w:pStyle w:val="Ttulo3"/>
      </w:pPr>
      <w:r>
        <w:t>P</w:t>
      </w:r>
      <w:r w:rsidRPr="00797E72">
        <w:t>ermuta de incumplimiento crediticio</w:t>
      </w:r>
      <w:r>
        <w:t xml:space="preserve"> (</w:t>
      </w:r>
      <w:proofErr w:type="spellStart"/>
      <w:r w:rsidRPr="00B66639">
        <w:t>Credit</w:t>
      </w:r>
      <w:proofErr w:type="spellEnd"/>
      <w:r w:rsidRPr="00B66639">
        <w:t xml:space="preserve"> Default Swaps</w:t>
      </w:r>
      <w:r>
        <w:t xml:space="preserve">, </w:t>
      </w:r>
      <w:r w:rsidRPr="00B66639">
        <w:t>CDS)</w:t>
      </w:r>
      <w:bookmarkEnd w:id="64"/>
    </w:p>
    <w:p w14:paraId="3A9ACC26" w14:textId="77777777" w:rsidR="003F4934" w:rsidRDefault="003F4934" w:rsidP="003F4934">
      <w:pPr>
        <w:pStyle w:val="Nivel1SM"/>
        <w:keepNext/>
        <w:spacing w:before="0" w:after="0"/>
      </w:pPr>
      <w:r w:rsidRPr="0018553B">
        <w:t>Es un contrato en e</w:t>
      </w:r>
      <w:r>
        <w:t xml:space="preserve">l que </w:t>
      </w:r>
      <w:r>
        <w:rPr>
          <w:b/>
          <w:bCs/>
        </w:rPr>
        <w:t>un</w:t>
      </w:r>
      <w:r w:rsidRPr="00187960">
        <w:rPr>
          <w:b/>
          <w:bCs/>
        </w:rPr>
        <w:t xml:space="preserve"> participante vende protección ante un evento de crédito a un comprador que paga cuotas periódicas por dicha protección</w:t>
      </w:r>
      <w:r>
        <w:t>. El evento de crédito puede hacer referencia a la insolvencia de un cliente del comprador, a la reducción del rating, etc.</w:t>
      </w:r>
    </w:p>
    <w:p w14:paraId="5F969FDA" w14:textId="77777777" w:rsidR="003F4934" w:rsidRDefault="003F4934" w:rsidP="003F4934">
      <w:pPr>
        <w:pStyle w:val="Nivel2SM"/>
      </w:pPr>
      <w:r>
        <w:t xml:space="preserve">El CDS es, por tanto, similar a un </w:t>
      </w:r>
      <w:r>
        <w:rPr>
          <w:i/>
          <w:iCs/>
        </w:rPr>
        <w:t>contrato de seguro</w:t>
      </w:r>
      <w:r>
        <w:t xml:space="preserve">, donde el </w:t>
      </w:r>
      <w:r>
        <w:rPr>
          <w:i/>
          <w:iCs/>
        </w:rPr>
        <w:t>spread</w:t>
      </w:r>
      <w:r>
        <w:t xml:space="preserve"> es lo que paga el comprador por protegerse del evento de crédito, donde las cuotas se asemejan a las primas de un seguro y se produce una transferencia del riesgo de impago de </w:t>
      </w:r>
      <w:r>
        <w:rPr>
          <w:i/>
          <w:iCs/>
        </w:rPr>
        <w:t>A</w:t>
      </w:r>
      <w:r>
        <w:t xml:space="preserve"> </w:t>
      </w:r>
      <w:proofErr w:type="spellStart"/>
      <w:r>
        <w:t>a</w:t>
      </w:r>
      <w:proofErr w:type="spellEnd"/>
      <w:r>
        <w:t xml:space="preserve"> </w:t>
      </w:r>
      <w:r>
        <w:rPr>
          <w:i/>
          <w:iCs/>
        </w:rPr>
        <w:t>B</w:t>
      </w:r>
      <w:r>
        <w:t>.</w:t>
      </w:r>
    </w:p>
    <w:p w14:paraId="307F4F87" w14:textId="77777777" w:rsidR="003F4934" w:rsidRDefault="003F4934" w:rsidP="003F4934">
      <w:pPr>
        <w:pStyle w:val="Nivel2SM"/>
      </w:pPr>
      <w:r>
        <w:t>Los CDS suelen ser operaciones de gran envergadura, con valores nocionales muy elevados, lo que hace que la mayoría de participantes sean entidades de gran tamaño.</w:t>
      </w:r>
    </w:p>
    <w:p w14:paraId="1F1AC603" w14:textId="77777777" w:rsidR="003F4934" w:rsidRDefault="003F4934" w:rsidP="003F4934">
      <w:pPr>
        <w:pStyle w:val="Nivel2SM"/>
      </w:pPr>
      <w:r>
        <w:t>Los CDS surgieron en los años 90, pero su mercado comenzó a expandirse a un ritmo vertiginoso desde 2003 (casi doblando su volumen de contratación cada año desde entonces).</w:t>
      </w:r>
    </w:p>
    <w:p w14:paraId="612B1E01" w14:textId="77777777" w:rsidR="003F4934" w:rsidRDefault="003F4934" w:rsidP="003F4934">
      <w:pPr>
        <w:pStyle w:val="Nivel2SM"/>
        <w:keepNext/>
        <w:spacing w:after="0"/>
      </w:pPr>
      <w:r>
        <w:t xml:space="preserve">A pesar de su función aseguradora y de cobertura de riesgos, los CDS </w:t>
      </w:r>
      <w:r w:rsidRPr="0018553B">
        <w:rPr>
          <w:b/>
          <w:bCs/>
        </w:rPr>
        <w:t>pueden generar volatilidad e inestabilidad</w:t>
      </w:r>
      <w:r>
        <w:t xml:space="preserve"> debido a 2 características:</w:t>
      </w:r>
    </w:p>
    <w:p w14:paraId="4E2B000D" w14:textId="192D7CAE" w:rsidR="003F4934" w:rsidRPr="00793057" w:rsidRDefault="003F4934">
      <w:pPr>
        <w:pStyle w:val="Prrafodelista"/>
        <w:numPr>
          <w:ilvl w:val="0"/>
          <w:numId w:val="13"/>
        </w:numPr>
        <w:spacing w:after="100"/>
        <w:ind w:left="1135" w:hanging="284"/>
        <w:rPr>
          <w:spacing w:val="-2"/>
        </w:rPr>
      </w:pPr>
      <w:proofErr w:type="spellStart"/>
      <w:r w:rsidRPr="00793057">
        <w:rPr>
          <w:i/>
          <w:iCs/>
          <w:spacing w:val="-2"/>
        </w:rPr>
        <w:t>Naked</w:t>
      </w:r>
      <w:proofErr w:type="spellEnd"/>
      <w:r w:rsidRPr="00793057">
        <w:rPr>
          <w:i/>
          <w:iCs/>
          <w:spacing w:val="-2"/>
        </w:rPr>
        <w:t xml:space="preserve"> default swaps</w:t>
      </w:r>
      <w:r w:rsidRPr="00793057">
        <w:rPr>
          <w:spacing w:val="-2"/>
        </w:rPr>
        <w:t xml:space="preserve">: </w:t>
      </w:r>
      <w:r w:rsidR="00DB6595">
        <w:rPr>
          <w:spacing w:val="-2"/>
        </w:rPr>
        <w:t>C</w:t>
      </w:r>
      <w:r w:rsidRPr="00793057">
        <w:rPr>
          <w:spacing w:val="-2"/>
        </w:rPr>
        <w:t>ualquier agente puede comprar un CDS, incluso si no es el poseedor del crédito sobre el cual se realiza la operación, lo que facilita las operaciones de especulación. De hecho, se calcula que el 80 % de los CDS entre el año 2000 y el año 2012 están relacionados con operaciones al descubierto. Esto produce un efecto desestabilizador que se hizo notar en la crisis de deuda soberana de la UE (en especial en el caso de Grecia)</w:t>
      </w:r>
      <w:r w:rsidRPr="00793057">
        <w:rPr>
          <w:rStyle w:val="Refdenotaalpie"/>
          <w:spacing w:val="-2"/>
        </w:rPr>
        <w:footnoteReference w:id="39"/>
      </w:r>
      <w:r w:rsidRPr="00793057">
        <w:rPr>
          <w:spacing w:val="-2"/>
        </w:rPr>
        <w:t>.</w:t>
      </w:r>
    </w:p>
    <w:p w14:paraId="62ADDDF1" w14:textId="18508B30" w:rsidR="003F4934" w:rsidRPr="0018553B" w:rsidRDefault="003F4934">
      <w:pPr>
        <w:pStyle w:val="Prrafodelista"/>
        <w:numPr>
          <w:ilvl w:val="0"/>
          <w:numId w:val="13"/>
        </w:numPr>
        <w:spacing w:after="100"/>
        <w:ind w:left="1135" w:hanging="284"/>
      </w:pPr>
      <w:r>
        <w:rPr>
          <w:i/>
          <w:iCs/>
        </w:rPr>
        <w:t>Vendedor frágil</w:t>
      </w:r>
      <w:r>
        <w:t xml:space="preserve">: </w:t>
      </w:r>
      <w:r w:rsidR="00DB6595">
        <w:t>E</w:t>
      </w:r>
      <w:r>
        <w:t>l vendedor de protección no tiene que ser una entidad regulada, ni está obligado a mantener un cierto volumen de capital para garantizar los pagos en caso de que el evento de crédito tenga lugar</w:t>
      </w:r>
      <w:r>
        <w:rPr>
          <w:rStyle w:val="Refdenotaalpie"/>
        </w:rPr>
        <w:footnoteReference w:id="40"/>
      </w:r>
      <w:r>
        <w:t>.</w:t>
      </w:r>
    </w:p>
    <w:p w14:paraId="432863FB" w14:textId="77777777" w:rsidR="003F4934" w:rsidRDefault="003F4934" w:rsidP="003F4934">
      <w:pPr>
        <w:pStyle w:val="Ttulo2"/>
      </w:pPr>
      <w:bookmarkStart w:id="65" w:name="_Toc131840493"/>
      <w:r w:rsidRPr="00B66639">
        <w:t>Pago del swap a vencimiento</w:t>
      </w:r>
      <w:bookmarkEnd w:id="65"/>
    </w:p>
    <w:p w14:paraId="5320ACA3" w14:textId="0F6A5BBE" w:rsidR="003F4934" w:rsidRPr="003F4934" w:rsidRDefault="003F4934" w:rsidP="003F4934">
      <w:pPr>
        <w:pStyle w:val="Notaalopositor"/>
      </w:pPr>
      <w:r>
        <w:t>No aplica</w:t>
      </w:r>
    </w:p>
    <w:p w14:paraId="7F907091" w14:textId="77777777" w:rsidR="003F4934" w:rsidRPr="00B66639" w:rsidRDefault="003F4934" w:rsidP="003F4934">
      <w:pPr>
        <w:pStyle w:val="Ttulo2"/>
      </w:pPr>
      <w:bookmarkStart w:id="66" w:name="_Toc131840494"/>
      <w:r w:rsidRPr="00B66639">
        <w:t>Estrategias</w:t>
      </w:r>
      <w:bookmarkEnd w:id="66"/>
    </w:p>
    <w:p w14:paraId="633B6974" w14:textId="77777777" w:rsidR="003F4934" w:rsidRPr="00B66639" w:rsidRDefault="003F4934" w:rsidP="003F4934">
      <w:pPr>
        <w:pStyle w:val="Ttulo3"/>
        <w:spacing w:before="0"/>
      </w:pPr>
      <w:bookmarkStart w:id="67" w:name="_Toc131840495"/>
      <w:r w:rsidRPr="00B66639">
        <w:t>Estrategias de especulación</w:t>
      </w:r>
      <w:bookmarkEnd w:id="67"/>
    </w:p>
    <w:p w14:paraId="79496DDD" w14:textId="77777777" w:rsidR="003F4934" w:rsidRPr="00B66639" w:rsidRDefault="003F4934" w:rsidP="003F4934">
      <w:pPr>
        <w:pStyle w:val="Ttulo3"/>
      </w:pPr>
      <w:bookmarkStart w:id="68" w:name="_Toc131840496"/>
      <w:r w:rsidRPr="00B66639">
        <w:t>Estrategias de cobertura del riesgo</w:t>
      </w:r>
      <w:bookmarkEnd w:id="68"/>
    </w:p>
    <w:p w14:paraId="1108B89D" w14:textId="77777777" w:rsidR="003F4934" w:rsidRDefault="003F4934" w:rsidP="003F4934">
      <w:pPr>
        <w:pStyle w:val="Ttulo2"/>
      </w:pPr>
      <w:bookmarkStart w:id="69" w:name="_Toc131840497"/>
      <w:r w:rsidRPr="00B66639">
        <w:t>Valoración</w:t>
      </w:r>
      <w:bookmarkEnd w:id="69"/>
    </w:p>
    <w:p w14:paraId="169F264B" w14:textId="77777777" w:rsidR="003F4934" w:rsidRDefault="003F4934" w:rsidP="003F4934">
      <w:pPr>
        <w:pStyle w:val="Notaalopositor"/>
      </w:pPr>
      <w:r>
        <w:t>Como una sucesión de contratos de futuros y teniendo en cuenta la ETTI (en el caso de los swaps de tipo de interés).</w:t>
      </w:r>
    </w:p>
    <w:p w14:paraId="728CDB1E" w14:textId="77777777" w:rsidR="003F4934" w:rsidRDefault="003F4934" w:rsidP="003F4934">
      <w:pPr>
        <w:pStyle w:val="Nivel1SM"/>
        <w:spacing w:before="0"/>
      </w:pPr>
      <w:r>
        <w:t>El valor de un swap es cero en el momento de su contratación (se entiende que si el swap es “justo”, en el momento de contratación no existen oportunidades de arbitraje.</w:t>
      </w:r>
    </w:p>
    <w:p w14:paraId="20BEFFDE" w14:textId="77777777" w:rsidR="003F4934" w:rsidRDefault="003F4934" w:rsidP="003F4934">
      <w:pPr>
        <w:pStyle w:val="Nivel1SM"/>
        <w:keepNext/>
        <w:spacing w:after="0"/>
      </w:pPr>
      <w:r>
        <w:t>Para la valoración de un swap, podemos considerar éste como una sucesión de contratos de futuros.</w:t>
      </w:r>
    </w:p>
    <w:p w14:paraId="5A6AA5C3" w14:textId="48D01324" w:rsidR="003F4934" w:rsidRPr="00C561A8" w:rsidRDefault="003F4934" w:rsidP="003F4934">
      <w:pPr>
        <w:pStyle w:val="Nivel2SM"/>
      </w:pPr>
      <w:r>
        <w:t xml:space="preserve">En el caso de los </w:t>
      </w:r>
      <w:proofErr w:type="spellStart"/>
      <w:r>
        <w:t>Interest</w:t>
      </w:r>
      <w:proofErr w:type="spellEnd"/>
      <w:r>
        <w:t xml:space="preserve"> </w:t>
      </w:r>
      <w:proofErr w:type="spellStart"/>
      <w:r>
        <w:t>Rate</w:t>
      </w:r>
      <w:proofErr w:type="spellEnd"/>
      <w:r>
        <w:t xml:space="preserve"> Swaps, una cuestión relevante es conocer cuál es el tipo de interés fijo justo en contrapartida al tipo de interés variable. En este caso, cuando el tipo de interés es variable debemos trabajar con la estructura temporal de los tipos de interés (los pagos variables son desconocidos) </w:t>
      </w:r>
      <w:r w:rsidRPr="00ED0682">
        <w:rPr>
          <w:color w:val="767171" w:themeColor="background2" w:themeShade="80"/>
          <w:sz w:val="19"/>
          <w:szCs w:val="19"/>
        </w:rPr>
        <w:t>[ver tema 3.B.2</w:t>
      </w:r>
      <w:r w:rsidR="00BE3150">
        <w:rPr>
          <w:color w:val="767171" w:themeColor="background2" w:themeShade="80"/>
          <w:sz w:val="19"/>
          <w:szCs w:val="19"/>
        </w:rPr>
        <w:t>4</w:t>
      </w:r>
      <w:r w:rsidRPr="00ED0682">
        <w:rPr>
          <w:color w:val="767171" w:themeColor="background2" w:themeShade="80"/>
          <w:sz w:val="19"/>
          <w:szCs w:val="19"/>
        </w:rPr>
        <w:t>]</w:t>
      </w:r>
      <w:r>
        <w:t>.</w:t>
      </w:r>
    </w:p>
    <w:p w14:paraId="48DCFD62" w14:textId="77777777" w:rsidR="00342648" w:rsidRPr="00F5787C" w:rsidRDefault="00342648" w:rsidP="00F5787C">
      <w:pPr>
        <w:pStyle w:val="Introduccinyconclusin"/>
      </w:pPr>
      <w:bookmarkStart w:id="70" w:name="_Toc55381925"/>
      <w:bookmarkStart w:id="71" w:name="_Toc55382060"/>
      <w:bookmarkStart w:id="72" w:name="_Toc55382095"/>
      <w:bookmarkStart w:id="73" w:name="_Toc55382523"/>
      <w:bookmarkEnd w:id="40"/>
      <w:r w:rsidRPr="00F5787C">
        <w:lastRenderedPageBreak/>
        <w:t>CONCLUSIÓN</w:t>
      </w:r>
      <w:bookmarkEnd w:id="70"/>
      <w:bookmarkEnd w:id="71"/>
      <w:bookmarkEnd w:id="72"/>
      <w:bookmarkEnd w:id="73"/>
    </w:p>
    <w:p w14:paraId="0571CB1C" w14:textId="77777777" w:rsidR="00F23726" w:rsidRDefault="00F23726" w:rsidP="00E9501F">
      <w:pPr>
        <w:pStyle w:val="Nivel1"/>
        <w:keepNext/>
        <w:spacing w:before="0" w:after="0"/>
      </w:pPr>
      <w:r w:rsidRPr="0053589D">
        <w:rPr>
          <w:b/>
          <w:bCs/>
          <w:i/>
          <w:iCs/>
        </w:rPr>
        <w:t>Recapitulación (Ideas clave)</w:t>
      </w:r>
      <w:r>
        <w:t>:</w:t>
      </w:r>
    </w:p>
    <w:p w14:paraId="47D43620" w14:textId="465471D6" w:rsidR="0070089E" w:rsidRDefault="0070089E" w:rsidP="0070089E">
      <w:pPr>
        <w:pStyle w:val="Nivel2"/>
        <w:keepNext/>
        <w:spacing w:after="0"/>
      </w:pPr>
      <w:r>
        <w:t>En la presente exposición hemos repasado brevemente los distintos mercados e instrumentos de derivados financieros.</w:t>
      </w:r>
    </w:p>
    <w:p w14:paraId="0BB2F639" w14:textId="77777777" w:rsidR="0070089E" w:rsidRDefault="0070089E" w:rsidP="00467073">
      <w:pPr>
        <w:pStyle w:val="Nivel3"/>
        <w:keepNext/>
      </w:pPr>
      <w:r>
        <w:t xml:space="preserve">Hemos </w:t>
      </w:r>
      <w:r w:rsidRPr="00467073">
        <w:t>estudiado</w:t>
      </w:r>
      <w:r>
        <w:t xml:space="preserve"> los diferentes tipos de derivados financieros: </w:t>
      </w:r>
      <w:r>
        <w:rPr>
          <w:i/>
          <w:iCs/>
        </w:rPr>
        <w:t>futuros</w:t>
      </w:r>
      <w:r>
        <w:t xml:space="preserve">, </w:t>
      </w:r>
      <w:r>
        <w:rPr>
          <w:i/>
          <w:iCs/>
        </w:rPr>
        <w:t>forwards</w:t>
      </w:r>
      <w:r>
        <w:t xml:space="preserve">, </w:t>
      </w:r>
      <w:r>
        <w:rPr>
          <w:i/>
          <w:iCs/>
        </w:rPr>
        <w:t>opciones</w:t>
      </w:r>
      <w:r>
        <w:t xml:space="preserve"> y </w:t>
      </w:r>
      <w:r>
        <w:rPr>
          <w:i/>
          <w:iCs/>
        </w:rPr>
        <w:t>swaps</w:t>
      </w:r>
      <w:r>
        <w:t>, estudiando para cada uno de ellos:</w:t>
      </w:r>
    </w:p>
    <w:p w14:paraId="309FEE3F" w14:textId="56866B6A" w:rsidR="0070089E" w:rsidRDefault="0070089E" w:rsidP="00467073">
      <w:pPr>
        <w:pStyle w:val="Nivel4"/>
      </w:pPr>
      <w:r>
        <w:t>¿</w:t>
      </w:r>
      <w:r w:rsidR="00467073">
        <w:t>Q</w:t>
      </w:r>
      <w:r>
        <w:t>ué son?</w:t>
      </w:r>
    </w:p>
    <w:p w14:paraId="102D6AB0" w14:textId="392C8051" w:rsidR="0070089E" w:rsidRDefault="0070089E" w:rsidP="00467073">
      <w:pPr>
        <w:pStyle w:val="Nivel4"/>
      </w:pPr>
      <w:r>
        <w:t>¿</w:t>
      </w:r>
      <w:r w:rsidR="00467073">
        <w:t>Q</w:t>
      </w:r>
      <w:r>
        <w:t>ué tipos existen?</w:t>
      </w:r>
    </w:p>
    <w:p w14:paraId="7385F9DC" w14:textId="6596FD7B" w:rsidR="0070089E" w:rsidRDefault="0070089E" w:rsidP="00467073">
      <w:pPr>
        <w:pStyle w:val="Nivel4"/>
      </w:pPr>
      <w:r>
        <w:t>¿</w:t>
      </w:r>
      <w:r w:rsidR="00467073">
        <w:t>A</w:t>
      </w:r>
      <w:r>
        <w:t xml:space="preserve"> qué esquema de pagos dan lugar a vencimiento?</w:t>
      </w:r>
    </w:p>
    <w:p w14:paraId="1C37F051" w14:textId="19B1B149" w:rsidR="0070089E" w:rsidRDefault="0070089E" w:rsidP="00467073">
      <w:pPr>
        <w:pStyle w:val="Nivel4"/>
      </w:pPr>
      <w:r>
        <w:t>¿</w:t>
      </w:r>
      <w:r w:rsidR="00467073">
        <w:t>Q</w:t>
      </w:r>
      <w:r>
        <w:t>ué estrategias se derivan de su uso?</w:t>
      </w:r>
    </w:p>
    <w:p w14:paraId="5FE8CA25" w14:textId="61BEA634" w:rsidR="0070089E" w:rsidRDefault="0070089E" w:rsidP="00467073">
      <w:pPr>
        <w:pStyle w:val="Nivel4"/>
      </w:pPr>
      <w:r>
        <w:t>¿</w:t>
      </w:r>
      <w:r w:rsidR="00467073">
        <w:t>C</w:t>
      </w:r>
      <w:r>
        <w:t>ómo se valoran?</w:t>
      </w:r>
    </w:p>
    <w:p w14:paraId="7989A458" w14:textId="5526A346" w:rsidR="00F23726" w:rsidRDefault="005D32A4" w:rsidP="00F23726">
      <w:pPr>
        <w:pStyle w:val="Nivel2"/>
      </w:pPr>
      <w:r>
        <w:t xml:space="preserve">Por un lado, los derivados, </w:t>
      </w:r>
      <w:r w:rsidRPr="005D32A4">
        <w:rPr>
          <w:b/>
          <w:bCs/>
        </w:rPr>
        <w:t>aumentan la eficiencia del sistema financiero</w:t>
      </w:r>
      <w:r>
        <w:t xml:space="preserve"> en la medida en que, a través de las operaciones de </w:t>
      </w:r>
      <w:r>
        <w:rPr>
          <w:i/>
          <w:iCs/>
        </w:rPr>
        <w:t>cobertura</w:t>
      </w:r>
      <w:r>
        <w:t>, permiten el reparto eficiente de riesgos a precios competitivos</w:t>
      </w:r>
      <w:r w:rsidR="00E84922">
        <w:t>.</w:t>
      </w:r>
    </w:p>
    <w:p w14:paraId="1631F920" w14:textId="77777777" w:rsidR="00316A68" w:rsidRDefault="005D32A4" w:rsidP="00316A68">
      <w:pPr>
        <w:pStyle w:val="Nivel2"/>
        <w:keepNext/>
        <w:spacing w:after="0"/>
      </w:pPr>
      <w:r>
        <w:t xml:space="preserve">Por otro lado, también pueden generar </w:t>
      </w:r>
      <w:r>
        <w:rPr>
          <w:b/>
          <w:bCs/>
        </w:rPr>
        <w:t>inestabilidad y volatilidad</w:t>
      </w:r>
      <w:r>
        <w:t xml:space="preserve"> a través de las operaciones de </w:t>
      </w:r>
      <w:r>
        <w:rPr>
          <w:i/>
          <w:iCs/>
        </w:rPr>
        <w:t>especulación</w:t>
      </w:r>
      <w:r>
        <w:t>.</w:t>
      </w:r>
    </w:p>
    <w:p w14:paraId="60FDAFA8" w14:textId="77777777" w:rsidR="00316A68" w:rsidRDefault="005D32A4" w:rsidP="00A575BB">
      <w:pPr>
        <w:pStyle w:val="Nivel3"/>
        <w:keepNext/>
      </w:pPr>
      <w:r>
        <w:rPr>
          <w:smallCaps/>
        </w:rPr>
        <w:t>Warren Buffett</w:t>
      </w:r>
      <w:r>
        <w:t xml:space="preserve"> llegó a calificar a los derivados como </w:t>
      </w:r>
      <w:r w:rsidRPr="00316A68">
        <w:rPr>
          <w:i/>
          <w:iCs/>
        </w:rPr>
        <w:t>“armas financieras de destrucción masiva”</w:t>
      </w:r>
      <w:r w:rsidRPr="00316A68">
        <w:t>.</w:t>
      </w:r>
    </w:p>
    <w:p w14:paraId="58D56BD5" w14:textId="77777777" w:rsidR="00316A68" w:rsidRDefault="005D32A4" w:rsidP="00316A68">
      <w:pPr>
        <w:pStyle w:val="Nivel4"/>
      </w:pPr>
      <w:r w:rsidRPr="00316A68">
        <w:t xml:space="preserve">De hecho, los derivados jugaron un papel clave en la espiral negativa que condujo a la crisis financiera global de 2008. </w:t>
      </w:r>
    </w:p>
    <w:p w14:paraId="63C2F1E5" w14:textId="77777777" w:rsidR="00316A68" w:rsidRDefault="005D32A4" w:rsidP="00316A68">
      <w:pPr>
        <w:pStyle w:val="Nivel4"/>
      </w:pPr>
      <w:r w:rsidRPr="00316A68">
        <w:t>El mercado de derivados creció exponencialmente: según el Banco Internacional de Pagos, en el año</w:t>
      </w:r>
      <w:r w:rsidR="00316A68" w:rsidRPr="00316A68">
        <w:t> </w:t>
      </w:r>
      <w:r w:rsidRPr="00316A68">
        <w:t>2000 las posiciones abiertas ascendían a 95</w:t>
      </w:r>
      <w:r w:rsidR="00316A68" w:rsidRPr="00316A68">
        <w:t> </w:t>
      </w:r>
      <w:r w:rsidRPr="00316A68">
        <w:t>billones de dólares, mientras que en los meses previos a la crisis de 2008 est</w:t>
      </w:r>
      <w:r w:rsidR="00316A68" w:rsidRPr="00316A68">
        <w:t>a</w:t>
      </w:r>
      <w:r w:rsidRPr="00316A68">
        <w:t xml:space="preserve"> cifra llegó a alcanzar los 670</w:t>
      </w:r>
      <w:r w:rsidR="00316A68" w:rsidRPr="00316A68">
        <w:t> </w:t>
      </w:r>
      <w:r w:rsidRPr="00316A68">
        <w:t xml:space="preserve">billones de dólares </w:t>
      </w:r>
      <w:r w:rsidR="00C177AC" w:rsidRPr="00316A68">
        <w:t>(tras la crisis, el volumen se ha mantenido volátil pero relativamente estable y en 2021 el volumen de posiciones era de 610</w:t>
      </w:r>
      <w:r w:rsidR="00316A68" w:rsidRPr="00316A68">
        <w:t> </w:t>
      </w:r>
      <w:r w:rsidR="00C177AC" w:rsidRPr="00316A68">
        <w:t xml:space="preserve">billones de dólares </w:t>
      </w:r>
      <w:hyperlink r:id="rId52" w:history="1">
        <w:r w:rsidR="00C177AC" w:rsidRPr="00316A68">
          <w:rPr>
            <w:rStyle w:val="Hipervnculo"/>
            <w:sz w:val="16"/>
            <w:szCs w:val="16"/>
          </w:rPr>
          <w:t>https://www.bis.org/statistics/about_derivatives_stats.htm?m=6_32_639</w:t>
        </w:r>
      </w:hyperlink>
      <w:r w:rsidR="00C177AC" w:rsidRPr="00316A68">
        <w:t>).</w:t>
      </w:r>
    </w:p>
    <w:p w14:paraId="2B659F59" w14:textId="77777777" w:rsidR="00316A68" w:rsidRDefault="00C177AC" w:rsidP="00316A68">
      <w:pPr>
        <w:pStyle w:val="Nivel4"/>
      </w:pPr>
      <w:r w:rsidRPr="00316A68">
        <w:t>Así, por ejemplo, las operaciones especulativas provo</w:t>
      </w:r>
      <w:r w:rsidR="00E01786" w:rsidRPr="00316A68">
        <w:t>c</w:t>
      </w:r>
      <w:r w:rsidRPr="00316A68">
        <w:t xml:space="preserve">aron un notable aumento de los </w:t>
      </w:r>
      <w:r w:rsidRPr="00316A68">
        <w:rPr>
          <w:i/>
          <w:iCs/>
        </w:rPr>
        <w:t>spreads</w:t>
      </w:r>
      <w:r w:rsidRPr="00316A68">
        <w:t xml:space="preserve"> de los CDS </w:t>
      </w:r>
      <w:r w:rsidR="00E01786" w:rsidRPr="00316A68">
        <w:t xml:space="preserve">de Lehman </w:t>
      </w:r>
      <w:proofErr w:type="spellStart"/>
      <w:r w:rsidR="00E01786" w:rsidRPr="00316A68">
        <w:t>Brothers</w:t>
      </w:r>
      <w:proofErr w:type="spellEnd"/>
      <w:r w:rsidR="00E01786" w:rsidRPr="00316A68">
        <w:t xml:space="preserve"> en 2008, lo que hizo que se redujese la confianza en la compañía</w:t>
      </w:r>
      <w:r w:rsidR="00E01786">
        <w:t>, lo que acabó conduciendo a su quiebra.</w:t>
      </w:r>
    </w:p>
    <w:p w14:paraId="2DEF5BD6" w14:textId="0BC54E9D" w:rsidR="00E01786" w:rsidRDefault="00E01786" w:rsidP="00316A68">
      <w:pPr>
        <w:pStyle w:val="Nivel4"/>
      </w:pPr>
      <w:r>
        <w:t xml:space="preserve">Y como los CDS se negocian </w:t>
      </w:r>
      <w:proofErr w:type="spellStart"/>
      <w:r>
        <w:rPr>
          <w:i/>
          <w:iCs/>
        </w:rPr>
        <w:t>over-the-counter</w:t>
      </w:r>
      <w:proofErr w:type="spellEnd"/>
      <w:r>
        <w:t xml:space="preserve"> y, por lo tanto, pueden ser ocultados a través de ingeniería financiera, nadie sabía hasta </w:t>
      </w:r>
      <w:r w:rsidR="00467073">
        <w:t>qué</w:t>
      </w:r>
      <w:r>
        <w:t xml:space="preserve"> punto estaban expuestas el resto de entidades, lo que dio lugar a problemas de transparencia que minaron aún más la confianza, paralizando los mercados.</w:t>
      </w:r>
    </w:p>
    <w:p w14:paraId="2D9A22EE" w14:textId="55E34954" w:rsidR="00E01786" w:rsidRDefault="00E01786" w:rsidP="00467073">
      <w:pPr>
        <w:pStyle w:val="Nivel2"/>
        <w:keepNext/>
      </w:pPr>
      <w:r>
        <w:t>Algunas medidas adoptadas en el marco de la crisis para paliar estos efectos negativos del uso de derivados han sido:</w:t>
      </w:r>
    </w:p>
    <w:p w14:paraId="0B8101F2" w14:textId="637ECCD2" w:rsidR="00E01786" w:rsidRDefault="00E01786">
      <w:pPr>
        <w:pStyle w:val="Nivel2"/>
        <w:numPr>
          <w:ilvl w:val="0"/>
          <w:numId w:val="15"/>
        </w:numPr>
        <w:ind w:left="1702" w:hanging="284"/>
      </w:pPr>
      <w:r>
        <w:t>Regulación restrictiva de las ventas a corto y en descubierto</w:t>
      </w:r>
      <w:r>
        <w:rPr>
          <w:rStyle w:val="Refdenotaalpie"/>
        </w:rPr>
        <w:footnoteReference w:id="41"/>
      </w:r>
      <w:r>
        <w:t xml:space="preserve"> (la CNMV ha prohibió las transacciones en corto en varias ocasiones durante la crisis de 2008 y lo volvió a hacer debido a la crisis causada por el COVID-19).</w:t>
      </w:r>
    </w:p>
    <w:p w14:paraId="6EB37F25" w14:textId="100679E4" w:rsidR="00E01786" w:rsidRDefault="00E01786">
      <w:pPr>
        <w:pStyle w:val="Nivel2"/>
        <w:numPr>
          <w:ilvl w:val="0"/>
          <w:numId w:val="15"/>
        </w:numPr>
        <w:ind w:left="1702" w:hanging="284"/>
      </w:pPr>
      <w:r>
        <w:t>Registro de las transacciones, obligando a que las operaciones con derivados sean comunicadas a registros centrales, lo que aumenta la transparencia.</w:t>
      </w:r>
    </w:p>
    <w:p w14:paraId="3072C67F" w14:textId="77777777" w:rsidR="00F23726" w:rsidRDefault="00F23726" w:rsidP="00E84922">
      <w:pPr>
        <w:pStyle w:val="Nivel1"/>
        <w:keepNext/>
        <w:spacing w:after="0"/>
      </w:pPr>
      <w:r w:rsidRPr="0053589D">
        <w:rPr>
          <w:b/>
          <w:bCs/>
          <w:i/>
          <w:iCs/>
        </w:rPr>
        <w:t>Relevancia</w:t>
      </w:r>
      <w:r>
        <w:t>:</w:t>
      </w:r>
    </w:p>
    <w:p w14:paraId="3E35B9CC" w14:textId="77777777" w:rsidR="00F23726" w:rsidRDefault="00F23726" w:rsidP="00F23726">
      <w:pPr>
        <w:pStyle w:val="Nivel2"/>
      </w:pPr>
    </w:p>
    <w:p w14:paraId="2E25A1C6" w14:textId="77777777" w:rsidR="00F23726" w:rsidRDefault="00F23726" w:rsidP="00E84922">
      <w:pPr>
        <w:pStyle w:val="Nivel1"/>
        <w:keepNext/>
        <w:spacing w:after="0"/>
      </w:pPr>
      <w:r w:rsidRPr="0053589D">
        <w:rPr>
          <w:b/>
          <w:bCs/>
          <w:i/>
          <w:iCs/>
        </w:rPr>
        <w:lastRenderedPageBreak/>
        <w:t>Extensiones y relación con otras partes del temario</w:t>
      </w:r>
      <w:r>
        <w:t>:</w:t>
      </w:r>
    </w:p>
    <w:p w14:paraId="74BBFA86" w14:textId="77777777" w:rsidR="00F23726" w:rsidRDefault="00F23726" w:rsidP="00F23726">
      <w:pPr>
        <w:pStyle w:val="Nivel2"/>
      </w:pPr>
    </w:p>
    <w:p w14:paraId="6A86DF76" w14:textId="46529E14" w:rsidR="00F23726" w:rsidRDefault="00F23726" w:rsidP="00E84922">
      <w:pPr>
        <w:pStyle w:val="Nivel1"/>
        <w:keepNext/>
        <w:spacing w:after="0"/>
      </w:pPr>
      <w:r w:rsidRPr="0053589D">
        <w:rPr>
          <w:b/>
          <w:bCs/>
          <w:i/>
          <w:iCs/>
        </w:rPr>
        <w:t>Opinión</w:t>
      </w:r>
      <w:r>
        <w:t>:</w:t>
      </w:r>
    </w:p>
    <w:p w14:paraId="6A874373" w14:textId="77777777" w:rsidR="00E84922" w:rsidRDefault="00E84922" w:rsidP="00E84922">
      <w:pPr>
        <w:pStyle w:val="Nivel2"/>
      </w:pPr>
    </w:p>
    <w:p w14:paraId="5337AA93" w14:textId="02957EC7" w:rsidR="00F23726" w:rsidRDefault="00F23726" w:rsidP="00E84922">
      <w:pPr>
        <w:pStyle w:val="Nivel1"/>
        <w:keepNext/>
        <w:spacing w:after="0"/>
      </w:pPr>
      <w:r w:rsidRPr="0053589D">
        <w:rPr>
          <w:b/>
          <w:bCs/>
          <w:i/>
          <w:iCs/>
        </w:rPr>
        <w:t>Idea final (Salida o cierre)</w:t>
      </w:r>
      <w:r>
        <w:t>:</w:t>
      </w:r>
    </w:p>
    <w:p w14:paraId="56C1F431" w14:textId="3729BEB4" w:rsidR="00B33747" w:rsidRPr="00AC65FF" w:rsidRDefault="00B33747" w:rsidP="00B33747">
      <w:pPr>
        <w:pStyle w:val="Nivel2"/>
      </w:pPr>
      <w:r>
        <w:t>En definitiva, aunque el objetivo de esta exposición ha sido el análisis de los instrumentos derivados, no debe perderse de vista que el propósito fundamental de los mercados financieros desde un punto de vista agregado es canalizar el ahorro de una sociedad para financiar la inversión en activos fijos y de esta manera estimular el crecimiento económico.</w:t>
      </w:r>
      <w:r w:rsidR="00234E8E">
        <w:t xml:space="preserve"> Los derivados ayudan en este objetivo mediante la cobertura de riesgos, sin embargo, precisan de una regulación adecuada para evitar efectos desestabilizadores.</w:t>
      </w:r>
    </w:p>
    <w:p w14:paraId="53978687" w14:textId="77777777" w:rsidR="008233F9" w:rsidRDefault="008233F9">
      <w:r>
        <w:br w:type="page"/>
      </w:r>
    </w:p>
    <w:p w14:paraId="7710DE27" w14:textId="77777777" w:rsidR="00342648" w:rsidRDefault="00342648" w:rsidP="00342648">
      <w:pPr>
        <w:pStyle w:val="Ttulo4"/>
      </w:pPr>
      <w:r>
        <w:lastRenderedPageBreak/>
        <w:t>Bibliografía</w:t>
      </w:r>
    </w:p>
    <w:p w14:paraId="5D277AB3" w14:textId="192B9559" w:rsidR="00342648" w:rsidRDefault="00EB02AF" w:rsidP="00630D0B">
      <w:r>
        <w:t>Tema ICEX-CECO</w:t>
      </w:r>
    </w:p>
    <w:p w14:paraId="39FCEFD9" w14:textId="07E0EC6B" w:rsidR="00CE43C1" w:rsidRDefault="00EB02AF" w:rsidP="00630D0B">
      <w:r w:rsidRPr="00E22354">
        <w:t xml:space="preserve">Bodie, Z., Kane, A. &amp; Marcus, A. J. (2018). </w:t>
      </w:r>
      <w:r w:rsidRPr="00EB02AF">
        <w:rPr>
          <w:i/>
          <w:iCs/>
          <w:lang w:val="en-US"/>
        </w:rPr>
        <w:t>Investments</w:t>
      </w:r>
      <w:r w:rsidRPr="00EB02AF">
        <w:rPr>
          <w:lang w:val="en-US"/>
        </w:rPr>
        <w:t xml:space="preserve"> (Eleventh edition). McGraw-Hill Education.</w:t>
      </w:r>
      <w:r>
        <w:rPr>
          <w:lang w:val="en-US"/>
        </w:rPr>
        <w:t xml:space="preserve"> </w:t>
      </w:r>
      <w:r w:rsidRPr="001859E4">
        <w:t>Capítulos 20-23 (</w:t>
      </w:r>
      <w:proofErr w:type="spellStart"/>
      <w:r w:rsidRPr="001859E4">
        <w:t>Part</w:t>
      </w:r>
      <w:proofErr w:type="spellEnd"/>
      <w:r w:rsidR="00DC7658">
        <w:t> </w:t>
      </w:r>
      <w:r w:rsidRPr="001859E4">
        <w:t>VI)</w:t>
      </w:r>
      <w:bookmarkStart w:id="74" w:name="_Hlk70331941"/>
    </w:p>
    <w:p w14:paraId="260F64C5" w14:textId="3B4E38BA" w:rsidR="00BE3150" w:rsidRPr="001859E4" w:rsidRDefault="00BE3150" w:rsidP="00630D0B">
      <w:r>
        <w:t>Tema Juan Luis Cordero Tarifa</w:t>
      </w:r>
    </w:p>
    <w:p w14:paraId="635BFDB3" w14:textId="5ADA732D" w:rsidR="007572C8" w:rsidRDefault="00CE43C1" w:rsidP="00630D0B">
      <w:r w:rsidRPr="00CE43C1">
        <w:t xml:space="preserve">Núñez Ramos, S. &amp; </w:t>
      </w:r>
      <w:proofErr w:type="spellStart"/>
      <w:r w:rsidRPr="00CE43C1">
        <w:t>Valdeolivas</w:t>
      </w:r>
      <w:proofErr w:type="spellEnd"/>
      <w:r w:rsidRPr="00CE43C1">
        <w:t xml:space="preserve">, E. (2019). Las entidades de contrapartida central: Beneficios, costes y riesgos. </w:t>
      </w:r>
      <w:r w:rsidRPr="00CE43C1">
        <w:rPr>
          <w:i/>
          <w:iCs/>
        </w:rPr>
        <w:t>Estabilidad financiera, 36</w:t>
      </w:r>
      <w:r w:rsidRPr="00CE43C1">
        <w:t>, pág</w:t>
      </w:r>
      <w:r>
        <w:t>s</w:t>
      </w:r>
      <w:r w:rsidRPr="00CE43C1">
        <w:t>. 82</w:t>
      </w:r>
      <w:r>
        <w:t xml:space="preserve">-84. Disponible en:  </w:t>
      </w:r>
      <w:hyperlink r:id="rId53" w:history="1">
        <w:r>
          <w:rPr>
            <w:rStyle w:val="Hipervnculo"/>
          </w:rPr>
          <w:t>https://repositorio.bde.es/ bitstream/123456789/11205/1/Las_entidades_de_contrapartida_central.pdf</w:t>
        </w:r>
      </w:hyperlink>
    </w:p>
    <w:p w14:paraId="2ABAB466" w14:textId="57A78625" w:rsidR="00BE3150" w:rsidRPr="00BE3150" w:rsidRDefault="00E17ADE" w:rsidP="00630D0B">
      <w:pPr>
        <w:rPr>
          <w:color w:val="0563C1" w:themeColor="hyperlink"/>
          <w:u w:val="single"/>
        </w:rPr>
      </w:pPr>
      <w:r w:rsidRPr="00E17ADE">
        <w:rPr>
          <w:lang w:val="en-US"/>
        </w:rPr>
        <w:t xml:space="preserve">Gregory, J. (2014). </w:t>
      </w:r>
      <w:r w:rsidRPr="00E17ADE">
        <w:rPr>
          <w:i/>
          <w:iCs/>
          <w:lang w:val="en-US"/>
        </w:rPr>
        <w:t>Central Counterparties: Mandatory Clearing and Bilateral Margin Requirements for OTC Derivatives</w:t>
      </w:r>
      <w:r w:rsidRPr="00E17ADE">
        <w:rPr>
          <w:lang w:val="en-US"/>
        </w:rPr>
        <w:t xml:space="preserve">. </w:t>
      </w:r>
      <w:r w:rsidRPr="00E17ADE">
        <w:t xml:space="preserve">John Wiley &amp; </w:t>
      </w:r>
      <w:proofErr w:type="spellStart"/>
      <w:r w:rsidRPr="00E17ADE">
        <w:t>Sons</w:t>
      </w:r>
      <w:proofErr w:type="spellEnd"/>
      <w:r w:rsidRPr="00E17ADE">
        <w:t xml:space="preserve">, Ltd. </w:t>
      </w:r>
      <w:hyperlink r:id="rId54" w:history="1">
        <w:r w:rsidRPr="005D4310">
          <w:rPr>
            <w:rStyle w:val="Hipervnculo"/>
          </w:rPr>
          <w:t>https://doi.org/10.1002/9781118891568</w:t>
        </w:r>
      </w:hyperlink>
    </w:p>
    <w:p w14:paraId="3B3FF2AC" w14:textId="77777777" w:rsidR="007572C8" w:rsidRDefault="007572C8" w:rsidP="007572C8">
      <w:pPr>
        <w:pStyle w:val="Ttulo4"/>
      </w:pPr>
      <w:r>
        <w:t>Preguntas de otros exámenes</w:t>
      </w:r>
    </w:p>
    <w:p w14:paraId="1F4D8E5F" w14:textId="77777777" w:rsidR="007572C8" w:rsidRDefault="007572C8" w:rsidP="007572C8">
      <w:pPr>
        <w:pStyle w:val="Nivel2SM"/>
        <w:ind w:hanging="142"/>
        <w:contextualSpacing w:val="0"/>
      </w:pPr>
    </w:p>
    <w:p w14:paraId="7D5B9CD6" w14:textId="77777777" w:rsidR="007572C8" w:rsidRDefault="007572C8" w:rsidP="007572C8">
      <w:pPr>
        <w:pStyle w:val="Ttulo4"/>
      </w:pPr>
      <w:r>
        <w:t>Enlace a preguntas tipo test</w:t>
      </w:r>
    </w:p>
    <w:p w14:paraId="3E9CC523" w14:textId="33BE056A" w:rsidR="007572C8" w:rsidRDefault="00000000" w:rsidP="007572C8">
      <w:hyperlink r:id="rId55" w:history="1">
        <w:r w:rsidR="007572C8" w:rsidRPr="009365A0">
          <w:rPr>
            <w:rStyle w:val="Hipervnculo"/>
          </w:rPr>
          <w:t>https://www.quia.com/quiz/6562974.html</w:t>
        </w:r>
      </w:hyperlink>
    </w:p>
    <w:bookmarkEnd w:id="74"/>
    <w:p w14:paraId="4E9AFAAB" w14:textId="77777777" w:rsidR="00342648" w:rsidRDefault="00342648" w:rsidP="00342648">
      <w:pPr>
        <w:pStyle w:val="Ttulo4"/>
      </w:pPr>
      <w:r w:rsidRPr="00342648">
        <w:t>Anexos</w:t>
      </w:r>
    </w:p>
    <w:p w14:paraId="2A8F6390" w14:textId="242FE1D6" w:rsidR="00342648" w:rsidRDefault="00342648" w:rsidP="0002549F">
      <w:pPr>
        <w:pStyle w:val="Ttulo5"/>
        <w:rPr>
          <w:i w:val="0"/>
          <w:iCs w:val="0"/>
          <w:u w:val="none"/>
        </w:rPr>
      </w:pPr>
      <w:r w:rsidRPr="0002549F">
        <w:t>Anexo</w:t>
      </w:r>
      <w:r w:rsidR="00E9501F">
        <w:t> </w:t>
      </w:r>
      <w:r w:rsidRPr="0002549F">
        <w:t>1</w:t>
      </w:r>
      <w:r w:rsidR="00D564BC">
        <w:rPr>
          <w:i w:val="0"/>
          <w:iCs w:val="0"/>
          <w:u w:val="none"/>
        </w:rPr>
        <w:t xml:space="preserve">: </w:t>
      </w:r>
      <w:r w:rsidR="00034D0C">
        <w:rPr>
          <w:i w:val="0"/>
          <w:iCs w:val="0"/>
          <w:u w:val="none"/>
        </w:rPr>
        <w:t xml:space="preserve">Bases de la valoración de un derivado. </w:t>
      </w:r>
      <w:r w:rsidR="00804AA5">
        <w:rPr>
          <w:i w:val="0"/>
          <w:iCs w:val="0"/>
          <w:u w:val="none"/>
        </w:rPr>
        <w:t xml:space="preserve">Teorema de </w:t>
      </w:r>
      <w:proofErr w:type="spellStart"/>
      <w:r w:rsidR="00804AA5">
        <w:rPr>
          <w:i w:val="0"/>
          <w:iCs w:val="0"/>
          <w:smallCaps/>
          <w:u w:val="none"/>
        </w:rPr>
        <w:t>Girsanov</w:t>
      </w:r>
      <w:proofErr w:type="spellEnd"/>
    </w:p>
    <w:p w14:paraId="59EB654D" w14:textId="64EA877C" w:rsidR="0015013E" w:rsidRDefault="00034D0C" w:rsidP="00502A72">
      <w:r>
        <w:t>El arbitraje está muy ligado al desarrollo de los mercados de derivados. Se trata de un concepto fundamental a la hora de valorar correctamente un instrumento derivado. En el sentido más estricto, el arbitraje no tiene riesgo. Las oportunidades de arbitraje surgen cuando un activo está mal valorado en el mercado. En ese caso, los arbitrajistas van a continuar operando en el mercado hasta que influya lo suficiente en la demanda y la oferta para que los precios vuelvan a niveles eficientes (de no arbitraje).</w:t>
      </w:r>
    </w:p>
    <w:p w14:paraId="145C7DEF" w14:textId="457B9FC7" w:rsidR="0090354F" w:rsidRDefault="0090354F" w:rsidP="0090354F">
      <w:pPr>
        <w:pStyle w:val="Ttulo5"/>
        <w:rPr>
          <w:i w:val="0"/>
          <w:iCs w:val="0"/>
          <w:u w:val="none"/>
        </w:rPr>
      </w:pPr>
      <w:bookmarkStart w:id="75" w:name="_Ref101169644"/>
      <w:r>
        <w:t>Anexo</w:t>
      </w:r>
      <w:r w:rsidR="00E9501F">
        <w:t> </w:t>
      </w:r>
      <w:r>
        <w:t>2</w:t>
      </w:r>
      <w:r>
        <w:rPr>
          <w:i w:val="0"/>
          <w:iCs w:val="0"/>
          <w:u w:val="none"/>
        </w:rPr>
        <w:t>: Funcionamiento y participantes de las cámaras de contrapartida central</w:t>
      </w:r>
      <w:bookmarkEnd w:id="75"/>
    </w:p>
    <w:p w14:paraId="79841B17" w14:textId="102B1CDB" w:rsidR="0090354F" w:rsidRDefault="0090354F" w:rsidP="0090354F">
      <w:r>
        <w:t>Las Cámaras de Contrapartida Central son entidades que se interponen en nombre propio en las operaciones de compraventa de instrumentos financieros, y se convierten en vendedor de cada comprador y en comprador de cada vendedor. Cuando una operación se registra en una Cámara de Contrapartida Central, da lugar a una transacción de compra y a otra de venta, y ambas tienen a la Cámara de Contrapartida Central como contrapartida:</w:t>
      </w:r>
    </w:p>
    <w:p w14:paraId="60FEB53B" w14:textId="182B4C9A" w:rsidR="0090354F" w:rsidRPr="00CE43C1" w:rsidRDefault="0090354F" w:rsidP="0090354F">
      <w:pPr>
        <w:pStyle w:val="Imagen"/>
        <w:rPr>
          <w:sz w:val="15"/>
          <w:szCs w:val="15"/>
        </w:rPr>
      </w:pPr>
      <w:r>
        <w:drawing>
          <wp:inline distT="0" distB="0" distL="0" distR="0" wp14:anchorId="06B8EAE0" wp14:editId="2A6A4AF8">
            <wp:extent cx="3390900" cy="1460224"/>
            <wp:effectExtent l="0" t="0" r="0" b="0"/>
            <wp:docPr id="6" name="Imagen 6"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Gráfico&#10;&#10;Descripción generada automáticamente"/>
                    <pic:cNvPicPr/>
                  </pic:nvPicPr>
                  <pic:blipFill>
                    <a:blip r:embed="rId56"/>
                    <a:stretch>
                      <a:fillRect/>
                    </a:stretch>
                  </pic:blipFill>
                  <pic:spPr>
                    <a:xfrm>
                      <a:off x="0" y="0"/>
                      <a:ext cx="3401076" cy="1464606"/>
                    </a:xfrm>
                    <a:prstGeom prst="rect">
                      <a:avLst/>
                    </a:prstGeom>
                  </pic:spPr>
                </pic:pic>
              </a:graphicData>
            </a:graphic>
          </wp:inline>
        </w:drawing>
      </w:r>
    </w:p>
    <w:p w14:paraId="50266BAA" w14:textId="32AD6C10" w:rsidR="0090354F" w:rsidRPr="00CE43C1" w:rsidRDefault="00CE43C1" w:rsidP="00CE43C1">
      <w:pPr>
        <w:pStyle w:val="PiedeImagen"/>
        <w:rPr>
          <w:i w:val="0"/>
          <w:iCs/>
          <w:spacing w:val="-6"/>
          <w:szCs w:val="15"/>
        </w:rPr>
      </w:pPr>
      <w:r w:rsidRPr="00CE43C1">
        <w:rPr>
          <w:spacing w:val="-6"/>
          <w:szCs w:val="15"/>
        </w:rPr>
        <w:t>Fuente</w:t>
      </w:r>
      <w:r w:rsidRPr="00CE43C1">
        <w:rPr>
          <w:i w:val="0"/>
          <w:iCs/>
          <w:spacing w:val="-6"/>
          <w:szCs w:val="15"/>
        </w:rPr>
        <w:t>:</w:t>
      </w:r>
      <w:r w:rsidRPr="00CE43C1">
        <w:rPr>
          <w:spacing w:val="-6"/>
          <w:szCs w:val="15"/>
        </w:rPr>
        <w:t xml:space="preserve"> </w:t>
      </w:r>
      <w:r w:rsidRPr="00CE43C1">
        <w:rPr>
          <w:i w:val="0"/>
          <w:iCs/>
          <w:spacing w:val="-6"/>
          <w:szCs w:val="15"/>
        </w:rPr>
        <w:t xml:space="preserve">Núñez Ramos, S. &amp; Valdeolivas, E. (2019). Las entidades de contrapartida central: Beneficios, costes y riesgos. </w:t>
      </w:r>
      <w:r w:rsidRPr="00CE43C1">
        <w:rPr>
          <w:spacing w:val="-6"/>
          <w:szCs w:val="15"/>
        </w:rPr>
        <w:t>Estabilidad financiera, 36</w:t>
      </w:r>
      <w:r w:rsidRPr="00CE43C1">
        <w:rPr>
          <w:i w:val="0"/>
          <w:iCs/>
          <w:spacing w:val="-6"/>
          <w:szCs w:val="15"/>
        </w:rPr>
        <w:t>, pág. 82.</w:t>
      </w:r>
      <w:r>
        <w:rPr>
          <w:i w:val="0"/>
          <w:iCs/>
          <w:spacing w:val="-6"/>
          <w:szCs w:val="15"/>
        </w:rPr>
        <w:t xml:space="preserve"> </w:t>
      </w:r>
      <w:hyperlink r:id="rId57" w:history="1">
        <w:r w:rsidRPr="005D4310">
          <w:rPr>
            <w:rStyle w:val="Hipervnculo"/>
            <w:i w:val="0"/>
            <w:iCs/>
            <w:spacing w:val="-6"/>
            <w:szCs w:val="15"/>
          </w:rPr>
          <w:t>https://repositorio.bde.es/bitstream/123456789/11205/1/Las_entidades_de_contrapartida_central.pdf</w:t>
        </w:r>
      </w:hyperlink>
    </w:p>
    <w:p w14:paraId="2FB0091A" w14:textId="2BF5ECFE" w:rsidR="00CE43C1" w:rsidRDefault="00CE43C1" w:rsidP="00CE43C1">
      <w:r>
        <w:t xml:space="preserve">De esta forma, la posición abierta de la cámara es nula, y, si por incumplimiento de un miembro no lo fuera, la Cámara de Contrapartida Central ha de actuar inmediatamente para volver a la posición </w:t>
      </w:r>
      <w:r w:rsidR="00CD5E2A">
        <w:t>neta nula. Ahora bien, al interponerse en todos los contratos, la Cámara de Contrapartida Central queda expuesta a riesgo de contrapartida tanto con el comprador como con el vendedor original</w:t>
      </w:r>
      <w:r w:rsidR="00CD5E2A">
        <w:rPr>
          <w:rStyle w:val="Refdenotaalpie"/>
        </w:rPr>
        <w:footnoteReference w:id="42"/>
      </w:r>
      <w:r w:rsidR="00CD5E2A">
        <w:t>.</w:t>
      </w:r>
    </w:p>
    <w:p w14:paraId="33CD28EC" w14:textId="07AD52E2" w:rsidR="00CD5E2A" w:rsidRDefault="00CD5E2A" w:rsidP="00CE43C1">
      <w:r>
        <w:lastRenderedPageBreak/>
        <w:t>Uno de los principales beneficios que ofrece la compensación centralizada frente a la bilateral es facilitar el neteo de posiciones a los participantes (miembros)</w:t>
      </w:r>
      <w:r w:rsidR="00EC6DF3">
        <w:rPr>
          <w:rStyle w:val="Refdenotaalpie"/>
        </w:rPr>
        <w:footnoteReference w:id="43"/>
      </w:r>
      <w:r>
        <w:t>. Al ser la Cámara de Contrapartida Central contrapartida de todas las operaciones, posiciones de signo contrario se netean automáticamente reduciendo o eliminando la exposición del participante, pero no así el riesgo de contrapartida (ni las obligaciones con esta), a no ser que la entidad de contrapartida sea la misma en las posiciones que se netean</w:t>
      </w:r>
      <w:r w:rsidR="00EC6DF3">
        <w:rPr>
          <w:rStyle w:val="Refdenotaalpie"/>
        </w:rPr>
        <w:footnoteReference w:id="44"/>
      </w:r>
      <w:r>
        <w:t>.</w:t>
      </w:r>
    </w:p>
    <w:p w14:paraId="0D91BE0F" w14:textId="71F165A1" w:rsidR="00CD5E2A" w:rsidRDefault="00CD5E2A" w:rsidP="00CE43C1">
      <w:r>
        <w:t>Las Cámaras de Contrapartida Central son sistemas de compensación cerrados y solo operan con aquellas entidades que son miembros y, a través de estos, con entidades que actúan como clientes. Para ejercer como miembro, las Cámaras de Contrapartida Central imponen una serie de requisitos relacionados, por ejemplo, con la solvencia y con la capacidad operativa de estos, con objeto de aminorar el riesgo de impago.</w:t>
      </w:r>
    </w:p>
    <w:p w14:paraId="54D4D596" w14:textId="4F4F9128" w:rsidR="00E17ADE" w:rsidRDefault="00E17ADE" w:rsidP="00E17ADE">
      <w:pPr>
        <w:pStyle w:val="Imagen"/>
      </w:pPr>
      <w:r>
        <w:drawing>
          <wp:inline distT="0" distB="0" distL="0" distR="0" wp14:anchorId="6C475726" wp14:editId="1BD73E72">
            <wp:extent cx="2335481" cy="2043546"/>
            <wp:effectExtent l="0" t="0" r="0" b="0"/>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a:blip r:embed="rId58"/>
                    <a:stretch>
                      <a:fillRect/>
                    </a:stretch>
                  </pic:blipFill>
                  <pic:spPr>
                    <a:xfrm>
                      <a:off x="0" y="0"/>
                      <a:ext cx="2354399" cy="2060099"/>
                    </a:xfrm>
                    <a:prstGeom prst="rect">
                      <a:avLst/>
                    </a:prstGeom>
                  </pic:spPr>
                </pic:pic>
              </a:graphicData>
            </a:graphic>
          </wp:inline>
        </w:drawing>
      </w:r>
    </w:p>
    <w:p w14:paraId="3A808020" w14:textId="42176253" w:rsidR="00E17ADE" w:rsidRDefault="00E17ADE" w:rsidP="00E17ADE">
      <w:pPr>
        <w:pStyle w:val="PiedeImagen"/>
        <w:rPr>
          <w:i w:val="0"/>
          <w:iCs/>
          <w:spacing w:val="-6"/>
          <w:szCs w:val="15"/>
        </w:rPr>
      </w:pPr>
      <w:r w:rsidRPr="00CE43C1">
        <w:rPr>
          <w:spacing w:val="-6"/>
          <w:szCs w:val="15"/>
        </w:rPr>
        <w:t>Fuente</w:t>
      </w:r>
      <w:r w:rsidRPr="00CE43C1">
        <w:rPr>
          <w:i w:val="0"/>
          <w:iCs/>
          <w:spacing w:val="-6"/>
          <w:szCs w:val="15"/>
        </w:rPr>
        <w:t>:</w:t>
      </w:r>
      <w:r w:rsidRPr="00CE43C1">
        <w:rPr>
          <w:spacing w:val="-6"/>
          <w:szCs w:val="15"/>
        </w:rPr>
        <w:t xml:space="preserve"> </w:t>
      </w:r>
      <w:r w:rsidRPr="00CE43C1">
        <w:rPr>
          <w:i w:val="0"/>
          <w:iCs/>
          <w:spacing w:val="-6"/>
          <w:szCs w:val="15"/>
        </w:rPr>
        <w:t xml:space="preserve">Núñez Ramos, S. &amp; Valdeolivas, E. (2019). Las entidades de contrapartida central: Beneficios, costes y riesgos. </w:t>
      </w:r>
      <w:r w:rsidRPr="00CE43C1">
        <w:rPr>
          <w:spacing w:val="-6"/>
          <w:szCs w:val="15"/>
        </w:rPr>
        <w:t>Estabilidad financiera, 36</w:t>
      </w:r>
      <w:r w:rsidRPr="00CE43C1">
        <w:rPr>
          <w:i w:val="0"/>
          <w:iCs/>
          <w:spacing w:val="-6"/>
          <w:szCs w:val="15"/>
        </w:rPr>
        <w:t>, pág. 8</w:t>
      </w:r>
      <w:r>
        <w:rPr>
          <w:i w:val="0"/>
          <w:iCs/>
          <w:spacing w:val="-6"/>
          <w:szCs w:val="15"/>
        </w:rPr>
        <w:t>3</w:t>
      </w:r>
      <w:r w:rsidRPr="00CE43C1">
        <w:rPr>
          <w:i w:val="0"/>
          <w:iCs/>
          <w:spacing w:val="-6"/>
          <w:szCs w:val="15"/>
        </w:rPr>
        <w:t>.</w:t>
      </w:r>
      <w:r>
        <w:rPr>
          <w:i w:val="0"/>
          <w:iCs/>
          <w:spacing w:val="-6"/>
          <w:szCs w:val="15"/>
        </w:rPr>
        <w:t xml:space="preserve"> </w:t>
      </w:r>
      <w:hyperlink r:id="rId59" w:history="1">
        <w:r w:rsidRPr="005D4310">
          <w:rPr>
            <w:rStyle w:val="Hipervnculo"/>
            <w:i w:val="0"/>
            <w:iCs/>
            <w:spacing w:val="-6"/>
            <w:szCs w:val="15"/>
          </w:rPr>
          <w:t>https://repositorio.bde.es/bitstream/123456789/11205/1/Las_entidades_de_contrapartida_central.pdf</w:t>
        </w:r>
      </w:hyperlink>
    </w:p>
    <w:p w14:paraId="657FB80A" w14:textId="59035C22" w:rsidR="00A44CE5" w:rsidRDefault="00A44CE5" w:rsidP="000B2215">
      <w:pPr>
        <w:pStyle w:val="Imagen"/>
      </w:pPr>
      <w:r>
        <w:drawing>
          <wp:inline distT="0" distB="0" distL="0" distR="0" wp14:anchorId="5259710C" wp14:editId="36D4920D">
            <wp:extent cx="3410124" cy="2605088"/>
            <wp:effectExtent l="0" t="0" r="0"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10;&#10;Descripción generada automáticamente"/>
                    <pic:cNvPicPr/>
                  </pic:nvPicPr>
                  <pic:blipFill>
                    <a:blip r:embed="rId60"/>
                    <a:stretch>
                      <a:fillRect/>
                    </a:stretch>
                  </pic:blipFill>
                  <pic:spPr>
                    <a:xfrm>
                      <a:off x="0" y="0"/>
                      <a:ext cx="3415748" cy="2609385"/>
                    </a:xfrm>
                    <a:prstGeom prst="rect">
                      <a:avLst/>
                    </a:prstGeom>
                  </pic:spPr>
                </pic:pic>
              </a:graphicData>
            </a:graphic>
          </wp:inline>
        </w:drawing>
      </w:r>
    </w:p>
    <w:p w14:paraId="1C18CC08" w14:textId="7C301EF3" w:rsidR="00A44CE5" w:rsidRPr="00E9501F" w:rsidRDefault="00A44CE5" w:rsidP="00E9501F">
      <w:pPr>
        <w:pStyle w:val="PiedeImagen"/>
        <w:rPr>
          <w:i w:val="0"/>
          <w:iCs/>
          <w:spacing w:val="-6"/>
          <w:szCs w:val="15"/>
        </w:rPr>
      </w:pPr>
      <w:r w:rsidRPr="00CE43C1">
        <w:rPr>
          <w:spacing w:val="-6"/>
          <w:szCs w:val="15"/>
        </w:rPr>
        <w:t>Fuente</w:t>
      </w:r>
      <w:r w:rsidRPr="00CE43C1">
        <w:rPr>
          <w:i w:val="0"/>
          <w:iCs/>
          <w:spacing w:val="-6"/>
          <w:szCs w:val="15"/>
        </w:rPr>
        <w:t>:</w:t>
      </w:r>
      <w:r w:rsidRPr="00CE43C1">
        <w:rPr>
          <w:spacing w:val="-6"/>
          <w:szCs w:val="15"/>
        </w:rPr>
        <w:t xml:space="preserve"> </w:t>
      </w:r>
      <w:r w:rsidRPr="00CE43C1">
        <w:rPr>
          <w:i w:val="0"/>
          <w:iCs/>
          <w:spacing w:val="-6"/>
          <w:szCs w:val="15"/>
        </w:rPr>
        <w:t xml:space="preserve">Núñez Ramos, S. &amp; Valdeolivas, E. (2019). Las entidades de contrapartida central: Beneficios, costes y riesgos. </w:t>
      </w:r>
      <w:r w:rsidRPr="00CE43C1">
        <w:rPr>
          <w:spacing w:val="-6"/>
          <w:szCs w:val="15"/>
        </w:rPr>
        <w:t>Estabilidad financiera, 36</w:t>
      </w:r>
      <w:r w:rsidRPr="00CE43C1">
        <w:rPr>
          <w:i w:val="0"/>
          <w:iCs/>
          <w:spacing w:val="-6"/>
          <w:szCs w:val="15"/>
        </w:rPr>
        <w:t xml:space="preserve">, pág. </w:t>
      </w:r>
      <w:r>
        <w:rPr>
          <w:i w:val="0"/>
          <w:iCs/>
          <w:spacing w:val="-6"/>
          <w:szCs w:val="15"/>
        </w:rPr>
        <w:t>90</w:t>
      </w:r>
      <w:r w:rsidRPr="00CE43C1">
        <w:rPr>
          <w:i w:val="0"/>
          <w:iCs/>
          <w:spacing w:val="-6"/>
          <w:szCs w:val="15"/>
        </w:rPr>
        <w:t>.</w:t>
      </w:r>
      <w:r>
        <w:rPr>
          <w:i w:val="0"/>
          <w:iCs/>
          <w:spacing w:val="-6"/>
          <w:szCs w:val="15"/>
        </w:rPr>
        <w:t xml:space="preserve"> </w:t>
      </w:r>
      <w:hyperlink r:id="rId61" w:history="1">
        <w:r w:rsidRPr="005D4310">
          <w:rPr>
            <w:rStyle w:val="Hipervnculo"/>
            <w:i w:val="0"/>
            <w:iCs/>
            <w:spacing w:val="-6"/>
            <w:szCs w:val="15"/>
          </w:rPr>
          <w:t>https://repositorio.bde.es/bitstream/123456789/11205/1/Las_entidades_de_contrapartida_central.pdf</w:t>
        </w:r>
      </w:hyperlink>
    </w:p>
    <w:p w14:paraId="6B0884FA" w14:textId="332D220A" w:rsidR="000B2215" w:rsidRDefault="000B2215" w:rsidP="000B2215">
      <w:pPr>
        <w:pStyle w:val="Imagen"/>
      </w:pPr>
      <w:r>
        <w:lastRenderedPageBreak/>
        <w:drawing>
          <wp:inline distT="0" distB="0" distL="0" distR="0" wp14:anchorId="5204B2BB" wp14:editId="299DCB81">
            <wp:extent cx="3443288" cy="2539693"/>
            <wp:effectExtent l="0" t="0" r="0" b="0"/>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pic:nvPicPr>
                  <pic:blipFill>
                    <a:blip r:embed="rId62"/>
                    <a:stretch>
                      <a:fillRect/>
                    </a:stretch>
                  </pic:blipFill>
                  <pic:spPr>
                    <a:xfrm>
                      <a:off x="0" y="0"/>
                      <a:ext cx="3446253" cy="2541880"/>
                    </a:xfrm>
                    <a:prstGeom prst="rect">
                      <a:avLst/>
                    </a:prstGeom>
                  </pic:spPr>
                </pic:pic>
              </a:graphicData>
            </a:graphic>
          </wp:inline>
        </w:drawing>
      </w:r>
    </w:p>
    <w:p w14:paraId="409F18FC" w14:textId="2E5F2746" w:rsidR="00E30989" w:rsidRPr="00275D16" w:rsidRDefault="000B2215" w:rsidP="00275D16">
      <w:pPr>
        <w:pStyle w:val="PiedeImagen"/>
        <w:rPr>
          <w:i w:val="0"/>
          <w:iCs/>
          <w:color w:val="0563C1" w:themeColor="hyperlink"/>
          <w:spacing w:val="-6"/>
          <w:szCs w:val="15"/>
          <w:u w:val="single"/>
        </w:rPr>
      </w:pPr>
      <w:r w:rsidRPr="00CE43C1">
        <w:rPr>
          <w:spacing w:val="-6"/>
          <w:szCs w:val="15"/>
        </w:rPr>
        <w:t>Fuente</w:t>
      </w:r>
      <w:r w:rsidRPr="00CE43C1">
        <w:rPr>
          <w:i w:val="0"/>
          <w:iCs/>
          <w:spacing w:val="-6"/>
          <w:szCs w:val="15"/>
        </w:rPr>
        <w:t>:</w:t>
      </w:r>
      <w:r w:rsidRPr="00CE43C1">
        <w:rPr>
          <w:spacing w:val="-6"/>
          <w:szCs w:val="15"/>
        </w:rPr>
        <w:t xml:space="preserve"> </w:t>
      </w:r>
      <w:r w:rsidRPr="00CE43C1">
        <w:rPr>
          <w:i w:val="0"/>
          <w:iCs/>
          <w:spacing w:val="-6"/>
          <w:szCs w:val="15"/>
        </w:rPr>
        <w:t xml:space="preserve">Núñez Ramos, S. &amp; Valdeolivas, E. (2019). Las entidades de contrapartida central: Beneficios, costes y riesgos. </w:t>
      </w:r>
      <w:r w:rsidRPr="00CE43C1">
        <w:rPr>
          <w:spacing w:val="-6"/>
          <w:szCs w:val="15"/>
        </w:rPr>
        <w:t>Estabilidad financiera, 36</w:t>
      </w:r>
      <w:r w:rsidRPr="00CE43C1">
        <w:rPr>
          <w:i w:val="0"/>
          <w:iCs/>
          <w:spacing w:val="-6"/>
          <w:szCs w:val="15"/>
        </w:rPr>
        <w:t xml:space="preserve">, pág. </w:t>
      </w:r>
      <w:r>
        <w:rPr>
          <w:i w:val="0"/>
          <w:iCs/>
          <w:spacing w:val="-6"/>
          <w:szCs w:val="15"/>
        </w:rPr>
        <w:t>101</w:t>
      </w:r>
      <w:r w:rsidRPr="00CE43C1">
        <w:rPr>
          <w:i w:val="0"/>
          <w:iCs/>
          <w:spacing w:val="-6"/>
          <w:szCs w:val="15"/>
        </w:rPr>
        <w:t>.</w:t>
      </w:r>
      <w:r>
        <w:rPr>
          <w:i w:val="0"/>
          <w:iCs/>
          <w:spacing w:val="-6"/>
          <w:szCs w:val="15"/>
        </w:rPr>
        <w:t xml:space="preserve"> </w:t>
      </w:r>
      <w:hyperlink r:id="rId63" w:history="1">
        <w:r w:rsidRPr="005D4310">
          <w:rPr>
            <w:rStyle w:val="Hipervnculo"/>
            <w:i w:val="0"/>
            <w:iCs/>
            <w:spacing w:val="-6"/>
            <w:szCs w:val="15"/>
          </w:rPr>
          <w:t>https://repositorio.bde.es/bitstream/123456789/11205/1/Las_entidades_de_contrapartida_central.pdf</w:t>
        </w:r>
      </w:hyperlink>
    </w:p>
    <w:sectPr w:rsidR="00E30989" w:rsidRPr="00275D16" w:rsidSect="00B075F2">
      <w:headerReference w:type="even" r:id="rId64"/>
      <w:headerReference w:type="default" r:id="rId65"/>
      <w:footerReference w:type="even" r:id="rId66"/>
      <w:footerReference w:type="default" r:id="rId67"/>
      <w:headerReference w:type="first" r:id="rId68"/>
      <w:footerReference w:type="first" r:id="rId6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87904" w14:textId="77777777" w:rsidR="00B27B0B" w:rsidRDefault="00B27B0B" w:rsidP="00B77C0F">
      <w:r>
        <w:separator/>
      </w:r>
    </w:p>
  </w:endnote>
  <w:endnote w:type="continuationSeparator" w:id="0">
    <w:p w14:paraId="1A531B6E" w14:textId="77777777" w:rsidR="00B27B0B" w:rsidRDefault="00B27B0B"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C87B45" w:rsidRPr="00C44422" w14:paraId="5C7E180A" w14:textId="77777777" w:rsidTr="00630AF2">
      <w:trPr>
        <w:trHeight w:val="138"/>
        <w:jc w:val="center"/>
      </w:trPr>
      <w:tc>
        <w:tcPr>
          <w:tcW w:w="1134" w:type="dxa"/>
        </w:tcPr>
        <w:p w14:paraId="5A5B2BF4" w14:textId="77777777" w:rsidR="00C87B45" w:rsidRPr="00C44422" w:rsidRDefault="00C87B45" w:rsidP="00614B4A">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76B212C5" w14:textId="77777777" w:rsidR="00C87B45" w:rsidRPr="00C44422" w:rsidRDefault="00C87B45" w:rsidP="00614B4A">
          <w:pPr>
            <w:pStyle w:val="Encabezado"/>
            <w:spacing w:after="0"/>
            <w:ind w:right="-110"/>
            <w:contextualSpacing/>
            <w:jc w:val="center"/>
            <w:rPr>
              <w:i/>
              <w:iCs/>
              <w:color w:val="5F2987"/>
              <w:sz w:val="18"/>
              <w:szCs w:val="18"/>
            </w:rPr>
          </w:pPr>
        </w:p>
      </w:tc>
      <w:tc>
        <w:tcPr>
          <w:tcW w:w="2551" w:type="dxa"/>
          <w:vAlign w:val="center"/>
        </w:tcPr>
        <w:p w14:paraId="2886F552" w14:textId="77777777" w:rsidR="00C87B45" w:rsidRPr="00C44422" w:rsidRDefault="00C87B45" w:rsidP="00614B4A">
          <w:pPr>
            <w:pStyle w:val="Encabezado"/>
            <w:spacing w:after="0"/>
            <w:contextualSpacing/>
            <w:jc w:val="right"/>
            <w:rPr>
              <w:b/>
              <w:bCs/>
              <w:i/>
              <w:iCs/>
              <w:color w:val="5F2987"/>
              <w:spacing w:val="-6"/>
              <w:sz w:val="18"/>
              <w:szCs w:val="18"/>
            </w:rPr>
          </w:pPr>
        </w:p>
      </w:tc>
    </w:tr>
  </w:tbl>
  <w:p w14:paraId="28B6D84E" w14:textId="77777777" w:rsidR="00B70943" w:rsidRPr="009C61AF" w:rsidRDefault="00B70943" w:rsidP="00614B4A">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076633528"/>
      <w:docPartObj>
        <w:docPartGallery w:val="Page Numbers (Bottom of Page)"/>
        <w:docPartUnique/>
      </w:docPartObj>
    </w:sdtPr>
    <w:sdtEndPr>
      <w:rPr>
        <w:noProof/>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572C8" w:rsidRPr="00B075F2" w14:paraId="36F083DA" w14:textId="77777777" w:rsidTr="00670359">
          <w:trPr>
            <w:trHeight w:val="138"/>
            <w:jc w:val="center"/>
          </w:trPr>
          <w:tc>
            <w:tcPr>
              <w:tcW w:w="1134" w:type="dxa"/>
              <w:vAlign w:val="center"/>
            </w:tcPr>
            <w:p w14:paraId="18C3F22C" w14:textId="77777777" w:rsidR="007572C8" w:rsidRPr="00B075F2" w:rsidRDefault="007572C8" w:rsidP="00946D4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02E5156" w14:textId="77777777" w:rsidR="007572C8" w:rsidRPr="00B075F2" w:rsidRDefault="007572C8" w:rsidP="00946D45">
              <w:pPr>
                <w:pStyle w:val="Encabezado"/>
                <w:spacing w:after="0"/>
                <w:ind w:right="-110"/>
                <w:contextualSpacing/>
                <w:jc w:val="center"/>
                <w:rPr>
                  <w:i/>
                  <w:iCs/>
                  <w:color w:val="5F2987"/>
                  <w:sz w:val="18"/>
                  <w:szCs w:val="18"/>
                </w:rPr>
              </w:pPr>
            </w:p>
          </w:tc>
          <w:tc>
            <w:tcPr>
              <w:tcW w:w="2551" w:type="dxa"/>
              <w:vAlign w:val="center"/>
            </w:tcPr>
            <w:p w14:paraId="7BF3116D" w14:textId="77777777" w:rsidR="007572C8" w:rsidRPr="00B075F2" w:rsidRDefault="007572C8" w:rsidP="00946D45">
              <w:pPr>
                <w:pStyle w:val="Encabezado"/>
                <w:spacing w:after="0"/>
                <w:contextualSpacing/>
                <w:jc w:val="right"/>
                <w:rPr>
                  <w:b/>
                  <w:bCs/>
                  <w:i/>
                  <w:iCs/>
                  <w:color w:val="5F2987"/>
                  <w:spacing w:val="-6"/>
                  <w:sz w:val="18"/>
                  <w:szCs w:val="18"/>
                </w:rPr>
              </w:pPr>
              <w:r w:rsidRPr="00B075F2">
                <w:rPr>
                  <w:b/>
                  <w:bCs/>
                  <w:i/>
                  <w:iCs/>
                  <w:color w:val="5F2987"/>
                  <w:spacing w:val="-6"/>
                  <w:sz w:val="18"/>
                  <w:szCs w:val="18"/>
                </w:rPr>
                <w:fldChar w:fldCharType="begin"/>
              </w:r>
              <w:r w:rsidRPr="00B075F2">
                <w:rPr>
                  <w:b/>
                  <w:bCs/>
                  <w:i/>
                  <w:iCs/>
                  <w:color w:val="5F2987"/>
                  <w:spacing w:val="-6"/>
                  <w:sz w:val="18"/>
                  <w:szCs w:val="18"/>
                </w:rPr>
                <w:instrText>PAGE  \* Arabic  \* MERGEFORMAT</w:instrText>
              </w:r>
              <w:r w:rsidRPr="00B075F2">
                <w:rPr>
                  <w:b/>
                  <w:bCs/>
                  <w:i/>
                  <w:iCs/>
                  <w:color w:val="5F2987"/>
                  <w:spacing w:val="-6"/>
                  <w:sz w:val="18"/>
                  <w:szCs w:val="18"/>
                </w:rPr>
                <w:fldChar w:fldCharType="separate"/>
              </w:r>
              <w:r w:rsidRPr="00B075F2">
                <w:rPr>
                  <w:b/>
                  <w:bCs/>
                  <w:i/>
                  <w:iCs/>
                  <w:color w:val="5F2987"/>
                  <w:spacing w:val="-6"/>
                  <w:sz w:val="18"/>
                  <w:szCs w:val="18"/>
                </w:rPr>
                <w:t>1</w:t>
              </w:r>
              <w:r w:rsidRPr="00B075F2">
                <w:rPr>
                  <w:b/>
                  <w:bCs/>
                  <w:i/>
                  <w:iCs/>
                  <w:color w:val="5F2987"/>
                  <w:spacing w:val="-6"/>
                  <w:sz w:val="18"/>
                  <w:szCs w:val="18"/>
                </w:rPr>
                <w:fldChar w:fldCharType="end"/>
              </w:r>
              <w:r w:rsidRPr="00B075F2">
                <w:rPr>
                  <w:b/>
                  <w:bCs/>
                  <w:i/>
                  <w:iCs/>
                  <w:color w:val="5F2987"/>
                  <w:spacing w:val="-6"/>
                  <w:sz w:val="18"/>
                  <w:szCs w:val="18"/>
                </w:rPr>
                <w:t>/</w:t>
              </w:r>
              <w:r w:rsidRPr="00B075F2">
                <w:rPr>
                  <w:b/>
                  <w:bCs/>
                  <w:i/>
                  <w:iCs/>
                  <w:color w:val="5F2987"/>
                  <w:spacing w:val="-6"/>
                  <w:sz w:val="18"/>
                  <w:szCs w:val="18"/>
                </w:rPr>
                <w:fldChar w:fldCharType="begin"/>
              </w:r>
              <w:r w:rsidRPr="00B075F2">
                <w:rPr>
                  <w:b/>
                  <w:bCs/>
                  <w:i/>
                  <w:iCs/>
                  <w:color w:val="5F2987"/>
                  <w:spacing w:val="-6"/>
                  <w:sz w:val="18"/>
                  <w:szCs w:val="18"/>
                </w:rPr>
                <w:instrText>NUMPAGES  \* Arabic  \* MERGEFORMAT</w:instrText>
              </w:r>
              <w:r w:rsidRPr="00B075F2">
                <w:rPr>
                  <w:b/>
                  <w:bCs/>
                  <w:i/>
                  <w:iCs/>
                  <w:color w:val="5F2987"/>
                  <w:spacing w:val="-6"/>
                  <w:sz w:val="18"/>
                  <w:szCs w:val="18"/>
                </w:rPr>
                <w:fldChar w:fldCharType="separate"/>
              </w:r>
              <w:r w:rsidRPr="00B075F2">
                <w:rPr>
                  <w:b/>
                  <w:bCs/>
                  <w:i/>
                  <w:iCs/>
                  <w:color w:val="5F2987"/>
                  <w:spacing w:val="-6"/>
                  <w:sz w:val="18"/>
                  <w:szCs w:val="18"/>
                </w:rPr>
                <w:t>2</w:t>
              </w:r>
              <w:r w:rsidRPr="00B075F2">
                <w:rPr>
                  <w:b/>
                  <w:bCs/>
                  <w:i/>
                  <w:iCs/>
                  <w:color w:val="5F2987"/>
                  <w:spacing w:val="-6"/>
                  <w:sz w:val="18"/>
                  <w:szCs w:val="18"/>
                </w:rPr>
                <w:fldChar w:fldCharType="end"/>
              </w:r>
            </w:p>
          </w:tc>
        </w:tr>
      </w:tbl>
      <w:p w14:paraId="0F4A5CE9" w14:textId="290C432C" w:rsidR="00C81078" w:rsidRPr="00B075F2" w:rsidRDefault="00000000" w:rsidP="00946D45">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572C8" w:rsidRPr="00B075F2" w14:paraId="7CBEC221" w14:textId="77777777" w:rsidTr="00670359">
          <w:trPr>
            <w:trHeight w:val="138"/>
            <w:jc w:val="center"/>
          </w:trPr>
          <w:tc>
            <w:tcPr>
              <w:tcW w:w="1134" w:type="dxa"/>
              <w:vAlign w:val="center"/>
            </w:tcPr>
            <w:p w14:paraId="097B9BA2" w14:textId="77777777" w:rsidR="007572C8" w:rsidRPr="00B075F2" w:rsidRDefault="007572C8" w:rsidP="00FC68AE">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60E3A0A" w14:textId="77777777" w:rsidR="007572C8" w:rsidRPr="00B075F2" w:rsidRDefault="007572C8" w:rsidP="00FC68AE">
              <w:pPr>
                <w:pStyle w:val="Encabezado"/>
                <w:spacing w:after="0"/>
                <w:ind w:right="-110"/>
                <w:contextualSpacing/>
                <w:jc w:val="center"/>
                <w:rPr>
                  <w:i/>
                  <w:iCs/>
                  <w:color w:val="5F2987"/>
                  <w:sz w:val="18"/>
                  <w:szCs w:val="18"/>
                </w:rPr>
              </w:pPr>
            </w:p>
          </w:tc>
          <w:tc>
            <w:tcPr>
              <w:tcW w:w="2551" w:type="dxa"/>
              <w:vAlign w:val="center"/>
            </w:tcPr>
            <w:p w14:paraId="4AD58792" w14:textId="77777777" w:rsidR="007572C8" w:rsidRPr="00B075F2" w:rsidRDefault="007572C8" w:rsidP="00FC68AE">
              <w:pPr>
                <w:pStyle w:val="Encabezado"/>
                <w:spacing w:after="0"/>
                <w:contextualSpacing/>
                <w:jc w:val="right"/>
                <w:rPr>
                  <w:b/>
                  <w:bCs/>
                  <w:i/>
                  <w:iCs/>
                  <w:color w:val="5F2987"/>
                  <w:spacing w:val="-6"/>
                  <w:sz w:val="18"/>
                  <w:szCs w:val="18"/>
                </w:rPr>
              </w:pPr>
              <w:r w:rsidRPr="00B075F2">
                <w:rPr>
                  <w:b/>
                  <w:bCs/>
                  <w:i/>
                  <w:iCs/>
                  <w:color w:val="5F2987"/>
                  <w:spacing w:val="-6"/>
                  <w:sz w:val="18"/>
                  <w:szCs w:val="18"/>
                </w:rPr>
                <w:fldChar w:fldCharType="begin"/>
              </w:r>
              <w:r w:rsidRPr="00B075F2">
                <w:rPr>
                  <w:b/>
                  <w:bCs/>
                  <w:i/>
                  <w:iCs/>
                  <w:color w:val="5F2987"/>
                  <w:spacing w:val="-6"/>
                  <w:sz w:val="18"/>
                  <w:szCs w:val="18"/>
                </w:rPr>
                <w:instrText>PAGE  \* Arabic  \* MERGEFORMAT</w:instrText>
              </w:r>
              <w:r w:rsidRPr="00B075F2">
                <w:rPr>
                  <w:b/>
                  <w:bCs/>
                  <w:i/>
                  <w:iCs/>
                  <w:color w:val="5F2987"/>
                  <w:spacing w:val="-6"/>
                  <w:sz w:val="18"/>
                  <w:szCs w:val="18"/>
                </w:rPr>
                <w:fldChar w:fldCharType="separate"/>
              </w:r>
              <w:r w:rsidRPr="00B075F2">
                <w:rPr>
                  <w:b/>
                  <w:bCs/>
                  <w:i/>
                  <w:iCs/>
                  <w:color w:val="5F2987"/>
                  <w:spacing w:val="-6"/>
                  <w:sz w:val="18"/>
                  <w:szCs w:val="18"/>
                </w:rPr>
                <w:t>1</w:t>
              </w:r>
              <w:r w:rsidRPr="00B075F2">
                <w:rPr>
                  <w:b/>
                  <w:bCs/>
                  <w:i/>
                  <w:iCs/>
                  <w:color w:val="5F2987"/>
                  <w:spacing w:val="-6"/>
                  <w:sz w:val="18"/>
                  <w:szCs w:val="18"/>
                </w:rPr>
                <w:fldChar w:fldCharType="end"/>
              </w:r>
              <w:r w:rsidRPr="00B075F2">
                <w:rPr>
                  <w:b/>
                  <w:bCs/>
                  <w:i/>
                  <w:iCs/>
                  <w:color w:val="5F2987"/>
                  <w:spacing w:val="-6"/>
                  <w:sz w:val="18"/>
                  <w:szCs w:val="18"/>
                </w:rPr>
                <w:t>/</w:t>
              </w:r>
              <w:r w:rsidRPr="00B075F2">
                <w:rPr>
                  <w:b/>
                  <w:bCs/>
                  <w:i/>
                  <w:iCs/>
                  <w:color w:val="5F2987"/>
                  <w:spacing w:val="-6"/>
                  <w:sz w:val="18"/>
                  <w:szCs w:val="18"/>
                </w:rPr>
                <w:fldChar w:fldCharType="begin"/>
              </w:r>
              <w:r w:rsidRPr="00B075F2">
                <w:rPr>
                  <w:b/>
                  <w:bCs/>
                  <w:i/>
                  <w:iCs/>
                  <w:color w:val="5F2987"/>
                  <w:spacing w:val="-6"/>
                  <w:sz w:val="18"/>
                  <w:szCs w:val="18"/>
                </w:rPr>
                <w:instrText>NUMPAGES  \* Arabic  \* MERGEFORMAT</w:instrText>
              </w:r>
              <w:r w:rsidRPr="00B075F2">
                <w:rPr>
                  <w:b/>
                  <w:bCs/>
                  <w:i/>
                  <w:iCs/>
                  <w:color w:val="5F2987"/>
                  <w:spacing w:val="-6"/>
                  <w:sz w:val="18"/>
                  <w:szCs w:val="18"/>
                </w:rPr>
                <w:fldChar w:fldCharType="separate"/>
              </w:r>
              <w:r w:rsidRPr="00B075F2">
                <w:rPr>
                  <w:b/>
                  <w:bCs/>
                  <w:i/>
                  <w:iCs/>
                  <w:color w:val="5F2987"/>
                  <w:spacing w:val="-6"/>
                  <w:sz w:val="18"/>
                  <w:szCs w:val="18"/>
                </w:rPr>
                <w:t>2</w:t>
              </w:r>
              <w:r w:rsidRPr="00B075F2">
                <w:rPr>
                  <w:b/>
                  <w:bCs/>
                  <w:i/>
                  <w:iCs/>
                  <w:color w:val="5F2987"/>
                  <w:spacing w:val="-6"/>
                  <w:sz w:val="18"/>
                  <w:szCs w:val="18"/>
                </w:rPr>
                <w:fldChar w:fldCharType="end"/>
              </w:r>
            </w:p>
          </w:tc>
        </w:tr>
      </w:tbl>
      <w:p w14:paraId="0DAE86E7" w14:textId="1DD35901" w:rsidR="002756C0" w:rsidRPr="007572C8" w:rsidRDefault="00000000" w:rsidP="00FC68AE">
        <w:pPr>
          <w:spacing w:after="0" w:line="240" w:lineRule="auto"/>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D92EA" w14:textId="77777777" w:rsidR="00B27B0B" w:rsidRPr="00417327" w:rsidRDefault="00B27B0B" w:rsidP="00417327">
      <w:pPr>
        <w:spacing w:after="0" w:line="240" w:lineRule="auto"/>
        <w:rPr>
          <w:sz w:val="16"/>
          <w:szCs w:val="16"/>
        </w:rPr>
      </w:pPr>
      <w:r w:rsidRPr="00417327">
        <w:rPr>
          <w:sz w:val="16"/>
          <w:szCs w:val="16"/>
        </w:rPr>
        <w:separator/>
      </w:r>
    </w:p>
  </w:footnote>
  <w:footnote w:type="continuationSeparator" w:id="0">
    <w:p w14:paraId="5FB96849" w14:textId="77777777" w:rsidR="00B27B0B" w:rsidRPr="005C59C7" w:rsidRDefault="00B27B0B" w:rsidP="005C59C7">
      <w:pPr>
        <w:spacing w:after="0" w:line="240" w:lineRule="auto"/>
        <w:rPr>
          <w:sz w:val="16"/>
          <w:szCs w:val="16"/>
        </w:rPr>
      </w:pPr>
      <w:r w:rsidRPr="005C59C7">
        <w:rPr>
          <w:sz w:val="16"/>
          <w:szCs w:val="16"/>
        </w:rPr>
        <w:continuationSeparator/>
      </w:r>
    </w:p>
  </w:footnote>
  <w:footnote w:type="continuationNotice" w:id="1">
    <w:p w14:paraId="1D2CA410" w14:textId="77777777" w:rsidR="00B27B0B" w:rsidRPr="005C59C7" w:rsidRDefault="00B27B0B" w:rsidP="005C59C7">
      <w:pPr>
        <w:spacing w:after="0" w:line="192" w:lineRule="auto"/>
        <w:jc w:val="right"/>
        <w:rPr>
          <w:sz w:val="16"/>
          <w:szCs w:val="16"/>
        </w:rPr>
      </w:pPr>
      <w:r w:rsidRPr="005C59C7">
        <w:rPr>
          <w:rFonts w:ascii="Cambria Math" w:hAnsi="Cambria Math" w:cs="Cambria Math"/>
          <w:sz w:val="16"/>
          <w:szCs w:val="16"/>
        </w:rPr>
        <w:t>↪</w:t>
      </w:r>
    </w:p>
  </w:footnote>
  <w:footnote w:id="2">
    <w:p w14:paraId="579FB311" w14:textId="77777777" w:rsidR="00832EBC" w:rsidRDefault="00832EBC" w:rsidP="00832EBC">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24A565F9" w14:textId="77777777" w:rsidR="00832EBC" w:rsidRDefault="00832EBC">
      <w:pPr>
        <w:pStyle w:val="Textonotapie"/>
        <w:numPr>
          <w:ilvl w:val="1"/>
          <w:numId w:val="26"/>
        </w:numPr>
        <w:spacing w:after="0"/>
        <w:ind w:left="426" w:hanging="142"/>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7845D047" w14:textId="77777777" w:rsidR="00832EBC" w:rsidRDefault="00832EBC">
      <w:pPr>
        <w:pStyle w:val="Textonotapie"/>
        <w:keepNext/>
        <w:numPr>
          <w:ilvl w:val="0"/>
          <w:numId w:val="26"/>
        </w:numPr>
        <w:spacing w:after="0"/>
        <w:ind w:left="113" w:hanging="113"/>
      </w:pPr>
      <w:r>
        <w:t>Distinguimos dos tipos de inversiones según el tipo de activo:</w:t>
      </w:r>
    </w:p>
    <w:p w14:paraId="2954374B" w14:textId="77777777" w:rsidR="00832EBC" w:rsidRDefault="00832EBC">
      <w:pPr>
        <w:pStyle w:val="Textonotapie"/>
        <w:keepNext/>
        <w:numPr>
          <w:ilvl w:val="1"/>
          <w:numId w:val="26"/>
        </w:numPr>
        <w:spacing w:after="0"/>
        <w:ind w:left="426" w:hanging="142"/>
      </w:pPr>
      <w:r>
        <w:rPr>
          <w:i/>
          <w:iCs/>
          <w:u w:val="single"/>
        </w:rPr>
        <w:t>Activo</w:t>
      </w:r>
      <w:r w:rsidRPr="001C11F8">
        <w:rPr>
          <w:i/>
          <w:iCs/>
          <w:u w:val="single"/>
        </w:rPr>
        <w:t>s reales</w:t>
      </w:r>
      <w:r>
        <w:t>: Son los que determinan en última instancia la riqueza material de una sociedad mediante su influencia en la capacidad productiva de la economía.</w:t>
      </w:r>
    </w:p>
    <w:p w14:paraId="1EDA09B2" w14:textId="77777777" w:rsidR="00832EBC" w:rsidRDefault="00832EBC">
      <w:pPr>
        <w:pStyle w:val="Textonotapie"/>
        <w:numPr>
          <w:ilvl w:val="1"/>
          <w:numId w:val="26"/>
        </w:numPr>
        <w:spacing w:after="0"/>
        <w:ind w:left="426" w:hanging="142"/>
        <w:rPr>
          <w:spacing w:val="-3"/>
        </w:rPr>
      </w:pPr>
      <w:r w:rsidRPr="00DE4328">
        <w:rPr>
          <w:i/>
          <w:iCs/>
          <w:spacing w:val="-3"/>
          <w:u w:val="single"/>
        </w:rPr>
        <w:t>Activos financieros</w:t>
      </w:r>
      <w:r w:rsidRPr="00DE4328">
        <w:rPr>
          <w:spacing w:val="-3"/>
        </w:rPr>
        <w:t>: No son más que trozos de papel o anotaciones informáticas que no contribuyen de manera directa a la capacidad productiva de la economía. En realidad, estos activos financieros son derechos sobre los activos reales o los ingresos generados por ellos.</w:t>
      </w:r>
    </w:p>
    <w:p w14:paraId="2DB2B626" w14:textId="77777777" w:rsidR="00832EBC" w:rsidRPr="007D1E41" w:rsidRDefault="00832EBC" w:rsidP="00832EBC">
      <w:pPr>
        <w:pStyle w:val="Textonotapie"/>
      </w:pP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3">
    <w:p w14:paraId="515E3CF4" w14:textId="77777777" w:rsidR="00614B4A" w:rsidRDefault="00614B4A" w:rsidP="00614B4A">
      <w:pPr>
        <w:pStyle w:val="Textonotapie"/>
      </w:pPr>
      <w:r>
        <w:rPr>
          <w:rStyle w:val="Refdenotaalpie"/>
        </w:rPr>
        <w:footnoteRef/>
      </w:r>
      <w:r>
        <w:t xml:space="preserve"> </w:t>
      </w:r>
      <w:r w:rsidRPr="00024B19">
        <w:t>El tipo impositivo es del 0,2</w:t>
      </w:r>
      <w:r>
        <w:t> </w:t>
      </w:r>
      <w:r w:rsidRPr="00024B19">
        <w:t>% (</w:t>
      </w:r>
      <w:r>
        <w:t xml:space="preserve">desde enero de </w:t>
      </w:r>
      <w:r w:rsidRPr="00024B19">
        <w:t>202</w:t>
      </w:r>
      <w:r>
        <w:t>1</w:t>
      </w:r>
      <w:r w:rsidRPr="00024B19">
        <w:t>) y se calcula en base al valor de la transacción, donde las transacciones en el mismo día (intradía) por instrumento financiero se ven compensadas.</w:t>
      </w:r>
    </w:p>
  </w:footnote>
  <w:footnote w:id="4">
    <w:p w14:paraId="11B63FCB" w14:textId="77777777" w:rsidR="007340BE" w:rsidRPr="00E05D38" w:rsidRDefault="007340BE" w:rsidP="007340BE">
      <w:pPr>
        <w:pStyle w:val="Textonotapie"/>
      </w:pPr>
      <w:r>
        <w:rPr>
          <w:rStyle w:val="Refdenotaalpie"/>
        </w:rPr>
        <w:footnoteRef/>
      </w:r>
      <w:r>
        <w:t xml:space="preserve"> </w:t>
      </w:r>
      <w:r w:rsidRPr="00E05D38">
        <w:rPr>
          <w:smallCaps/>
        </w:rPr>
        <w:t>Robert C.</w:t>
      </w:r>
      <w:r>
        <w:t xml:space="preserve"> </w:t>
      </w:r>
      <w:r>
        <w:rPr>
          <w:smallCaps/>
        </w:rPr>
        <w:t>Merton</w:t>
      </w:r>
      <w:r>
        <w:t xml:space="preserve"> y </w:t>
      </w:r>
      <w:r w:rsidRPr="00E05D38">
        <w:rPr>
          <w:smallCaps/>
        </w:rPr>
        <w:t>Myron</w:t>
      </w:r>
      <w:r>
        <w:t xml:space="preserve"> </w:t>
      </w:r>
      <w:r>
        <w:rPr>
          <w:smallCaps/>
        </w:rPr>
        <w:t>Scholes</w:t>
      </w:r>
      <w:r>
        <w:t xml:space="preserve"> recibieron el Premio Nobel de Economía en 1997 </w:t>
      </w:r>
      <w:r w:rsidRPr="00E05D38">
        <w:t>«Por su nuevo método para determinar el valor de las instrumentos derivados»</w:t>
      </w:r>
      <w:r>
        <w:t>.</w:t>
      </w:r>
    </w:p>
  </w:footnote>
  <w:footnote w:id="5">
    <w:p w14:paraId="08B63A17" w14:textId="156281BB" w:rsidR="00BB5331" w:rsidRDefault="00BB5331">
      <w:pPr>
        <w:pStyle w:val="Textonotapie"/>
      </w:pPr>
      <w:r>
        <w:rPr>
          <w:rStyle w:val="Refdenotaalpie"/>
        </w:rPr>
        <w:footnoteRef/>
      </w:r>
      <w:r>
        <w:t xml:space="preserve"> En el Imperio Otomano el tulipán</w:t>
      </w:r>
      <w:r w:rsidRPr="00BB5331">
        <w:t xml:space="preserve"> tenía connotaciones sagradas y adornaba los trajes de los sultanes. De hecho, la palabra «tulipán» procede del francés </w:t>
      </w:r>
      <w:r w:rsidRPr="004E2EE5">
        <w:rPr>
          <w:i/>
          <w:iCs/>
        </w:rPr>
        <w:t>turban</w:t>
      </w:r>
      <w:r w:rsidRPr="00BB5331">
        <w:t xml:space="preserve">, deformación del turco otomano </w:t>
      </w:r>
      <w:proofErr w:type="spellStart"/>
      <w:r w:rsidRPr="004E2EE5">
        <w:rPr>
          <w:i/>
          <w:iCs/>
        </w:rPr>
        <w:t>tülbent</w:t>
      </w:r>
      <w:proofErr w:type="spellEnd"/>
      <w:r w:rsidRPr="00BB5331">
        <w:t xml:space="preserve">, viniendo este término del persa </w:t>
      </w:r>
      <w:proofErr w:type="spellStart"/>
      <w:r w:rsidRPr="004E2EE5">
        <w:rPr>
          <w:i/>
          <w:iCs/>
        </w:rPr>
        <w:t>dulband</w:t>
      </w:r>
      <w:proofErr w:type="spellEnd"/>
      <w:r w:rsidRPr="00BB5331">
        <w:t xml:space="preserve"> y significando todos </w:t>
      </w:r>
      <w:r w:rsidRPr="004E2EE5">
        <w:rPr>
          <w:i/>
          <w:iCs/>
        </w:rPr>
        <w:t>turbante</w:t>
      </w:r>
      <w:r w:rsidRPr="00BB5331">
        <w:t>.</w:t>
      </w:r>
    </w:p>
  </w:footnote>
  <w:footnote w:id="6">
    <w:p w14:paraId="7F1C9077" w14:textId="7CA93705" w:rsidR="00BB5331" w:rsidRDefault="00BB5331">
      <w:pPr>
        <w:pStyle w:val="Textonotapie"/>
      </w:pPr>
      <w:r>
        <w:rPr>
          <w:rStyle w:val="Refdenotaalpie"/>
        </w:rPr>
        <w:footnoteRef/>
      </w:r>
      <w:r>
        <w:t xml:space="preserve"> </w:t>
      </w:r>
      <w:hyperlink r:id="rId1" w:history="1">
        <w:r w:rsidRPr="00D36046">
          <w:rPr>
            <w:rStyle w:val="Hipervnculo"/>
          </w:rPr>
          <w:t>https://es.wikipedia.org/wiki/Tulipoman%C3%ADa</w:t>
        </w:r>
      </w:hyperlink>
    </w:p>
  </w:footnote>
  <w:footnote w:id="7">
    <w:p w14:paraId="1879B2B2" w14:textId="6B6159CA" w:rsidR="008836D7" w:rsidRPr="00FE1170" w:rsidRDefault="008836D7" w:rsidP="008836D7">
      <w:pPr>
        <w:pStyle w:val="Textonotapie"/>
      </w:pPr>
      <w:r>
        <w:rPr>
          <w:rStyle w:val="Refdenotaalpie"/>
        </w:rPr>
        <w:footnoteRef/>
      </w:r>
      <w:r>
        <w:t xml:space="preserve"> Al igual que sucede en la renta fija, los derivados tienen una fecha de vencimiento estipulada, por lo que cobra importancia el elemento temporal </w:t>
      </w:r>
      <w:r w:rsidRPr="008836D7">
        <w:rPr>
          <w:color w:val="767171" w:themeColor="background2" w:themeShade="80"/>
          <w:sz w:val="14"/>
          <w:szCs w:val="14"/>
        </w:rPr>
        <w:t>[</w:t>
      </w:r>
      <w:r>
        <w:rPr>
          <w:color w:val="767171" w:themeColor="background2" w:themeShade="80"/>
          <w:sz w:val="14"/>
          <w:szCs w:val="14"/>
        </w:rPr>
        <w:t>ver tema 3.B.2</w:t>
      </w:r>
      <w:r w:rsidR="00BE3150">
        <w:rPr>
          <w:color w:val="767171" w:themeColor="background2" w:themeShade="80"/>
          <w:sz w:val="14"/>
          <w:szCs w:val="14"/>
        </w:rPr>
        <w:t>4</w:t>
      </w:r>
      <w:r w:rsidRPr="008836D7">
        <w:rPr>
          <w:color w:val="767171" w:themeColor="background2" w:themeShade="80"/>
          <w:sz w:val="14"/>
          <w:szCs w:val="14"/>
        </w:rPr>
        <w:t>]</w:t>
      </w:r>
      <w:r>
        <w:t>.</w:t>
      </w:r>
    </w:p>
  </w:footnote>
  <w:footnote w:id="8">
    <w:p w14:paraId="0CDA2B6C" w14:textId="347573A0" w:rsidR="007254D5" w:rsidRDefault="007254D5">
      <w:pPr>
        <w:pStyle w:val="Textonotapie"/>
      </w:pPr>
      <w:r>
        <w:rPr>
          <w:rStyle w:val="Refdenotaalpie"/>
        </w:rPr>
        <w:footnoteRef/>
      </w:r>
      <w:r>
        <w:t xml:space="preserve"> Al igual que en el caso de la renta fija, la fecha de vencimiento está estipulada en el contrato, por lo que el elemento temporal del contrato es importante.</w:t>
      </w:r>
    </w:p>
  </w:footnote>
  <w:footnote w:id="9">
    <w:p w14:paraId="3CFACD50" w14:textId="77777777" w:rsidR="003F55D5" w:rsidRDefault="004A379B" w:rsidP="003F55D5">
      <w:pPr>
        <w:pStyle w:val="Textonotapie"/>
        <w:spacing w:after="0"/>
      </w:pPr>
      <w:r>
        <w:rPr>
          <w:rStyle w:val="Refdenotaalpie"/>
        </w:rPr>
        <w:footnoteRef/>
      </w:r>
      <w:r>
        <w:t xml:space="preserve"> Se registran en el momento de su contratación y hasta el momento del cierre de la posición o el vencimiento del contrato se registran en “</w:t>
      </w:r>
      <w:r w:rsidRPr="00E9345A">
        <w:rPr>
          <w:i/>
          <w:iCs/>
        </w:rPr>
        <w:t>compromisos por operaciones de derivados</w:t>
      </w:r>
      <w:r>
        <w:t>”. Se registra por importe nominal.</w:t>
      </w:r>
    </w:p>
    <w:p w14:paraId="0B17D1BE" w14:textId="2042E255" w:rsidR="003F55D5" w:rsidRDefault="003F55D5" w:rsidP="003F55D5">
      <w:pPr>
        <w:pStyle w:val="Textonotapie"/>
        <w:spacing w:after="0"/>
      </w:pPr>
      <w:r>
        <w:t xml:space="preserve">Todos los productos derivados deben reconocerse como activos o pasivos, en el Balance de Situación General, inicialmente a su coste que será el valor razonable de la contraprestación que se haya dado o que se haya recibido a cambio de </w:t>
      </w:r>
      <w:proofErr w:type="gramStart"/>
      <w:r>
        <w:t>los mismos</w:t>
      </w:r>
      <w:proofErr w:type="gramEnd"/>
      <w:r>
        <w:t xml:space="preserve"> y posteriormente según su valor razonable en la fecha en que se liquida.</w:t>
      </w:r>
    </w:p>
    <w:p w14:paraId="24C7A44F" w14:textId="2BD62171" w:rsidR="004A379B" w:rsidRDefault="003F55D5" w:rsidP="003F55D5">
      <w:pPr>
        <w:pStyle w:val="Textonotapie"/>
      </w:pPr>
      <w:r>
        <w:t>El valor razonable normalmente se determina a través del precio de la transacción o de precios de mercado.  Si estos precios de mercado no pueden determinarse fiablemente, el valor razonable se estimara como la suma de los futuros pagos o cobros, descontados, utilizando las tasas de interés del mercado para instrumentos similares para un emisor con la misma calificación crediticia.</w:t>
      </w:r>
    </w:p>
  </w:footnote>
  <w:footnote w:id="10">
    <w:p w14:paraId="35609E2D" w14:textId="0F8476A4" w:rsidR="007D1085" w:rsidRDefault="001B0AAE" w:rsidP="007D1085">
      <w:pPr>
        <w:pStyle w:val="Textonotapie"/>
        <w:keepNext/>
        <w:spacing w:after="0"/>
      </w:pPr>
      <w:r>
        <w:rPr>
          <w:rStyle w:val="Refdenotaalpie"/>
        </w:rPr>
        <w:footnoteRef/>
      </w:r>
      <w:r>
        <w:t xml:space="preserve"> </w:t>
      </w:r>
      <w:r w:rsidR="007D1085">
        <w:t>A modo de ejemplo:</w:t>
      </w:r>
    </w:p>
    <w:p w14:paraId="4F26346E" w14:textId="620DBC5B" w:rsidR="001B0AAE" w:rsidRDefault="001B0AAE">
      <w:pPr>
        <w:pStyle w:val="Textonotapie"/>
        <w:numPr>
          <w:ilvl w:val="0"/>
          <w:numId w:val="35"/>
        </w:numPr>
        <w:spacing w:after="0"/>
        <w:ind w:left="283" w:hanging="113"/>
      </w:pPr>
      <w:r>
        <w:t>Si</w:t>
      </w:r>
      <w:r w:rsidR="007D1085">
        <w:t xml:space="preserve"> </w:t>
      </w:r>
      <w:r>
        <w:t>compramos deuda pública de Alemania (</w:t>
      </w:r>
      <w:r w:rsidRPr="007D1085">
        <w:rPr>
          <w:i/>
          <w:iCs/>
        </w:rPr>
        <w:t>renta fija</w:t>
      </w:r>
      <w:r>
        <w:t>) y obtenemos ingresos como residente español, se registra en la cuenta de rentas primarias.</w:t>
      </w:r>
    </w:p>
    <w:p w14:paraId="5171B16D" w14:textId="1BCEE0D1" w:rsidR="001B0AAE" w:rsidRDefault="007D1085">
      <w:pPr>
        <w:pStyle w:val="Textonotapie"/>
        <w:numPr>
          <w:ilvl w:val="0"/>
          <w:numId w:val="35"/>
        </w:numPr>
        <w:spacing w:after="0"/>
        <w:ind w:left="283" w:hanging="113"/>
      </w:pPr>
      <w:r>
        <w:t>Igualmente, s</w:t>
      </w:r>
      <w:r w:rsidR="001B0AAE">
        <w:t xml:space="preserve">i </w:t>
      </w:r>
      <w:r w:rsidR="00257F0A">
        <w:t>compra</w:t>
      </w:r>
      <w:r>
        <w:t>mo</w:t>
      </w:r>
      <w:r w:rsidR="00257F0A">
        <w:t>s una acción de una empresa francesa (</w:t>
      </w:r>
      <w:r w:rsidR="00257F0A" w:rsidRPr="007D1085">
        <w:rPr>
          <w:i/>
          <w:iCs/>
        </w:rPr>
        <w:t>renta variable</w:t>
      </w:r>
      <w:r w:rsidR="00257F0A">
        <w:t xml:space="preserve">) y </w:t>
      </w:r>
      <w:r>
        <w:t>percibimos</w:t>
      </w:r>
      <w:r w:rsidR="00257F0A">
        <w:t xml:space="preserve"> dividendos, se incluiría en la cuenta de rentas primarias.</w:t>
      </w:r>
    </w:p>
    <w:p w14:paraId="085ED907" w14:textId="739952EB" w:rsidR="00257F0A" w:rsidRDefault="00257F0A">
      <w:pPr>
        <w:pStyle w:val="Textonotapie"/>
        <w:numPr>
          <w:ilvl w:val="0"/>
          <w:numId w:val="35"/>
        </w:numPr>
        <w:ind w:left="283" w:hanging="113"/>
      </w:pPr>
      <w:r w:rsidRPr="00B67C58">
        <w:t>Sin embargo, con un derivado no se obtienen ingresos primarios, sino que se obtienen revalorizaciones, por lo que se registra en la cuenta financiera como variación neta de activos o variación neta de pasivos.</w:t>
      </w:r>
    </w:p>
  </w:footnote>
  <w:footnote w:id="11">
    <w:p w14:paraId="1264515B" w14:textId="646FC066" w:rsidR="0099232A" w:rsidRDefault="0099232A" w:rsidP="0099232A">
      <w:pPr>
        <w:pStyle w:val="Textonotapie"/>
      </w:pPr>
      <w:r>
        <w:rPr>
          <w:rStyle w:val="Refdenotaalpie"/>
        </w:rPr>
        <w:footnoteRef/>
      </w:r>
      <w:r>
        <w:t xml:space="preserve"> Realmente estamos realizando el análisis desde una cara de la moneda, al pensar que usamos el derivado para cubrir el riesgo del activo subyacente. Sin embargo, desde una perspectiva más amplia podríamos realizar el análisis desde la otra cara de la moneda, es decir, considerar que tenemos un derivado financiero y que podemos invertir en el activo subyacente para cubrir el riesgo del derivado.</w:t>
      </w:r>
    </w:p>
  </w:footnote>
  <w:footnote w:id="12">
    <w:p w14:paraId="1D7AE001" w14:textId="338D91E5" w:rsidR="009305A8" w:rsidRDefault="009305A8">
      <w:pPr>
        <w:pStyle w:val="Textonotapie"/>
      </w:pPr>
      <w:r>
        <w:rPr>
          <w:rStyle w:val="Refdenotaalpie"/>
        </w:rPr>
        <w:footnoteRef/>
      </w:r>
      <w:r>
        <w:t xml:space="preserve"> La cámara de compensación es el órgano a través del cual se realizan los contratos de derivados y la entrega de los títulos subyacentes. La cámara se convierte en el comprador del vendedor y en el vendedor del comprado</w:t>
      </w:r>
      <w:r w:rsidR="00840F2C">
        <w:t>r</w:t>
      </w:r>
      <w:r>
        <w:t>. La cámara nunca compra o vende un contrato por sí misma, sino que media entre 2</w:t>
      </w:r>
      <w:r w:rsidR="004E12EA">
        <w:t> </w:t>
      </w:r>
      <w:r>
        <w:t xml:space="preserve">contrapartes, por lo que siempre tiene una posición neta nula en el mercado. Al número de contratos existentes en un momento determinado se le conoce como </w:t>
      </w:r>
      <w:r>
        <w:rPr>
          <w:i/>
          <w:iCs/>
        </w:rPr>
        <w:t>volumen abierto</w:t>
      </w:r>
      <w:r>
        <w:t>. Para limitar el riesgo de contrapartida, la cámara exige a cada parte que abra una cuenta</w:t>
      </w:r>
      <w:r w:rsidR="00724970">
        <w:t xml:space="preserve"> específica para sus operaciones con derivados, y que haga un depósito inicial en concepto de garantía (el margen inicial o de desempeño). Durante el período que va desde la firma del contrato hasta su vencimiento, la cámara realiza una </w:t>
      </w:r>
      <w:r w:rsidR="00724970">
        <w:rPr>
          <w:i/>
          <w:iCs/>
        </w:rPr>
        <w:t>liquidación diaria</w:t>
      </w:r>
      <w:r w:rsidR="00724970">
        <w:t xml:space="preserve"> de las pérdidas y ganancias (</w:t>
      </w:r>
      <w:proofErr w:type="spellStart"/>
      <w:r w:rsidR="00724970">
        <w:rPr>
          <w:i/>
          <w:iCs/>
        </w:rPr>
        <w:t>mark</w:t>
      </w:r>
      <w:r w:rsidR="005B6BD6">
        <w:rPr>
          <w:i/>
          <w:iCs/>
        </w:rPr>
        <w:t>-</w:t>
      </w:r>
      <w:r w:rsidR="00724970">
        <w:rPr>
          <w:i/>
          <w:iCs/>
        </w:rPr>
        <w:t>to</w:t>
      </w:r>
      <w:r w:rsidR="005B6BD6">
        <w:rPr>
          <w:i/>
          <w:iCs/>
        </w:rPr>
        <w:t>-</w:t>
      </w:r>
      <w:r w:rsidR="00724970">
        <w:rPr>
          <w:i/>
          <w:iCs/>
        </w:rPr>
        <w:t>market</w:t>
      </w:r>
      <w:proofErr w:type="spellEnd"/>
      <w:r w:rsidR="00724970">
        <w:t>)</w:t>
      </w:r>
      <w:r w:rsidR="001A57C3">
        <w:t xml:space="preserve"> </w:t>
      </w:r>
      <w:r w:rsidR="001A57C3" w:rsidRPr="005B6BD6">
        <w:rPr>
          <w:color w:val="767171" w:themeColor="background2" w:themeShade="80"/>
          <w:sz w:val="14"/>
          <w:szCs w:val="14"/>
        </w:rPr>
        <w:t xml:space="preserve">[ver Anexo </w:t>
      </w:r>
      <w:r w:rsidR="001A57C3" w:rsidRPr="005B6BD6">
        <w:rPr>
          <w:color w:val="767171" w:themeColor="background2" w:themeShade="80"/>
          <w:sz w:val="14"/>
          <w:szCs w:val="14"/>
        </w:rPr>
        <w:fldChar w:fldCharType="begin"/>
      </w:r>
      <w:r w:rsidR="001A57C3" w:rsidRPr="005B6BD6">
        <w:rPr>
          <w:color w:val="767171" w:themeColor="background2" w:themeShade="80"/>
          <w:sz w:val="14"/>
          <w:szCs w:val="14"/>
        </w:rPr>
        <w:instrText xml:space="preserve"> REF _Ref101169644 \r \h </w:instrText>
      </w:r>
      <w:r w:rsidR="005B6BD6">
        <w:rPr>
          <w:color w:val="767171" w:themeColor="background2" w:themeShade="80"/>
          <w:sz w:val="14"/>
          <w:szCs w:val="14"/>
        </w:rPr>
        <w:instrText xml:space="preserve"> \* MERGEFORMAT </w:instrText>
      </w:r>
      <w:r w:rsidR="001A57C3" w:rsidRPr="005B6BD6">
        <w:rPr>
          <w:color w:val="767171" w:themeColor="background2" w:themeShade="80"/>
          <w:sz w:val="14"/>
          <w:szCs w:val="14"/>
        </w:rPr>
      </w:r>
      <w:r w:rsidR="001A57C3" w:rsidRPr="005B6BD6">
        <w:rPr>
          <w:color w:val="767171" w:themeColor="background2" w:themeShade="80"/>
          <w:sz w:val="14"/>
          <w:szCs w:val="14"/>
        </w:rPr>
        <w:fldChar w:fldCharType="separate"/>
      </w:r>
      <w:r w:rsidR="003F2FF6">
        <w:rPr>
          <w:color w:val="767171" w:themeColor="background2" w:themeShade="80"/>
          <w:sz w:val="14"/>
          <w:szCs w:val="14"/>
        </w:rPr>
        <w:t>A.2</w:t>
      </w:r>
      <w:r w:rsidR="001A57C3" w:rsidRPr="005B6BD6">
        <w:rPr>
          <w:color w:val="767171" w:themeColor="background2" w:themeShade="80"/>
          <w:sz w:val="14"/>
          <w:szCs w:val="14"/>
        </w:rPr>
        <w:fldChar w:fldCharType="end"/>
      </w:r>
      <w:r w:rsidR="001A57C3" w:rsidRPr="005B6BD6">
        <w:rPr>
          <w:color w:val="767171" w:themeColor="background2" w:themeShade="80"/>
          <w:sz w:val="14"/>
          <w:szCs w:val="14"/>
        </w:rPr>
        <w:t>]</w:t>
      </w:r>
      <w:r w:rsidR="00724970">
        <w:t>.</w:t>
      </w:r>
    </w:p>
    <w:p w14:paraId="6EF23724" w14:textId="76ED2BA0" w:rsidR="00A7081A" w:rsidRDefault="00A7081A" w:rsidP="004955EB">
      <w:pPr>
        <w:pStyle w:val="Textonotapie"/>
        <w:spacing w:after="0"/>
        <w:jc w:val="center"/>
      </w:pPr>
      <w:r>
        <w:rPr>
          <w:noProof/>
        </w:rPr>
        <w:drawing>
          <wp:inline distT="0" distB="0" distL="0" distR="0" wp14:anchorId="47D1F790" wp14:editId="0846241F">
            <wp:extent cx="2757055" cy="1187272"/>
            <wp:effectExtent l="0" t="0" r="0" b="0"/>
            <wp:docPr id="4" name="Imagen 4"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Gráfico&#10;&#10;Descripción generada automáticamente"/>
                    <pic:cNvPicPr/>
                  </pic:nvPicPr>
                  <pic:blipFill>
                    <a:blip r:embed="rId2"/>
                    <a:stretch>
                      <a:fillRect/>
                    </a:stretch>
                  </pic:blipFill>
                  <pic:spPr>
                    <a:xfrm>
                      <a:off x="0" y="0"/>
                      <a:ext cx="2767727" cy="1191868"/>
                    </a:xfrm>
                    <a:prstGeom prst="rect">
                      <a:avLst/>
                    </a:prstGeom>
                  </pic:spPr>
                </pic:pic>
              </a:graphicData>
            </a:graphic>
          </wp:inline>
        </w:drawing>
      </w:r>
    </w:p>
    <w:p w14:paraId="03AF9DE7" w14:textId="235C5630" w:rsidR="004955EB" w:rsidRPr="004955EB" w:rsidRDefault="004955EB" w:rsidP="00A7081A">
      <w:pPr>
        <w:pStyle w:val="Textonotapie"/>
        <w:jc w:val="center"/>
        <w:rPr>
          <w:color w:val="3B3838" w:themeColor="background2" w:themeShade="40"/>
          <w:spacing w:val="-4"/>
          <w:sz w:val="14"/>
          <w:szCs w:val="14"/>
        </w:rPr>
      </w:pPr>
      <w:r w:rsidRPr="004955EB">
        <w:rPr>
          <w:i/>
          <w:iCs/>
          <w:color w:val="3B3838" w:themeColor="background2" w:themeShade="40"/>
          <w:spacing w:val="-4"/>
          <w:sz w:val="14"/>
          <w:szCs w:val="14"/>
        </w:rPr>
        <w:t>Fuente</w:t>
      </w:r>
      <w:r w:rsidRPr="004955EB">
        <w:rPr>
          <w:color w:val="3B3838" w:themeColor="background2" w:themeShade="40"/>
          <w:spacing w:val="-4"/>
          <w:sz w:val="14"/>
          <w:szCs w:val="14"/>
        </w:rPr>
        <w:t xml:space="preserve">: </w:t>
      </w:r>
      <w:r w:rsidR="0090354F">
        <w:rPr>
          <w:color w:val="3B3838" w:themeColor="background2" w:themeShade="40"/>
          <w:spacing w:val="-4"/>
          <w:sz w:val="14"/>
          <w:szCs w:val="14"/>
        </w:rPr>
        <w:t xml:space="preserve">Núñez </w:t>
      </w:r>
      <w:r w:rsidRPr="004955EB">
        <w:rPr>
          <w:color w:val="3B3838" w:themeColor="background2" w:themeShade="40"/>
          <w:spacing w:val="-4"/>
          <w:sz w:val="14"/>
          <w:szCs w:val="14"/>
        </w:rPr>
        <w:t xml:space="preserve">Ramos, S. &amp; </w:t>
      </w:r>
      <w:proofErr w:type="spellStart"/>
      <w:r w:rsidRPr="004955EB">
        <w:rPr>
          <w:color w:val="3B3838" w:themeColor="background2" w:themeShade="40"/>
          <w:spacing w:val="-4"/>
          <w:sz w:val="14"/>
          <w:szCs w:val="14"/>
        </w:rPr>
        <w:t>Valdeolivas</w:t>
      </w:r>
      <w:proofErr w:type="spellEnd"/>
      <w:r w:rsidRPr="004955EB">
        <w:rPr>
          <w:color w:val="3B3838" w:themeColor="background2" w:themeShade="40"/>
          <w:spacing w:val="-4"/>
          <w:sz w:val="14"/>
          <w:szCs w:val="14"/>
        </w:rPr>
        <w:t xml:space="preserve">, E. (2019). Las entidades de contrapartida central: Beneficios, costes y riesgos. </w:t>
      </w:r>
      <w:r w:rsidRPr="004955EB">
        <w:rPr>
          <w:i/>
          <w:iCs/>
          <w:color w:val="3B3838" w:themeColor="background2" w:themeShade="40"/>
          <w:spacing w:val="-4"/>
          <w:sz w:val="14"/>
          <w:szCs w:val="14"/>
        </w:rPr>
        <w:t>Estabilidad financiera, 36,</w:t>
      </w:r>
      <w:r w:rsidRPr="004955EB">
        <w:rPr>
          <w:color w:val="3B3838" w:themeColor="background2" w:themeShade="40"/>
          <w:spacing w:val="-4"/>
          <w:sz w:val="14"/>
          <w:szCs w:val="14"/>
        </w:rPr>
        <w:t xml:space="preserve"> </w:t>
      </w:r>
      <w:r>
        <w:rPr>
          <w:color w:val="3B3838" w:themeColor="background2" w:themeShade="40"/>
          <w:spacing w:val="-4"/>
          <w:sz w:val="14"/>
          <w:szCs w:val="14"/>
        </w:rPr>
        <w:t>pág.82</w:t>
      </w:r>
      <w:r w:rsidRPr="004955EB">
        <w:rPr>
          <w:color w:val="3B3838" w:themeColor="background2" w:themeShade="40"/>
          <w:spacing w:val="-4"/>
          <w:sz w:val="14"/>
          <w:szCs w:val="14"/>
        </w:rPr>
        <w:t>.</w:t>
      </w:r>
    </w:p>
  </w:footnote>
  <w:footnote w:id="13">
    <w:p w14:paraId="5A0D833F" w14:textId="77777777" w:rsidR="004D4FAC" w:rsidRDefault="004D4FAC" w:rsidP="004D4FAC">
      <w:pPr>
        <w:pStyle w:val="Textonotapie"/>
      </w:pPr>
      <w:r>
        <w:rPr>
          <w:rStyle w:val="Refdenotaalpie"/>
        </w:rPr>
        <w:footnoteRef/>
      </w:r>
      <w:r>
        <w:t xml:space="preserve"> </w:t>
      </w:r>
      <w:hyperlink r:id="rId3" w:history="1">
        <w:r w:rsidRPr="00D36046">
          <w:rPr>
            <w:rStyle w:val="Hipervnculo"/>
          </w:rPr>
          <w:t>https://www.bloomberg.com/news/articles/2020-01-21/india-now-has-world-s-largest-derivatives-exchange-by-volume</w:t>
        </w:r>
      </w:hyperlink>
    </w:p>
  </w:footnote>
  <w:footnote w:id="14">
    <w:p w14:paraId="4925B320" w14:textId="61FFDD8C" w:rsidR="00FF36F4" w:rsidRPr="003E06ED" w:rsidRDefault="002438CF" w:rsidP="00FF36F4">
      <w:pPr>
        <w:pStyle w:val="Textonotapie"/>
        <w:keepNext/>
        <w:spacing w:after="0"/>
      </w:pPr>
      <w:r w:rsidRPr="003E06ED">
        <w:rPr>
          <w:rStyle w:val="Refdenotaalpie"/>
        </w:rPr>
        <w:footnoteRef/>
      </w:r>
      <w:r w:rsidRPr="003E06ED">
        <w:t xml:space="preserve"> Desde la </w:t>
      </w:r>
      <w:r w:rsidR="003E06ED" w:rsidRPr="003E06ED">
        <w:t>UE</w:t>
      </w:r>
      <w:r w:rsidRPr="003E06ED">
        <w:t xml:space="preserve"> se ha impulsado la </w:t>
      </w:r>
      <w:proofErr w:type="spellStart"/>
      <w:r w:rsidRPr="003E06ED">
        <w:rPr>
          <w:i/>
          <w:iCs/>
        </w:rPr>
        <w:t>European</w:t>
      </w:r>
      <w:proofErr w:type="spellEnd"/>
      <w:r w:rsidRPr="003E06ED">
        <w:rPr>
          <w:i/>
          <w:iCs/>
        </w:rPr>
        <w:t xml:space="preserve"> </w:t>
      </w:r>
      <w:proofErr w:type="spellStart"/>
      <w:r w:rsidRPr="003E06ED">
        <w:rPr>
          <w:i/>
          <w:iCs/>
        </w:rPr>
        <w:t>Market</w:t>
      </w:r>
      <w:proofErr w:type="spellEnd"/>
      <w:r w:rsidRPr="003E06ED">
        <w:rPr>
          <w:i/>
          <w:iCs/>
        </w:rPr>
        <w:t xml:space="preserve"> </w:t>
      </w:r>
      <w:proofErr w:type="spellStart"/>
      <w:r w:rsidRPr="003E06ED">
        <w:rPr>
          <w:i/>
          <w:iCs/>
        </w:rPr>
        <w:t>Infrastructure</w:t>
      </w:r>
      <w:proofErr w:type="spellEnd"/>
      <w:r w:rsidRPr="003E06ED">
        <w:rPr>
          <w:i/>
          <w:iCs/>
        </w:rPr>
        <w:t xml:space="preserve"> </w:t>
      </w:r>
      <w:proofErr w:type="spellStart"/>
      <w:r w:rsidRPr="003E06ED">
        <w:rPr>
          <w:i/>
          <w:iCs/>
        </w:rPr>
        <w:t>Regulation</w:t>
      </w:r>
      <w:proofErr w:type="spellEnd"/>
      <w:r w:rsidRPr="003E06ED">
        <w:t xml:space="preserve"> (EMIR)</w:t>
      </w:r>
      <w:r w:rsidR="00172290" w:rsidRPr="003E06ED">
        <w:t>, publicada en 2012</w:t>
      </w:r>
      <w:r w:rsidR="00F96AEF">
        <w:t xml:space="preserve"> (y reformada en 2019)</w:t>
      </w:r>
      <w:r w:rsidR="00172290" w:rsidRPr="003E06ED">
        <w:t xml:space="preserve"> y</w:t>
      </w:r>
      <w:r w:rsidRPr="003E06ED">
        <w:t xml:space="preserve"> </w:t>
      </w:r>
      <w:r w:rsidR="00FF36F4" w:rsidRPr="003E06ED">
        <w:t xml:space="preserve">que podemos resumir en </w:t>
      </w:r>
      <w:r w:rsidR="00172290" w:rsidRPr="003E06ED">
        <w:t>2</w:t>
      </w:r>
      <w:r w:rsidR="004E12EA">
        <w:t> </w:t>
      </w:r>
      <w:r w:rsidR="00FF36F4" w:rsidRPr="003E06ED">
        <w:t>ideas:</w:t>
      </w:r>
    </w:p>
    <w:p w14:paraId="587F3406" w14:textId="5D697BC1" w:rsidR="00FF36F4" w:rsidRPr="00172290" w:rsidRDefault="00FF36F4">
      <w:pPr>
        <w:pStyle w:val="Textonotapie"/>
        <w:numPr>
          <w:ilvl w:val="0"/>
          <w:numId w:val="32"/>
        </w:numPr>
        <w:spacing w:after="0"/>
        <w:ind w:left="283" w:hanging="113"/>
        <w:rPr>
          <w:spacing w:val="-3"/>
        </w:rPr>
      </w:pPr>
      <w:r w:rsidRPr="00172290">
        <w:rPr>
          <w:spacing w:val="-3"/>
        </w:rPr>
        <w:t>Por un lado, s</w:t>
      </w:r>
      <w:r w:rsidR="00375995" w:rsidRPr="00172290">
        <w:rPr>
          <w:spacing w:val="-3"/>
        </w:rPr>
        <w:t>e introduc</w:t>
      </w:r>
      <w:r w:rsidRPr="00172290">
        <w:rPr>
          <w:spacing w:val="-3"/>
        </w:rPr>
        <w:t>e</w:t>
      </w:r>
      <w:r w:rsidR="00375995" w:rsidRPr="00172290">
        <w:rPr>
          <w:spacing w:val="-3"/>
        </w:rPr>
        <w:t xml:space="preserve">n incentivos para que se pasara de </w:t>
      </w:r>
      <w:r w:rsidRPr="00172290">
        <w:rPr>
          <w:spacing w:val="-3"/>
        </w:rPr>
        <w:t xml:space="preserve">mercados </w:t>
      </w:r>
      <w:r w:rsidR="00375995" w:rsidRPr="00172290">
        <w:rPr>
          <w:spacing w:val="-3"/>
        </w:rPr>
        <w:t>OTC a mercados organizados</w:t>
      </w:r>
      <w:r w:rsidR="00E02310" w:rsidRPr="00172290">
        <w:rPr>
          <w:spacing w:val="-3"/>
        </w:rPr>
        <w:t>. Sin embargo,</w:t>
      </w:r>
      <w:r w:rsidR="00375995" w:rsidRPr="00172290">
        <w:rPr>
          <w:spacing w:val="-3"/>
        </w:rPr>
        <w:t xml:space="preserve"> se reconocía que </w:t>
      </w:r>
      <w:r w:rsidR="00E02310" w:rsidRPr="00172290">
        <w:rPr>
          <w:spacing w:val="-3"/>
        </w:rPr>
        <w:t>seguiría siendo deseable la existencia de mercados OTC</w:t>
      </w:r>
      <w:r w:rsidR="00375995" w:rsidRPr="00172290">
        <w:rPr>
          <w:spacing w:val="-3"/>
        </w:rPr>
        <w:t xml:space="preserve"> porque </w:t>
      </w:r>
      <w:r w:rsidR="004A0ED0" w:rsidRPr="00172290">
        <w:rPr>
          <w:spacing w:val="-3"/>
        </w:rPr>
        <w:t xml:space="preserve">los </w:t>
      </w:r>
      <w:r w:rsidR="00375995" w:rsidRPr="00172290">
        <w:rPr>
          <w:spacing w:val="-3"/>
        </w:rPr>
        <w:t xml:space="preserve">inversores seguirían operando en </w:t>
      </w:r>
      <w:r w:rsidR="005E308D" w:rsidRPr="00172290">
        <w:rPr>
          <w:spacing w:val="-3"/>
        </w:rPr>
        <w:t>éstos</w:t>
      </w:r>
      <w:r w:rsidR="00375995" w:rsidRPr="00172290">
        <w:rPr>
          <w:spacing w:val="-3"/>
        </w:rPr>
        <w:t xml:space="preserve"> buscando una mayor flexibilidad.</w:t>
      </w:r>
    </w:p>
    <w:p w14:paraId="53CB5DD0" w14:textId="2ED6ADB2" w:rsidR="002438CF" w:rsidRDefault="005E308D">
      <w:pPr>
        <w:pStyle w:val="Textonotapie"/>
        <w:numPr>
          <w:ilvl w:val="0"/>
          <w:numId w:val="32"/>
        </w:numPr>
        <w:spacing w:after="0"/>
        <w:ind w:left="283" w:hanging="113"/>
      </w:pPr>
      <w:r>
        <w:t>Por ello, por ot</w:t>
      </w:r>
      <w:r w:rsidR="004E12EA">
        <w:t>ro</w:t>
      </w:r>
      <w:r>
        <w:t xml:space="preserve"> lado,</w:t>
      </w:r>
      <w:r w:rsidR="00375995">
        <w:t xml:space="preserve"> intentaban incentivar que al menos se utilizaran cámaras bilaterales (</w:t>
      </w:r>
      <w:proofErr w:type="spellStart"/>
      <w:r w:rsidR="00375995">
        <w:rPr>
          <w:i/>
          <w:iCs/>
        </w:rPr>
        <w:t>second</w:t>
      </w:r>
      <w:proofErr w:type="spellEnd"/>
      <w:r w:rsidR="00375995">
        <w:rPr>
          <w:i/>
          <w:iCs/>
        </w:rPr>
        <w:t xml:space="preserve"> </w:t>
      </w:r>
      <w:proofErr w:type="spellStart"/>
      <w:r w:rsidR="00375995">
        <w:rPr>
          <w:i/>
          <w:iCs/>
        </w:rPr>
        <w:t>best</w:t>
      </w:r>
      <w:proofErr w:type="spellEnd"/>
      <w:r w:rsidR="00375995">
        <w:t xml:space="preserve"> frente a las cámaras de compensación central)</w:t>
      </w:r>
      <w:r w:rsidR="00433CE6">
        <w:t>.</w:t>
      </w:r>
    </w:p>
    <w:p w14:paraId="22E6B214" w14:textId="4A13AF70" w:rsidR="005E308D" w:rsidRPr="005E308D" w:rsidRDefault="005E308D" w:rsidP="005E308D">
      <w:pPr>
        <w:pStyle w:val="Textonotapie"/>
      </w:pPr>
      <w:r>
        <w:t xml:space="preserve">El objetivo de estas medidas es alcanzar una </w:t>
      </w:r>
      <w:r>
        <w:rPr>
          <w:i/>
          <w:iCs/>
        </w:rPr>
        <w:t>mayor transparencia y estabilidad</w:t>
      </w:r>
      <w:r>
        <w:t xml:space="preserve"> y</w:t>
      </w:r>
      <w:r w:rsidR="00EF51D6">
        <w:t xml:space="preserve"> </w:t>
      </w:r>
      <w:r>
        <w:t xml:space="preserve">una </w:t>
      </w:r>
      <w:r>
        <w:rPr>
          <w:i/>
          <w:iCs/>
        </w:rPr>
        <w:t>mayor competencia</w:t>
      </w:r>
      <w:r>
        <w:t>.</w:t>
      </w:r>
    </w:p>
  </w:footnote>
  <w:footnote w:id="15">
    <w:p w14:paraId="4A792655" w14:textId="466EA510" w:rsidR="00885959" w:rsidRPr="004955EB" w:rsidRDefault="00885959" w:rsidP="00885959">
      <w:pPr>
        <w:pStyle w:val="Textonotapie"/>
        <w:rPr>
          <w:spacing w:val="-2"/>
        </w:rPr>
      </w:pPr>
      <w:r w:rsidRPr="004955EB">
        <w:rPr>
          <w:rStyle w:val="Refdenotaalpie"/>
          <w:spacing w:val="-2"/>
        </w:rPr>
        <w:footnoteRef/>
      </w:r>
      <w:r w:rsidRPr="004955EB">
        <w:rPr>
          <w:spacing w:val="-2"/>
        </w:rPr>
        <w:t xml:space="preserve"> De acuerdo con el artículo</w:t>
      </w:r>
      <w:r w:rsidR="004E12EA">
        <w:rPr>
          <w:spacing w:val="-2"/>
        </w:rPr>
        <w:t> </w:t>
      </w:r>
      <w:r w:rsidRPr="004955EB">
        <w:rPr>
          <w:spacing w:val="-2"/>
        </w:rPr>
        <w:t>1 del Real Decreto 1814/1991 por el que se regulan los mercados oficiales de futuros y opciones en España.</w:t>
      </w:r>
    </w:p>
  </w:footnote>
  <w:footnote w:id="16">
    <w:p w14:paraId="24C05A9B" w14:textId="5C840ADD" w:rsidR="00885959" w:rsidRDefault="00885959" w:rsidP="00885959">
      <w:pPr>
        <w:pStyle w:val="Textonotapie"/>
      </w:pPr>
      <w:r>
        <w:rPr>
          <w:rStyle w:val="Refdenotaalpie"/>
        </w:rPr>
        <w:footnoteRef/>
      </w:r>
      <w:r>
        <w:t xml:space="preserve"> </w:t>
      </w:r>
      <w:r w:rsidRPr="00D807E7">
        <w:rPr>
          <w:spacing w:val="-1"/>
        </w:rPr>
        <w:t>Los contratos de futuros raramente resultan en la entrega del activo subyacente. A menudo, las posiciones se cierran antes de la fecha de vencimiento. Se estima que la fracción de contratos de futuros que terminan con la entrega oscila entre menos del 1</w:t>
      </w:r>
      <w:r w:rsidR="00812628">
        <w:rPr>
          <w:spacing w:val="-1"/>
        </w:rPr>
        <w:t> </w:t>
      </w:r>
      <w:r w:rsidRPr="00D807E7">
        <w:rPr>
          <w:spacing w:val="-1"/>
        </w:rPr>
        <w:t>% y el 3</w:t>
      </w:r>
      <w:r w:rsidR="00812628">
        <w:rPr>
          <w:spacing w:val="-1"/>
        </w:rPr>
        <w:t> </w:t>
      </w:r>
      <w:r w:rsidRPr="00D807E7">
        <w:rPr>
          <w:spacing w:val="-1"/>
        </w:rPr>
        <w:t>%.</w:t>
      </w:r>
    </w:p>
  </w:footnote>
  <w:footnote w:id="17">
    <w:p w14:paraId="58FB57DB" w14:textId="70C0509B" w:rsidR="00E623BC" w:rsidRDefault="00E623BC">
      <w:pPr>
        <w:pStyle w:val="Textonotapie"/>
      </w:pPr>
      <w:r>
        <w:rPr>
          <w:rStyle w:val="Refdenotaalpie"/>
        </w:rPr>
        <w:footnoteRef/>
      </w:r>
      <w:r>
        <w:t xml:space="preserve"> E</w:t>
      </w:r>
      <w:r w:rsidRPr="00E623BC">
        <w:t>l contrato de futuros en sí mismo no tiene precio, sino que las partes se comprometen a un intercambio futuro.</w:t>
      </w:r>
      <w:r>
        <w:t xml:space="preserve"> Como veremos posteriormente, esto será diferente en el caso de las opciones, que al dar el derecho pero no la obligación a su tenedor, tienen como precio una </w:t>
      </w:r>
      <w:r w:rsidRPr="00E623BC">
        <w:t>prima</w:t>
      </w:r>
      <w:r>
        <w:t>.</w:t>
      </w:r>
    </w:p>
  </w:footnote>
  <w:footnote w:id="18">
    <w:p w14:paraId="4108FAB5" w14:textId="06830865" w:rsidR="00A87C0A" w:rsidRPr="00A87C0A" w:rsidRDefault="00A87C0A" w:rsidP="000A2180">
      <w:pPr>
        <w:pStyle w:val="Textonotapie"/>
        <w:keepNext/>
        <w:spacing w:after="0"/>
      </w:pPr>
      <w:r w:rsidRPr="00A87C0A">
        <w:rPr>
          <w:rStyle w:val="Refdenotaalpie"/>
        </w:rPr>
        <w:footnoteRef/>
      </w:r>
      <w:r w:rsidRPr="00A87C0A">
        <w:t xml:space="preserve"> </w:t>
      </w:r>
      <w:r w:rsidR="000A2180">
        <w:t xml:space="preserve">Un caso especial de este tipo de instrumentos derivados son los </w:t>
      </w:r>
      <w:r w:rsidRPr="00A87C0A">
        <w:rPr>
          <w:i/>
          <w:iCs/>
        </w:rPr>
        <w:t xml:space="preserve">Forward </w:t>
      </w:r>
      <w:proofErr w:type="spellStart"/>
      <w:r w:rsidRPr="00A87C0A">
        <w:rPr>
          <w:i/>
          <w:iCs/>
        </w:rPr>
        <w:t>Rate</w:t>
      </w:r>
      <w:proofErr w:type="spellEnd"/>
      <w:r w:rsidRPr="00A87C0A">
        <w:rPr>
          <w:i/>
          <w:iCs/>
        </w:rPr>
        <w:t xml:space="preserve"> </w:t>
      </w:r>
      <w:proofErr w:type="spellStart"/>
      <w:r w:rsidRPr="00A87C0A">
        <w:rPr>
          <w:i/>
          <w:iCs/>
        </w:rPr>
        <w:t>Agreement</w:t>
      </w:r>
      <w:proofErr w:type="spellEnd"/>
      <w:r w:rsidRPr="00A87C0A">
        <w:t xml:space="preserve"> (FRA):</w:t>
      </w:r>
    </w:p>
    <w:p w14:paraId="1086D8A2" w14:textId="4436CE66" w:rsidR="00A87C0A" w:rsidRPr="00FA042A" w:rsidRDefault="00A87C0A" w:rsidP="000A2180">
      <w:pPr>
        <w:pStyle w:val="Textonotapie"/>
        <w:spacing w:after="0"/>
        <w:rPr>
          <w:highlight w:val="yellow"/>
        </w:rPr>
      </w:pPr>
      <w:r w:rsidRPr="00FA042A">
        <w:rPr>
          <w:highlight w:val="yellow"/>
        </w:rPr>
        <w:t>Supongamos un individuo que adopta una posición larga, es decir compra un FRA. Esto consistiría en pedir prestado dinero de la posición corta acordando un tipo de interés y un plazo futuro para el préstamo (p. ej. 2x3 FRA).</w:t>
      </w:r>
    </w:p>
    <w:p w14:paraId="1CDE34C4" w14:textId="0CED75AF" w:rsidR="00A87C0A" w:rsidRDefault="00A87C0A" w:rsidP="00A87C0A">
      <w:pPr>
        <w:pStyle w:val="Textonotapie"/>
        <w:jc w:val="center"/>
      </w:pPr>
      <w:r w:rsidRPr="00FA042A">
        <w:rPr>
          <w:noProof/>
          <w:highlight w:val="yellow"/>
        </w:rPr>
        <w:drawing>
          <wp:inline distT="0" distB="0" distL="0" distR="0" wp14:anchorId="240478DA" wp14:editId="03A3F691">
            <wp:extent cx="1831454" cy="72683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4"/>
                    <a:stretch>
                      <a:fillRect/>
                    </a:stretch>
                  </pic:blipFill>
                  <pic:spPr>
                    <a:xfrm>
                      <a:off x="0" y="0"/>
                      <a:ext cx="1854162" cy="735842"/>
                    </a:xfrm>
                    <a:prstGeom prst="rect">
                      <a:avLst/>
                    </a:prstGeom>
                  </pic:spPr>
                </pic:pic>
              </a:graphicData>
            </a:graphic>
          </wp:inline>
        </w:drawing>
      </w:r>
    </w:p>
  </w:footnote>
  <w:footnote w:id="19">
    <w:p w14:paraId="580A3CFD" w14:textId="5F42DE15" w:rsidR="00DD10AF" w:rsidRDefault="00DD10AF">
      <w:pPr>
        <w:pStyle w:val="Textonotapie"/>
      </w:pPr>
      <w:r>
        <w:rPr>
          <w:rStyle w:val="Refdenotaalpie"/>
        </w:rPr>
        <w:footnoteRef/>
      </w:r>
      <w:r>
        <w:t xml:space="preserve"> </w:t>
      </w:r>
      <w:r w:rsidRPr="00171299">
        <w:rPr>
          <w:highlight w:val="yellow"/>
        </w:rPr>
        <w:t xml:space="preserve">La rentabilidad de una posición larga en spot y corta en forward es </w:t>
      </w:r>
      <m:oMath>
        <m:sSub>
          <m:sSubPr>
            <m:ctrlPr>
              <w:rPr>
                <w:rFonts w:ascii="Cambria Math" w:hAnsi="Cambria Math"/>
                <w:i/>
                <w:iCs/>
                <w:szCs w:val="16"/>
                <w:highlight w:val="yellow"/>
              </w:rPr>
            </m:ctrlPr>
          </m:sSubPr>
          <m:e>
            <m:r>
              <m:rPr>
                <m:nor/>
              </m:rPr>
              <w:rPr>
                <w:i/>
                <w:iCs/>
                <w:szCs w:val="16"/>
                <w:highlight w:val="yellow"/>
              </w:rPr>
              <m:t>R</m:t>
            </m:r>
          </m:e>
          <m:sub>
            <m:r>
              <m:rPr>
                <m:nor/>
              </m:rPr>
              <w:rPr>
                <w:i/>
                <w:iCs/>
                <w:szCs w:val="16"/>
                <w:highlight w:val="yellow"/>
              </w:rPr>
              <m:t>t</m:t>
            </m:r>
          </m:sub>
        </m:sSub>
        <m:r>
          <w:rPr>
            <w:rFonts w:ascii="Cambria Math" w:hAnsi="Cambria Math"/>
            <w:szCs w:val="16"/>
            <w:highlight w:val="yellow"/>
          </w:rPr>
          <m:t>=</m:t>
        </m:r>
        <m:f>
          <m:fPr>
            <m:type m:val="lin"/>
            <m:ctrlPr>
              <w:rPr>
                <w:rFonts w:ascii="Cambria Math" w:hAnsi="Cambria Math"/>
                <w:i/>
                <w:iCs/>
                <w:szCs w:val="16"/>
                <w:highlight w:val="yellow"/>
              </w:rPr>
            </m:ctrlPr>
          </m:fPr>
          <m:num>
            <m:r>
              <m:rPr>
                <m:nor/>
              </m:rPr>
              <w:rPr>
                <w:i/>
                <w:iCs/>
                <w:szCs w:val="16"/>
                <w:highlight w:val="yellow"/>
              </w:rPr>
              <m:t>F</m:t>
            </m:r>
          </m:num>
          <m:den>
            <m:sSub>
              <m:sSubPr>
                <m:ctrlPr>
                  <w:rPr>
                    <w:rFonts w:ascii="Cambria Math" w:hAnsi="Cambria Math"/>
                    <w:i/>
                    <w:iCs/>
                    <w:szCs w:val="16"/>
                    <w:highlight w:val="yellow"/>
                  </w:rPr>
                </m:ctrlPr>
              </m:sSubPr>
              <m:e>
                <m:r>
                  <m:rPr>
                    <m:nor/>
                  </m:rPr>
                  <w:rPr>
                    <w:i/>
                    <w:iCs/>
                    <w:szCs w:val="16"/>
                    <w:highlight w:val="yellow"/>
                  </w:rPr>
                  <m:t>S</m:t>
                </m:r>
              </m:e>
              <m:sub>
                <m:r>
                  <m:rPr>
                    <m:nor/>
                  </m:rPr>
                  <w:rPr>
                    <w:i/>
                    <w:iCs/>
                    <w:szCs w:val="16"/>
                    <w:highlight w:val="yellow"/>
                  </w:rPr>
                  <m:t>0</m:t>
                </m:r>
              </m:sub>
            </m:sSub>
          </m:den>
        </m:f>
      </m:oMath>
      <w:r w:rsidRPr="00171299">
        <w:rPr>
          <w:highlight w:val="yellow"/>
        </w:rPr>
        <w:t xml:space="preserve">. Si </w:t>
      </w:r>
      <m:oMath>
        <m:sSub>
          <m:sSubPr>
            <m:ctrlPr>
              <w:rPr>
                <w:rFonts w:ascii="Cambria Math" w:hAnsi="Cambria Math"/>
                <w:i/>
                <w:iCs/>
                <w:szCs w:val="16"/>
                <w:highlight w:val="yellow"/>
              </w:rPr>
            </m:ctrlPr>
          </m:sSubPr>
          <m:e>
            <m:r>
              <m:rPr>
                <m:nor/>
              </m:rPr>
              <w:rPr>
                <w:i/>
                <w:iCs/>
                <w:szCs w:val="16"/>
                <w:highlight w:val="yellow"/>
              </w:rPr>
              <m:t>R</m:t>
            </m:r>
          </m:e>
          <m:sub>
            <m:r>
              <m:rPr>
                <m:nor/>
              </m:rPr>
              <w:rPr>
                <w:i/>
                <w:iCs/>
                <w:szCs w:val="16"/>
                <w:highlight w:val="yellow"/>
              </w:rPr>
              <m:t>t</m:t>
            </m:r>
          </m:sub>
        </m:sSub>
        <m:r>
          <w:rPr>
            <w:rFonts w:ascii="Cambria Math" w:hAnsi="Cambria Math"/>
            <w:szCs w:val="16"/>
            <w:highlight w:val="yellow"/>
          </w:rPr>
          <m:t>≠</m:t>
        </m:r>
        <m:r>
          <m:rPr>
            <m:nor/>
          </m:rPr>
          <w:rPr>
            <w:i/>
            <w:iCs/>
            <w:szCs w:val="16"/>
            <w:highlight w:val="yellow"/>
          </w:rPr>
          <m:t>1</m:t>
        </m:r>
        <m:r>
          <w:rPr>
            <w:rFonts w:ascii="Cambria Math" w:hAnsi="Cambria Math"/>
            <w:szCs w:val="16"/>
            <w:highlight w:val="yellow"/>
          </w:rPr>
          <m:t>+</m:t>
        </m:r>
        <m:sSub>
          <m:sSubPr>
            <m:ctrlPr>
              <w:rPr>
                <w:rFonts w:ascii="Cambria Math" w:hAnsi="Cambria Math"/>
                <w:i/>
                <w:iCs/>
                <w:szCs w:val="16"/>
                <w:highlight w:val="yellow"/>
              </w:rPr>
            </m:ctrlPr>
          </m:sSubPr>
          <m:e>
            <m:r>
              <m:rPr>
                <m:nor/>
              </m:rPr>
              <w:rPr>
                <w:i/>
                <w:iCs/>
                <w:szCs w:val="16"/>
                <w:highlight w:val="yellow"/>
              </w:rPr>
              <m:t>r</m:t>
            </m:r>
          </m:e>
          <m:sub>
            <m:r>
              <m:rPr>
                <m:nor/>
              </m:rPr>
              <w:rPr>
                <w:i/>
                <w:iCs/>
                <w:szCs w:val="16"/>
                <w:highlight w:val="yellow"/>
              </w:rPr>
              <m:t>F</m:t>
            </m:r>
          </m:sub>
        </m:sSub>
      </m:oMath>
      <w:r w:rsidRPr="00171299">
        <w:rPr>
          <w:szCs w:val="16"/>
          <w:highlight w:val="yellow"/>
        </w:rPr>
        <w:t xml:space="preserve"> </w:t>
      </w:r>
      <w:r w:rsidRPr="00171299">
        <w:rPr>
          <w:highlight w:val="yellow"/>
        </w:rPr>
        <w:t xml:space="preserve">existirá la posibilidad de pedir prestado al tipo </w:t>
      </w:r>
      <m:oMath>
        <m:sSub>
          <m:sSubPr>
            <m:ctrlPr>
              <w:rPr>
                <w:rFonts w:ascii="Cambria Math" w:hAnsi="Cambria Math"/>
                <w:i/>
                <w:iCs/>
                <w:szCs w:val="16"/>
                <w:highlight w:val="yellow"/>
              </w:rPr>
            </m:ctrlPr>
          </m:sSubPr>
          <m:e>
            <m:r>
              <m:rPr>
                <m:nor/>
              </m:rPr>
              <w:rPr>
                <w:i/>
                <w:iCs/>
                <w:szCs w:val="16"/>
                <w:highlight w:val="yellow"/>
              </w:rPr>
              <m:t>r</m:t>
            </m:r>
          </m:e>
          <m:sub>
            <m:r>
              <m:rPr>
                <m:nor/>
              </m:rPr>
              <w:rPr>
                <w:i/>
                <w:iCs/>
                <w:szCs w:val="16"/>
                <w:highlight w:val="yellow"/>
              </w:rPr>
              <m:t>F</m:t>
            </m:r>
          </m:sub>
        </m:sSub>
      </m:oMath>
      <w:r w:rsidRPr="00171299">
        <w:rPr>
          <w:highlight w:val="yellow"/>
        </w:rPr>
        <w:t xml:space="preserve"> y aplicar esta estrategia para obtener rentabilidad con un riesgo nulo.</w:t>
      </w:r>
    </w:p>
  </w:footnote>
  <w:footnote w:id="20">
    <w:p w14:paraId="7093F4DC" w14:textId="77777777" w:rsidR="00A14291" w:rsidRDefault="00A14291" w:rsidP="00A14291">
      <w:pPr>
        <w:pStyle w:val="Textonotapie"/>
        <w:keepNext/>
        <w:spacing w:after="0"/>
      </w:pPr>
      <w:r>
        <w:rPr>
          <w:rStyle w:val="Refdenotaalpie"/>
        </w:rPr>
        <w:footnoteRef/>
      </w:r>
      <w:r>
        <w:t xml:space="preserve"> La PCI se cumple </w:t>
      </w:r>
      <w:r w:rsidRPr="00A14291">
        <w:rPr>
          <w:i/>
          <w:iCs/>
        </w:rPr>
        <w:t>continuamente con mucha precisión</w:t>
      </w:r>
      <w:r>
        <w:t xml:space="preserve">, cómo cabría esperar (los programas informáticos de las instituciones de inversión hacen que los diferenciales de rentabilidad duren apenas segundos). Los </w:t>
      </w:r>
      <w:r w:rsidRPr="00A14291">
        <w:rPr>
          <w:i/>
          <w:iCs/>
        </w:rPr>
        <w:t>incumplimientos</w:t>
      </w:r>
      <w:r>
        <w:t xml:space="preserve"> de la PCI están relacionados con:</w:t>
      </w:r>
    </w:p>
    <w:p w14:paraId="0B4C779F" w14:textId="7F2CB11F" w:rsidR="00A14291" w:rsidRDefault="00A14291">
      <w:pPr>
        <w:pStyle w:val="Textonotapie"/>
        <w:numPr>
          <w:ilvl w:val="0"/>
          <w:numId w:val="24"/>
        </w:numPr>
        <w:spacing w:after="0"/>
        <w:ind w:left="454" w:hanging="170"/>
      </w:pPr>
      <w:r>
        <w:t>La ruptura del supuesto de libre movilidad de capitales.</w:t>
      </w:r>
    </w:p>
    <w:p w14:paraId="6C97101F" w14:textId="7F0C05EE" w:rsidR="00A14291" w:rsidRDefault="00A14291">
      <w:pPr>
        <w:pStyle w:val="Textonotapie"/>
        <w:numPr>
          <w:ilvl w:val="0"/>
          <w:numId w:val="24"/>
        </w:numPr>
        <w:spacing w:after="0"/>
        <w:ind w:left="454" w:hanging="170"/>
      </w:pPr>
      <w:r>
        <w:t>La existencia de comisiones y costes de transacción (de manera que, por ejemplo, el arbitrajista no intervendrá si el diferencial de cotización –beneficios– es menor que la comisión que tiene que pagar.</w:t>
      </w:r>
    </w:p>
    <w:p w14:paraId="5F507D57" w14:textId="2374BDE6" w:rsidR="00A14291" w:rsidRDefault="00A14291">
      <w:pPr>
        <w:pStyle w:val="Textonotapie"/>
        <w:numPr>
          <w:ilvl w:val="0"/>
          <w:numId w:val="24"/>
        </w:numPr>
        <w:ind w:left="454" w:hanging="170"/>
      </w:pPr>
      <w:r>
        <w:t xml:space="preserve">Por otro lado, la evidencia muestra que el tipo de cambio forward es un mal predictor del tipo de cambio futuro (no solo no acierta la magnitud del cambio, sino que tiende a fallar su dirección). Igualmente, se considera como un hecho estilizado que la divisa con un tipo de interés más alto tiende a apreciarse, lo que contradice la PDI. Estos resultados empíricos conforman la conocida </w:t>
      </w:r>
      <w:r w:rsidRPr="00A14291">
        <w:rPr>
          <w:i/>
          <w:iCs/>
        </w:rPr>
        <w:t>paradoja del margen forward</w:t>
      </w:r>
      <w:r>
        <w:t>.</w:t>
      </w:r>
    </w:p>
  </w:footnote>
  <w:footnote w:id="21">
    <w:p w14:paraId="287895F9" w14:textId="59882542" w:rsidR="0019476A" w:rsidRPr="00855EA8" w:rsidRDefault="0019476A">
      <w:pPr>
        <w:pStyle w:val="Textonotapie"/>
      </w:pPr>
      <w:r>
        <w:rPr>
          <w:rStyle w:val="Refdenotaalpie"/>
        </w:rPr>
        <w:footnoteRef/>
      </w:r>
      <w:r>
        <w:t xml:space="preserve"> </w:t>
      </w:r>
      <w:r w:rsidR="00855EA8">
        <w:rPr>
          <w:i/>
          <w:iCs/>
        </w:rPr>
        <w:t>Propiedad de convergencia</w:t>
      </w:r>
      <w:r w:rsidR="00855EA8">
        <w:t xml:space="preserve">: El precio de los </w:t>
      </w:r>
      <w:r w:rsidR="00855EA8" w:rsidRPr="00855EA8">
        <w:rPr>
          <w:i/>
          <w:iCs/>
        </w:rPr>
        <w:t>futuros</w:t>
      </w:r>
      <w:r w:rsidR="00855EA8">
        <w:t xml:space="preserve"> y el precio </w:t>
      </w:r>
      <w:r w:rsidR="00855EA8">
        <w:rPr>
          <w:i/>
          <w:iCs/>
        </w:rPr>
        <w:t>spot</w:t>
      </w:r>
      <w:r w:rsidR="00855EA8">
        <w:t xml:space="preserve"> convergen en vencimiento.</w:t>
      </w:r>
    </w:p>
  </w:footnote>
  <w:footnote w:id="22">
    <w:p w14:paraId="26D4A5A5" w14:textId="77777777" w:rsidR="00875950" w:rsidRDefault="00875950" w:rsidP="00875950">
      <w:pPr>
        <w:pStyle w:val="Textonotapie"/>
        <w:keepNext/>
        <w:spacing w:after="0"/>
      </w:pPr>
      <w:r>
        <w:rPr>
          <w:rStyle w:val="Refdenotaalpie"/>
        </w:rPr>
        <w:footnoteRef/>
      </w:r>
      <w:r>
        <w:t xml:space="preserve"> Una opción puede encontrarse en 3 estados:</w:t>
      </w:r>
    </w:p>
    <w:p w14:paraId="46E3854E" w14:textId="77777777" w:rsidR="00875950" w:rsidRPr="00CC40C9" w:rsidRDefault="00875950">
      <w:pPr>
        <w:pStyle w:val="Textonotapie"/>
        <w:numPr>
          <w:ilvl w:val="0"/>
          <w:numId w:val="8"/>
        </w:numPr>
        <w:spacing w:after="0"/>
        <w:ind w:left="453" w:hanging="113"/>
      </w:pPr>
      <w:proofErr w:type="spellStart"/>
      <w:r w:rsidRPr="00CC40C9">
        <w:rPr>
          <w:i/>
          <w:iCs/>
        </w:rPr>
        <w:t>In-the-money</w:t>
      </w:r>
      <w:proofErr w:type="spellEnd"/>
      <w:r w:rsidRPr="00CC40C9">
        <w:t xml:space="preserve">: </w:t>
      </w:r>
      <w:r>
        <w:t>E</w:t>
      </w:r>
      <w:r w:rsidRPr="00CC40C9">
        <w:t>n caso de que</w:t>
      </w:r>
      <w:r>
        <w:t xml:space="preserve"> su ejercicio inmediato generase un flujo neto positivo.</w:t>
      </w:r>
    </w:p>
    <w:p w14:paraId="217DDD6D" w14:textId="77777777" w:rsidR="00875950" w:rsidRPr="00CC40C9" w:rsidRDefault="00875950">
      <w:pPr>
        <w:pStyle w:val="Textonotapie"/>
        <w:numPr>
          <w:ilvl w:val="0"/>
          <w:numId w:val="8"/>
        </w:numPr>
        <w:spacing w:after="0"/>
        <w:ind w:left="453" w:hanging="113"/>
      </w:pPr>
      <w:r w:rsidRPr="00CC40C9">
        <w:rPr>
          <w:i/>
          <w:iCs/>
        </w:rPr>
        <w:t>At-</w:t>
      </w:r>
      <w:proofErr w:type="spellStart"/>
      <w:r w:rsidRPr="00CC40C9">
        <w:rPr>
          <w:i/>
          <w:iCs/>
        </w:rPr>
        <w:t>the</w:t>
      </w:r>
      <w:proofErr w:type="spellEnd"/>
      <w:r w:rsidRPr="00CC40C9">
        <w:rPr>
          <w:i/>
          <w:iCs/>
        </w:rPr>
        <w:t>-</w:t>
      </w:r>
      <w:proofErr w:type="spellStart"/>
      <w:r w:rsidRPr="00CC40C9">
        <w:rPr>
          <w:i/>
          <w:iCs/>
        </w:rPr>
        <w:t>money</w:t>
      </w:r>
      <w:proofErr w:type="spellEnd"/>
      <w:r w:rsidRPr="00CC40C9">
        <w:t xml:space="preserve">: </w:t>
      </w:r>
      <w:r>
        <w:t>E</w:t>
      </w:r>
      <w:r w:rsidRPr="00CC40C9">
        <w:t>n caso de que</w:t>
      </w:r>
      <w:r>
        <w:t xml:space="preserve"> su ejercicio inmediato generase un flujo neto igual a cero.</w:t>
      </w:r>
    </w:p>
    <w:p w14:paraId="74A45B23" w14:textId="77777777" w:rsidR="00875950" w:rsidRPr="00CC40C9" w:rsidRDefault="00875950">
      <w:pPr>
        <w:pStyle w:val="Textonotapie"/>
        <w:numPr>
          <w:ilvl w:val="0"/>
          <w:numId w:val="8"/>
        </w:numPr>
        <w:ind w:left="453" w:hanging="113"/>
      </w:pPr>
      <w:proofErr w:type="spellStart"/>
      <w:r w:rsidRPr="00CC40C9">
        <w:rPr>
          <w:i/>
          <w:iCs/>
        </w:rPr>
        <w:t>Out</w:t>
      </w:r>
      <w:r w:rsidRPr="001D091B">
        <w:rPr>
          <w:i/>
          <w:iCs/>
        </w:rPr>
        <w:t>-of-the-mone</w:t>
      </w:r>
      <w:r w:rsidRPr="00CC40C9">
        <w:rPr>
          <w:i/>
          <w:iCs/>
        </w:rPr>
        <w:t>y</w:t>
      </w:r>
      <w:proofErr w:type="spellEnd"/>
      <w:r w:rsidRPr="00CC40C9">
        <w:t xml:space="preserve">: </w:t>
      </w:r>
      <w:r>
        <w:t>E</w:t>
      </w:r>
      <w:r w:rsidRPr="00CC40C9">
        <w:t>n caso de que</w:t>
      </w:r>
      <w:r>
        <w:t xml:space="preserve"> su ejercicio inmediato generase un flujo neto negativo.</w:t>
      </w:r>
    </w:p>
  </w:footnote>
  <w:footnote w:id="23">
    <w:p w14:paraId="604944ED" w14:textId="77777777" w:rsidR="00875950" w:rsidRDefault="00875950" w:rsidP="00875950">
      <w:pPr>
        <w:pStyle w:val="Textonotapie"/>
        <w:spacing w:after="0"/>
      </w:pPr>
      <w:r>
        <w:rPr>
          <w:rStyle w:val="Refdenotaalpie"/>
        </w:rPr>
        <w:footnoteRef/>
      </w:r>
      <w:r>
        <w:t xml:space="preserve"> Podemos identificar 3 grandes diferencias entre una </w:t>
      </w:r>
      <w:proofErr w:type="spellStart"/>
      <w:r>
        <w:t>call</w:t>
      </w:r>
      <w:proofErr w:type="spellEnd"/>
      <w:r>
        <w:t xml:space="preserve"> y una warrant:</w:t>
      </w:r>
    </w:p>
    <w:p w14:paraId="75E611A2" w14:textId="77777777" w:rsidR="00875950" w:rsidRDefault="00875950">
      <w:pPr>
        <w:pStyle w:val="Textonotapie"/>
        <w:numPr>
          <w:ilvl w:val="0"/>
          <w:numId w:val="39"/>
        </w:numPr>
        <w:spacing w:after="0"/>
        <w:ind w:left="284" w:hanging="57"/>
      </w:pPr>
      <w:r>
        <w:t>La principal diferencia entre las opciones y los warrants es que mientras que las opciones se compran y se venden libremente en el mercado, los warrants son emitidos por una empresa emisora de warrants y, por lo general, son opciones OTC (</w:t>
      </w:r>
      <w:proofErr w:type="spellStart"/>
      <w:r>
        <w:t>over</w:t>
      </w:r>
      <w:proofErr w:type="spellEnd"/>
      <w:r>
        <w:t xml:space="preserve"> </w:t>
      </w:r>
      <w:proofErr w:type="spellStart"/>
      <w:r>
        <w:t>the</w:t>
      </w:r>
      <w:proofErr w:type="spellEnd"/>
      <w:r>
        <w:t xml:space="preserve"> </w:t>
      </w:r>
      <w:proofErr w:type="spellStart"/>
      <w:r>
        <w:t>counter</w:t>
      </w:r>
      <w:proofErr w:type="spellEnd"/>
      <w:r>
        <w:t>), es decir, no se negocian con una cámara de por medio, sino que la negociación es bilateral.</w:t>
      </w:r>
    </w:p>
    <w:p w14:paraId="163F7661" w14:textId="77777777" w:rsidR="00875950" w:rsidRDefault="00875950" w:rsidP="00875950">
      <w:pPr>
        <w:pStyle w:val="Textonotapie"/>
        <w:spacing w:after="0"/>
        <w:ind w:left="284"/>
      </w:pPr>
      <w:r>
        <w:t xml:space="preserve">Por ello, mientras que con las opciones podemos vender </w:t>
      </w:r>
      <w:proofErr w:type="spellStart"/>
      <w:r>
        <w:t>calls</w:t>
      </w:r>
      <w:proofErr w:type="spellEnd"/>
      <w:r>
        <w:t xml:space="preserve"> y </w:t>
      </w:r>
      <w:proofErr w:type="spellStart"/>
      <w:r>
        <w:t>puts</w:t>
      </w:r>
      <w:proofErr w:type="spellEnd"/>
      <w:r>
        <w:t xml:space="preserve"> libremente en el mercado sin haberlas adquirido previamente, con </w:t>
      </w:r>
      <w:r w:rsidRPr="00225E15">
        <w:rPr>
          <w:u w:val="single"/>
        </w:rPr>
        <w:t xml:space="preserve">los warrants sólo podemos vender una </w:t>
      </w:r>
      <w:proofErr w:type="spellStart"/>
      <w:r w:rsidRPr="00225E15">
        <w:rPr>
          <w:u w:val="single"/>
        </w:rPr>
        <w:t>call</w:t>
      </w:r>
      <w:proofErr w:type="spellEnd"/>
      <w:r w:rsidRPr="00225E15">
        <w:rPr>
          <w:u w:val="single"/>
        </w:rPr>
        <w:t xml:space="preserve"> o una </w:t>
      </w:r>
      <w:proofErr w:type="spellStart"/>
      <w:r w:rsidRPr="00225E15">
        <w:rPr>
          <w:u w:val="single"/>
        </w:rPr>
        <w:t>put</w:t>
      </w:r>
      <w:proofErr w:type="spellEnd"/>
      <w:r w:rsidRPr="00225E15">
        <w:rPr>
          <w:u w:val="single"/>
        </w:rPr>
        <w:t xml:space="preserve"> si la hemos comprado antes al emisor</w:t>
      </w:r>
      <w:r>
        <w:t>.</w:t>
      </w:r>
    </w:p>
    <w:p w14:paraId="1BAD2AE7" w14:textId="77777777" w:rsidR="00875950" w:rsidRDefault="00875950" w:rsidP="00875950">
      <w:pPr>
        <w:pStyle w:val="Textonotapie"/>
        <w:keepNext/>
        <w:spacing w:after="0"/>
        <w:ind w:left="284"/>
      </w:pPr>
      <w:r>
        <w:t>El resultado es que con las opciones financieras, tenemos 4 posibilidades de inversión: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984"/>
      </w:tblGrid>
      <w:tr w:rsidR="00875950" w14:paraId="51E6884A" w14:textId="77777777" w:rsidTr="00225E15">
        <w:tc>
          <w:tcPr>
            <w:tcW w:w="1985" w:type="dxa"/>
          </w:tcPr>
          <w:p w14:paraId="5D539437" w14:textId="77777777" w:rsidR="00875950" w:rsidRDefault="00875950">
            <w:pPr>
              <w:pStyle w:val="Textonotapie"/>
              <w:numPr>
                <w:ilvl w:val="0"/>
                <w:numId w:val="25"/>
              </w:numPr>
              <w:spacing w:after="0"/>
              <w:ind w:left="397" w:hanging="113"/>
            </w:pPr>
            <w:r>
              <w:t xml:space="preserve">Comprar </w:t>
            </w:r>
            <w:proofErr w:type="spellStart"/>
            <w:r>
              <w:t>calls</w:t>
            </w:r>
            <w:proofErr w:type="spellEnd"/>
            <w:r>
              <w:t>.</w:t>
            </w:r>
          </w:p>
          <w:p w14:paraId="6A69F9F0" w14:textId="77777777" w:rsidR="00875950" w:rsidRDefault="00875950">
            <w:pPr>
              <w:pStyle w:val="Textonotapie"/>
              <w:numPr>
                <w:ilvl w:val="0"/>
                <w:numId w:val="25"/>
              </w:numPr>
              <w:spacing w:after="0"/>
              <w:ind w:left="397" w:hanging="113"/>
            </w:pPr>
            <w:r>
              <w:t xml:space="preserve">Comprar </w:t>
            </w:r>
            <w:proofErr w:type="spellStart"/>
            <w:r>
              <w:t>puts</w:t>
            </w:r>
            <w:proofErr w:type="spellEnd"/>
            <w:r>
              <w:t>.</w:t>
            </w:r>
          </w:p>
        </w:tc>
        <w:tc>
          <w:tcPr>
            <w:tcW w:w="1984" w:type="dxa"/>
          </w:tcPr>
          <w:p w14:paraId="7EA664F8" w14:textId="77777777" w:rsidR="00875950" w:rsidRDefault="00875950">
            <w:pPr>
              <w:pStyle w:val="Textonotapie"/>
              <w:numPr>
                <w:ilvl w:val="0"/>
                <w:numId w:val="25"/>
              </w:numPr>
              <w:spacing w:after="0"/>
              <w:ind w:left="397" w:hanging="113"/>
            </w:pPr>
            <w:r>
              <w:t xml:space="preserve">Vender </w:t>
            </w:r>
            <w:proofErr w:type="spellStart"/>
            <w:r>
              <w:t>calls</w:t>
            </w:r>
            <w:proofErr w:type="spellEnd"/>
            <w:r>
              <w:t>.</w:t>
            </w:r>
          </w:p>
          <w:p w14:paraId="507C76CD" w14:textId="77777777" w:rsidR="00875950" w:rsidRDefault="00875950">
            <w:pPr>
              <w:pStyle w:val="Textonotapie"/>
              <w:numPr>
                <w:ilvl w:val="0"/>
                <w:numId w:val="25"/>
              </w:numPr>
              <w:spacing w:after="0"/>
              <w:ind w:left="397" w:hanging="113"/>
            </w:pPr>
            <w:r>
              <w:t xml:space="preserve">Vender </w:t>
            </w:r>
            <w:proofErr w:type="spellStart"/>
            <w:r>
              <w:t>puts</w:t>
            </w:r>
            <w:proofErr w:type="spellEnd"/>
            <w:r>
              <w:t>.</w:t>
            </w:r>
          </w:p>
        </w:tc>
      </w:tr>
    </w:tbl>
    <w:p w14:paraId="1407555A" w14:textId="77777777" w:rsidR="00875950" w:rsidRDefault="00875950" w:rsidP="00875950">
      <w:pPr>
        <w:pStyle w:val="Textonotapie"/>
        <w:keepNext/>
        <w:spacing w:after="0"/>
        <w:ind w:left="284"/>
      </w:pPr>
      <w:r>
        <w:t>Sin embargo, con los warrants sólo podemos:</w:t>
      </w:r>
    </w:p>
    <w:p w14:paraId="786228B2" w14:textId="77777777" w:rsidR="00875950" w:rsidRDefault="00875950">
      <w:pPr>
        <w:pStyle w:val="Textonotapie"/>
        <w:numPr>
          <w:ilvl w:val="0"/>
          <w:numId w:val="25"/>
        </w:numPr>
        <w:spacing w:after="0"/>
        <w:ind w:left="510" w:hanging="113"/>
      </w:pPr>
      <w:r>
        <w:t xml:space="preserve">Comprar </w:t>
      </w:r>
      <w:proofErr w:type="spellStart"/>
      <w:r>
        <w:t>calls</w:t>
      </w:r>
      <w:proofErr w:type="spellEnd"/>
      <w:r>
        <w:t>.</w:t>
      </w:r>
    </w:p>
    <w:p w14:paraId="68C02E0C" w14:textId="77777777" w:rsidR="00875950" w:rsidRDefault="00875950">
      <w:pPr>
        <w:pStyle w:val="Textonotapie"/>
        <w:numPr>
          <w:ilvl w:val="0"/>
          <w:numId w:val="25"/>
        </w:numPr>
        <w:spacing w:after="0"/>
        <w:ind w:left="510" w:hanging="113"/>
      </w:pPr>
      <w:r>
        <w:t xml:space="preserve">Comprar </w:t>
      </w:r>
      <w:proofErr w:type="spellStart"/>
      <w:r>
        <w:t>puts</w:t>
      </w:r>
      <w:proofErr w:type="spellEnd"/>
      <w:r>
        <w:t>.</w:t>
      </w:r>
    </w:p>
    <w:p w14:paraId="2FB36617" w14:textId="77777777" w:rsidR="00875950" w:rsidRDefault="00875950">
      <w:pPr>
        <w:pStyle w:val="Textonotapie"/>
        <w:keepNext/>
        <w:numPr>
          <w:ilvl w:val="0"/>
          <w:numId w:val="39"/>
        </w:numPr>
        <w:spacing w:after="0"/>
        <w:ind w:left="284" w:hanging="57"/>
      </w:pPr>
      <w:r>
        <w:t xml:space="preserve">En segundo lugar, supongamos, el ejemplo de una </w:t>
      </w:r>
      <w:r>
        <w:rPr>
          <w:i/>
          <w:iCs/>
        </w:rPr>
        <w:t xml:space="preserve">warrant </w:t>
      </w:r>
      <w:proofErr w:type="spellStart"/>
      <w:r>
        <w:rPr>
          <w:i/>
          <w:iCs/>
        </w:rPr>
        <w:t>call</w:t>
      </w:r>
      <w:proofErr w:type="spellEnd"/>
      <w:r>
        <w:t xml:space="preserve"> emitida por una empresa. A diferencia de una opción </w:t>
      </w:r>
      <w:proofErr w:type="spellStart"/>
      <w:r>
        <w:rPr>
          <w:i/>
          <w:iCs/>
        </w:rPr>
        <w:t>call</w:t>
      </w:r>
      <w:proofErr w:type="spellEnd"/>
      <w:r>
        <w:t xml:space="preserve"> normal, </w:t>
      </w:r>
      <w:r w:rsidRPr="00225E15">
        <w:rPr>
          <w:u w:val="single"/>
        </w:rPr>
        <w:t xml:space="preserve">el ejercicio del </w:t>
      </w:r>
      <w:r w:rsidRPr="00225E15">
        <w:rPr>
          <w:i/>
          <w:iCs/>
          <w:u w:val="single"/>
        </w:rPr>
        <w:t xml:space="preserve">warrant </w:t>
      </w:r>
      <w:proofErr w:type="spellStart"/>
      <w:r w:rsidRPr="00225E15">
        <w:rPr>
          <w:i/>
          <w:iCs/>
          <w:u w:val="single"/>
        </w:rPr>
        <w:t>call</w:t>
      </w:r>
      <w:proofErr w:type="spellEnd"/>
      <w:r w:rsidRPr="00225E15">
        <w:rPr>
          <w:u w:val="single"/>
        </w:rPr>
        <w:t xml:space="preserve"> requiere que la empresa emita una nueva acción y por tanto, las acciones totales aumentan</w:t>
      </w:r>
      <w:r>
        <w:t xml:space="preserve"> (en una </w:t>
      </w:r>
      <w:proofErr w:type="spellStart"/>
      <w:r>
        <w:rPr>
          <w:i/>
          <w:iCs/>
        </w:rPr>
        <w:t>call</w:t>
      </w:r>
      <w:proofErr w:type="spellEnd"/>
      <w:r>
        <w:t xml:space="preserve"> normal, el vendedor tendría que entregar una acción ya emitida, por lo que número de acciones no varía). Además, los </w:t>
      </w:r>
      <w:r>
        <w:rPr>
          <w:i/>
          <w:iCs/>
        </w:rPr>
        <w:t>warrants</w:t>
      </w:r>
      <w:r>
        <w:t xml:space="preserve"> resultan en un flujo de caja a la empresa cuando el tenedor de una </w:t>
      </w:r>
      <w:r>
        <w:rPr>
          <w:i/>
          <w:iCs/>
        </w:rPr>
        <w:t>warrant</w:t>
      </w:r>
      <w:r>
        <w:t xml:space="preserve"> paga el precio de ejercicio.</w:t>
      </w:r>
    </w:p>
    <w:p w14:paraId="10605122" w14:textId="77777777" w:rsidR="00875950" w:rsidRDefault="00875950">
      <w:pPr>
        <w:pStyle w:val="Textonotapie"/>
        <w:keepNext/>
        <w:numPr>
          <w:ilvl w:val="0"/>
          <w:numId w:val="39"/>
        </w:numPr>
        <w:spacing w:after="0"/>
        <w:ind w:left="284" w:hanging="57"/>
      </w:pPr>
      <w:r>
        <w:t>Finalmente, la tercera diferencia hace referencia al plazo de vencimiento. M</w:t>
      </w:r>
      <w:r w:rsidRPr="00225E15">
        <w:t xml:space="preserve">ientras que las opciones normales suelen tener vencimientos inferiores a un año, </w:t>
      </w:r>
      <w:r w:rsidRPr="00225E15">
        <w:rPr>
          <w:u w:val="single"/>
        </w:rPr>
        <w:t xml:space="preserve">el vencimiento de los </w:t>
      </w:r>
      <w:r w:rsidRPr="00225E15">
        <w:rPr>
          <w:i/>
          <w:iCs/>
          <w:u w:val="single"/>
        </w:rPr>
        <w:t>warrant</w:t>
      </w:r>
      <w:r w:rsidRPr="00225E15">
        <w:rPr>
          <w:u w:val="single"/>
        </w:rPr>
        <w:t xml:space="preserve"> suele ser bastante más largo, pudiendo durar hasta 15</w:t>
      </w:r>
      <w:r>
        <w:rPr>
          <w:u w:val="single"/>
        </w:rPr>
        <w:t> </w:t>
      </w:r>
      <w:r w:rsidRPr="00225E15">
        <w:rPr>
          <w:u w:val="single"/>
        </w:rPr>
        <w:t>años</w:t>
      </w:r>
      <w:r>
        <w:t>.</w:t>
      </w:r>
    </w:p>
    <w:p w14:paraId="5A15317C" w14:textId="77777777" w:rsidR="00875950" w:rsidRDefault="00875950" w:rsidP="00875950">
      <w:pPr>
        <w:pStyle w:val="Textonotapie"/>
        <w:keepNext/>
        <w:spacing w:after="0"/>
      </w:pPr>
      <w:r>
        <w:t>Son productos apalancados: con un desembolso limitado (la prima) se puede obtener el mismo resultado que si se hubieran comprado o vendido valores con un precio de mercado muy superior. Esto implica un mayor nivel de riesgo, pues ante pequeñas variaciones en el precio del activo subyacente, el precio de estos productos puede sufrir fuertes cambios (tanto al alza como a la baja).</w:t>
      </w:r>
    </w:p>
    <w:p w14:paraId="7A183B5C" w14:textId="77777777" w:rsidR="00875950" w:rsidRDefault="00000000" w:rsidP="00875950">
      <w:pPr>
        <w:pStyle w:val="Textonotapie"/>
        <w:keepNext/>
        <w:spacing w:after="0"/>
        <w:jc w:val="right"/>
        <w:rPr>
          <w:sz w:val="14"/>
          <w:szCs w:val="14"/>
        </w:rPr>
      </w:pPr>
      <w:hyperlink r:id="rId5" w:history="1">
        <w:r w:rsidR="00875950" w:rsidRPr="00171299">
          <w:rPr>
            <w:rStyle w:val="Hipervnculo"/>
            <w:sz w:val="14"/>
            <w:szCs w:val="14"/>
          </w:rPr>
          <w:t>https://www.cnmv.es/Portal/inversor/Warrants.aspx</w:t>
        </w:r>
      </w:hyperlink>
    </w:p>
    <w:p w14:paraId="0EAA260C" w14:textId="77777777" w:rsidR="00875950" w:rsidRPr="00171299" w:rsidRDefault="00875950" w:rsidP="00875950">
      <w:pPr>
        <w:pStyle w:val="Textonotapie"/>
        <w:keepNext/>
        <w:spacing w:after="0"/>
        <w:rPr>
          <w:szCs w:val="16"/>
        </w:rPr>
      </w:pPr>
      <w:r w:rsidRPr="00171299">
        <w:rPr>
          <w:szCs w:val="16"/>
        </w:rPr>
        <w:t xml:space="preserve">Los </w:t>
      </w:r>
      <w:r w:rsidRPr="00171299">
        <w:rPr>
          <w:i/>
          <w:iCs/>
          <w:szCs w:val="16"/>
        </w:rPr>
        <w:t>turbo warrants</w:t>
      </w:r>
      <w:r w:rsidRPr="00171299">
        <w:rPr>
          <w:szCs w:val="16"/>
        </w:rPr>
        <w:t xml:space="preserve"> son warrants condicionados: si durante la vida del turbo el precio del activo subyacente alcanza en algún momento un nivel predeterminado (barrera), el turbo warrant se cancela de forma anticipada sin que el propietario pueda ejercer su derecho, perdiendo la prima pagada.</w:t>
      </w:r>
    </w:p>
    <w:p w14:paraId="308243F2" w14:textId="77777777" w:rsidR="00875950" w:rsidRPr="00176032" w:rsidRDefault="00000000" w:rsidP="00875950">
      <w:pPr>
        <w:pStyle w:val="Textonotapie"/>
        <w:jc w:val="right"/>
      </w:pPr>
      <w:hyperlink r:id="rId6" w:history="1">
        <w:r w:rsidR="00875950" w:rsidRPr="00F700F6">
          <w:rPr>
            <w:rStyle w:val="Hipervnculo"/>
            <w:sz w:val="14"/>
            <w:szCs w:val="14"/>
          </w:rPr>
          <w:t>https://www.cnmv.es/DocPortal/Publicaciones/Fichas/GR17_Warrants_Turbowarrants.pdf</w:t>
        </w:r>
      </w:hyperlink>
    </w:p>
  </w:footnote>
  <w:footnote w:id="24">
    <w:p w14:paraId="10756D7D" w14:textId="77777777" w:rsidR="00875950" w:rsidRDefault="00875950" w:rsidP="00875950">
      <w:pPr>
        <w:pStyle w:val="Textonotapie"/>
      </w:pPr>
      <w:r>
        <w:rPr>
          <w:rStyle w:val="Refdenotaalpie"/>
        </w:rPr>
        <w:footnoteRef/>
      </w:r>
      <w:r>
        <w:t xml:space="preserve"> A priori, puede parecernos más ventajoso para el comprador (pues tiene ganancias ilimitadas y pérdidas limitadas por la prima) que para el vendedor (que tiene ganancias limitadas por la prima y pérdidas ilimitadas). Sin embargo, esta ventaja para el comprador se compensa por el hecho de que a causa del pago de la prima el valor del activo subyacente debe separarse lo suficiente del precio de ejercicio para que el comprador no obtenga pérdidas y el vendedor ganancias. Ello hace que, si asumimos que el precio del activo subyacente sigue una función de distribución de probabilidad simétrica con media en el precio de ejercicio (lo cual no tiene por qué ser así), las probabilidades estén a favor del vendedor (nótese que esto es igual tanto para opciones </w:t>
      </w:r>
      <w:proofErr w:type="spellStart"/>
      <w:r>
        <w:rPr>
          <w:i/>
          <w:iCs/>
        </w:rPr>
        <w:t>call</w:t>
      </w:r>
      <w:proofErr w:type="spellEnd"/>
      <w:r>
        <w:t xml:space="preserve"> como para opciones </w:t>
      </w:r>
      <w:proofErr w:type="spellStart"/>
      <w:r>
        <w:rPr>
          <w:i/>
          <w:iCs/>
        </w:rPr>
        <w:t>put</w:t>
      </w:r>
      <w:proofErr w:type="spellEnd"/>
      <w:r>
        <w:t>, es decir, si asumimos que el precio del activo subyacente sigue una distribución normal con media en el precio de ejercicio, el vendedor siempre tiene más posibilidades de obtener beneficios).</w:t>
      </w:r>
    </w:p>
  </w:footnote>
  <w:footnote w:id="25">
    <w:p w14:paraId="03F60E55" w14:textId="77777777" w:rsidR="00875950" w:rsidRPr="00941118" w:rsidRDefault="00875950" w:rsidP="00875950">
      <w:pPr>
        <w:pStyle w:val="Textonotapie"/>
      </w:pPr>
      <w:r>
        <w:rPr>
          <w:rStyle w:val="Refdenotaalpie"/>
        </w:rPr>
        <w:footnoteRef/>
      </w:r>
      <w:r>
        <w:t xml:space="preserve"> No se tiene por qué cumplir para opciones americanas: la idea de la </w:t>
      </w:r>
      <w:r w:rsidRPr="00941118">
        <w:rPr>
          <w:i/>
          <w:iCs/>
        </w:rPr>
        <w:t xml:space="preserve">paridad </w:t>
      </w:r>
      <w:proofErr w:type="spellStart"/>
      <w:r w:rsidRPr="00941118">
        <w:rPr>
          <w:i/>
          <w:iCs/>
        </w:rPr>
        <w:t>put-call</w:t>
      </w:r>
      <w:proofErr w:type="spellEnd"/>
      <w:r>
        <w:t xml:space="preserve"> es que, si no se cumple, se puede arbitrar la posición comprando una y vendiendo la otra (combinando con subyacente y bono cupón cero) y llevando la posición a vencimiento. Sin embargo, en una opción americana el comprador podría decidir ejercerla antes de vencimiento y, en tal caso, el arbitraje no funcionaría.</w:t>
      </w:r>
    </w:p>
  </w:footnote>
  <w:footnote w:id="26">
    <w:p w14:paraId="11909605" w14:textId="77777777" w:rsidR="00875950" w:rsidRDefault="00875950" w:rsidP="00875950">
      <w:pPr>
        <w:pStyle w:val="Textonotapie"/>
        <w:rPr>
          <w:szCs w:val="16"/>
        </w:rPr>
      </w:pPr>
      <w:r w:rsidRPr="00AA4AA6">
        <w:rPr>
          <w:rStyle w:val="Refdenotaalpie"/>
        </w:rPr>
        <w:footnoteRef/>
      </w:r>
      <w:r w:rsidRPr="00AA4AA6">
        <w:t xml:space="preserve"> </w:t>
      </w:r>
      <w:r w:rsidRPr="00AA4AA6">
        <w:rPr>
          <w:szCs w:val="16"/>
        </w:rPr>
        <w:t xml:space="preserve">Para </w:t>
      </w:r>
      <w:r w:rsidRPr="009F16CE">
        <w:rPr>
          <w:i/>
          <w:iCs/>
          <w:szCs w:val="16"/>
        </w:rPr>
        <w:t>opciones americanas</w:t>
      </w:r>
      <w:r w:rsidRPr="00AA4AA6">
        <w:rPr>
          <w:szCs w:val="16"/>
        </w:rPr>
        <w:t>, un aumento en el plazo a vencimiento debe aumentar el valor de la opción. Siempre podemos decidir ejercer la opción si lo consideramos óptimo; cuanto mayor sea el plazo a vencimiento más alternativas hay para que la opción sea más valiosa.</w:t>
      </w:r>
    </w:p>
    <w:p w14:paraId="72D7E7B3" w14:textId="77777777" w:rsidR="00875950" w:rsidRDefault="00875950" w:rsidP="00875950">
      <w:pPr>
        <w:pStyle w:val="Textonotapie"/>
        <w:keepNext/>
        <w:spacing w:after="0"/>
        <w:rPr>
          <w:szCs w:val="16"/>
        </w:rPr>
      </w:pPr>
      <w:r w:rsidRPr="00AA4AA6">
        <w:rPr>
          <w:szCs w:val="16"/>
        </w:rPr>
        <w:t xml:space="preserve">Para el caso de una </w:t>
      </w:r>
      <w:r w:rsidRPr="009F16CE">
        <w:rPr>
          <w:i/>
          <w:iCs/>
          <w:szCs w:val="16"/>
        </w:rPr>
        <w:t>opción europea</w:t>
      </w:r>
      <w:r w:rsidRPr="00AA4AA6">
        <w:rPr>
          <w:szCs w:val="16"/>
        </w:rPr>
        <w:t>, un mayor plazo a vencimiento puede tener un efecto indeterminado. Por un lado</w:t>
      </w:r>
      <w:r>
        <w:rPr>
          <w:szCs w:val="16"/>
        </w:rPr>
        <w:t>,</w:t>
      </w:r>
      <w:r w:rsidRPr="00AA4AA6">
        <w:rPr>
          <w:szCs w:val="16"/>
        </w:rPr>
        <w:t xml:space="preserve"> aumenta la volatilidad porque el precio del activo subyacente a vencimiento es más incierto, pero reduce el valor presente del precio de ejercicio que será recibido si la opción es ejercida. </w:t>
      </w:r>
      <w:r>
        <w:rPr>
          <w:szCs w:val="16"/>
        </w:rPr>
        <w:t>Por lo tanto:</w:t>
      </w:r>
    </w:p>
    <w:p w14:paraId="5FE0AC78" w14:textId="77777777" w:rsidR="00875950" w:rsidRDefault="00875950">
      <w:pPr>
        <w:pStyle w:val="Textonotapie"/>
        <w:numPr>
          <w:ilvl w:val="3"/>
          <w:numId w:val="17"/>
        </w:numPr>
        <w:spacing w:after="0"/>
        <w:ind w:left="283" w:hanging="113"/>
        <w:rPr>
          <w:szCs w:val="16"/>
        </w:rPr>
      </w:pPr>
      <w:r w:rsidRPr="00AA4AA6">
        <w:rPr>
          <w:szCs w:val="16"/>
        </w:rPr>
        <w:t xml:space="preserve">El efecto neto en el caso de las opciones </w:t>
      </w:r>
      <w:proofErr w:type="spellStart"/>
      <w:r>
        <w:rPr>
          <w:szCs w:val="16"/>
        </w:rPr>
        <w:t>call</w:t>
      </w:r>
      <w:proofErr w:type="spellEnd"/>
      <w:r>
        <w:rPr>
          <w:szCs w:val="16"/>
        </w:rPr>
        <w:t xml:space="preserve"> europeas</w:t>
      </w:r>
      <w:r w:rsidRPr="00AA4AA6">
        <w:rPr>
          <w:szCs w:val="16"/>
        </w:rPr>
        <w:t xml:space="preserve"> </w:t>
      </w:r>
      <w:r>
        <w:rPr>
          <w:szCs w:val="16"/>
        </w:rPr>
        <w:t>es positivo</w:t>
      </w:r>
      <w:r w:rsidRPr="00AA4AA6">
        <w:rPr>
          <w:szCs w:val="16"/>
        </w:rPr>
        <w:t>.</w:t>
      </w:r>
    </w:p>
    <w:p w14:paraId="49456DE8" w14:textId="77777777" w:rsidR="00875950" w:rsidRPr="00AA4AA6" w:rsidRDefault="00875950">
      <w:pPr>
        <w:pStyle w:val="Textonotapie"/>
        <w:numPr>
          <w:ilvl w:val="0"/>
          <w:numId w:val="17"/>
        </w:numPr>
        <w:spacing w:after="0"/>
        <w:ind w:left="283" w:hanging="113"/>
      </w:pPr>
      <w:r w:rsidRPr="00AA4AA6">
        <w:rPr>
          <w:szCs w:val="16"/>
        </w:rPr>
        <w:t xml:space="preserve">El efecto neto en el caso de las opciones </w:t>
      </w:r>
      <w:proofErr w:type="spellStart"/>
      <w:r w:rsidRPr="00AA4AA6">
        <w:rPr>
          <w:szCs w:val="16"/>
        </w:rPr>
        <w:t>put</w:t>
      </w:r>
      <w:proofErr w:type="spellEnd"/>
      <w:r w:rsidRPr="00AA4AA6">
        <w:rPr>
          <w:szCs w:val="16"/>
        </w:rPr>
        <w:t xml:space="preserve"> </w:t>
      </w:r>
      <w:r>
        <w:rPr>
          <w:szCs w:val="16"/>
        </w:rPr>
        <w:t xml:space="preserve">europeas </w:t>
      </w:r>
      <w:r w:rsidRPr="00AA4AA6">
        <w:rPr>
          <w:szCs w:val="16"/>
        </w:rPr>
        <w:t>puede ser positivo o negativo.</w:t>
      </w:r>
    </w:p>
  </w:footnote>
  <w:footnote w:id="27">
    <w:p w14:paraId="07962FDB" w14:textId="77777777" w:rsidR="00875950" w:rsidRPr="000D4072" w:rsidRDefault="00875950" w:rsidP="00875950">
      <w:pPr>
        <w:pStyle w:val="Textonotapie"/>
      </w:pPr>
      <w:r>
        <w:rPr>
          <w:rStyle w:val="Refdenotaalpie"/>
        </w:rPr>
        <w:footnoteRef/>
      </w:r>
      <w:r>
        <w:t xml:space="preserve"> </w:t>
      </w:r>
      <w:r w:rsidRPr="000D4072">
        <w:t>El</w:t>
      </w:r>
      <w:r>
        <w:t xml:space="preserve"> modelo matemático que exponemos en esta sección, desarrollado inicialmente por </w:t>
      </w:r>
      <w:r>
        <w:rPr>
          <w:smallCaps/>
        </w:rPr>
        <w:t>Fisher Black</w:t>
      </w:r>
      <w:r>
        <w:t xml:space="preserve"> y </w:t>
      </w:r>
      <w:r>
        <w:rPr>
          <w:smallCaps/>
        </w:rPr>
        <w:t>Myron Scholes</w:t>
      </w:r>
      <w:r>
        <w:t xml:space="preserve">, aparece referenciado en la publicación de </w:t>
      </w:r>
      <w:r>
        <w:rPr>
          <w:smallCaps/>
        </w:rPr>
        <w:t>Robert C. Merton</w:t>
      </w:r>
      <w:r w:rsidRPr="000D4072">
        <w:t xml:space="preserve"> </w:t>
      </w:r>
      <w:r>
        <w:rPr>
          <w:i/>
          <w:iCs/>
        </w:rPr>
        <w:t>“</w:t>
      </w:r>
      <w:proofErr w:type="spellStart"/>
      <w:r w:rsidRPr="000D4072">
        <w:rPr>
          <w:i/>
          <w:iCs/>
        </w:rPr>
        <w:t>Theor</w:t>
      </w:r>
      <w:r>
        <w:rPr>
          <w:i/>
          <w:iCs/>
        </w:rPr>
        <w:t>y</w:t>
      </w:r>
      <w:proofErr w:type="spellEnd"/>
      <w:r>
        <w:rPr>
          <w:i/>
          <w:iCs/>
        </w:rPr>
        <w:t xml:space="preserve"> </w:t>
      </w:r>
      <w:proofErr w:type="spellStart"/>
      <w:r>
        <w:rPr>
          <w:i/>
          <w:iCs/>
        </w:rPr>
        <w:t>of</w:t>
      </w:r>
      <w:proofErr w:type="spellEnd"/>
      <w:r>
        <w:rPr>
          <w:i/>
          <w:iCs/>
        </w:rPr>
        <w:t xml:space="preserve"> </w:t>
      </w:r>
      <w:proofErr w:type="spellStart"/>
      <w:r>
        <w:rPr>
          <w:i/>
          <w:iCs/>
        </w:rPr>
        <w:t>Rational</w:t>
      </w:r>
      <w:proofErr w:type="spellEnd"/>
      <w:r>
        <w:rPr>
          <w:i/>
          <w:iCs/>
        </w:rPr>
        <w:t xml:space="preserve"> </w:t>
      </w:r>
      <w:proofErr w:type="spellStart"/>
      <w:r>
        <w:rPr>
          <w:i/>
          <w:iCs/>
        </w:rPr>
        <w:t>Option</w:t>
      </w:r>
      <w:proofErr w:type="spellEnd"/>
      <w:r>
        <w:rPr>
          <w:i/>
          <w:iCs/>
        </w:rPr>
        <w:t xml:space="preserve"> </w:t>
      </w:r>
      <w:proofErr w:type="spellStart"/>
      <w:r>
        <w:rPr>
          <w:i/>
          <w:iCs/>
        </w:rPr>
        <w:t>Pricing</w:t>
      </w:r>
      <w:proofErr w:type="spellEnd"/>
      <w:r w:rsidRPr="000D4072">
        <w:rPr>
          <w:i/>
          <w:iCs/>
        </w:rPr>
        <w:t xml:space="preserve">” </w:t>
      </w:r>
      <w:r w:rsidRPr="000D4072">
        <w:t>(</w:t>
      </w:r>
      <w:r>
        <w:t>1973</w:t>
      </w:r>
      <w:r w:rsidRPr="000D4072">
        <w:t>).</w:t>
      </w:r>
    </w:p>
  </w:footnote>
  <w:footnote w:id="28">
    <w:p w14:paraId="27B69E7B" w14:textId="77777777" w:rsidR="00875950" w:rsidRPr="00850A24" w:rsidRDefault="00875950" w:rsidP="00875950">
      <w:pPr>
        <w:pStyle w:val="Textonotapie"/>
        <w:tabs>
          <w:tab w:val="right" w:pos="9638"/>
        </w:tabs>
      </w:pPr>
      <w:r>
        <w:rPr>
          <w:rStyle w:val="Refdenotaalpie"/>
        </w:rPr>
        <w:footnoteRef/>
      </w:r>
      <w:r>
        <w:t xml:space="preserve"> </w:t>
      </w:r>
      <w:r>
        <w:rPr>
          <w:smallCaps/>
        </w:rPr>
        <w:t xml:space="preserve">Scholes </w:t>
      </w:r>
      <w:r>
        <w:t>habría fallecido en 1995 y desde 1974 está establecido que no se otorgarán Premios Nobel a título póstumo.</w:t>
      </w:r>
      <w:r>
        <w:tab/>
      </w:r>
    </w:p>
  </w:footnote>
  <w:footnote w:id="29">
    <w:p w14:paraId="23EA97D2" w14:textId="77777777" w:rsidR="00875950" w:rsidRPr="00DD550B" w:rsidRDefault="00875950" w:rsidP="00875950">
      <w:pPr>
        <w:pStyle w:val="Textonotapie"/>
      </w:pPr>
      <w:r>
        <w:rPr>
          <w:rStyle w:val="Refdenotaalpie"/>
        </w:rPr>
        <w:footnoteRef/>
      </w:r>
      <w:r>
        <w:t xml:space="preserve"> </w:t>
      </w:r>
      <w:r w:rsidRPr="005A48E1">
        <w:t>Este modelo valora las opciones de forma continua en el tiempo y parte del mismo supuesto de no arbitraje utilizado para la valoración de opciones en el método binomial.</w:t>
      </w:r>
    </w:p>
  </w:footnote>
  <w:footnote w:id="30">
    <w:p w14:paraId="79CF2389" w14:textId="77777777" w:rsidR="00875950" w:rsidRDefault="00875950" w:rsidP="00875950">
      <w:pPr>
        <w:pStyle w:val="Textonotapie"/>
        <w:keepNext/>
        <w:spacing w:after="0"/>
      </w:pPr>
      <w:r>
        <w:rPr>
          <w:rStyle w:val="Refdenotaalpie"/>
        </w:rPr>
        <w:footnoteRef/>
      </w:r>
      <w:r>
        <w:t xml:space="preserve"> Por lo tanto, el modelo de </w:t>
      </w:r>
      <w:r>
        <w:rPr>
          <w:smallCaps/>
        </w:rPr>
        <w:t>Black</w:t>
      </w:r>
      <w:r>
        <w:t xml:space="preserve"> y </w:t>
      </w:r>
      <w:r>
        <w:rPr>
          <w:smallCaps/>
        </w:rPr>
        <w:t>Scholes</w:t>
      </w:r>
      <w:r>
        <w:t xml:space="preserve"> parte de los siguientes supuestos:</w:t>
      </w:r>
    </w:p>
    <w:p w14:paraId="1A932D37" w14:textId="77777777" w:rsidR="00875950" w:rsidRPr="00EB6CBF" w:rsidRDefault="00875950">
      <w:pPr>
        <w:pStyle w:val="Textonotapie"/>
        <w:numPr>
          <w:ilvl w:val="0"/>
          <w:numId w:val="34"/>
        </w:numPr>
        <w:spacing w:after="0"/>
        <w:ind w:left="283" w:hanging="170"/>
      </w:pPr>
      <w:r w:rsidRPr="00EB6CBF">
        <w:t xml:space="preserve">El punto de partida es que </w:t>
      </w:r>
      <w:r>
        <w:rPr>
          <w:i/>
          <w:iCs/>
          <w:u w:val="single"/>
        </w:rPr>
        <w:t>no deben existir oportunidades de arbitraje</w:t>
      </w:r>
      <w:r>
        <w:t>. Es decir, se sigue la misma lógica que hemos abordado hasta ahora. El rendimiento de una cartera de opciones y acciones que busque la cobertura debe ser igual al rendimiento de un activo libre de riesgo a mismo vencimiento que la opción.</w:t>
      </w:r>
    </w:p>
    <w:p w14:paraId="1B3A66EE" w14:textId="77777777" w:rsidR="00875950" w:rsidRDefault="00875950">
      <w:pPr>
        <w:pStyle w:val="Textonotapie"/>
        <w:numPr>
          <w:ilvl w:val="0"/>
          <w:numId w:val="34"/>
        </w:numPr>
        <w:spacing w:after="0"/>
        <w:ind w:left="283" w:hanging="170"/>
      </w:pPr>
      <w:r>
        <w:rPr>
          <w:i/>
          <w:iCs/>
          <w:u w:val="single"/>
        </w:rPr>
        <w:t xml:space="preserve">Trabajamos en tiempo </w:t>
      </w:r>
      <w:r w:rsidRPr="00EB6CBF">
        <w:rPr>
          <w:i/>
          <w:iCs/>
          <w:u w:val="single"/>
        </w:rPr>
        <w:t>continuo</w:t>
      </w:r>
      <w:r>
        <w:t xml:space="preserve"> y asumimos una </w:t>
      </w:r>
      <w:r w:rsidRPr="00EB6CBF">
        <w:rPr>
          <w:i/>
          <w:iCs/>
          <w:u w:val="single"/>
        </w:rPr>
        <w:t>distribución</w:t>
      </w:r>
      <w:r w:rsidRPr="00DD550B">
        <w:rPr>
          <w:i/>
          <w:iCs/>
          <w:u w:val="single"/>
        </w:rPr>
        <w:t xml:space="preserve"> normal-logarítmica de la variación del precio del subyacente</w:t>
      </w:r>
      <w:r>
        <w:t xml:space="preserve">. </w:t>
      </w:r>
      <w:r>
        <w:rPr>
          <w:smallCaps/>
        </w:rPr>
        <w:t>Black</w:t>
      </w:r>
      <w:r>
        <w:t xml:space="preserve"> y </w:t>
      </w:r>
      <w:r>
        <w:rPr>
          <w:smallCaps/>
        </w:rPr>
        <w:t>Scholes</w:t>
      </w:r>
      <w:r>
        <w:t>, partiendo del método binominal, tratan de aumentar al máximo el número de etapas consideradas, reduciendo la duración de cada una de ellas. Es decir, considerarán una situación más realista en la que el precio del activo subyacente puede cambiar, pongamos, cada segundo. Conforme aumenta el número de etapas, estos autores observan que la distribución de los posibles cambios de los precios del subyacente en cada etapa se va haciendo más lisa hasta transformarse en una distribución normal-logarítmica .</w:t>
      </w:r>
    </w:p>
    <w:p w14:paraId="2A8B8B09" w14:textId="77777777" w:rsidR="00875950" w:rsidRPr="00EB6CBF" w:rsidRDefault="00875950">
      <w:pPr>
        <w:pStyle w:val="Textonotapie"/>
        <w:numPr>
          <w:ilvl w:val="0"/>
          <w:numId w:val="34"/>
        </w:numPr>
        <w:spacing w:after="0"/>
        <w:ind w:left="283" w:hanging="170"/>
      </w:pPr>
      <w:r>
        <w:rPr>
          <w:i/>
          <w:iCs/>
          <w:u w:val="single"/>
        </w:rPr>
        <w:t>El precio del subyacente refleja correctamente la combinación riesgo-rentabilidad de la acción</w:t>
      </w:r>
      <w:r w:rsidRPr="00EB6CBF">
        <w:t>.</w:t>
      </w:r>
      <w:r>
        <w:t xml:space="preserve"> </w:t>
      </w:r>
      <w:r>
        <w:rPr>
          <w:smallCaps/>
        </w:rPr>
        <w:t>Merton</w:t>
      </w:r>
      <w:r w:rsidRPr="00EB6CBF">
        <w:t xml:space="preserve"> señ</w:t>
      </w:r>
      <w:r>
        <w:t>ala que en tiempo continuo no es necesario especificar una prima de riesgo, algo que había sido un quebradero de cabeza en la literatura. En efecto, la determinación de la prima de riesgo era una tarea complicada ya que la prima debe traducir no sólo el riesgo de la variación en el calor del activo subyacente (valor de la acción) sino la actitud frente al riesgo del inversor. Los galardonados con el Premio Nobel resolvieron este problema subrayando que no era necesario emplear una prima de riesgo para valorar una opción. Esto no quiere decir que la prima de riesgo no exista; en realidad, ésta ya está incorporada en la cotización de la acción. Esta constatación resultó clave para poder trazar una fórmula.</w:t>
      </w:r>
    </w:p>
    <w:p w14:paraId="46619230" w14:textId="77777777" w:rsidR="00875950" w:rsidRDefault="00875950">
      <w:pPr>
        <w:pStyle w:val="Textonotapie"/>
        <w:numPr>
          <w:ilvl w:val="0"/>
          <w:numId w:val="34"/>
        </w:numPr>
        <w:spacing w:after="0"/>
        <w:ind w:left="283" w:hanging="170"/>
      </w:pPr>
      <w:r>
        <w:t>La opción no puede ejercerse antes de vencimiento (</w:t>
      </w:r>
      <w:r w:rsidRPr="00DD550B">
        <w:rPr>
          <w:i/>
          <w:iCs/>
          <w:u w:val="single"/>
        </w:rPr>
        <w:t>opción europea</w:t>
      </w:r>
      <w:r>
        <w:t>).</w:t>
      </w:r>
    </w:p>
    <w:p w14:paraId="283224F0" w14:textId="77777777" w:rsidR="00875950" w:rsidRDefault="00875950">
      <w:pPr>
        <w:pStyle w:val="Textonotapie"/>
        <w:numPr>
          <w:ilvl w:val="0"/>
          <w:numId w:val="34"/>
        </w:numPr>
        <w:spacing w:after="0"/>
        <w:ind w:left="283" w:hanging="170"/>
      </w:pPr>
      <w:r w:rsidRPr="00DD550B">
        <w:rPr>
          <w:i/>
          <w:iCs/>
          <w:u w:val="single"/>
        </w:rPr>
        <w:t>Tipo de interés</w:t>
      </w:r>
      <w:r>
        <w:rPr>
          <w:i/>
          <w:iCs/>
          <w:u w:val="single"/>
        </w:rPr>
        <w:t xml:space="preserve"> libre de riesgo</w:t>
      </w:r>
      <w:r w:rsidRPr="00DD550B">
        <w:rPr>
          <w:i/>
          <w:iCs/>
          <w:u w:val="single"/>
        </w:rPr>
        <w:t xml:space="preserve"> constante</w:t>
      </w:r>
      <w:r>
        <w:t xml:space="preserve"> a lo largo de la vida de la opción. Un tipo de interés libre de riesgo variable complicaría el análisis porque requeriría cambios en la composición de la cartera del inversor por otros motivos ajenos al cambio en el valor del subyacente.</w:t>
      </w:r>
    </w:p>
    <w:p w14:paraId="26BFDB70" w14:textId="77777777" w:rsidR="00875950" w:rsidRPr="00EB6CBF" w:rsidRDefault="00875950">
      <w:pPr>
        <w:pStyle w:val="Textonotapie"/>
        <w:numPr>
          <w:ilvl w:val="0"/>
          <w:numId w:val="34"/>
        </w:numPr>
        <w:spacing w:after="0"/>
        <w:ind w:left="283" w:hanging="170"/>
      </w:pPr>
      <w:r>
        <w:rPr>
          <w:i/>
          <w:iCs/>
          <w:u w:val="single"/>
        </w:rPr>
        <w:t>Volatilidad del precio del activo subyacente constante</w:t>
      </w:r>
      <w:r>
        <w:t xml:space="preserve"> a lo largo de la vida de la opción por el mismo motivo.</w:t>
      </w:r>
    </w:p>
    <w:p w14:paraId="29521FC5" w14:textId="77777777" w:rsidR="00875950" w:rsidRPr="00CA4603" w:rsidRDefault="00875950">
      <w:pPr>
        <w:pStyle w:val="Textonotapie"/>
        <w:numPr>
          <w:ilvl w:val="0"/>
          <w:numId w:val="34"/>
        </w:numPr>
        <w:spacing w:after="0"/>
        <w:ind w:left="283" w:hanging="170"/>
      </w:pPr>
      <w:r>
        <w:t xml:space="preserve">El </w:t>
      </w:r>
      <w:r w:rsidRPr="00DD550B">
        <w:rPr>
          <w:i/>
          <w:iCs/>
          <w:u w:val="single"/>
        </w:rPr>
        <w:t>activo subyacente no paga dividendos</w:t>
      </w:r>
      <w:r>
        <w:t>.</w:t>
      </w:r>
    </w:p>
    <w:p w14:paraId="4E99985D" w14:textId="77777777" w:rsidR="00875950" w:rsidRDefault="00875950">
      <w:pPr>
        <w:pStyle w:val="Textonotapie"/>
        <w:numPr>
          <w:ilvl w:val="0"/>
          <w:numId w:val="34"/>
        </w:numPr>
        <w:spacing w:after="0"/>
        <w:ind w:left="283" w:hanging="170"/>
      </w:pPr>
      <w:r w:rsidRPr="00DD550B">
        <w:rPr>
          <w:i/>
          <w:iCs/>
          <w:u w:val="single"/>
        </w:rPr>
        <w:t>No hay costes de transacción</w:t>
      </w:r>
      <w:r>
        <w:t>.</w:t>
      </w:r>
    </w:p>
  </w:footnote>
  <w:footnote w:id="31">
    <w:p w14:paraId="757712C8" w14:textId="77777777" w:rsidR="00875950" w:rsidRDefault="00875950" w:rsidP="00875950">
      <w:pPr>
        <w:pStyle w:val="Textonotapie"/>
        <w:keepNext/>
        <w:spacing w:after="0"/>
        <w:rPr>
          <w:rFonts w:eastAsiaTheme="minorEastAsia"/>
          <w:iCs/>
        </w:rPr>
      </w:pPr>
      <w:r>
        <w:rPr>
          <w:rStyle w:val="Refdenotaalpie"/>
        </w:rPr>
        <w:footnoteRef/>
      </w:r>
      <w:r>
        <w:t xml:space="preserve"> Nótese, que si el val</w:t>
      </w:r>
      <w:r w:rsidRPr="004D1AC8">
        <w:t xml:space="preserve">or de </w:t>
      </w:r>
      <m:oMath>
        <m:sSub>
          <m:sSubPr>
            <m:ctrlPr>
              <w:rPr>
                <w:rFonts w:ascii="Cambria Math" w:hAnsi="Cambria Math"/>
              </w:rPr>
            </m:ctrlPr>
          </m:sSubPr>
          <m:e>
            <m:r>
              <m:rPr>
                <m:nor/>
              </m:rPr>
              <w:rPr>
                <w:i/>
              </w:rPr>
              <m:t>d</m:t>
            </m:r>
          </m:e>
          <m:sub>
            <m:r>
              <m:rPr>
                <m:nor/>
              </m:rPr>
              <w:rPr>
                <w:i/>
              </w:rPr>
              <m:t>1</m:t>
            </m:r>
          </m:sub>
        </m:sSub>
      </m:oMath>
      <w:r w:rsidRPr="004D1AC8">
        <w:t xml:space="preserve"> y </w:t>
      </w:r>
      <m:oMath>
        <m:sSub>
          <m:sSubPr>
            <m:ctrlPr>
              <w:rPr>
                <w:rFonts w:ascii="Cambria Math" w:hAnsi="Cambria Math"/>
              </w:rPr>
            </m:ctrlPr>
          </m:sSubPr>
          <m:e>
            <m:r>
              <m:rPr>
                <m:nor/>
              </m:rPr>
              <w:rPr>
                <w:i/>
              </w:rPr>
              <m:t>d</m:t>
            </m:r>
          </m:e>
          <m:sub>
            <m:r>
              <m:rPr>
                <m:nor/>
              </m:rPr>
              <w:rPr>
                <w:i/>
              </w:rPr>
              <m:t>2</m:t>
            </m:r>
          </m:sub>
        </m:sSub>
      </m:oMath>
      <w:r w:rsidRPr="004D1AC8">
        <w:t xml:space="preserve"> es muy elevado, el valor de </w:t>
      </w:r>
      <m:oMath>
        <m:r>
          <m:rPr>
            <m:nor/>
          </m:rPr>
          <w:rPr>
            <w:i/>
          </w:rPr>
          <m:t>N</m:t>
        </m:r>
        <m:r>
          <m:rPr>
            <m:nor/>
          </m:rPr>
          <w:rPr>
            <w:iCs/>
          </w:rPr>
          <m:t>(</m:t>
        </m:r>
        <m:sSub>
          <m:sSubPr>
            <m:ctrlPr>
              <w:rPr>
                <w:rFonts w:ascii="Cambria Math" w:hAnsi="Cambria Math"/>
              </w:rPr>
            </m:ctrlPr>
          </m:sSubPr>
          <m:e>
            <m:r>
              <m:rPr>
                <m:nor/>
              </m:rPr>
              <w:rPr>
                <w:i/>
              </w:rPr>
              <m:t>d</m:t>
            </m:r>
          </m:e>
          <m:sub>
            <m:r>
              <m:rPr>
                <m:nor/>
              </m:rPr>
              <w:rPr>
                <w:i/>
              </w:rPr>
              <m:t>1</m:t>
            </m:r>
          </m:sub>
        </m:sSub>
        <m:r>
          <m:rPr>
            <m:nor/>
          </m:rPr>
          <w:rPr>
            <w:iCs/>
          </w:rPr>
          <m:t>)</m:t>
        </m:r>
      </m:oMath>
      <w:r w:rsidRPr="004D1AC8">
        <w:t xml:space="preserve"> y </w:t>
      </w:r>
      <m:oMath>
        <m:r>
          <m:rPr>
            <m:nor/>
          </m:rPr>
          <w:rPr>
            <w:i/>
          </w:rPr>
          <m:t>N</m:t>
        </m:r>
        <m:r>
          <m:rPr>
            <m:nor/>
          </m:rPr>
          <w:rPr>
            <w:iCs/>
          </w:rPr>
          <m:t>(</m:t>
        </m:r>
        <m:sSub>
          <m:sSubPr>
            <m:ctrlPr>
              <w:rPr>
                <w:rFonts w:ascii="Cambria Math" w:hAnsi="Cambria Math"/>
              </w:rPr>
            </m:ctrlPr>
          </m:sSubPr>
          <m:e>
            <m:r>
              <m:rPr>
                <m:nor/>
              </m:rPr>
              <w:rPr>
                <w:i/>
              </w:rPr>
              <m:t>d</m:t>
            </m:r>
          </m:e>
          <m:sub>
            <m:r>
              <m:rPr>
                <m:nor/>
              </m:rPr>
              <w:rPr>
                <w:i/>
              </w:rPr>
              <m:t>2</m:t>
            </m:r>
          </m:sub>
        </m:sSub>
        <m:r>
          <m:rPr>
            <m:nor/>
          </m:rPr>
          <w:rPr>
            <w:iCs/>
          </w:rPr>
          <m:t>)</m:t>
        </m:r>
      </m:oMath>
      <w:r>
        <w:rPr>
          <w:rFonts w:eastAsiaTheme="minorEastAsia"/>
          <w:iCs/>
        </w:rPr>
        <w:t xml:space="preserve"> tenderá a 1 y por lo tanto el valor de la fórmula de Black-Scholes será:</w:t>
      </w:r>
    </w:p>
    <w:p w14:paraId="74186B2E" w14:textId="77777777" w:rsidR="00875950" w:rsidRPr="004D1AC8" w:rsidRDefault="00000000" w:rsidP="00875950">
      <w:pPr>
        <w:pStyle w:val="Textonotapie"/>
        <w:spacing w:after="0"/>
        <w:rPr>
          <w:rFonts w:eastAsiaTheme="minorEastAsia"/>
          <w:i/>
          <w:iCs/>
        </w:rPr>
      </w:pPr>
      <m:oMathPara>
        <m:oMath>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S</m:t>
              </m:r>
            </m:e>
            <m:sub>
              <m:r>
                <m:rPr>
                  <m:nor/>
                </m:rPr>
                <w:rPr>
                  <w:i/>
                  <w:iCs/>
                </w:rPr>
                <m:t>0</m:t>
              </m:r>
            </m:sub>
          </m:sSub>
          <m:r>
            <w:rPr>
              <w:rFonts w:ascii="Cambria Math" w:hAnsi="Cambria Math"/>
            </w:rPr>
            <m:t>-</m:t>
          </m:r>
          <m:r>
            <m:rPr>
              <m:nor/>
            </m:rPr>
            <w:rPr>
              <w:i/>
              <w:iCs/>
            </w:rPr>
            <m:t>X</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sSub>
                <m:sSubPr>
                  <m:ctrlPr>
                    <w:rPr>
                      <w:rFonts w:ascii="Cambria Math" w:hAnsi="Cambria Math"/>
                      <w:i/>
                      <w:iCs/>
                    </w:rPr>
                  </m:ctrlPr>
                </m:sSubPr>
                <m:e>
                  <m:r>
                    <m:rPr>
                      <m:nor/>
                    </m:rPr>
                    <w:rPr>
                      <w:i/>
                      <w:iCs/>
                    </w:rPr>
                    <m:t>r</m:t>
                  </m:r>
                </m:e>
                <m:sub>
                  <m:r>
                    <m:rPr>
                      <m:nor/>
                    </m:rPr>
                    <w:rPr>
                      <w:i/>
                      <w:iCs/>
                    </w:rPr>
                    <m:t>f</m:t>
                  </m:r>
                </m:sub>
              </m:sSub>
              <m:r>
                <w:rPr>
                  <w:rFonts w:ascii="Cambria Math" w:hAnsi="Cambria Math"/>
                </w:rPr>
                <m:t>∙</m:t>
              </m:r>
              <m:r>
                <m:rPr>
                  <m:nor/>
                </m:rPr>
                <w:rPr>
                  <w:i/>
                  <w:iCs/>
                </w:rPr>
                <m:t>T</m:t>
              </m:r>
            </m:sup>
          </m:sSup>
        </m:oMath>
      </m:oMathPara>
    </w:p>
    <w:p w14:paraId="67D4AC89" w14:textId="77777777" w:rsidR="00875950" w:rsidRDefault="00875950" w:rsidP="00875950">
      <w:pPr>
        <w:pStyle w:val="Textonotapie"/>
        <w:rPr>
          <w:rFonts w:eastAsiaTheme="minorEastAsia"/>
        </w:rPr>
      </w:pPr>
      <w:r>
        <w:rPr>
          <w:rFonts w:eastAsiaTheme="minorEastAsia"/>
        </w:rPr>
        <w:t xml:space="preserve">Lo que hemos llamado antes valor intrínseco, ya que la opción se va a ejercer seguro y el valor de la opción reside únicamente en el valor intrínseco y no en el valor temporal. También se podría entender como una situación en la que, partiendo de la paridad </w:t>
      </w:r>
      <w:proofErr w:type="spellStart"/>
      <w:r>
        <w:rPr>
          <w:rFonts w:eastAsiaTheme="minorEastAsia"/>
        </w:rPr>
        <w:t>put-call</w:t>
      </w:r>
      <w:proofErr w:type="spellEnd"/>
      <w:r>
        <w:rPr>
          <w:rFonts w:eastAsiaTheme="minorEastAsia"/>
        </w:rPr>
        <w:t xml:space="preserve">, la opción </w:t>
      </w:r>
      <w:proofErr w:type="spellStart"/>
      <w:r>
        <w:rPr>
          <w:rFonts w:eastAsiaTheme="minorEastAsia"/>
        </w:rPr>
        <w:t>put</w:t>
      </w:r>
      <w:proofErr w:type="spellEnd"/>
      <w:r>
        <w:rPr>
          <w:rFonts w:eastAsiaTheme="minorEastAsia"/>
        </w:rPr>
        <w:t xml:space="preserve"> tiene un valor nulo: </w:t>
      </w:r>
      <m:oMath>
        <m:sSub>
          <m:sSubPr>
            <m:ctrlPr>
              <w:rPr>
                <w:rFonts w:ascii="Cambria Math" w:hAnsi="Cambria Math"/>
                <w:i/>
              </w:rPr>
            </m:ctrlPr>
          </m:sSubPr>
          <m:e>
            <m:r>
              <m:rPr>
                <m:nor/>
              </m:rPr>
              <w:rPr>
                <w:i/>
              </w:rPr>
              <m:t>C</m:t>
            </m:r>
          </m:e>
          <m:sub>
            <m:r>
              <m:rPr>
                <m:nor/>
              </m:rPr>
              <w:rPr>
                <w:i/>
              </w:rPr>
              <m:t>0</m:t>
            </m:r>
          </m:sub>
        </m:sSub>
        <m:r>
          <w:rPr>
            <w:rFonts w:ascii="Cambria Math" w:hAnsi="Cambria Math"/>
          </w:rPr>
          <m:t>+</m:t>
        </m:r>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r>
          <w:rPr>
            <w:rFonts w:ascii="Cambria Math" w:hAnsi="Cambria Math"/>
          </w:rPr>
          <m:t>=</m:t>
        </m:r>
        <m:limLow>
          <m:limLowPr>
            <m:ctrlPr>
              <w:rPr>
                <w:rFonts w:ascii="Cambria Math" w:hAnsi="Cambria Math"/>
                <w:i/>
                <w:color w:val="AEAAAA" w:themeColor="background2" w:themeShade="BF"/>
              </w:rPr>
            </m:ctrlPr>
          </m:limLowPr>
          <m:e>
            <m:groupChr>
              <m:groupChrPr>
                <m:ctrlPr>
                  <w:rPr>
                    <w:rFonts w:ascii="Cambria Math" w:hAnsi="Cambria Math"/>
                    <w:i/>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0</m:t>
                    </m:r>
                  </m:sub>
                </m:sSub>
              </m:e>
            </m:groupChr>
          </m:e>
          <m:lim>
            <m:r>
              <w:rPr>
                <w:rFonts w:ascii="Cambria Math" w:hAnsi="Cambria Math"/>
                <w:color w:val="AEAAAA" w:themeColor="background2" w:themeShade="BF"/>
              </w:rPr>
              <m:t>=</m:t>
            </m:r>
            <m:r>
              <m:rPr>
                <m:nor/>
              </m:rPr>
              <w:rPr>
                <w:i/>
                <w:color w:val="AEAAAA" w:themeColor="background2" w:themeShade="BF"/>
              </w:rPr>
              <m:t>0</m:t>
            </m:r>
          </m:lim>
        </m:limLow>
        <m:r>
          <w:rPr>
            <w:rFonts w:ascii="Cambria Math" w:hAnsi="Cambria Math"/>
          </w:rPr>
          <m:t>+</m:t>
        </m:r>
        <m:sSub>
          <m:sSubPr>
            <m:ctrlPr>
              <w:rPr>
                <w:rFonts w:ascii="Cambria Math" w:hAnsi="Cambria Math"/>
                <w:i/>
              </w:rPr>
            </m:ctrlPr>
          </m:sSubPr>
          <m:e>
            <m:r>
              <m:rPr>
                <m:nor/>
              </m:rPr>
              <w:rPr>
                <w:i/>
              </w:rPr>
              <m:t>S</m:t>
            </m:r>
          </m:e>
          <m:sub>
            <m:r>
              <m:rPr>
                <m:nor/>
              </m:rPr>
              <w:rPr>
                <w:i/>
              </w:rPr>
              <m:t>0</m:t>
            </m:r>
          </m:sub>
        </m:sSub>
      </m:oMath>
      <w:r>
        <w:rPr>
          <w:rFonts w:eastAsiaTheme="minorEastAsia"/>
        </w:rPr>
        <w:t>.</w:t>
      </w:r>
    </w:p>
    <w:p w14:paraId="64EBE21A" w14:textId="77777777" w:rsidR="00875950" w:rsidRDefault="00875950" w:rsidP="00875950">
      <w:pPr>
        <w:pStyle w:val="Textonotapie"/>
        <w:keepNext/>
        <w:spacing w:after="0"/>
        <w:rPr>
          <w:rFonts w:eastAsiaTheme="minorEastAsia"/>
          <w:iCs/>
        </w:rPr>
      </w:pPr>
      <w:r>
        <w:rPr>
          <w:rFonts w:eastAsiaTheme="minorEastAsia"/>
        </w:rPr>
        <w:t xml:space="preserve">Por otra parte, en el extremo contrario, </w:t>
      </w:r>
      <w:r>
        <w:t>si el val</w:t>
      </w:r>
      <w:r w:rsidRPr="004D1AC8">
        <w:t xml:space="preserve">or de </w:t>
      </w:r>
      <m:oMath>
        <m:sSub>
          <m:sSubPr>
            <m:ctrlPr>
              <w:rPr>
                <w:rFonts w:ascii="Cambria Math" w:hAnsi="Cambria Math"/>
              </w:rPr>
            </m:ctrlPr>
          </m:sSubPr>
          <m:e>
            <m:r>
              <m:rPr>
                <m:nor/>
              </m:rPr>
              <w:rPr>
                <w:i/>
              </w:rPr>
              <m:t>d</m:t>
            </m:r>
          </m:e>
          <m:sub>
            <m:r>
              <m:rPr>
                <m:nor/>
              </m:rPr>
              <w:rPr>
                <w:i/>
              </w:rPr>
              <m:t>1</m:t>
            </m:r>
          </m:sub>
        </m:sSub>
      </m:oMath>
      <w:r w:rsidRPr="004D1AC8">
        <w:t xml:space="preserve"> y </w:t>
      </w:r>
      <m:oMath>
        <m:sSub>
          <m:sSubPr>
            <m:ctrlPr>
              <w:rPr>
                <w:rFonts w:ascii="Cambria Math" w:hAnsi="Cambria Math"/>
              </w:rPr>
            </m:ctrlPr>
          </m:sSubPr>
          <m:e>
            <m:r>
              <m:rPr>
                <m:nor/>
              </m:rPr>
              <w:rPr>
                <w:i/>
              </w:rPr>
              <m:t>d</m:t>
            </m:r>
          </m:e>
          <m:sub>
            <m:r>
              <m:rPr>
                <m:nor/>
              </m:rPr>
              <w:rPr>
                <w:i/>
              </w:rPr>
              <m:t>2</m:t>
            </m:r>
          </m:sub>
        </m:sSub>
      </m:oMath>
      <w:r w:rsidRPr="004D1AC8">
        <w:t xml:space="preserve"> es muy </w:t>
      </w:r>
      <w:r>
        <w:t>bajo</w:t>
      </w:r>
      <w:r w:rsidRPr="004D1AC8">
        <w:t xml:space="preserve">, el valor de </w:t>
      </w:r>
      <m:oMath>
        <m:r>
          <m:rPr>
            <m:nor/>
          </m:rPr>
          <w:rPr>
            <w:i/>
          </w:rPr>
          <m:t>N</m:t>
        </m:r>
        <m:r>
          <m:rPr>
            <m:nor/>
          </m:rPr>
          <w:rPr>
            <w:iCs/>
          </w:rPr>
          <m:t>(</m:t>
        </m:r>
        <m:sSub>
          <m:sSubPr>
            <m:ctrlPr>
              <w:rPr>
                <w:rFonts w:ascii="Cambria Math" w:hAnsi="Cambria Math"/>
              </w:rPr>
            </m:ctrlPr>
          </m:sSubPr>
          <m:e>
            <m:r>
              <m:rPr>
                <m:nor/>
              </m:rPr>
              <w:rPr>
                <w:i/>
              </w:rPr>
              <m:t>d</m:t>
            </m:r>
          </m:e>
          <m:sub>
            <m:r>
              <m:rPr>
                <m:nor/>
              </m:rPr>
              <w:rPr>
                <w:i/>
              </w:rPr>
              <m:t>1</m:t>
            </m:r>
          </m:sub>
        </m:sSub>
        <m:r>
          <m:rPr>
            <m:nor/>
          </m:rPr>
          <w:rPr>
            <w:iCs/>
          </w:rPr>
          <m:t>)</m:t>
        </m:r>
      </m:oMath>
      <w:r w:rsidRPr="004D1AC8">
        <w:t xml:space="preserve"> y </w:t>
      </w:r>
      <m:oMath>
        <m:r>
          <m:rPr>
            <m:nor/>
          </m:rPr>
          <w:rPr>
            <w:i/>
          </w:rPr>
          <m:t>N</m:t>
        </m:r>
        <m:r>
          <m:rPr>
            <m:nor/>
          </m:rPr>
          <w:rPr>
            <w:iCs/>
          </w:rPr>
          <m:t>(</m:t>
        </m:r>
        <m:sSub>
          <m:sSubPr>
            <m:ctrlPr>
              <w:rPr>
                <w:rFonts w:ascii="Cambria Math" w:hAnsi="Cambria Math"/>
              </w:rPr>
            </m:ctrlPr>
          </m:sSubPr>
          <m:e>
            <m:r>
              <m:rPr>
                <m:nor/>
              </m:rPr>
              <w:rPr>
                <w:i/>
              </w:rPr>
              <m:t>d</m:t>
            </m:r>
          </m:e>
          <m:sub>
            <m:r>
              <m:rPr>
                <m:nor/>
              </m:rPr>
              <w:rPr>
                <w:i/>
              </w:rPr>
              <m:t>2</m:t>
            </m:r>
          </m:sub>
        </m:sSub>
        <m:r>
          <m:rPr>
            <m:nor/>
          </m:rPr>
          <w:rPr>
            <w:iCs/>
          </w:rPr>
          <m:t>)</m:t>
        </m:r>
      </m:oMath>
      <w:r>
        <w:rPr>
          <w:rFonts w:eastAsiaTheme="minorEastAsia"/>
          <w:iCs/>
        </w:rPr>
        <w:t xml:space="preserve"> tenderá a 0 y por lo tanto el valor de la fórmula de Black-Scholes será:</w:t>
      </w:r>
    </w:p>
    <w:p w14:paraId="484DF395" w14:textId="77777777" w:rsidR="00875950" w:rsidRPr="004D1AC8" w:rsidRDefault="00000000" w:rsidP="00875950">
      <w:pPr>
        <w:pStyle w:val="Textonotapie"/>
        <w:spacing w:after="0"/>
        <w:rPr>
          <w:rFonts w:eastAsiaTheme="minorEastAsia"/>
          <w:i/>
          <w:iCs/>
        </w:rPr>
      </w:pPr>
      <m:oMathPara>
        <m:oMath>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0</m:t>
          </m:r>
        </m:oMath>
      </m:oMathPara>
    </w:p>
    <w:p w14:paraId="718689CC" w14:textId="77777777" w:rsidR="00875950" w:rsidRDefault="00875950" w:rsidP="00875950">
      <w:pPr>
        <w:pStyle w:val="Textonotapie"/>
      </w:pPr>
      <w:r>
        <w:t xml:space="preserve">Es decir, si la probabilidad de que se ejerza la opción es nula, la opción no tendría ningún valor. Esto sucedería si la opción está </w:t>
      </w:r>
      <w:proofErr w:type="spellStart"/>
      <w:r>
        <w:rPr>
          <w:i/>
          <w:iCs/>
        </w:rPr>
        <w:t>out-of-the-money</w:t>
      </w:r>
      <w:proofErr w:type="spellEnd"/>
      <w:r>
        <w:t xml:space="preserve"> a falta de poco tiempo para vencimiento o en el caso de una opción que no sea volátil, por lo que las probabilidades de que se convierta en una opción </w:t>
      </w:r>
      <w:proofErr w:type="spellStart"/>
      <w:r>
        <w:rPr>
          <w:i/>
          <w:iCs/>
        </w:rPr>
        <w:t>in-the-money</w:t>
      </w:r>
      <w:proofErr w:type="spellEnd"/>
      <w:r>
        <w:t xml:space="preserve"> serían nulas.</w:t>
      </w:r>
    </w:p>
  </w:footnote>
  <w:footnote w:id="32">
    <w:p w14:paraId="51613BD0" w14:textId="77777777" w:rsidR="00875950" w:rsidRDefault="00875950" w:rsidP="00875950">
      <w:pPr>
        <w:pStyle w:val="Textonotapie"/>
        <w:rPr>
          <w:szCs w:val="16"/>
        </w:rPr>
      </w:pPr>
      <w:r w:rsidRPr="00AA4AA6">
        <w:rPr>
          <w:rStyle w:val="Refdenotaalpie"/>
        </w:rPr>
        <w:footnoteRef/>
      </w:r>
      <w:r w:rsidRPr="00AA4AA6">
        <w:t xml:space="preserve"> </w:t>
      </w:r>
      <w:r w:rsidRPr="00AA4AA6">
        <w:rPr>
          <w:szCs w:val="16"/>
        </w:rPr>
        <w:t>Para opciones americanas, un aumento en el plazo a vencimiento debe aumentar el valor de la opción. Siempre podemos decidir ejercer la opción si lo consideramos óptimo; cuanto mayor sea el plazo a vencimiento más alternativas hay para que la opción sea más valiosa.</w:t>
      </w:r>
    </w:p>
    <w:p w14:paraId="1A407933" w14:textId="77777777" w:rsidR="00875950" w:rsidRDefault="00875950" w:rsidP="00875950">
      <w:pPr>
        <w:pStyle w:val="Textonotapie"/>
        <w:keepNext/>
        <w:spacing w:after="0"/>
        <w:rPr>
          <w:szCs w:val="16"/>
        </w:rPr>
      </w:pPr>
      <w:r w:rsidRPr="00AA4AA6">
        <w:rPr>
          <w:szCs w:val="16"/>
        </w:rPr>
        <w:t xml:space="preserve">Para el caso de una opción europea, un mayor plazo a vencimiento puede tener un efecto indeterminado. Por un lado aumenta la volatilidad porque el precio del activo subyacente a vencimiento es más incierto, pero reduce el valor presente del precio de ejercicio que será recibido si la opción es ejercida. </w:t>
      </w:r>
      <w:r>
        <w:rPr>
          <w:szCs w:val="16"/>
        </w:rPr>
        <w:t>Por lo tanto:</w:t>
      </w:r>
    </w:p>
    <w:p w14:paraId="36765CD0" w14:textId="77777777" w:rsidR="00875950" w:rsidRDefault="00875950">
      <w:pPr>
        <w:pStyle w:val="Textonotapie"/>
        <w:numPr>
          <w:ilvl w:val="3"/>
          <w:numId w:val="17"/>
        </w:numPr>
        <w:spacing w:after="0"/>
        <w:ind w:left="284" w:hanging="142"/>
        <w:rPr>
          <w:szCs w:val="16"/>
        </w:rPr>
      </w:pPr>
      <w:r w:rsidRPr="00AA4AA6">
        <w:rPr>
          <w:szCs w:val="16"/>
        </w:rPr>
        <w:t xml:space="preserve">El efecto neto en el caso de las opciones </w:t>
      </w:r>
      <w:proofErr w:type="spellStart"/>
      <w:r>
        <w:rPr>
          <w:szCs w:val="16"/>
        </w:rPr>
        <w:t>call</w:t>
      </w:r>
      <w:proofErr w:type="spellEnd"/>
      <w:r>
        <w:rPr>
          <w:szCs w:val="16"/>
        </w:rPr>
        <w:t xml:space="preserve"> europeas</w:t>
      </w:r>
      <w:r w:rsidRPr="00AA4AA6">
        <w:rPr>
          <w:szCs w:val="16"/>
        </w:rPr>
        <w:t xml:space="preserve"> </w:t>
      </w:r>
      <w:r>
        <w:rPr>
          <w:szCs w:val="16"/>
        </w:rPr>
        <w:t>es positivo</w:t>
      </w:r>
      <w:r w:rsidRPr="00AA4AA6">
        <w:rPr>
          <w:szCs w:val="16"/>
        </w:rPr>
        <w:t>.</w:t>
      </w:r>
    </w:p>
    <w:p w14:paraId="75D375BF" w14:textId="77777777" w:rsidR="00875950" w:rsidRPr="00AA4AA6" w:rsidRDefault="00875950">
      <w:pPr>
        <w:pStyle w:val="Textonotapie"/>
        <w:numPr>
          <w:ilvl w:val="0"/>
          <w:numId w:val="17"/>
        </w:numPr>
        <w:spacing w:after="0"/>
        <w:ind w:left="284" w:hanging="142"/>
      </w:pPr>
      <w:r w:rsidRPr="00AA4AA6">
        <w:rPr>
          <w:szCs w:val="16"/>
        </w:rPr>
        <w:t xml:space="preserve">El efecto neto en el caso de las opciones </w:t>
      </w:r>
      <w:proofErr w:type="spellStart"/>
      <w:r w:rsidRPr="00AA4AA6">
        <w:rPr>
          <w:szCs w:val="16"/>
        </w:rPr>
        <w:t>put</w:t>
      </w:r>
      <w:proofErr w:type="spellEnd"/>
      <w:r w:rsidRPr="00AA4AA6">
        <w:rPr>
          <w:szCs w:val="16"/>
        </w:rPr>
        <w:t xml:space="preserve"> </w:t>
      </w:r>
      <w:r>
        <w:rPr>
          <w:szCs w:val="16"/>
        </w:rPr>
        <w:t xml:space="preserve">europeas </w:t>
      </w:r>
      <w:r w:rsidRPr="00AA4AA6">
        <w:rPr>
          <w:szCs w:val="16"/>
        </w:rPr>
        <w:t>puede ser positivo o negativo.</w:t>
      </w:r>
    </w:p>
  </w:footnote>
  <w:footnote w:id="33">
    <w:p w14:paraId="4C590697" w14:textId="77777777" w:rsidR="00875950" w:rsidRDefault="00875950" w:rsidP="00875950">
      <w:pPr>
        <w:pStyle w:val="Textonotapie"/>
      </w:pPr>
      <w:r>
        <w:rPr>
          <w:rStyle w:val="Refdenotaalpie"/>
        </w:rPr>
        <w:footnoteRef/>
      </w:r>
      <w:r>
        <w:t xml:space="preserve"> </w:t>
      </w:r>
      <w:r w:rsidRPr="003F20C8">
        <w:t xml:space="preserve">¿Cómo </w:t>
      </w:r>
      <w:r>
        <w:t xml:space="preserve">podemos </w:t>
      </w:r>
      <w:r w:rsidRPr="003F20C8">
        <w:t>calcular la volatilidad</w:t>
      </w:r>
      <w:r>
        <w:t xml:space="preserve"> de una acción</w:t>
      </w:r>
      <w:r w:rsidRPr="003F20C8">
        <w:t xml:space="preserve">? </w:t>
      </w:r>
      <w:r>
        <w:t xml:space="preserve">Es difícil predecir la volatilidad de una acción. Sin embargo, un inversor sí observa el precio de una opción (que cotiza en un mercado) y podrá siguiendo la forma de Black-Scholes calcular que volatilidad de la acción prevén los inversores. Esto se denomina volatilidad implícita. Por ello, será de interés de un inversor comparar la </w:t>
      </w:r>
      <w:r w:rsidRPr="00AD48D5">
        <w:rPr>
          <w:i/>
          <w:iCs/>
        </w:rPr>
        <w:t>volatilidad real</w:t>
      </w:r>
      <w:r>
        <w:t xml:space="preserve"> observada en el mercado (desviación estándar del precio del subyacente), con la </w:t>
      </w:r>
      <w:r w:rsidRPr="00AD48D5">
        <w:rPr>
          <w:i/>
          <w:iCs/>
        </w:rPr>
        <w:t>volatilidad implícita</w:t>
      </w:r>
      <w:r>
        <w:t xml:space="preserve"> (que sería la que se obtiene, sustituyendo en la fórmula de Black-Scholes por el precio observado).</w:t>
      </w:r>
    </w:p>
  </w:footnote>
  <w:footnote w:id="34">
    <w:p w14:paraId="0E5E9F68" w14:textId="77777777" w:rsidR="00875950" w:rsidRDefault="00875950" w:rsidP="00875950">
      <w:pPr>
        <w:pStyle w:val="Textonotapie"/>
        <w:spacing w:after="0"/>
        <w:rPr>
          <w:rFonts w:eastAsiaTheme="minorEastAsia"/>
        </w:rPr>
      </w:pPr>
      <w:r>
        <w:rPr>
          <w:rStyle w:val="Refdenotaalpie"/>
        </w:rPr>
        <w:footnoteRef/>
      </w:r>
      <w:r>
        <w:t xml:space="preserve"> Con dividendos (</w:t>
      </w:r>
      <m:oMath>
        <m:r>
          <m:rPr>
            <m:nor/>
          </m:rPr>
          <w:rPr>
            <w:i/>
          </w:rPr>
          <m:t>D</m:t>
        </m:r>
      </m:oMath>
      <w:r>
        <w:t xml:space="preserve">), la fórmula de la paridad sería: </w:t>
      </w:r>
      <m:oMath>
        <m:sSub>
          <m:sSubPr>
            <m:ctrlPr>
              <w:rPr>
                <w:rFonts w:ascii="Cambria Math" w:hAnsi="Cambria Math"/>
                <w:i/>
              </w:rPr>
            </m:ctrlPr>
          </m:sSubPr>
          <m:e>
            <m:r>
              <m:rPr>
                <m:nor/>
              </m:rPr>
              <w:rPr>
                <w:i/>
              </w:rPr>
              <m:t>C</m:t>
            </m:r>
          </m:e>
          <m:sub>
            <m:r>
              <m:rPr>
                <m:nor/>
              </m:rPr>
              <w:rPr>
                <w:i/>
              </w:rPr>
              <m:t>0</m:t>
            </m:r>
          </m:sub>
        </m:sSub>
        <m:r>
          <w:rPr>
            <w:rFonts w:ascii="Cambria Math" w:hAnsi="Cambria Math"/>
          </w:rPr>
          <m:t>+</m:t>
        </m:r>
        <m:r>
          <m:rPr>
            <m:nor/>
          </m:rPr>
          <w:rPr>
            <w:i/>
          </w:rPr>
          <m:t>X</m:t>
        </m:r>
        <m:r>
          <w:rPr>
            <w:rFonts w:ascii="Cambria Math" w:hAnsi="Cambria Math"/>
          </w:rPr>
          <m:t>∙</m:t>
        </m:r>
        <m:sSup>
          <m:sSupPr>
            <m:ctrlPr>
              <w:rPr>
                <w:rFonts w:ascii="Cambria Math" w:hAnsi="Cambria Math"/>
                <w:i/>
              </w:rPr>
            </m:ctrlPr>
          </m:sSupPr>
          <m:e>
            <m:r>
              <m:rPr>
                <m:nor/>
              </m:rPr>
              <w:rPr>
                <w:i/>
              </w:rPr>
              <m:t>e</m:t>
            </m:r>
          </m:e>
          <m:sup>
            <m:r>
              <w:rPr>
                <w:rFonts w:ascii="Cambria Math" w:hAnsi="Cambria Math"/>
              </w:rPr>
              <m:t>-</m:t>
            </m:r>
            <m:sSub>
              <m:sSubPr>
                <m:ctrlPr>
                  <w:rPr>
                    <w:rFonts w:ascii="Cambria Math" w:hAnsi="Cambria Math"/>
                    <w:i/>
                  </w:rPr>
                </m:ctrlPr>
              </m:sSubPr>
              <m:e>
                <m:r>
                  <m:rPr>
                    <m:nor/>
                  </m:rPr>
                  <w:rPr>
                    <w:i/>
                  </w:rPr>
                  <m:t>r</m:t>
                </m:r>
              </m:e>
              <m:sub>
                <m:r>
                  <m:rPr>
                    <m:nor/>
                  </m:rPr>
                  <w:rPr>
                    <w:i/>
                  </w:rPr>
                  <m:t>f</m:t>
                </m:r>
              </m:sub>
            </m:sSub>
            <m:r>
              <w:rPr>
                <w:rFonts w:ascii="Cambria Math" w:hAnsi="Cambria Math"/>
              </w:rPr>
              <m:t>∙</m:t>
            </m:r>
            <m:r>
              <m:rPr>
                <m:nor/>
              </m:rPr>
              <w:rPr>
                <w:i/>
              </w:rPr>
              <m:t>T</m:t>
            </m:r>
          </m:sup>
        </m:sSup>
        <m:r>
          <w:rPr>
            <w:rFonts w:ascii="Cambria Math" w:hAnsi="Cambria Math"/>
          </w:rPr>
          <m:t>=</m:t>
        </m:r>
        <m:sSub>
          <m:sSubPr>
            <m:ctrlPr>
              <w:rPr>
                <w:rFonts w:ascii="Cambria Math" w:hAnsi="Cambria Math"/>
                <w:i/>
              </w:rPr>
            </m:ctrlPr>
          </m:sSubPr>
          <m:e>
            <m:r>
              <m:rPr>
                <m:nor/>
              </m:rPr>
              <w:rPr>
                <w:i/>
              </w:rPr>
              <m:t>P</m:t>
            </m:r>
          </m:e>
          <m:sub>
            <m:r>
              <m:rPr>
                <m:nor/>
              </m:rPr>
              <w:rPr>
                <w:i/>
              </w:rPr>
              <m:t>0</m:t>
            </m:r>
          </m:sub>
        </m:sSub>
        <m:r>
          <w:rPr>
            <w:rFonts w:ascii="Cambria Math" w:hAnsi="Cambria Math"/>
          </w:rPr>
          <m:t>+</m:t>
        </m:r>
        <m:sSub>
          <m:sSubPr>
            <m:ctrlPr>
              <w:rPr>
                <w:rFonts w:ascii="Cambria Math" w:hAnsi="Cambria Math"/>
                <w:i/>
              </w:rPr>
            </m:ctrlPr>
          </m:sSubPr>
          <m:e>
            <m:r>
              <m:rPr>
                <m:nor/>
              </m:rPr>
              <w:rPr>
                <w:i/>
              </w:rPr>
              <m:t>S</m:t>
            </m:r>
          </m:e>
          <m:sub>
            <m:r>
              <m:rPr>
                <m:nor/>
              </m:rPr>
              <w:rPr>
                <w:i/>
              </w:rPr>
              <m:t>0</m:t>
            </m:r>
          </m:sub>
        </m:sSub>
        <m:r>
          <w:rPr>
            <w:rFonts w:ascii="Cambria Math" w:hAnsi="Cambria Math"/>
          </w:rPr>
          <m:t>-</m:t>
        </m:r>
        <m:r>
          <m:rPr>
            <m:nor/>
          </m:rPr>
          <w:rPr>
            <w:i/>
          </w:rPr>
          <m:t>D</m:t>
        </m:r>
      </m:oMath>
      <w:r>
        <w:rPr>
          <w:rFonts w:eastAsiaTheme="minorEastAsia"/>
        </w:rPr>
        <w:t>.</w:t>
      </w:r>
    </w:p>
    <w:p w14:paraId="5F16165F" w14:textId="77777777" w:rsidR="00875950" w:rsidRDefault="00875950" w:rsidP="00875950">
      <w:pPr>
        <w:pStyle w:val="Textonotapie"/>
      </w:pPr>
      <w:r>
        <w:rPr>
          <w:rFonts w:eastAsiaTheme="minorEastAsia"/>
        </w:rPr>
        <w:t xml:space="preserve">Es decir, el precio de la opción </w:t>
      </w:r>
      <w:proofErr w:type="spellStart"/>
      <w:r>
        <w:rPr>
          <w:rFonts w:eastAsiaTheme="minorEastAsia"/>
        </w:rPr>
        <w:t>call</w:t>
      </w:r>
      <w:proofErr w:type="spellEnd"/>
      <w:r>
        <w:rPr>
          <w:rFonts w:eastAsiaTheme="minorEastAsia"/>
        </w:rPr>
        <w:t xml:space="preserve"> baja en la cuantía de los dividendos porque baja el precio de la acción tras pagar dividendos.</w:t>
      </w:r>
    </w:p>
  </w:footnote>
  <w:footnote w:id="35">
    <w:p w14:paraId="6D652030" w14:textId="77777777" w:rsidR="00875950" w:rsidRDefault="00875950" w:rsidP="00875950">
      <w:pPr>
        <w:pStyle w:val="Textonotapie"/>
      </w:pPr>
      <w:r>
        <w:rPr>
          <w:rStyle w:val="Refdenotaalpie"/>
        </w:rPr>
        <w:footnoteRef/>
      </w:r>
      <w:r>
        <w:t xml:space="preserve"> En el caso de una opción </w:t>
      </w:r>
      <w:proofErr w:type="spellStart"/>
      <w:r>
        <w:rPr>
          <w:i/>
          <w:iCs/>
        </w:rPr>
        <w:t>call</w:t>
      </w:r>
      <w:proofErr w:type="spellEnd"/>
      <w:r>
        <w:t xml:space="preserve">, si el precio del activo subyacente está muy por encima del precio de ejercicio, los cambios en el precio del subyacente se trasladarán de forma completa al valor de la opción, pues está muy </w:t>
      </w:r>
      <w:proofErr w:type="spellStart"/>
      <w:r>
        <w:t>in-the-money</w:t>
      </w:r>
      <w:proofErr w:type="spellEnd"/>
      <w:r>
        <w:t xml:space="preserve"> y se sabe que la opción será ejercida, por lo que la variación del precio del subyacente afecta directamente sobre el precio de la opción.</w:t>
      </w:r>
    </w:p>
    <w:p w14:paraId="5B90BDEF" w14:textId="77777777" w:rsidR="00875950" w:rsidRPr="00E624B2" w:rsidRDefault="00875950" w:rsidP="00875950">
      <w:pPr>
        <w:pStyle w:val="Textonotapie"/>
      </w:pPr>
      <w:r>
        <w:t xml:space="preserve">En el caso de una opción </w:t>
      </w:r>
      <w:proofErr w:type="spellStart"/>
      <w:r>
        <w:rPr>
          <w:i/>
          <w:iCs/>
        </w:rPr>
        <w:t>put</w:t>
      </w:r>
      <w:proofErr w:type="spellEnd"/>
      <w:r>
        <w:t xml:space="preserve">, si el precio del activo subyacente fuera cero, sabemos que la opción está </w:t>
      </w:r>
      <w:proofErr w:type="spellStart"/>
      <w:r>
        <w:rPr>
          <w:i/>
          <w:iCs/>
        </w:rPr>
        <w:t>in-the-</w:t>
      </w:r>
      <w:r w:rsidRPr="00E624B2">
        <w:rPr>
          <w:i/>
          <w:iCs/>
        </w:rPr>
        <w:t>money</w:t>
      </w:r>
      <w:proofErr w:type="spellEnd"/>
      <w:r>
        <w:t xml:space="preserve"> </w:t>
      </w:r>
      <w:r w:rsidRPr="00E624B2">
        <w:t>el</w:t>
      </w:r>
      <w:r>
        <w:t xml:space="preserve"> valor de la opción ahora es el máximo que podría alcanzar y por cada </w:t>
      </w:r>
      <w:proofErr w:type="spellStart"/>
      <w:r>
        <w:t>u.m</w:t>
      </w:r>
      <w:proofErr w:type="spellEnd"/>
      <w:r>
        <w:t xml:space="preserve">. que suba el precio del activo subyacente, el poseedor de la opción perderá 1 </w:t>
      </w:r>
      <w:proofErr w:type="spellStart"/>
      <w:r>
        <w:t>u.m</w:t>
      </w:r>
      <w:proofErr w:type="spellEnd"/>
      <w:r>
        <w:t>. a vencimiento, por lo que la variación del precio del subyacente se trasladará de forma completa al valor de la opción.</w:t>
      </w:r>
    </w:p>
  </w:footnote>
  <w:footnote w:id="36">
    <w:p w14:paraId="5AD35443" w14:textId="77777777" w:rsidR="00875950" w:rsidRDefault="00875950" w:rsidP="00875950">
      <w:pPr>
        <w:pStyle w:val="Textonotapie"/>
      </w:pPr>
      <w:r>
        <w:rPr>
          <w:rStyle w:val="Refdenotaalpie"/>
        </w:rPr>
        <w:footnoteRef/>
      </w:r>
      <w:r>
        <w:t xml:space="preserve"> De hecho, cuando las distribuciones no son normales el propio concepto de volatilidad/riesgo se vuelve difuso: ¿Qué es más volátil/arriesgado: un activo que se mueve mucho pero siempre dentro de un rango o un activo que cae un día de cada 100, pero el día que cae se pega un auténtico castañazo? La asimilación de volatilidad/riesgo sólo vale para distribuciones normales.</w:t>
      </w:r>
    </w:p>
  </w:footnote>
  <w:footnote w:id="37">
    <w:p w14:paraId="5B83D19A" w14:textId="27D364D7" w:rsidR="0026155D" w:rsidRDefault="0026155D" w:rsidP="0026155D">
      <w:pPr>
        <w:pStyle w:val="Textonotapie"/>
      </w:pPr>
      <w:r>
        <w:rPr>
          <w:rStyle w:val="Refdenotaalpie"/>
        </w:rPr>
        <w:footnoteRef/>
      </w:r>
      <w:r>
        <w:t xml:space="preserve"> Los swaps de interés pueden entenderse también como </w:t>
      </w:r>
      <w:r w:rsidRPr="0026155D">
        <w:rPr>
          <w:i/>
          <w:iCs/>
        </w:rPr>
        <w:t xml:space="preserve">forward </w:t>
      </w:r>
      <w:proofErr w:type="spellStart"/>
      <w:r w:rsidRPr="0026155D">
        <w:rPr>
          <w:i/>
          <w:iCs/>
        </w:rPr>
        <w:t>rate</w:t>
      </w:r>
      <w:proofErr w:type="spellEnd"/>
      <w:r w:rsidRPr="0026155D">
        <w:rPr>
          <w:i/>
          <w:iCs/>
        </w:rPr>
        <w:t xml:space="preserve"> </w:t>
      </w:r>
      <w:proofErr w:type="spellStart"/>
      <w:r w:rsidRPr="0026155D">
        <w:rPr>
          <w:i/>
          <w:iCs/>
        </w:rPr>
        <w:t>agreements</w:t>
      </w:r>
      <w:proofErr w:type="spellEnd"/>
      <w:r>
        <w:t xml:space="preserve">. Un </w:t>
      </w:r>
      <w:r w:rsidRPr="0026155D">
        <w:rPr>
          <w:i/>
          <w:iCs/>
        </w:rPr>
        <w:t xml:space="preserve">forward </w:t>
      </w:r>
      <w:proofErr w:type="spellStart"/>
      <w:r w:rsidRPr="0026155D">
        <w:rPr>
          <w:i/>
          <w:iCs/>
        </w:rPr>
        <w:t>rate</w:t>
      </w:r>
      <w:proofErr w:type="spellEnd"/>
      <w:r w:rsidRPr="0026155D">
        <w:rPr>
          <w:i/>
          <w:iCs/>
        </w:rPr>
        <w:t xml:space="preserve"> </w:t>
      </w:r>
      <w:proofErr w:type="spellStart"/>
      <w:r w:rsidRPr="0026155D">
        <w:rPr>
          <w:i/>
          <w:iCs/>
        </w:rPr>
        <w:t>agreement</w:t>
      </w:r>
      <w:proofErr w:type="spellEnd"/>
      <w:r>
        <w:t xml:space="preserve"> es un acuerdo entre 2 partes en virtud del cual una de ellas se compromete a pagar a la otra una cantidad fija sobre un principal dado, a cambio de recibir el interés variable fijado por un índice como el LIBOR. Los </w:t>
      </w:r>
      <w:r w:rsidRPr="0026155D">
        <w:rPr>
          <w:i/>
          <w:iCs/>
        </w:rPr>
        <w:t>swaps de interés</w:t>
      </w:r>
      <w:r>
        <w:t xml:space="preserve"> son generalizaciones de los FRA en el sentido de que son carteras de FRA, que no son sino contratos forwards en virtud de los cuales dos partes se intercambian dos flujos de caja respectivos en un solo momento temporal.</w:t>
      </w:r>
    </w:p>
  </w:footnote>
  <w:footnote w:id="38">
    <w:p w14:paraId="1327C005" w14:textId="77777777" w:rsidR="003F4934" w:rsidRDefault="003F4934" w:rsidP="003F4934">
      <w:pPr>
        <w:pStyle w:val="Textonotapie"/>
      </w:pPr>
      <w:r>
        <w:rPr>
          <w:rStyle w:val="Refdenotaalpie"/>
        </w:rPr>
        <w:footnoteRef/>
      </w:r>
      <w:r>
        <w:t xml:space="preserve"> Este tipo de instrumentos, son utilizados, por ejemplo, por instituciones multilaterales como el FMI que prestan fondos a medio y largo plazo a países en desarrollo y quieren cubrirse del riesgo de los reembolsos para mitigar la volatilidad del tipo de cambio.</w:t>
      </w:r>
    </w:p>
  </w:footnote>
  <w:footnote w:id="39">
    <w:p w14:paraId="76FE4A38" w14:textId="77777777" w:rsidR="003F4934" w:rsidRDefault="003F4934" w:rsidP="003F4934">
      <w:pPr>
        <w:pStyle w:val="Textonotapie"/>
        <w:keepNext/>
        <w:spacing w:after="0"/>
      </w:pPr>
      <w:r>
        <w:rPr>
          <w:rStyle w:val="Refdenotaalpie"/>
        </w:rPr>
        <w:footnoteRef/>
      </w:r>
      <w:r w:rsidRPr="00ED1E11">
        <w:t xml:space="preserve"> Los </w:t>
      </w:r>
      <w:proofErr w:type="spellStart"/>
      <w:r w:rsidRPr="00ED1E11">
        <w:rPr>
          <w:i/>
          <w:iCs/>
        </w:rPr>
        <w:t>uncovered</w:t>
      </w:r>
      <w:proofErr w:type="spellEnd"/>
      <w:r w:rsidRPr="00ED1E11">
        <w:rPr>
          <w:i/>
          <w:iCs/>
        </w:rPr>
        <w:t xml:space="preserve"> </w:t>
      </w:r>
      <w:proofErr w:type="spellStart"/>
      <w:r w:rsidRPr="00ED1E11">
        <w:rPr>
          <w:i/>
          <w:iCs/>
        </w:rPr>
        <w:t>sovereign</w:t>
      </w:r>
      <w:proofErr w:type="spellEnd"/>
      <w:r w:rsidRPr="00ED1E11">
        <w:rPr>
          <w:i/>
          <w:iCs/>
        </w:rPr>
        <w:t xml:space="preserve"> CDS</w:t>
      </w:r>
      <w:r w:rsidRPr="00ED1E11">
        <w:t xml:space="preserve"> se prohibieron e</w:t>
      </w:r>
      <w:r>
        <w:t>n la UE en 2012.</w:t>
      </w:r>
    </w:p>
    <w:p w14:paraId="14722E59" w14:textId="77777777" w:rsidR="003F4934" w:rsidRPr="00ED1E11" w:rsidRDefault="003F4934" w:rsidP="003F4934">
      <w:pPr>
        <w:pStyle w:val="Textonotapie"/>
      </w:pPr>
      <w:r>
        <w:t>Por otra parte, la ley de mejora regulatoria estadounidense Dodd-Frank incorpora la necesidad de negociar los CDS en particular y los derivados en general en mercados organizados, con compensación en cámaras.</w:t>
      </w:r>
    </w:p>
  </w:footnote>
  <w:footnote w:id="40">
    <w:p w14:paraId="7B68C44D" w14:textId="3F05D354" w:rsidR="003F4934" w:rsidRPr="00052655" w:rsidRDefault="003F4934" w:rsidP="003F4934">
      <w:pPr>
        <w:pStyle w:val="Textonotapie"/>
      </w:pPr>
      <w:r>
        <w:rPr>
          <w:rStyle w:val="Refdenotaalpie"/>
        </w:rPr>
        <w:footnoteRef/>
      </w:r>
      <w:r>
        <w:t xml:space="preserve"> Ello además puede generar problemas de </w:t>
      </w:r>
      <w:r>
        <w:rPr>
          <w:i/>
          <w:iCs/>
        </w:rPr>
        <w:t>riesgo moral</w:t>
      </w:r>
      <w:r>
        <w:t xml:space="preserve"> en el caso de que el vendedor sea una entidad </w:t>
      </w:r>
      <w:proofErr w:type="spellStart"/>
      <w:r>
        <w:rPr>
          <w:i/>
          <w:iCs/>
        </w:rPr>
        <w:t>too</w:t>
      </w:r>
      <w:proofErr w:type="spellEnd"/>
      <w:r>
        <w:rPr>
          <w:i/>
          <w:iCs/>
        </w:rPr>
        <w:t xml:space="preserve"> </w:t>
      </w:r>
      <w:proofErr w:type="spellStart"/>
      <w:r>
        <w:rPr>
          <w:i/>
          <w:iCs/>
        </w:rPr>
        <w:t>big</w:t>
      </w:r>
      <w:proofErr w:type="spellEnd"/>
      <w:r>
        <w:rPr>
          <w:i/>
          <w:iCs/>
        </w:rPr>
        <w:t xml:space="preserve"> </w:t>
      </w:r>
      <w:proofErr w:type="spellStart"/>
      <w:r>
        <w:rPr>
          <w:i/>
          <w:iCs/>
        </w:rPr>
        <w:t>to</w:t>
      </w:r>
      <w:proofErr w:type="spellEnd"/>
      <w:r>
        <w:rPr>
          <w:i/>
          <w:iCs/>
        </w:rPr>
        <w:t xml:space="preserve"> </w:t>
      </w:r>
      <w:proofErr w:type="spellStart"/>
      <w:r>
        <w:rPr>
          <w:i/>
          <w:iCs/>
        </w:rPr>
        <w:t>fail</w:t>
      </w:r>
      <w:proofErr w:type="spellEnd"/>
      <w:r>
        <w:t>. Por ejemplo, la aseguradora AIG era el mayor vendedor de CDS en los años previos a la crisis financiera. E</w:t>
      </w:r>
      <w:r w:rsidR="00B20286">
        <w:t>l</w:t>
      </w:r>
      <w:r>
        <w:t xml:space="preserve"> día después de la caída de Lehman </w:t>
      </w:r>
      <w:proofErr w:type="spellStart"/>
      <w:r>
        <w:t>Brothers</w:t>
      </w:r>
      <w:proofErr w:type="spellEnd"/>
      <w:r>
        <w:t>, AIG tuvo una crisis de liquidez que le llevaba a la quiebra y fue rescatada porque se suponía que el contagio a otras entidades financieras hubiera sido demoledor con fuertes efectos sobre la economía real.</w:t>
      </w:r>
    </w:p>
  </w:footnote>
  <w:footnote w:id="41">
    <w:p w14:paraId="12848433" w14:textId="6B38BF30" w:rsidR="00E01786" w:rsidRDefault="00E01786">
      <w:pPr>
        <w:pStyle w:val="Textonotapie"/>
      </w:pPr>
      <w:r>
        <w:rPr>
          <w:rStyle w:val="Refdenotaalpie"/>
        </w:rPr>
        <w:footnoteRef/>
      </w:r>
      <w:r>
        <w:t xml:space="preserve"> </w:t>
      </w:r>
      <w:r w:rsidR="00A36869">
        <w:rPr>
          <w:i/>
          <w:iCs/>
        </w:rPr>
        <w:t>Venta en corto</w:t>
      </w:r>
      <w:r w:rsidR="00A36869">
        <w:t>: se vende un activo que se ha tomado a préstamo, bajo la creencia de que cuando haya que devolverlo en el futuro estará más barato. La ganancia sería la diferencia entre el precio alto al que lo vende hoy y el precio bajo al que lo comprará en el futuro.</w:t>
      </w:r>
    </w:p>
    <w:p w14:paraId="5DF6253C" w14:textId="6C7661AB" w:rsidR="00A36869" w:rsidRPr="00A36869" w:rsidRDefault="00A36869">
      <w:pPr>
        <w:pStyle w:val="Textonotapie"/>
      </w:pPr>
      <w:r>
        <w:rPr>
          <w:i/>
          <w:iCs/>
        </w:rPr>
        <w:t>Venta en descubierto (o venta en corto al descubierto)</w:t>
      </w:r>
      <w:r>
        <w:t>: se vende un activo que no se tiene, bajo la creencia de que, cuando tenga que entregarlo en el futuro estará más barato. La ganancia sería, de nuevo, la diferencia entre el precio de ejercicio alto al que lo negocia hoy y el precio bajo al que lo comprará en el futuro.</w:t>
      </w:r>
    </w:p>
  </w:footnote>
  <w:footnote w:id="42">
    <w:p w14:paraId="42A951AB" w14:textId="74AEE143" w:rsidR="00EC6DF3" w:rsidRDefault="00CD5E2A">
      <w:pPr>
        <w:pStyle w:val="Textonotapie"/>
      </w:pPr>
      <w:r>
        <w:rPr>
          <w:rStyle w:val="Refdenotaalpie"/>
        </w:rPr>
        <w:footnoteRef/>
      </w:r>
      <w:r>
        <w:t xml:space="preserve"> El riesgo de contrapartida se define como el riesgo de que la contraparte no cumpla con sus obligaciones. Las obligaciones con una Cámara de Contrapartida Central</w:t>
      </w:r>
      <w:r w:rsidR="00EC6DF3">
        <w:t xml:space="preserve"> son depositar y reponer el margen inicial; depositar, en su caso, el margen variable, y las que se derivan de la compra o de la venta del valor al vencimiento del contrato.</w:t>
      </w:r>
    </w:p>
  </w:footnote>
  <w:footnote w:id="43">
    <w:p w14:paraId="764E127B" w14:textId="7C7AA25F" w:rsidR="00EC6DF3" w:rsidRDefault="00EC6DF3">
      <w:pPr>
        <w:pStyle w:val="Textonotapie"/>
      </w:pPr>
      <w:r>
        <w:rPr>
          <w:rStyle w:val="Refdenotaalpie"/>
        </w:rPr>
        <w:footnoteRef/>
      </w:r>
      <w:r>
        <w:t xml:space="preserve"> Las Cámaras de Contrapartida Central facilitan también la compresión de carteras, que es una técnica de neteo por la que dos o más contrapartidas sustituyen sus posiciones por otra con menor valor nocional y el mismo riesgo de mercado.</w:t>
      </w:r>
    </w:p>
  </w:footnote>
  <w:footnote w:id="44">
    <w:p w14:paraId="1F515031" w14:textId="1F320656" w:rsidR="00EC6DF3" w:rsidRDefault="00EC6DF3">
      <w:pPr>
        <w:pStyle w:val="Textonotapie"/>
      </w:pPr>
      <w:r>
        <w:rPr>
          <w:rStyle w:val="Refdenotaalpie"/>
        </w:rPr>
        <w:footnoteRef/>
      </w:r>
      <w:r>
        <w:t xml:space="preserve"> En el ejemplo del diagrama anterior, la entidad A, en el caso de la compensación bilateral tiene un riesgo de mercado de 20 euros, pero un riesgo de contrapartida de 120 euros con la entidad B y de 100 euros con la entidad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572C8" w:rsidRPr="00C44422" w14:paraId="49E08680" w14:textId="77777777" w:rsidTr="00670359">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2E55D84" w14:textId="3AC9F774" w:rsidR="007572C8" w:rsidRPr="00C44422" w:rsidRDefault="00A000DF" w:rsidP="0067035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3.B.25</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24415404" w14:textId="5D22CC72" w:rsidR="007572C8" w:rsidRPr="00C44422" w:rsidRDefault="00F40CFC" w:rsidP="00670359">
              <w:pPr>
                <w:pStyle w:val="Encabezado"/>
                <w:spacing w:after="0"/>
                <w:ind w:right="-110"/>
                <w:contextualSpacing/>
                <w:jc w:val="center"/>
                <w:rPr>
                  <w:i/>
                  <w:iCs/>
                  <w:color w:val="5F2987"/>
                  <w:sz w:val="18"/>
                  <w:szCs w:val="18"/>
                </w:rPr>
              </w:pPr>
              <w:r>
                <w:rPr>
                  <w:i/>
                  <w:iCs/>
                  <w:color w:val="5F2987"/>
                  <w:sz w:val="18"/>
                  <w:szCs w:val="18"/>
                </w:rPr>
                <w:t>Análisis de los instrumentos y de los mercados de derivados.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7940E6BB" w14:textId="77777777" w:rsidR="007572C8" w:rsidRPr="00C44422" w:rsidRDefault="007572C8" w:rsidP="0067035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05B1F10"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7572C8" w:rsidRPr="00C44422" w14:paraId="7C49B612" w14:textId="77777777" w:rsidTr="00670359">
      <w:trPr>
        <w:trHeight w:val="136"/>
        <w:jc w:val="center"/>
      </w:trPr>
      <w:bookmarkStart w:id="76" w:name="_Hlk72149218" w:displacedByCustomXml="next"/>
      <w:sdt>
        <w:sdtPr>
          <w:rPr>
            <w:b/>
            <w:bCs/>
            <w:i/>
            <w:iCs/>
            <w:caps/>
            <w:color w:val="5F2987"/>
            <w:sz w:val="18"/>
            <w:szCs w:val="18"/>
          </w:rPr>
          <w:alias w:val="Title"/>
          <w:tag w:val=""/>
          <w:id w:val="141558918"/>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416BAD1" w14:textId="7F50C7AE" w:rsidR="007572C8" w:rsidRPr="00C44422" w:rsidRDefault="00A000DF" w:rsidP="0067035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3.B.25</w:t>
              </w:r>
            </w:p>
          </w:tc>
        </w:sdtContent>
      </w:sdt>
      <w:tc>
        <w:tcPr>
          <w:tcW w:w="7088" w:type="dxa"/>
          <w:vAlign w:val="center"/>
        </w:tcPr>
        <w:sdt>
          <w:sdtPr>
            <w:rPr>
              <w:i/>
              <w:iCs/>
              <w:color w:val="5F2987"/>
              <w:sz w:val="18"/>
              <w:szCs w:val="18"/>
            </w:rPr>
            <w:alias w:val="Subject"/>
            <w:tag w:val=""/>
            <w:id w:val="-681814106"/>
            <w:dataBinding w:prefixMappings="xmlns:ns0='http://purl.org/dc/elements/1.1/' xmlns:ns1='http://schemas.openxmlformats.org/package/2006/metadata/core-properties' " w:xpath="/ns1:coreProperties[1]/ns0:subject[1]" w:storeItemID="{6C3C8BC8-F283-45AE-878A-BAB7291924A1}"/>
            <w:text/>
          </w:sdtPr>
          <w:sdtContent>
            <w:p w14:paraId="2709E3C1" w14:textId="6BF4078F" w:rsidR="007572C8" w:rsidRPr="00C44422" w:rsidRDefault="00F40CFC" w:rsidP="00670359">
              <w:pPr>
                <w:pStyle w:val="Encabezado"/>
                <w:spacing w:after="0"/>
                <w:ind w:right="-110"/>
                <w:contextualSpacing/>
                <w:jc w:val="center"/>
                <w:rPr>
                  <w:i/>
                  <w:iCs/>
                  <w:color w:val="5F2987"/>
                  <w:sz w:val="18"/>
                  <w:szCs w:val="18"/>
                </w:rPr>
              </w:pPr>
              <w:r>
                <w:rPr>
                  <w:i/>
                  <w:iCs/>
                  <w:color w:val="5F2987"/>
                  <w:sz w:val="18"/>
                  <w:szCs w:val="18"/>
                </w:rPr>
                <w:t>Análisis de los instrumentos y de los mercados de derivados.</w:t>
              </w:r>
            </w:p>
          </w:sdtContent>
        </w:sdt>
      </w:tc>
      <w:sdt>
        <w:sdtPr>
          <w:rPr>
            <w:b/>
            <w:bCs/>
            <w:i/>
            <w:iCs/>
            <w:color w:val="5F2987"/>
            <w:spacing w:val="-6"/>
            <w:sz w:val="18"/>
            <w:szCs w:val="18"/>
          </w:rPr>
          <w:alias w:val="Author"/>
          <w:tag w:val=""/>
          <w:id w:val="-98839535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1733875" w14:textId="77777777" w:rsidR="007572C8" w:rsidRPr="00C44422" w:rsidRDefault="007572C8" w:rsidP="0067035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76"/>
  </w:tbl>
  <w:p w14:paraId="028772DC"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7572C8" w:rsidRPr="00BE1B62" w14:paraId="7EC54661" w14:textId="77777777" w:rsidTr="00B075F2">
      <w:tc>
        <w:tcPr>
          <w:tcW w:w="3261" w:type="dxa"/>
          <w:tcBorders>
            <w:bottom w:val="thickThinSmallGap" w:sz="12" w:space="0" w:color="5F2987"/>
          </w:tcBorders>
        </w:tcPr>
        <w:p w14:paraId="23C3F5C7" w14:textId="1A4C55CD" w:rsidR="007572C8" w:rsidRPr="00BE1B62" w:rsidRDefault="007572C8" w:rsidP="00670359">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3F2FF6">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2FB88DBD" w14:textId="77777777" w:rsidR="007572C8" w:rsidRPr="00BE1B62" w:rsidRDefault="007572C8" w:rsidP="00670359">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6225936" w14:textId="55B76E6E" w:rsidR="007572C8" w:rsidRPr="00BE1B62" w:rsidRDefault="00A000DF" w:rsidP="00670359">
              <w:pPr>
                <w:pStyle w:val="Encabezado"/>
                <w:spacing w:after="0"/>
                <w:jc w:val="right"/>
                <w:rPr>
                  <w:i/>
                  <w:iCs/>
                  <w:color w:val="5F2987"/>
                  <w:spacing w:val="-6"/>
                  <w:sz w:val="18"/>
                  <w:szCs w:val="18"/>
                </w:rPr>
              </w:pPr>
              <w:r>
                <w:rPr>
                  <w:i/>
                  <w:iCs/>
                  <w:color w:val="5F2987"/>
                  <w:spacing w:val="-6"/>
                  <w:sz w:val="20"/>
                  <w:szCs w:val="20"/>
                </w:rPr>
                <w:t>3.B.25</w:t>
              </w:r>
            </w:p>
          </w:tc>
        </w:sdtContent>
      </w:sdt>
    </w:tr>
  </w:tbl>
  <w:p w14:paraId="6ED444DD" w14:textId="77777777" w:rsidR="002756C0" w:rsidRPr="00BE1B62" w:rsidRDefault="002756C0">
    <w:pPr>
      <w:pStyle w:val="Encabezad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820C2"/>
    <w:multiLevelType w:val="hybridMultilevel"/>
    <w:tmpl w:val="8B06F7AE"/>
    <w:lvl w:ilvl="0" w:tplc="F23ECD64">
      <w:start w:val="1"/>
      <w:numFmt w:val="bullet"/>
      <w:lvlText w:val="▫"/>
      <w:lvlJc w:val="left"/>
      <w:pPr>
        <w:ind w:left="720" w:hanging="360"/>
      </w:pPr>
      <w:rPr>
        <w:rFonts w:ascii="Palatino Linotype" w:hAnsi="Palatino Linotype"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 w15:restartNumberingAfterBreak="0">
    <w:nsid w:val="05460A2F"/>
    <w:multiLevelType w:val="hybridMultilevel"/>
    <w:tmpl w:val="9C34EEBE"/>
    <w:lvl w:ilvl="0" w:tplc="FFFFFFFF">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1">
      <w:start w:val="1"/>
      <w:numFmt w:val="bullet"/>
      <w:lvlText w:val=""/>
      <w:lvlJc w:val="left"/>
      <w:pPr>
        <w:ind w:left="1343" w:hanging="360"/>
      </w:pPr>
      <w:rPr>
        <w:rFonts w:ascii="Symbol" w:hAnsi="Symbol" w:hint="default"/>
      </w:rPr>
    </w:lvl>
    <w:lvl w:ilvl="3" w:tplc="F23ECD64">
      <w:start w:val="1"/>
      <w:numFmt w:val="bullet"/>
      <w:lvlText w:val="▫"/>
      <w:lvlJc w:val="left"/>
      <w:pPr>
        <w:ind w:left="720" w:hanging="360"/>
      </w:pPr>
      <w:rPr>
        <w:rFonts w:ascii="Palatino Linotype" w:hAnsi="Palatino Linotype"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F64ECE"/>
    <w:multiLevelType w:val="hybridMultilevel"/>
    <w:tmpl w:val="D77AE3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 w15:restartNumberingAfterBreak="0">
    <w:nsid w:val="132E0816"/>
    <w:multiLevelType w:val="hybridMultilevel"/>
    <w:tmpl w:val="DA9C35C0"/>
    <w:lvl w:ilvl="0" w:tplc="0C0A0017">
      <w:start w:val="1"/>
      <w:numFmt w:val="lowerLetter"/>
      <w:lvlText w:val="%1)"/>
      <w:lvlJc w:val="left"/>
      <w:pPr>
        <w:ind w:left="1769" w:hanging="360"/>
      </w:pPr>
      <w:rPr>
        <w:rFonts w:hint="default"/>
      </w:rPr>
    </w:lvl>
    <w:lvl w:ilvl="1" w:tplc="0C0A0019" w:tentative="1">
      <w:start w:val="1"/>
      <w:numFmt w:val="lowerLetter"/>
      <w:lvlText w:val="%2."/>
      <w:lvlJc w:val="left"/>
      <w:pPr>
        <w:ind w:left="2489" w:hanging="360"/>
      </w:pPr>
    </w:lvl>
    <w:lvl w:ilvl="2" w:tplc="0C0A001B" w:tentative="1">
      <w:start w:val="1"/>
      <w:numFmt w:val="lowerRoman"/>
      <w:lvlText w:val="%3."/>
      <w:lvlJc w:val="right"/>
      <w:pPr>
        <w:ind w:left="3209" w:hanging="180"/>
      </w:pPr>
    </w:lvl>
    <w:lvl w:ilvl="3" w:tplc="0C0A000F" w:tentative="1">
      <w:start w:val="1"/>
      <w:numFmt w:val="decimal"/>
      <w:lvlText w:val="%4."/>
      <w:lvlJc w:val="left"/>
      <w:pPr>
        <w:ind w:left="3929" w:hanging="360"/>
      </w:pPr>
    </w:lvl>
    <w:lvl w:ilvl="4" w:tplc="0C0A0019" w:tentative="1">
      <w:start w:val="1"/>
      <w:numFmt w:val="lowerLetter"/>
      <w:lvlText w:val="%5."/>
      <w:lvlJc w:val="left"/>
      <w:pPr>
        <w:ind w:left="4649" w:hanging="360"/>
      </w:pPr>
    </w:lvl>
    <w:lvl w:ilvl="5" w:tplc="0C0A001B" w:tentative="1">
      <w:start w:val="1"/>
      <w:numFmt w:val="lowerRoman"/>
      <w:lvlText w:val="%6."/>
      <w:lvlJc w:val="right"/>
      <w:pPr>
        <w:ind w:left="5369" w:hanging="180"/>
      </w:pPr>
    </w:lvl>
    <w:lvl w:ilvl="6" w:tplc="0C0A000F" w:tentative="1">
      <w:start w:val="1"/>
      <w:numFmt w:val="decimal"/>
      <w:lvlText w:val="%7."/>
      <w:lvlJc w:val="left"/>
      <w:pPr>
        <w:ind w:left="6089" w:hanging="360"/>
      </w:pPr>
    </w:lvl>
    <w:lvl w:ilvl="7" w:tplc="0C0A0019" w:tentative="1">
      <w:start w:val="1"/>
      <w:numFmt w:val="lowerLetter"/>
      <w:lvlText w:val="%8."/>
      <w:lvlJc w:val="left"/>
      <w:pPr>
        <w:ind w:left="6809" w:hanging="360"/>
      </w:pPr>
    </w:lvl>
    <w:lvl w:ilvl="8" w:tplc="0C0A001B" w:tentative="1">
      <w:start w:val="1"/>
      <w:numFmt w:val="lowerRoman"/>
      <w:lvlText w:val="%9."/>
      <w:lvlJc w:val="right"/>
      <w:pPr>
        <w:ind w:left="7529" w:hanging="180"/>
      </w:pPr>
    </w:lvl>
  </w:abstractNum>
  <w:abstractNum w:abstractNumId="5" w15:restartNumberingAfterBreak="0">
    <w:nsid w:val="15840F91"/>
    <w:multiLevelType w:val="hybridMultilevel"/>
    <w:tmpl w:val="3EBE7E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9E76F0F"/>
    <w:multiLevelType w:val="hybridMultilevel"/>
    <w:tmpl w:val="D80855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57F4267"/>
    <w:multiLevelType w:val="multilevel"/>
    <w:tmpl w:val="5BEE3BEA"/>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9" w15:restartNumberingAfterBreak="0">
    <w:nsid w:val="258223F0"/>
    <w:multiLevelType w:val="hybridMultilevel"/>
    <w:tmpl w:val="AA68D6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51141F"/>
    <w:multiLevelType w:val="hybridMultilevel"/>
    <w:tmpl w:val="3B8CBEC0"/>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3" w15:restartNumberingAfterBreak="0">
    <w:nsid w:val="28893D86"/>
    <w:multiLevelType w:val="hybridMultilevel"/>
    <w:tmpl w:val="14B494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F882FA3"/>
    <w:multiLevelType w:val="hybridMultilevel"/>
    <w:tmpl w:val="679E7F26"/>
    <w:lvl w:ilvl="0" w:tplc="0C0A0011">
      <w:start w:val="1"/>
      <w:numFmt w:val="decimal"/>
      <w:lvlText w:val="%1)"/>
      <w:lvlJc w:val="left"/>
      <w:pPr>
        <w:ind w:left="2520" w:hanging="360"/>
      </w:pPr>
    </w:lvl>
    <w:lvl w:ilvl="1" w:tplc="0C0A0019">
      <w:start w:val="1"/>
      <w:numFmt w:val="lowerLetter"/>
      <w:lvlText w:val="%2."/>
      <w:lvlJc w:val="left"/>
      <w:pPr>
        <w:ind w:left="3240" w:hanging="360"/>
      </w:pPr>
    </w:lvl>
    <w:lvl w:ilvl="2" w:tplc="0C0A001B" w:tentative="1">
      <w:start w:val="1"/>
      <w:numFmt w:val="lowerRoman"/>
      <w:lvlText w:val="%3."/>
      <w:lvlJc w:val="right"/>
      <w:pPr>
        <w:ind w:left="3960" w:hanging="180"/>
      </w:pPr>
    </w:lvl>
    <w:lvl w:ilvl="3" w:tplc="0C0A000F" w:tentative="1">
      <w:start w:val="1"/>
      <w:numFmt w:val="decimal"/>
      <w:lvlText w:val="%4."/>
      <w:lvlJc w:val="left"/>
      <w:pPr>
        <w:ind w:left="4680" w:hanging="360"/>
      </w:pPr>
    </w:lvl>
    <w:lvl w:ilvl="4" w:tplc="0C0A0019" w:tentative="1">
      <w:start w:val="1"/>
      <w:numFmt w:val="lowerLetter"/>
      <w:lvlText w:val="%5."/>
      <w:lvlJc w:val="left"/>
      <w:pPr>
        <w:ind w:left="5400" w:hanging="360"/>
      </w:pPr>
    </w:lvl>
    <w:lvl w:ilvl="5" w:tplc="0C0A001B" w:tentative="1">
      <w:start w:val="1"/>
      <w:numFmt w:val="lowerRoman"/>
      <w:lvlText w:val="%6."/>
      <w:lvlJc w:val="right"/>
      <w:pPr>
        <w:ind w:left="6120" w:hanging="180"/>
      </w:pPr>
    </w:lvl>
    <w:lvl w:ilvl="6" w:tplc="0C0A000F" w:tentative="1">
      <w:start w:val="1"/>
      <w:numFmt w:val="decimal"/>
      <w:lvlText w:val="%7."/>
      <w:lvlJc w:val="left"/>
      <w:pPr>
        <w:ind w:left="6840" w:hanging="360"/>
      </w:pPr>
    </w:lvl>
    <w:lvl w:ilvl="7" w:tplc="0C0A0019" w:tentative="1">
      <w:start w:val="1"/>
      <w:numFmt w:val="lowerLetter"/>
      <w:lvlText w:val="%8."/>
      <w:lvlJc w:val="left"/>
      <w:pPr>
        <w:ind w:left="7560" w:hanging="360"/>
      </w:pPr>
    </w:lvl>
    <w:lvl w:ilvl="8" w:tplc="0C0A001B" w:tentative="1">
      <w:start w:val="1"/>
      <w:numFmt w:val="lowerRoman"/>
      <w:lvlText w:val="%9."/>
      <w:lvlJc w:val="right"/>
      <w:pPr>
        <w:ind w:left="8280" w:hanging="180"/>
      </w:pPr>
    </w:lvl>
  </w:abstractNum>
  <w:abstractNum w:abstractNumId="15" w15:restartNumberingAfterBreak="0">
    <w:nsid w:val="338E047A"/>
    <w:multiLevelType w:val="hybridMultilevel"/>
    <w:tmpl w:val="DA1C12F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B3F2780"/>
    <w:multiLevelType w:val="hybridMultilevel"/>
    <w:tmpl w:val="31284B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B417DE1"/>
    <w:multiLevelType w:val="hybridMultilevel"/>
    <w:tmpl w:val="855E0D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143ED9"/>
    <w:multiLevelType w:val="hybridMultilevel"/>
    <w:tmpl w:val="9BDCF3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40703AC"/>
    <w:multiLevelType w:val="hybridMultilevel"/>
    <w:tmpl w:val="3EBE7E76"/>
    <w:lvl w:ilvl="0" w:tplc="0C0A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3814A3"/>
    <w:multiLevelType w:val="hybridMultilevel"/>
    <w:tmpl w:val="F0C8E3EC"/>
    <w:lvl w:ilvl="0" w:tplc="0C0A0011">
      <w:start w:val="1"/>
      <w:numFmt w:val="decimal"/>
      <w:lvlText w:val="%1)"/>
      <w:lvlJc w:val="left"/>
      <w:pPr>
        <w:ind w:left="2226" w:hanging="360"/>
      </w:pPr>
    </w:lvl>
    <w:lvl w:ilvl="1" w:tplc="0C0A0019" w:tentative="1">
      <w:start w:val="1"/>
      <w:numFmt w:val="lowerLetter"/>
      <w:lvlText w:val="%2."/>
      <w:lvlJc w:val="left"/>
      <w:pPr>
        <w:ind w:left="2946" w:hanging="360"/>
      </w:pPr>
    </w:lvl>
    <w:lvl w:ilvl="2" w:tplc="0C0A001B" w:tentative="1">
      <w:start w:val="1"/>
      <w:numFmt w:val="lowerRoman"/>
      <w:lvlText w:val="%3."/>
      <w:lvlJc w:val="right"/>
      <w:pPr>
        <w:ind w:left="3666" w:hanging="180"/>
      </w:pPr>
    </w:lvl>
    <w:lvl w:ilvl="3" w:tplc="0C0A000F" w:tentative="1">
      <w:start w:val="1"/>
      <w:numFmt w:val="decimal"/>
      <w:lvlText w:val="%4."/>
      <w:lvlJc w:val="left"/>
      <w:pPr>
        <w:ind w:left="4386" w:hanging="360"/>
      </w:pPr>
    </w:lvl>
    <w:lvl w:ilvl="4" w:tplc="0C0A0019" w:tentative="1">
      <w:start w:val="1"/>
      <w:numFmt w:val="lowerLetter"/>
      <w:lvlText w:val="%5."/>
      <w:lvlJc w:val="left"/>
      <w:pPr>
        <w:ind w:left="5106" w:hanging="360"/>
      </w:pPr>
    </w:lvl>
    <w:lvl w:ilvl="5" w:tplc="0C0A001B" w:tentative="1">
      <w:start w:val="1"/>
      <w:numFmt w:val="lowerRoman"/>
      <w:lvlText w:val="%6."/>
      <w:lvlJc w:val="right"/>
      <w:pPr>
        <w:ind w:left="5826" w:hanging="180"/>
      </w:pPr>
    </w:lvl>
    <w:lvl w:ilvl="6" w:tplc="0C0A000F" w:tentative="1">
      <w:start w:val="1"/>
      <w:numFmt w:val="decimal"/>
      <w:lvlText w:val="%7."/>
      <w:lvlJc w:val="left"/>
      <w:pPr>
        <w:ind w:left="6546" w:hanging="360"/>
      </w:pPr>
    </w:lvl>
    <w:lvl w:ilvl="7" w:tplc="0C0A0019" w:tentative="1">
      <w:start w:val="1"/>
      <w:numFmt w:val="lowerLetter"/>
      <w:lvlText w:val="%8."/>
      <w:lvlJc w:val="left"/>
      <w:pPr>
        <w:ind w:left="7266" w:hanging="360"/>
      </w:pPr>
    </w:lvl>
    <w:lvl w:ilvl="8" w:tplc="0C0A001B" w:tentative="1">
      <w:start w:val="1"/>
      <w:numFmt w:val="lowerRoman"/>
      <w:lvlText w:val="%9."/>
      <w:lvlJc w:val="right"/>
      <w:pPr>
        <w:ind w:left="7986" w:hanging="180"/>
      </w:pPr>
    </w:lvl>
  </w:abstractNum>
  <w:abstractNum w:abstractNumId="23" w15:restartNumberingAfterBreak="0">
    <w:nsid w:val="4A4D2012"/>
    <w:multiLevelType w:val="hybridMultilevel"/>
    <w:tmpl w:val="1152FE6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1F85277"/>
    <w:multiLevelType w:val="hybridMultilevel"/>
    <w:tmpl w:val="B704CA94"/>
    <w:lvl w:ilvl="0" w:tplc="7194BA8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46C0BC7"/>
    <w:multiLevelType w:val="hybridMultilevel"/>
    <w:tmpl w:val="BF90679A"/>
    <w:lvl w:ilvl="0" w:tplc="FC74A43A">
      <w:start w:val="1"/>
      <w:numFmt w:val="decimal"/>
      <w:lvlText w:val="%1."/>
      <w:lvlJc w:val="lef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73F544B"/>
    <w:multiLevelType w:val="hybridMultilevel"/>
    <w:tmpl w:val="99E4458A"/>
    <w:lvl w:ilvl="0" w:tplc="0C0A0011">
      <w:start w:val="1"/>
      <w:numFmt w:val="decimal"/>
      <w:lvlText w:val="%1)"/>
      <w:lvlJc w:val="left"/>
      <w:pPr>
        <w:ind w:left="720" w:hanging="360"/>
      </w:pPr>
    </w:lvl>
    <w:lvl w:ilvl="1" w:tplc="0C0A0011">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11953A5"/>
    <w:multiLevelType w:val="hybridMultilevel"/>
    <w:tmpl w:val="97144B4E"/>
    <w:lvl w:ilvl="0" w:tplc="7BB68F58">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377271F"/>
    <w:multiLevelType w:val="hybridMultilevel"/>
    <w:tmpl w:val="2B0A8FFC"/>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A934A62"/>
    <w:multiLevelType w:val="hybridMultilevel"/>
    <w:tmpl w:val="CE7622AA"/>
    <w:lvl w:ilvl="0" w:tplc="1CB47C54">
      <w:start w:val="1"/>
      <w:numFmt w:val="decimal"/>
      <w:lvlText w:val="%1)"/>
      <w:lvlJc w:val="left"/>
      <w:pPr>
        <w:ind w:left="720" w:hanging="360"/>
      </w:pPr>
      <w:rPr>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C147AC9"/>
    <w:multiLevelType w:val="hybridMultilevel"/>
    <w:tmpl w:val="86A4B9AE"/>
    <w:lvl w:ilvl="0" w:tplc="B678A488">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F47587A"/>
    <w:multiLevelType w:val="hybridMultilevel"/>
    <w:tmpl w:val="2CF2B7B4"/>
    <w:lvl w:ilvl="0" w:tplc="AC7CACCE">
      <w:start w:val="1"/>
      <w:numFmt w:val="lowerRoman"/>
      <w:lvlText w:val="%1)"/>
      <w:lvlJc w:val="right"/>
      <w:pPr>
        <w:ind w:left="720" w:hanging="360"/>
      </w:pPr>
      <w:rPr>
        <w:rFonts w:cs="Times New Roman"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2224DD3"/>
    <w:multiLevelType w:val="hybridMultilevel"/>
    <w:tmpl w:val="B24449A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702482669">
    <w:abstractNumId w:val="3"/>
  </w:num>
  <w:num w:numId="2" w16cid:durableId="2050372627">
    <w:abstractNumId w:val="35"/>
  </w:num>
  <w:num w:numId="3" w16cid:durableId="1803696459">
    <w:abstractNumId w:val="10"/>
  </w:num>
  <w:num w:numId="4" w16cid:durableId="89395352">
    <w:abstractNumId w:val="30"/>
  </w:num>
  <w:num w:numId="5" w16cid:durableId="443960283">
    <w:abstractNumId w:val="12"/>
  </w:num>
  <w:num w:numId="6" w16cid:durableId="6182794">
    <w:abstractNumId w:val="20"/>
  </w:num>
  <w:num w:numId="7" w16cid:durableId="875116021">
    <w:abstractNumId w:val="31"/>
  </w:num>
  <w:num w:numId="8" w16cid:durableId="497890286">
    <w:abstractNumId w:val="11"/>
  </w:num>
  <w:num w:numId="9" w16cid:durableId="14814229">
    <w:abstractNumId w:val="22"/>
  </w:num>
  <w:num w:numId="10" w16cid:durableId="1246841183">
    <w:abstractNumId w:val="14"/>
  </w:num>
  <w:num w:numId="11" w16cid:durableId="792020833">
    <w:abstractNumId w:val="26"/>
  </w:num>
  <w:num w:numId="12" w16cid:durableId="1652560074">
    <w:abstractNumId w:val="30"/>
    <w:lvlOverride w:ilvl="0">
      <w:startOverride w:val="1"/>
    </w:lvlOverride>
  </w:num>
  <w:num w:numId="13" w16cid:durableId="572161991">
    <w:abstractNumId w:val="25"/>
  </w:num>
  <w:num w:numId="14" w16cid:durableId="844635074">
    <w:abstractNumId w:val="34"/>
  </w:num>
  <w:num w:numId="15" w16cid:durableId="1452164170">
    <w:abstractNumId w:val="4"/>
  </w:num>
  <w:num w:numId="16" w16cid:durableId="2024739211">
    <w:abstractNumId w:val="17"/>
  </w:num>
  <w:num w:numId="17" w16cid:durableId="773332250">
    <w:abstractNumId w:val="13"/>
  </w:num>
  <w:num w:numId="18" w16cid:durableId="1516916255">
    <w:abstractNumId w:val="21"/>
  </w:num>
  <w:num w:numId="19" w16cid:durableId="1219586400">
    <w:abstractNumId w:val="1"/>
  </w:num>
  <w:num w:numId="20" w16cid:durableId="1947350378">
    <w:abstractNumId w:val="5"/>
  </w:num>
  <w:num w:numId="21" w16cid:durableId="2003002034">
    <w:abstractNumId w:val="6"/>
  </w:num>
  <w:num w:numId="22" w16cid:durableId="10910011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1823948">
    <w:abstractNumId w:val="12"/>
    <w:lvlOverride w:ilvl="0">
      <w:startOverride w:val="1"/>
    </w:lvlOverride>
  </w:num>
  <w:num w:numId="24" w16cid:durableId="642933003">
    <w:abstractNumId w:val="16"/>
  </w:num>
  <w:num w:numId="25" w16cid:durableId="1281495629">
    <w:abstractNumId w:val="19"/>
  </w:num>
  <w:num w:numId="26" w16cid:durableId="1379207609">
    <w:abstractNumId w:val="18"/>
  </w:num>
  <w:num w:numId="27" w16cid:durableId="2024432046">
    <w:abstractNumId w:val="8"/>
  </w:num>
  <w:num w:numId="28" w16cid:durableId="2016877200">
    <w:abstractNumId w:val="0"/>
  </w:num>
  <w:num w:numId="29" w16cid:durableId="1011183999">
    <w:abstractNumId w:val="28"/>
  </w:num>
  <w:num w:numId="30" w16cid:durableId="253974334">
    <w:abstractNumId w:val="15"/>
  </w:num>
  <w:num w:numId="31" w16cid:durableId="468012079">
    <w:abstractNumId w:val="27"/>
  </w:num>
  <w:num w:numId="32" w16cid:durableId="644816083">
    <w:abstractNumId w:val="2"/>
  </w:num>
  <w:num w:numId="33" w16cid:durableId="302320299">
    <w:abstractNumId w:val="33"/>
  </w:num>
  <w:num w:numId="34" w16cid:durableId="607738282">
    <w:abstractNumId w:val="9"/>
  </w:num>
  <w:num w:numId="35" w16cid:durableId="1989239561">
    <w:abstractNumId w:val="7"/>
  </w:num>
  <w:num w:numId="36" w16cid:durableId="1715033923">
    <w:abstractNumId w:val="32"/>
  </w:num>
  <w:num w:numId="37" w16cid:durableId="1223638044">
    <w:abstractNumId w:val="23"/>
  </w:num>
  <w:num w:numId="38" w16cid:durableId="1993941391">
    <w:abstractNumId w:val="29"/>
  </w:num>
  <w:num w:numId="39" w16cid:durableId="1294827041">
    <w:abstractNumId w:val="2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DE8"/>
    <w:rsid w:val="000002B3"/>
    <w:rsid w:val="00001228"/>
    <w:rsid w:val="000054C8"/>
    <w:rsid w:val="00005DE7"/>
    <w:rsid w:val="000076A4"/>
    <w:rsid w:val="000117D4"/>
    <w:rsid w:val="00013E8F"/>
    <w:rsid w:val="00015840"/>
    <w:rsid w:val="000207CF"/>
    <w:rsid w:val="00021B3C"/>
    <w:rsid w:val="000225E0"/>
    <w:rsid w:val="00024B19"/>
    <w:rsid w:val="0002549F"/>
    <w:rsid w:val="00026AD7"/>
    <w:rsid w:val="00031D43"/>
    <w:rsid w:val="00034D0C"/>
    <w:rsid w:val="00036B03"/>
    <w:rsid w:val="00042D2A"/>
    <w:rsid w:val="000433FA"/>
    <w:rsid w:val="00044055"/>
    <w:rsid w:val="00052655"/>
    <w:rsid w:val="0005557A"/>
    <w:rsid w:val="00061C04"/>
    <w:rsid w:val="0006593D"/>
    <w:rsid w:val="00066A64"/>
    <w:rsid w:val="00066CA5"/>
    <w:rsid w:val="00067DE8"/>
    <w:rsid w:val="00070B6C"/>
    <w:rsid w:val="00072BA6"/>
    <w:rsid w:val="00075574"/>
    <w:rsid w:val="00075E70"/>
    <w:rsid w:val="00086A5B"/>
    <w:rsid w:val="000878C7"/>
    <w:rsid w:val="00092659"/>
    <w:rsid w:val="000933AB"/>
    <w:rsid w:val="000A0935"/>
    <w:rsid w:val="000A1E2D"/>
    <w:rsid w:val="000A2180"/>
    <w:rsid w:val="000A3137"/>
    <w:rsid w:val="000A3BFB"/>
    <w:rsid w:val="000A5508"/>
    <w:rsid w:val="000B2215"/>
    <w:rsid w:val="000B4048"/>
    <w:rsid w:val="000B5AD3"/>
    <w:rsid w:val="000D039C"/>
    <w:rsid w:val="000D3252"/>
    <w:rsid w:val="000D4072"/>
    <w:rsid w:val="000E0FA4"/>
    <w:rsid w:val="000E3517"/>
    <w:rsid w:val="000E7B99"/>
    <w:rsid w:val="000F5789"/>
    <w:rsid w:val="001127FC"/>
    <w:rsid w:val="001227CD"/>
    <w:rsid w:val="001272E1"/>
    <w:rsid w:val="00136BA0"/>
    <w:rsid w:val="001470A4"/>
    <w:rsid w:val="001475BB"/>
    <w:rsid w:val="0015013E"/>
    <w:rsid w:val="00155DC2"/>
    <w:rsid w:val="00160C77"/>
    <w:rsid w:val="00166820"/>
    <w:rsid w:val="0016795D"/>
    <w:rsid w:val="00167C8F"/>
    <w:rsid w:val="00167EFA"/>
    <w:rsid w:val="00171299"/>
    <w:rsid w:val="00172290"/>
    <w:rsid w:val="0017484D"/>
    <w:rsid w:val="00175410"/>
    <w:rsid w:val="0017577A"/>
    <w:rsid w:val="00176032"/>
    <w:rsid w:val="0018085B"/>
    <w:rsid w:val="0018553B"/>
    <w:rsid w:val="001859E4"/>
    <w:rsid w:val="0018676F"/>
    <w:rsid w:val="001869B6"/>
    <w:rsid w:val="00187960"/>
    <w:rsid w:val="0019476A"/>
    <w:rsid w:val="00195751"/>
    <w:rsid w:val="001957CC"/>
    <w:rsid w:val="001A1D5F"/>
    <w:rsid w:val="001A57C3"/>
    <w:rsid w:val="001A790E"/>
    <w:rsid w:val="001A7F7D"/>
    <w:rsid w:val="001B0AAE"/>
    <w:rsid w:val="001B607D"/>
    <w:rsid w:val="001B709C"/>
    <w:rsid w:val="001B70D0"/>
    <w:rsid w:val="001B765B"/>
    <w:rsid w:val="001D091B"/>
    <w:rsid w:val="001F556C"/>
    <w:rsid w:val="00202347"/>
    <w:rsid w:val="00205BE0"/>
    <w:rsid w:val="002104E4"/>
    <w:rsid w:val="00210B0E"/>
    <w:rsid w:val="0021774E"/>
    <w:rsid w:val="00221710"/>
    <w:rsid w:val="002230C1"/>
    <w:rsid w:val="00225E15"/>
    <w:rsid w:val="002314CB"/>
    <w:rsid w:val="00233473"/>
    <w:rsid w:val="00234E8E"/>
    <w:rsid w:val="00241E9B"/>
    <w:rsid w:val="002438CF"/>
    <w:rsid w:val="00254714"/>
    <w:rsid w:val="002576A8"/>
    <w:rsid w:val="002579FD"/>
    <w:rsid w:val="00257F0A"/>
    <w:rsid w:val="0026038A"/>
    <w:rsid w:val="0026155D"/>
    <w:rsid w:val="00261E2A"/>
    <w:rsid w:val="00262AD1"/>
    <w:rsid w:val="0026685A"/>
    <w:rsid w:val="002740E7"/>
    <w:rsid w:val="002756C0"/>
    <w:rsid w:val="00275D16"/>
    <w:rsid w:val="00276452"/>
    <w:rsid w:val="00277216"/>
    <w:rsid w:val="002818E9"/>
    <w:rsid w:val="00283491"/>
    <w:rsid w:val="00283986"/>
    <w:rsid w:val="00285F4B"/>
    <w:rsid w:val="00294AD7"/>
    <w:rsid w:val="00295F46"/>
    <w:rsid w:val="00296325"/>
    <w:rsid w:val="002A0F64"/>
    <w:rsid w:val="002A1386"/>
    <w:rsid w:val="002A17D0"/>
    <w:rsid w:val="002A2586"/>
    <w:rsid w:val="002A354A"/>
    <w:rsid w:val="002A3679"/>
    <w:rsid w:val="002A4133"/>
    <w:rsid w:val="002A4CDC"/>
    <w:rsid w:val="002A7603"/>
    <w:rsid w:val="002B3B7E"/>
    <w:rsid w:val="002B692E"/>
    <w:rsid w:val="002C05F9"/>
    <w:rsid w:val="002C0D33"/>
    <w:rsid w:val="002C4291"/>
    <w:rsid w:val="002C6439"/>
    <w:rsid w:val="002C7E96"/>
    <w:rsid w:val="002D5011"/>
    <w:rsid w:val="002D6FE7"/>
    <w:rsid w:val="002E0C48"/>
    <w:rsid w:val="002E0FAD"/>
    <w:rsid w:val="002E4D62"/>
    <w:rsid w:val="002E5F5F"/>
    <w:rsid w:val="002E7A6C"/>
    <w:rsid w:val="002F0FB0"/>
    <w:rsid w:val="002F5931"/>
    <w:rsid w:val="002F7FA3"/>
    <w:rsid w:val="00302A0E"/>
    <w:rsid w:val="00307C23"/>
    <w:rsid w:val="00312347"/>
    <w:rsid w:val="0031251D"/>
    <w:rsid w:val="003138C3"/>
    <w:rsid w:val="00315918"/>
    <w:rsid w:val="00316A68"/>
    <w:rsid w:val="0031762E"/>
    <w:rsid w:val="00341137"/>
    <w:rsid w:val="00342648"/>
    <w:rsid w:val="00365443"/>
    <w:rsid w:val="00367F6F"/>
    <w:rsid w:val="003739F7"/>
    <w:rsid w:val="00375995"/>
    <w:rsid w:val="003847B1"/>
    <w:rsid w:val="003848BD"/>
    <w:rsid w:val="003A0329"/>
    <w:rsid w:val="003A389F"/>
    <w:rsid w:val="003A4818"/>
    <w:rsid w:val="003B04F7"/>
    <w:rsid w:val="003B1593"/>
    <w:rsid w:val="003B4AD0"/>
    <w:rsid w:val="003B66BF"/>
    <w:rsid w:val="003C12C3"/>
    <w:rsid w:val="003D3C9D"/>
    <w:rsid w:val="003D550A"/>
    <w:rsid w:val="003E06ED"/>
    <w:rsid w:val="003E1592"/>
    <w:rsid w:val="003E5531"/>
    <w:rsid w:val="003E77BB"/>
    <w:rsid w:val="003F1884"/>
    <w:rsid w:val="003F20C8"/>
    <w:rsid w:val="003F2FF6"/>
    <w:rsid w:val="003F4934"/>
    <w:rsid w:val="003F5133"/>
    <w:rsid w:val="003F51BA"/>
    <w:rsid w:val="003F529B"/>
    <w:rsid w:val="003F55D5"/>
    <w:rsid w:val="003F67C0"/>
    <w:rsid w:val="004005AD"/>
    <w:rsid w:val="0040297B"/>
    <w:rsid w:val="00417327"/>
    <w:rsid w:val="00420584"/>
    <w:rsid w:val="00423CD0"/>
    <w:rsid w:val="004246BA"/>
    <w:rsid w:val="004263AB"/>
    <w:rsid w:val="00427148"/>
    <w:rsid w:val="00431AE3"/>
    <w:rsid w:val="00433CE6"/>
    <w:rsid w:val="00435546"/>
    <w:rsid w:val="00436847"/>
    <w:rsid w:val="00440A64"/>
    <w:rsid w:val="004464AC"/>
    <w:rsid w:val="00447376"/>
    <w:rsid w:val="00447C0F"/>
    <w:rsid w:val="004567F5"/>
    <w:rsid w:val="00467073"/>
    <w:rsid w:val="00481E21"/>
    <w:rsid w:val="00493105"/>
    <w:rsid w:val="004955EB"/>
    <w:rsid w:val="0049587C"/>
    <w:rsid w:val="004966E3"/>
    <w:rsid w:val="004A0ED0"/>
    <w:rsid w:val="004A2CDA"/>
    <w:rsid w:val="004A379B"/>
    <w:rsid w:val="004A6BE1"/>
    <w:rsid w:val="004B4DBC"/>
    <w:rsid w:val="004B75A9"/>
    <w:rsid w:val="004C0C34"/>
    <w:rsid w:val="004C465C"/>
    <w:rsid w:val="004C46A3"/>
    <w:rsid w:val="004C5DE5"/>
    <w:rsid w:val="004D1AC8"/>
    <w:rsid w:val="004D1B2F"/>
    <w:rsid w:val="004D4FAC"/>
    <w:rsid w:val="004D6A3D"/>
    <w:rsid w:val="004E014E"/>
    <w:rsid w:val="004E12EA"/>
    <w:rsid w:val="004E2EE5"/>
    <w:rsid w:val="004E6680"/>
    <w:rsid w:val="004F0B22"/>
    <w:rsid w:val="004F6460"/>
    <w:rsid w:val="004F692C"/>
    <w:rsid w:val="005012C6"/>
    <w:rsid w:val="00502881"/>
    <w:rsid w:val="00502A72"/>
    <w:rsid w:val="005061B6"/>
    <w:rsid w:val="00510FB5"/>
    <w:rsid w:val="005219B9"/>
    <w:rsid w:val="00521C46"/>
    <w:rsid w:val="0052273D"/>
    <w:rsid w:val="00536D1E"/>
    <w:rsid w:val="00536EFA"/>
    <w:rsid w:val="00546D82"/>
    <w:rsid w:val="00550E4F"/>
    <w:rsid w:val="00552DA8"/>
    <w:rsid w:val="00554E7A"/>
    <w:rsid w:val="00556F6E"/>
    <w:rsid w:val="005627F9"/>
    <w:rsid w:val="00563272"/>
    <w:rsid w:val="00563444"/>
    <w:rsid w:val="00563B2E"/>
    <w:rsid w:val="005643BC"/>
    <w:rsid w:val="00565C45"/>
    <w:rsid w:val="005676CE"/>
    <w:rsid w:val="0057069E"/>
    <w:rsid w:val="005716BA"/>
    <w:rsid w:val="00571795"/>
    <w:rsid w:val="005721A6"/>
    <w:rsid w:val="00574562"/>
    <w:rsid w:val="0058472D"/>
    <w:rsid w:val="00586821"/>
    <w:rsid w:val="00593451"/>
    <w:rsid w:val="00594683"/>
    <w:rsid w:val="005A0192"/>
    <w:rsid w:val="005A22CC"/>
    <w:rsid w:val="005A2582"/>
    <w:rsid w:val="005A3414"/>
    <w:rsid w:val="005A48E1"/>
    <w:rsid w:val="005A688A"/>
    <w:rsid w:val="005B07E0"/>
    <w:rsid w:val="005B3A58"/>
    <w:rsid w:val="005B3E8C"/>
    <w:rsid w:val="005B4E43"/>
    <w:rsid w:val="005B4FE2"/>
    <w:rsid w:val="005B6BD6"/>
    <w:rsid w:val="005B6E36"/>
    <w:rsid w:val="005C131B"/>
    <w:rsid w:val="005C59C7"/>
    <w:rsid w:val="005C6428"/>
    <w:rsid w:val="005C693D"/>
    <w:rsid w:val="005C7404"/>
    <w:rsid w:val="005C7C2D"/>
    <w:rsid w:val="005D32A4"/>
    <w:rsid w:val="005E308D"/>
    <w:rsid w:val="005E53B9"/>
    <w:rsid w:val="005E5BF9"/>
    <w:rsid w:val="005E7105"/>
    <w:rsid w:val="005F07A0"/>
    <w:rsid w:val="005F099D"/>
    <w:rsid w:val="005F0C11"/>
    <w:rsid w:val="005F7F94"/>
    <w:rsid w:val="00600C38"/>
    <w:rsid w:val="00602888"/>
    <w:rsid w:val="0060664A"/>
    <w:rsid w:val="00606E13"/>
    <w:rsid w:val="006100D0"/>
    <w:rsid w:val="00612E1A"/>
    <w:rsid w:val="00614B4A"/>
    <w:rsid w:val="006166E5"/>
    <w:rsid w:val="006225DE"/>
    <w:rsid w:val="00630AF2"/>
    <w:rsid w:val="00630D0B"/>
    <w:rsid w:val="00632C92"/>
    <w:rsid w:val="00636938"/>
    <w:rsid w:val="00642D55"/>
    <w:rsid w:val="00643F51"/>
    <w:rsid w:val="00651CB4"/>
    <w:rsid w:val="0065641A"/>
    <w:rsid w:val="0065657E"/>
    <w:rsid w:val="00661FD4"/>
    <w:rsid w:val="00667693"/>
    <w:rsid w:val="00670359"/>
    <w:rsid w:val="00673958"/>
    <w:rsid w:val="006740B9"/>
    <w:rsid w:val="00674CB6"/>
    <w:rsid w:val="00682A63"/>
    <w:rsid w:val="00684229"/>
    <w:rsid w:val="0068426C"/>
    <w:rsid w:val="00684E1E"/>
    <w:rsid w:val="0068780E"/>
    <w:rsid w:val="006910DD"/>
    <w:rsid w:val="006929B0"/>
    <w:rsid w:val="00693B21"/>
    <w:rsid w:val="00693E74"/>
    <w:rsid w:val="006A126C"/>
    <w:rsid w:val="006A3958"/>
    <w:rsid w:val="006A4F7E"/>
    <w:rsid w:val="006C69B3"/>
    <w:rsid w:val="006D18A2"/>
    <w:rsid w:val="006D21C4"/>
    <w:rsid w:val="006E0065"/>
    <w:rsid w:val="006E1A7F"/>
    <w:rsid w:val="006E1CC7"/>
    <w:rsid w:val="006E7F76"/>
    <w:rsid w:val="006F148B"/>
    <w:rsid w:val="006F6387"/>
    <w:rsid w:val="006F6E18"/>
    <w:rsid w:val="006F72A2"/>
    <w:rsid w:val="0070089E"/>
    <w:rsid w:val="007053E8"/>
    <w:rsid w:val="0071503B"/>
    <w:rsid w:val="00724970"/>
    <w:rsid w:val="00725432"/>
    <w:rsid w:val="007254D5"/>
    <w:rsid w:val="007340BE"/>
    <w:rsid w:val="00741B8A"/>
    <w:rsid w:val="007528DC"/>
    <w:rsid w:val="007572C8"/>
    <w:rsid w:val="00762059"/>
    <w:rsid w:val="00765F1A"/>
    <w:rsid w:val="00771AF9"/>
    <w:rsid w:val="00775CC6"/>
    <w:rsid w:val="00781920"/>
    <w:rsid w:val="00783910"/>
    <w:rsid w:val="00790CA8"/>
    <w:rsid w:val="0079271E"/>
    <w:rsid w:val="00793057"/>
    <w:rsid w:val="007931B2"/>
    <w:rsid w:val="0079620E"/>
    <w:rsid w:val="00797E72"/>
    <w:rsid w:val="007A0161"/>
    <w:rsid w:val="007A52E1"/>
    <w:rsid w:val="007B6003"/>
    <w:rsid w:val="007C3073"/>
    <w:rsid w:val="007D1085"/>
    <w:rsid w:val="007D5ECB"/>
    <w:rsid w:val="007D7B56"/>
    <w:rsid w:val="007E4A7C"/>
    <w:rsid w:val="007E577B"/>
    <w:rsid w:val="007F2B9E"/>
    <w:rsid w:val="007F655C"/>
    <w:rsid w:val="007F6759"/>
    <w:rsid w:val="008025F6"/>
    <w:rsid w:val="00804AA5"/>
    <w:rsid w:val="00810135"/>
    <w:rsid w:val="00812628"/>
    <w:rsid w:val="00812700"/>
    <w:rsid w:val="00813130"/>
    <w:rsid w:val="008142B0"/>
    <w:rsid w:val="0081544B"/>
    <w:rsid w:val="00817161"/>
    <w:rsid w:val="008171C3"/>
    <w:rsid w:val="008177BE"/>
    <w:rsid w:val="0082045F"/>
    <w:rsid w:val="008233F9"/>
    <w:rsid w:val="00824567"/>
    <w:rsid w:val="008274D7"/>
    <w:rsid w:val="00827955"/>
    <w:rsid w:val="00832BC1"/>
    <w:rsid w:val="00832EBC"/>
    <w:rsid w:val="00837B5A"/>
    <w:rsid w:val="00840F2C"/>
    <w:rsid w:val="00842412"/>
    <w:rsid w:val="00850A24"/>
    <w:rsid w:val="00855EA8"/>
    <w:rsid w:val="00856C38"/>
    <w:rsid w:val="00863BD1"/>
    <w:rsid w:val="008653F0"/>
    <w:rsid w:val="00865868"/>
    <w:rsid w:val="00866EC3"/>
    <w:rsid w:val="00875200"/>
    <w:rsid w:val="00875950"/>
    <w:rsid w:val="008764F9"/>
    <w:rsid w:val="00880683"/>
    <w:rsid w:val="00880B65"/>
    <w:rsid w:val="008836D7"/>
    <w:rsid w:val="0088527A"/>
    <w:rsid w:val="008852D1"/>
    <w:rsid w:val="00885959"/>
    <w:rsid w:val="0088725A"/>
    <w:rsid w:val="008875DC"/>
    <w:rsid w:val="0089238A"/>
    <w:rsid w:val="008923F2"/>
    <w:rsid w:val="008937DA"/>
    <w:rsid w:val="008A4B74"/>
    <w:rsid w:val="008A4F36"/>
    <w:rsid w:val="008A6422"/>
    <w:rsid w:val="008A75A3"/>
    <w:rsid w:val="008C0888"/>
    <w:rsid w:val="008C0DFF"/>
    <w:rsid w:val="008C1DD0"/>
    <w:rsid w:val="008C3E1F"/>
    <w:rsid w:val="008C3E75"/>
    <w:rsid w:val="008C749C"/>
    <w:rsid w:val="008D25F3"/>
    <w:rsid w:val="008D435E"/>
    <w:rsid w:val="008D6A02"/>
    <w:rsid w:val="008E2DA4"/>
    <w:rsid w:val="008E5348"/>
    <w:rsid w:val="008E5500"/>
    <w:rsid w:val="008E5C3F"/>
    <w:rsid w:val="008F2259"/>
    <w:rsid w:val="008F7476"/>
    <w:rsid w:val="00900D26"/>
    <w:rsid w:val="0090354F"/>
    <w:rsid w:val="00903DAC"/>
    <w:rsid w:val="00903ED6"/>
    <w:rsid w:val="009064A1"/>
    <w:rsid w:val="00916BF6"/>
    <w:rsid w:val="00921001"/>
    <w:rsid w:val="00923CB3"/>
    <w:rsid w:val="00930464"/>
    <w:rsid w:val="009305A8"/>
    <w:rsid w:val="00933BF0"/>
    <w:rsid w:val="00941118"/>
    <w:rsid w:val="009426DA"/>
    <w:rsid w:val="00946D45"/>
    <w:rsid w:val="00957712"/>
    <w:rsid w:val="00957EBA"/>
    <w:rsid w:val="0096481D"/>
    <w:rsid w:val="00965829"/>
    <w:rsid w:val="00971031"/>
    <w:rsid w:val="00976648"/>
    <w:rsid w:val="00976E25"/>
    <w:rsid w:val="00976E3E"/>
    <w:rsid w:val="00981A85"/>
    <w:rsid w:val="00981F11"/>
    <w:rsid w:val="00983411"/>
    <w:rsid w:val="00984CE4"/>
    <w:rsid w:val="009857D2"/>
    <w:rsid w:val="0099232A"/>
    <w:rsid w:val="00993B28"/>
    <w:rsid w:val="00994004"/>
    <w:rsid w:val="009973C1"/>
    <w:rsid w:val="009A12F1"/>
    <w:rsid w:val="009A38F1"/>
    <w:rsid w:val="009A3B5B"/>
    <w:rsid w:val="009B0256"/>
    <w:rsid w:val="009B3198"/>
    <w:rsid w:val="009B7CCA"/>
    <w:rsid w:val="009C6021"/>
    <w:rsid w:val="009C61AF"/>
    <w:rsid w:val="009C69E8"/>
    <w:rsid w:val="009D4567"/>
    <w:rsid w:val="009D5CA1"/>
    <w:rsid w:val="009E08D9"/>
    <w:rsid w:val="009E2232"/>
    <w:rsid w:val="009E25C7"/>
    <w:rsid w:val="009E3BB4"/>
    <w:rsid w:val="009E489B"/>
    <w:rsid w:val="009E62B2"/>
    <w:rsid w:val="009E71EC"/>
    <w:rsid w:val="009F16CE"/>
    <w:rsid w:val="009F7C3A"/>
    <w:rsid w:val="00A000DF"/>
    <w:rsid w:val="00A04349"/>
    <w:rsid w:val="00A04EB4"/>
    <w:rsid w:val="00A116B6"/>
    <w:rsid w:val="00A11E95"/>
    <w:rsid w:val="00A1212F"/>
    <w:rsid w:val="00A14291"/>
    <w:rsid w:val="00A142FB"/>
    <w:rsid w:val="00A20BF3"/>
    <w:rsid w:val="00A234D9"/>
    <w:rsid w:val="00A2696B"/>
    <w:rsid w:val="00A30DE0"/>
    <w:rsid w:val="00A32857"/>
    <w:rsid w:val="00A340E2"/>
    <w:rsid w:val="00A3419E"/>
    <w:rsid w:val="00A35258"/>
    <w:rsid w:val="00A36869"/>
    <w:rsid w:val="00A409F0"/>
    <w:rsid w:val="00A42628"/>
    <w:rsid w:val="00A443E0"/>
    <w:rsid w:val="00A44CE5"/>
    <w:rsid w:val="00A4712D"/>
    <w:rsid w:val="00A5017D"/>
    <w:rsid w:val="00A51B24"/>
    <w:rsid w:val="00A54398"/>
    <w:rsid w:val="00A575BB"/>
    <w:rsid w:val="00A6203C"/>
    <w:rsid w:val="00A63673"/>
    <w:rsid w:val="00A6505E"/>
    <w:rsid w:val="00A65E51"/>
    <w:rsid w:val="00A7081A"/>
    <w:rsid w:val="00A708C1"/>
    <w:rsid w:val="00A71D5A"/>
    <w:rsid w:val="00A72AAA"/>
    <w:rsid w:val="00A73A52"/>
    <w:rsid w:val="00A8121D"/>
    <w:rsid w:val="00A87C0A"/>
    <w:rsid w:val="00A920E1"/>
    <w:rsid w:val="00A942B5"/>
    <w:rsid w:val="00AA3102"/>
    <w:rsid w:val="00AA4AA6"/>
    <w:rsid w:val="00AA6013"/>
    <w:rsid w:val="00AB650D"/>
    <w:rsid w:val="00AC09F9"/>
    <w:rsid w:val="00AC1191"/>
    <w:rsid w:val="00AC16AC"/>
    <w:rsid w:val="00AC54B6"/>
    <w:rsid w:val="00AD024C"/>
    <w:rsid w:val="00AD0D75"/>
    <w:rsid w:val="00AD0E1B"/>
    <w:rsid w:val="00AD3722"/>
    <w:rsid w:val="00AD472E"/>
    <w:rsid w:val="00AD4844"/>
    <w:rsid w:val="00AD48D5"/>
    <w:rsid w:val="00AD56B9"/>
    <w:rsid w:val="00AD5A8C"/>
    <w:rsid w:val="00AD60B0"/>
    <w:rsid w:val="00AD6480"/>
    <w:rsid w:val="00AE09C3"/>
    <w:rsid w:val="00AE0C76"/>
    <w:rsid w:val="00AE5F76"/>
    <w:rsid w:val="00AE6EAD"/>
    <w:rsid w:val="00AF1BD9"/>
    <w:rsid w:val="00AF2B6D"/>
    <w:rsid w:val="00AF3B34"/>
    <w:rsid w:val="00AF4F1E"/>
    <w:rsid w:val="00B0080A"/>
    <w:rsid w:val="00B0093D"/>
    <w:rsid w:val="00B01F12"/>
    <w:rsid w:val="00B027A2"/>
    <w:rsid w:val="00B075F2"/>
    <w:rsid w:val="00B10B51"/>
    <w:rsid w:val="00B13334"/>
    <w:rsid w:val="00B16964"/>
    <w:rsid w:val="00B20286"/>
    <w:rsid w:val="00B2036E"/>
    <w:rsid w:val="00B211DC"/>
    <w:rsid w:val="00B25ABE"/>
    <w:rsid w:val="00B27B0B"/>
    <w:rsid w:val="00B33747"/>
    <w:rsid w:val="00B35C47"/>
    <w:rsid w:val="00B43057"/>
    <w:rsid w:val="00B45C5C"/>
    <w:rsid w:val="00B50954"/>
    <w:rsid w:val="00B50D06"/>
    <w:rsid w:val="00B51E90"/>
    <w:rsid w:val="00B52052"/>
    <w:rsid w:val="00B52055"/>
    <w:rsid w:val="00B57243"/>
    <w:rsid w:val="00B608AE"/>
    <w:rsid w:val="00B63430"/>
    <w:rsid w:val="00B66639"/>
    <w:rsid w:val="00B67241"/>
    <w:rsid w:val="00B67C58"/>
    <w:rsid w:val="00B70943"/>
    <w:rsid w:val="00B71F29"/>
    <w:rsid w:val="00B75046"/>
    <w:rsid w:val="00B752F8"/>
    <w:rsid w:val="00B77C0F"/>
    <w:rsid w:val="00B9022F"/>
    <w:rsid w:val="00B939A3"/>
    <w:rsid w:val="00B949A4"/>
    <w:rsid w:val="00B94C76"/>
    <w:rsid w:val="00B95731"/>
    <w:rsid w:val="00BA1EFB"/>
    <w:rsid w:val="00BB5331"/>
    <w:rsid w:val="00BC4D46"/>
    <w:rsid w:val="00BC56E8"/>
    <w:rsid w:val="00BD18ED"/>
    <w:rsid w:val="00BD5833"/>
    <w:rsid w:val="00BE1B62"/>
    <w:rsid w:val="00BE24D5"/>
    <w:rsid w:val="00BE2757"/>
    <w:rsid w:val="00BE3150"/>
    <w:rsid w:val="00BE4078"/>
    <w:rsid w:val="00BE4757"/>
    <w:rsid w:val="00BE5014"/>
    <w:rsid w:val="00BE67AD"/>
    <w:rsid w:val="00BF2095"/>
    <w:rsid w:val="00BF2191"/>
    <w:rsid w:val="00BF7B98"/>
    <w:rsid w:val="00C10145"/>
    <w:rsid w:val="00C11454"/>
    <w:rsid w:val="00C177AC"/>
    <w:rsid w:val="00C21DE2"/>
    <w:rsid w:val="00C2222D"/>
    <w:rsid w:val="00C31B66"/>
    <w:rsid w:val="00C355E2"/>
    <w:rsid w:val="00C41591"/>
    <w:rsid w:val="00C41CDE"/>
    <w:rsid w:val="00C4210F"/>
    <w:rsid w:val="00C42B86"/>
    <w:rsid w:val="00C43FC1"/>
    <w:rsid w:val="00C5003B"/>
    <w:rsid w:val="00C5464A"/>
    <w:rsid w:val="00C561A8"/>
    <w:rsid w:val="00C627BA"/>
    <w:rsid w:val="00C66727"/>
    <w:rsid w:val="00C715EE"/>
    <w:rsid w:val="00C73466"/>
    <w:rsid w:val="00C81078"/>
    <w:rsid w:val="00C81484"/>
    <w:rsid w:val="00C81912"/>
    <w:rsid w:val="00C851DA"/>
    <w:rsid w:val="00C864DE"/>
    <w:rsid w:val="00C87B45"/>
    <w:rsid w:val="00C9166C"/>
    <w:rsid w:val="00C9339F"/>
    <w:rsid w:val="00C94018"/>
    <w:rsid w:val="00CA4603"/>
    <w:rsid w:val="00CA6A8D"/>
    <w:rsid w:val="00CA6BEA"/>
    <w:rsid w:val="00CB0782"/>
    <w:rsid w:val="00CB2BE0"/>
    <w:rsid w:val="00CC26A0"/>
    <w:rsid w:val="00CC40C9"/>
    <w:rsid w:val="00CD45F2"/>
    <w:rsid w:val="00CD5E2A"/>
    <w:rsid w:val="00CD6C75"/>
    <w:rsid w:val="00CD6EDF"/>
    <w:rsid w:val="00CE01DE"/>
    <w:rsid w:val="00CE0A9F"/>
    <w:rsid w:val="00CE406C"/>
    <w:rsid w:val="00CE43C1"/>
    <w:rsid w:val="00CE44E0"/>
    <w:rsid w:val="00CE6244"/>
    <w:rsid w:val="00CE7571"/>
    <w:rsid w:val="00CF6BBD"/>
    <w:rsid w:val="00CF6FE1"/>
    <w:rsid w:val="00CF785C"/>
    <w:rsid w:val="00D019FD"/>
    <w:rsid w:val="00D05D2C"/>
    <w:rsid w:val="00D0619E"/>
    <w:rsid w:val="00D106F1"/>
    <w:rsid w:val="00D26729"/>
    <w:rsid w:val="00D2758A"/>
    <w:rsid w:val="00D336DA"/>
    <w:rsid w:val="00D347A5"/>
    <w:rsid w:val="00D34916"/>
    <w:rsid w:val="00D40F17"/>
    <w:rsid w:val="00D441E2"/>
    <w:rsid w:val="00D46F48"/>
    <w:rsid w:val="00D50F3E"/>
    <w:rsid w:val="00D53570"/>
    <w:rsid w:val="00D54430"/>
    <w:rsid w:val="00D544ED"/>
    <w:rsid w:val="00D54F3C"/>
    <w:rsid w:val="00D55942"/>
    <w:rsid w:val="00D564BC"/>
    <w:rsid w:val="00D569E2"/>
    <w:rsid w:val="00D6042D"/>
    <w:rsid w:val="00D6100D"/>
    <w:rsid w:val="00D67F2D"/>
    <w:rsid w:val="00D70DD1"/>
    <w:rsid w:val="00D73D20"/>
    <w:rsid w:val="00D74CA9"/>
    <w:rsid w:val="00D75DFD"/>
    <w:rsid w:val="00D807E7"/>
    <w:rsid w:val="00D850DF"/>
    <w:rsid w:val="00D852AF"/>
    <w:rsid w:val="00D9472C"/>
    <w:rsid w:val="00DA5E29"/>
    <w:rsid w:val="00DA723A"/>
    <w:rsid w:val="00DA7BFB"/>
    <w:rsid w:val="00DB3942"/>
    <w:rsid w:val="00DB6595"/>
    <w:rsid w:val="00DC117D"/>
    <w:rsid w:val="00DC2D95"/>
    <w:rsid w:val="00DC4D80"/>
    <w:rsid w:val="00DC552B"/>
    <w:rsid w:val="00DC6C2D"/>
    <w:rsid w:val="00DC6F40"/>
    <w:rsid w:val="00DC7658"/>
    <w:rsid w:val="00DD10AF"/>
    <w:rsid w:val="00DD21E9"/>
    <w:rsid w:val="00DD41DD"/>
    <w:rsid w:val="00DD483D"/>
    <w:rsid w:val="00DD550B"/>
    <w:rsid w:val="00DD6834"/>
    <w:rsid w:val="00DE2435"/>
    <w:rsid w:val="00DE4328"/>
    <w:rsid w:val="00DE664B"/>
    <w:rsid w:val="00DF0C7F"/>
    <w:rsid w:val="00DF7D2D"/>
    <w:rsid w:val="00E00404"/>
    <w:rsid w:val="00E008ED"/>
    <w:rsid w:val="00E01786"/>
    <w:rsid w:val="00E0230A"/>
    <w:rsid w:val="00E02310"/>
    <w:rsid w:val="00E05D38"/>
    <w:rsid w:val="00E07E1E"/>
    <w:rsid w:val="00E108E8"/>
    <w:rsid w:val="00E128CA"/>
    <w:rsid w:val="00E14EF3"/>
    <w:rsid w:val="00E17ADE"/>
    <w:rsid w:val="00E22354"/>
    <w:rsid w:val="00E2791A"/>
    <w:rsid w:val="00E30989"/>
    <w:rsid w:val="00E332F6"/>
    <w:rsid w:val="00E371F0"/>
    <w:rsid w:val="00E442B3"/>
    <w:rsid w:val="00E57E9A"/>
    <w:rsid w:val="00E623BC"/>
    <w:rsid w:val="00E624B2"/>
    <w:rsid w:val="00E62A50"/>
    <w:rsid w:val="00E6544F"/>
    <w:rsid w:val="00E6751A"/>
    <w:rsid w:val="00E70A27"/>
    <w:rsid w:val="00E720FD"/>
    <w:rsid w:val="00E7487F"/>
    <w:rsid w:val="00E84922"/>
    <w:rsid w:val="00E90CAD"/>
    <w:rsid w:val="00E91531"/>
    <w:rsid w:val="00E91714"/>
    <w:rsid w:val="00E9192E"/>
    <w:rsid w:val="00E9345A"/>
    <w:rsid w:val="00E940DC"/>
    <w:rsid w:val="00E94C5D"/>
    <w:rsid w:val="00E9501F"/>
    <w:rsid w:val="00E96AFE"/>
    <w:rsid w:val="00E97628"/>
    <w:rsid w:val="00E97D47"/>
    <w:rsid w:val="00EA3770"/>
    <w:rsid w:val="00EB02AF"/>
    <w:rsid w:val="00EB3451"/>
    <w:rsid w:val="00EB35D3"/>
    <w:rsid w:val="00EB6CBF"/>
    <w:rsid w:val="00EB707E"/>
    <w:rsid w:val="00EC1A3F"/>
    <w:rsid w:val="00EC26F3"/>
    <w:rsid w:val="00EC3ECE"/>
    <w:rsid w:val="00EC6DF3"/>
    <w:rsid w:val="00ED0682"/>
    <w:rsid w:val="00ED1E11"/>
    <w:rsid w:val="00ED646B"/>
    <w:rsid w:val="00ED7809"/>
    <w:rsid w:val="00EE79E5"/>
    <w:rsid w:val="00EF51D6"/>
    <w:rsid w:val="00EF6E18"/>
    <w:rsid w:val="00EF7F60"/>
    <w:rsid w:val="00F00A78"/>
    <w:rsid w:val="00F0137D"/>
    <w:rsid w:val="00F018F3"/>
    <w:rsid w:val="00F06397"/>
    <w:rsid w:val="00F15E36"/>
    <w:rsid w:val="00F17F8F"/>
    <w:rsid w:val="00F216F8"/>
    <w:rsid w:val="00F23726"/>
    <w:rsid w:val="00F2467B"/>
    <w:rsid w:val="00F31AAF"/>
    <w:rsid w:val="00F31E37"/>
    <w:rsid w:val="00F328E2"/>
    <w:rsid w:val="00F40259"/>
    <w:rsid w:val="00F40CFC"/>
    <w:rsid w:val="00F41312"/>
    <w:rsid w:val="00F41E32"/>
    <w:rsid w:val="00F4299A"/>
    <w:rsid w:val="00F46B59"/>
    <w:rsid w:val="00F50308"/>
    <w:rsid w:val="00F560FA"/>
    <w:rsid w:val="00F56AE5"/>
    <w:rsid w:val="00F5784D"/>
    <w:rsid w:val="00F5787C"/>
    <w:rsid w:val="00F62595"/>
    <w:rsid w:val="00F63860"/>
    <w:rsid w:val="00F64912"/>
    <w:rsid w:val="00F700F6"/>
    <w:rsid w:val="00F70B78"/>
    <w:rsid w:val="00F72A39"/>
    <w:rsid w:val="00F72B39"/>
    <w:rsid w:val="00F770EB"/>
    <w:rsid w:val="00F810B2"/>
    <w:rsid w:val="00F81B3F"/>
    <w:rsid w:val="00F84415"/>
    <w:rsid w:val="00F87AD1"/>
    <w:rsid w:val="00F90A9F"/>
    <w:rsid w:val="00F919B8"/>
    <w:rsid w:val="00F96AEF"/>
    <w:rsid w:val="00FA042A"/>
    <w:rsid w:val="00FA2977"/>
    <w:rsid w:val="00FB305C"/>
    <w:rsid w:val="00FB379F"/>
    <w:rsid w:val="00FB4527"/>
    <w:rsid w:val="00FB571E"/>
    <w:rsid w:val="00FC1683"/>
    <w:rsid w:val="00FC43DC"/>
    <w:rsid w:val="00FC5C43"/>
    <w:rsid w:val="00FC68AE"/>
    <w:rsid w:val="00FC7D76"/>
    <w:rsid w:val="00FD095D"/>
    <w:rsid w:val="00FD1201"/>
    <w:rsid w:val="00FD1BBC"/>
    <w:rsid w:val="00FD504E"/>
    <w:rsid w:val="00FD5F77"/>
    <w:rsid w:val="00FD7152"/>
    <w:rsid w:val="00FE0280"/>
    <w:rsid w:val="00FE0542"/>
    <w:rsid w:val="00FE1170"/>
    <w:rsid w:val="00FE69B4"/>
    <w:rsid w:val="00FE6AD3"/>
    <w:rsid w:val="00FE6F1A"/>
    <w:rsid w:val="00FF0353"/>
    <w:rsid w:val="00FF36F4"/>
    <w:rsid w:val="00FF602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1D642"/>
  <w15:docId w15:val="{644A8D31-4F19-4C40-84B0-B327A89DD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354"/>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22354"/>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22354"/>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22354"/>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22354"/>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22354"/>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22354"/>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22354"/>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22354"/>
    <w:pPr>
      <w:ind w:left="993"/>
      <w:outlineLvl w:val="7"/>
    </w:pPr>
    <w:rPr>
      <w:color w:val="321547"/>
      <w:szCs w:val="22"/>
      <w:u w:val="dotDotDash"/>
    </w:rPr>
  </w:style>
  <w:style w:type="paragraph" w:styleId="Ttulo9">
    <w:name w:val="heading 9"/>
    <w:basedOn w:val="Ttulo8"/>
    <w:next w:val="Normal"/>
    <w:link w:val="Ttulo9Car"/>
    <w:uiPriority w:val="9"/>
    <w:unhideWhenUsed/>
    <w:qFormat/>
    <w:rsid w:val="00E22354"/>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22354"/>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22354"/>
  </w:style>
  <w:style w:type="paragraph" w:styleId="Encabezado">
    <w:name w:val="header"/>
    <w:basedOn w:val="Normal"/>
    <w:link w:val="EncabezadoCar"/>
    <w:uiPriority w:val="99"/>
    <w:unhideWhenUsed/>
    <w:rsid w:val="00E22354"/>
    <w:pPr>
      <w:tabs>
        <w:tab w:val="center" w:pos="4252"/>
        <w:tab w:val="right" w:pos="8504"/>
      </w:tabs>
    </w:pPr>
  </w:style>
  <w:style w:type="character" w:customStyle="1" w:styleId="HeaderChar">
    <w:name w:val="Header Char"/>
    <w:basedOn w:val="Fuentedeprrafopredeter"/>
    <w:uiPriority w:val="99"/>
    <w:rsid w:val="00E22354"/>
    <w:rPr>
      <w:rFonts w:ascii="Garamond" w:hAnsi="Garamond"/>
      <w:lang w:val="es-ES"/>
    </w:rPr>
  </w:style>
  <w:style w:type="character" w:customStyle="1" w:styleId="FooterChar">
    <w:name w:val="Footer Char"/>
    <w:basedOn w:val="Fuentedeprrafopredeter"/>
    <w:uiPriority w:val="99"/>
    <w:rsid w:val="00E22354"/>
    <w:rPr>
      <w:rFonts w:ascii="Garamond" w:hAnsi="Garamond"/>
      <w:lang w:val="es-ES"/>
    </w:rPr>
  </w:style>
  <w:style w:type="table" w:styleId="Tablaconcuadrcula">
    <w:name w:val="Table Grid"/>
    <w:basedOn w:val="Tablanormal"/>
    <w:uiPriority w:val="39"/>
    <w:rsid w:val="00E22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22354"/>
    <w:rPr>
      <w:color w:val="808080"/>
    </w:rPr>
  </w:style>
  <w:style w:type="paragraph" w:styleId="Ttulo">
    <w:name w:val="Title"/>
    <w:basedOn w:val="Normal"/>
    <w:next w:val="Normal"/>
    <w:link w:val="TtuloCar"/>
    <w:uiPriority w:val="10"/>
    <w:qFormat/>
    <w:rsid w:val="00E22354"/>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E22354"/>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22354"/>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22354"/>
    <w:pPr>
      <w:numPr>
        <w:ilvl w:val="1"/>
        <w:numId w:val="1"/>
      </w:numPr>
      <w:spacing w:after="100"/>
      <w:ind w:left="1049" w:hanging="198"/>
      <w:contextualSpacing/>
    </w:pPr>
  </w:style>
  <w:style w:type="character" w:customStyle="1" w:styleId="Heading2Char">
    <w:name w:val="Heading 2 Char"/>
    <w:basedOn w:val="Fuentedeprrafopredeter"/>
    <w:uiPriority w:val="9"/>
    <w:rsid w:val="00E22354"/>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22354"/>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E22354"/>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22354"/>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22354"/>
    <w:rPr>
      <w:color w:val="0563C1" w:themeColor="hyperlink"/>
      <w:u w:val="single"/>
    </w:rPr>
  </w:style>
  <w:style w:type="character" w:customStyle="1" w:styleId="Heading3Char">
    <w:name w:val="Heading 3 Char"/>
    <w:basedOn w:val="Fuentedeprrafopredeter"/>
    <w:uiPriority w:val="9"/>
    <w:rsid w:val="00E22354"/>
    <w:rPr>
      <w:rFonts w:ascii="Garamond" w:hAnsi="Garamond"/>
      <w:i/>
      <w:iCs/>
      <w:color w:val="5F2987"/>
      <w:u w:val="single"/>
      <w:lang w:val="es-ES"/>
    </w:rPr>
  </w:style>
  <w:style w:type="paragraph" w:styleId="TDC3">
    <w:name w:val="toc 3"/>
    <w:basedOn w:val="Normal"/>
    <w:next w:val="FinTDC"/>
    <w:autoRedefine/>
    <w:uiPriority w:val="39"/>
    <w:unhideWhenUsed/>
    <w:rsid w:val="00E22354"/>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22354"/>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22354"/>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22354"/>
    <w:rPr>
      <w:color w:val="FFFFFF" w:themeColor="text1" w:themeTint="80"/>
      <w:sz w:val="16"/>
    </w:rPr>
  </w:style>
  <w:style w:type="character" w:customStyle="1" w:styleId="NocantarChar">
    <w:name w:val="No cantar Char"/>
    <w:basedOn w:val="Fuentedeprrafopredeter"/>
    <w:link w:val="Nocantar"/>
    <w:rsid w:val="00E22354"/>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E22354"/>
    <w:pPr>
      <w:numPr>
        <w:numId w:val="0"/>
      </w:numPr>
      <w:ind w:firstLine="142"/>
    </w:pPr>
  </w:style>
  <w:style w:type="character" w:customStyle="1" w:styleId="IntroduccinyconclusinChar">
    <w:name w:val="Introducción y conclusión Char"/>
    <w:basedOn w:val="Ttulo1Car"/>
    <w:link w:val="Introduccinyconclusin"/>
    <w:rsid w:val="00E22354"/>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22354"/>
    <w:pPr>
      <w:numPr>
        <w:numId w:val="3"/>
      </w:numPr>
    </w:pPr>
  </w:style>
  <w:style w:type="paragraph" w:customStyle="1" w:styleId="Nivel1">
    <w:name w:val="Nivel 1"/>
    <w:basedOn w:val="Normal"/>
    <w:qFormat/>
    <w:rsid w:val="00E22354"/>
    <w:pPr>
      <w:numPr>
        <w:numId w:val="1"/>
      </w:numPr>
      <w:spacing w:before="100" w:after="100"/>
      <w:ind w:left="623" w:hanging="198"/>
    </w:pPr>
  </w:style>
  <w:style w:type="paragraph" w:customStyle="1" w:styleId="Nivel3">
    <w:name w:val="Nivel 3"/>
    <w:basedOn w:val="Nivel2"/>
    <w:link w:val="Nivel3Car"/>
    <w:qFormat/>
    <w:rsid w:val="00E22354"/>
    <w:pPr>
      <w:numPr>
        <w:ilvl w:val="2"/>
      </w:numPr>
      <w:spacing w:after="0"/>
      <w:ind w:left="1474" w:hanging="198"/>
    </w:pPr>
  </w:style>
  <w:style w:type="paragraph" w:customStyle="1" w:styleId="Letra">
    <w:name w:val="Letra"/>
    <w:basedOn w:val="Nivel1"/>
    <w:qFormat/>
    <w:rsid w:val="00E22354"/>
    <w:pPr>
      <w:numPr>
        <w:numId w:val="4"/>
      </w:numPr>
      <w:spacing w:before="0" w:after="40"/>
      <w:ind w:left="936" w:hanging="227"/>
    </w:pPr>
  </w:style>
  <w:style w:type="paragraph" w:customStyle="1" w:styleId="Nmero">
    <w:name w:val="Número"/>
    <w:basedOn w:val="Normal"/>
    <w:qFormat/>
    <w:rsid w:val="00E22354"/>
    <w:pPr>
      <w:numPr>
        <w:numId w:val="5"/>
      </w:numPr>
      <w:spacing w:after="40"/>
      <w:ind w:left="936" w:hanging="227"/>
    </w:pPr>
  </w:style>
  <w:style w:type="paragraph" w:styleId="Textodeglobo">
    <w:name w:val="Balloon Text"/>
    <w:basedOn w:val="Normal"/>
    <w:link w:val="TextodegloboCar"/>
    <w:uiPriority w:val="99"/>
    <w:semiHidden/>
    <w:unhideWhenUsed/>
    <w:rsid w:val="00E22354"/>
    <w:rPr>
      <w:rFonts w:ascii="Segoe UI" w:hAnsi="Segoe UI" w:cs="Segoe UI"/>
      <w:sz w:val="18"/>
      <w:szCs w:val="18"/>
    </w:rPr>
  </w:style>
  <w:style w:type="character" w:customStyle="1" w:styleId="BalloonTextChar">
    <w:name w:val="Balloon Text Char"/>
    <w:basedOn w:val="Fuentedeprrafopredeter"/>
    <w:uiPriority w:val="99"/>
    <w:semiHidden/>
    <w:rsid w:val="00E22354"/>
    <w:rPr>
      <w:rFonts w:ascii="Segoe UI" w:hAnsi="Segoe UI" w:cs="Segoe UI"/>
      <w:sz w:val="18"/>
      <w:szCs w:val="18"/>
      <w:lang w:val="es-ES"/>
    </w:rPr>
  </w:style>
  <w:style w:type="paragraph" w:customStyle="1" w:styleId="Notaalopositor">
    <w:name w:val="Nota al opositor"/>
    <w:basedOn w:val="Normal"/>
    <w:link w:val="NotaalopositorChar"/>
    <w:qFormat/>
    <w:rsid w:val="00E22354"/>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22354"/>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22354"/>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E22354"/>
    <w:rPr>
      <w:rFonts w:ascii="Garamond" w:hAnsi="Garamond"/>
      <w:sz w:val="16"/>
      <w:szCs w:val="20"/>
      <w:lang w:val="es-ES"/>
    </w:rPr>
  </w:style>
  <w:style w:type="character" w:styleId="Refdenotaalpie">
    <w:name w:val="footnote reference"/>
    <w:basedOn w:val="Fuentedeprrafopredeter"/>
    <w:uiPriority w:val="99"/>
    <w:unhideWhenUsed/>
    <w:rsid w:val="00E22354"/>
    <w:rPr>
      <w:vertAlign w:val="superscript"/>
    </w:rPr>
  </w:style>
  <w:style w:type="character" w:customStyle="1" w:styleId="Heading6Char">
    <w:name w:val="Heading 6 Char"/>
    <w:basedOn w:val="Fuentedeprrafopredeter"/>
    <w:uiPriority w:val="9"/>
    <w:semiHidden/>
    <w:rsid w:val="00E22354"/>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22354"/>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E22354"/>
    <w:rPr>
      <w:rFonts w:ascii="Garamond" w:eastAsiaTheme="minorEastAsia" w:hAnsi="Garamond"/>
      <w:smallCaps/>
      <w:color w:val="FFFFFF" w:themeColor="text1" w:themeTint="A5"/>
      <w:lang w:val="es-ES"/>
    </w:rPr>
  </w:style>
  <w:style w:type="paragraph" w:customStyle="1" w:styleId="Nivel1SM">
    <w:name w:val="Nivel 1 SM"/>
    <w:basedOn w:val="Nivel1"/>
    <w:qFormat/>
    <w:rsid w:val="00E22354"/>
    <w:pPr>
      <w:ind w:left="0"/>
    </w:pPr>
  </w:style>
  <w:style w:type="paragraph" w:customStyle="1" w:styleId="Nivel2SM">
    <w:name w:val="Nivel 2 SM"/>
    <w:basedOn w:val="Nivel2"/>
    <w:qFormat/>
    <w:rsid w:val="00E22354"/>
    <w:pPr>
      <w:ind w:left="567"/>
    </w:pPr>
  </w:style>
  <w:style w:type="paragraph" w:customStyle="1" w:styleId="Nivel3SM">
    <w:name w:val="Nivel 3 SM"/>
    <w:basedOn w:val="Nivel3"/>
    <w:qFormat/>
    <w:rsid w:val="00E22354"/>
    <w:pPr>
      <w:ind w:left="963"/>
    </w:pPr>
  </w:style>
  <w:style w:type="paragraph" w:styleId="Encabezadodelista">
    <w:name w:val="toa heading"/>
    <w:basedOn w:val="Normal"/>
    <w:next w:val="Normal"/>
    <w:uiPriority w:val="99"/>
    <w:semiHidden/>
    <w:unhideWhenUsed/>
    <w:rsid w:val="00E22354"/>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22354"/>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22354"/>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22354"/>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E22354"/>
    <w:rPr>
      <w:rFonts w:ascii="Palatino Linotype" w:hAnsi="Palatino Linotype"/>
      <w:lang w:val="es-ES"/>
    </w:rPr>
  </w:style>
  <w:style w:type="character" w:customStyle="1" w:styleId="TtuloCar">
    <w:name w:val="Título Car"/>
    <w:basedOn w:val="Fuentedeprrafopredeter"/>
    <w:link w:val="Ttulo"/>
    <w:uiPriority w:val="10"/>
    <w:rsid w:val="00E22354"/>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22354"/>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E22354"/>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E22354"/>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E22354"/>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22354"/>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E22354"/>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E22354"/>
    <w:rPr>
      <w:rFonts w:ascii="Palatino Linotype" w:hAnsi="Palatino Linotype"/>
      <w:sz w:val="16"/>
      <w:szCs w:val="20"/>
      <w:lang w:val="es-ES"/>
    </w:rPr>
  </w:style>
  <w:style w:type="character" w:customStyle="1" w:styleId="Ttulo6Car">
    <w:name w:val="Título 6 Car"/>
    <w:basedOn w:val="Fuentedeprrafopredeter"/>
    <w:link w:val="Ttulo6"/>
    <w:uiPriority w:val="9"/>
    <w:rsid w:val="00E22354"/>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E22354"/>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E22354"/>
    <w:rPr>
      <w:color w:val="605E5C"/>
      <w:shd w:val="clear" w:color="auto" w:fill="E1DFDD"/>
    </w:rPr>
  </w:style>
  <w:style w:type="character" w:customStyle="1" w:styleId="Ttulo7Car">
    <w:name w:val="Título 7 Car"/>
    <w:basedOn w:val="Fuentedeprrafopredeter"/>
    <w:link w:val="Ttulo7"/>
    <w:uiPriority w:val="9"/>
    <w:rsid w:val="00E22354"/>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E22354"/>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22354"/>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22354"/>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22354"/>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22354"/>
    <w:pPr>
      <w:spacing w:line="240" w:lineRule="auto"/>
      <w:ind w:left="567" w:hanging="567"/>
    </w:pPr>
  </w:style>
  <w:style w:type="paragraph" w:customStyle="1" w:styleId="Ttuloimagen">
    <w:name w:val="Título imagen"/>
    <w:basedOn w:val="PiedeImagen"/>
    <w:next w:val="Imagen"/>
    <w:link w:val="TtuloimagenCar"/>
    <w:qFormat/>
    <w:rsid w:val="00E22354"/>
    <w:pPr>
      <w:keepNext/>
      <w:spacing w:after="0"/>
    </w:pPr>
    <w:rPr>
      <w:i w:val="0"/>
      <w:smallCaps/>
      <w:sz w:val="20"/>
    </w:rPr>
  </w:style>
  <w:style w:type="character" w:customStyle="1" w:styleId="TtuloimagenCar">
    <w:name w:val="Título imagen Car"/>
    <w:basedOn w:val="ImagenCar"/>
    <w:link w:val="Ttuloimagen"/>
    <w:rsid w:val="00E22354"/>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22354"/>
    <w:pPr>
      <w:ind w:left="1100"/>
    </w:pPr>
  </w:style>
  <w:style w:type="character" w:customStyle="1" w:styleId="Ttulo8Car">
    <w:name w:val="Título 8 Car"/>
    <w:basedOn w:val="Fuentedeprrafopredeter"/>
    <w:link w:val="Ttulo8"/>
    <w:uiPriority w:val="9"/>
    <w:rsid w:val="00E22354"/>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E22354"/>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22354"/>
    <w:rPr>
      <w:rFonts w:eastAsiaTheme="minorEastAsia"/>
      <w:lang w:val="es-ES" w:eastAsia="es-ES"/>
    </w:rPr>
  </w:style>
  <w:style w:type="paragraph" w:styleId="Prrafodelista">
    <w:name w:val="List Paragraph"/>
    <w:basedOn w:val="Normal"/>
    <w:uiPriority w:val="34"/>
    <w:rsid w:val="00E22354"/>
    <w:pPr>
      <w:ind w:left="720"/>
      <w:contextualSpacing/>
    </w:pPr>
  </w:style>
  <w:style w:type="paragraph" w:customStyle="1" w:styleId="Nmeroromano">
    <w:name w:val="Número romano"/>
    <w:basedOn w:val="Prrafodelista"/>
    <w:qFormat/>
    <w:rsid w:val="00E22354"/>
    <w:pPr>
      <w:numPr>
        <w:numId w:val="38"/>
      </w:numPr>
      <w:spacing w:after="100"/>
      <w:ind w:left="567" w:hanging="113"/>
    </w:pPr>
  </w:style>
  <w:style w:type="paragraph" w:customStyle="1" w:styleId="Saltodettulos">
    <w:name w:val="Salto de títulos"/>
    <w:basedOn w:val="Normal"/>
    <w:rsid w:val="00E22354"/>
    <w:pPr>
      <w:spacing w:after="0" w:line="240" w:lineRule="auto"/>
    </w:pPr>
    <w:rPr>
      <w:color w:val="FFFFFF"/>
      <w:sz w:val="2"/>
    </w:rPr>
  </w:style>
  <w:style w:type="paragraph" w:styleId="TDC7">
    <w:name w:val="toc 7"/>
    <w:basedOn w:val="Normal"/>
    <w:next w:val="FinTDC"/>
    <w:autoRedefine/>
    <w:uiPriority w:val="39"/>
    <w:unhideWhenUsed/>
    <w:rsid w:val="00E22354"/>
    <w:pPr>
      <w:spacing w:after="0" w:line="20" w:lineRule="atLeast"/>
      <w:ind w:left="1418"/>
      <w:jc w:val="left"/>
    </w:pPr>
    <w:rPr>
      <w:i/>
      <w:color w:val="5F2987"/>
      <w:sz w:val="12"/>
    </w:rPr>
  </w:style>
  <w:style w:type="paragraph" w:customStyle="1" w:styleId="Apartado0">
    <w:name w:val="Apartado 0"/>
    <w:basedOn w:val="Ttulo1"/>
    <w:next w:val="Normal"/>
    <w:link w:val="Apartado0Car"/>
    <w:qFormat/>
    <w:rsid w:val="00E22354"/>
    <w:pPr>
      <w:numPr>
        <w:numId w:val="21"/>
      </w:numPr>
      <w:ind w:left="357" w:hanging="357"/>
    </w:pPr>
  </w:style>
  <w:style w:type="character" w:styleId="Hipervnculovisitado">
    <w:name w:val="FollowedHyperlink"/>
    <w:basedOn w:val="Fuentedeprrafopredeter"/>
    <w:uiPriority w:val="99"/>
    <w:semiHidden/>
    <w:unhideWhenUsed/>
    <w:rsid w:val="00CE43C1"/>
    <w:rPr>
      <w:color w:val="954F72" w:themeColor="followedHyperlink"/>
      <w:u w:val="single"/>
    </w:rPr>
  </w:style>
  <w:style w:type="character" w:customStyle="1" w:styleId="Textodemarcadordeposicin">
    <w:name w:val="Texto de marcador de posición"/>
    <w:basedOn w:val="Fuentedeprrafopredeter"/>
    <w:uiPriority w:val="99"/>
    <w:semiHidden/>
    <w:rsid w:val="002E0FAD"/>
    <w:rPr>
      <w:color w:val="808080"/>
    </w:rPr>
  </w:style>
  <w:style w:type="character" w:customStyle="1" w:styleId="Ttulo9Car">
    <w:name w:val="Título 9 Car"/>
    <w:basedOn w:val="Fuentedeprrafopredeter"/>
    <w:link w:val="Ttulo9"/>
    <w:uiPriority w:val="9"/>
    <w:rsid w:val="00E22354"/>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E22354"/>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E22354"/>
    <w:pPr>
      <w:spacing w:after="0" w:line="240" w:lineRule="auto"/>
      <w:jc w:val="left"/>
    </w:pPr>
    <w:rPr>
      <w:sz w:val="15"/>
    </w:rPr>
  </w:style>
  <w:style w:type="paragraph" w:styleId="TDC9">
    <w:name w:val="toc 9"/>
    <w:basedOn w:val="TDC8"/>
    <w:next w:val="FinTDC"/>
    <w:autoRedefine/>
    <w:uiPriority w:val="39"/>
    <w:semiHidden/>
    <w:unhideWhenUsed/>
    <w:rsid w:val="00E22354"/>
    <w:pPr>
      <w:ind w:left="1760"/>
    </w:pPr>
  </w:style>
  <w:style w:type="character" w:customStyle="1" w:styleId="Apartado0Car">
    <w:name w:val="Apartado 0 Car"/>
    <w:basedOn w:val="Ttulo1Car"/>
    <w:link w:val="Apartado0"/>
    <w:rsid w:val="00E22354"/>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22354"/>
    <w:pPr>
      <w:numPr>
        <w:ilvl w:val="3"/>
      </w:numPr>
      <w:ind w:left="1899" w:hanging="198"/>
    </w:pPr>
  </w:style>
  <w:style w:type="paragraph" w:customStyle="1" w:styleId="Nivel5">
    <w:name w:val="Nivel 5"/>
    <w:basedOn w:val="Nivel4"/>
    <w:link w:val="Nivel5Car"/>
    <w:qFormat/>
    <w:rsid w:val="00E22354"/>
    <w:pPr>
      <w:numPr>
        <w:ilvl w:val="4"/>
      </w:numPr>
      <w:ind w:left="2155" w:hanging="170"/>
    </w:pPr>
  </w:style>
  <w:style w:type="character" w:customStyle="1" w:styleId="Nivel2Car">
    <w:name w:val="Nivel 2 Car"/>
    <w:basedOn w:val="Fuentedeprrafopredeter"/>
    <w:link w:val="Nivel2"/>
    <w:rsid w:val="00E22354"/>
    <w:rPr>
      <w:rFonts w:ascii="Palatino Linotype" w:hAnsi="Palatino Linotype"/>
      <w:lang w:val="es-ES"/>
    </w:rPr>
  </w:style>
  <w:style w:type="character" w:customStyle="1" w:styleId="Nivel3Car">
    <w:name w:val="Nivel 3 Car"/>
    <w:basedOn w:val="Nivel2Car"/>
    <w:link w:val="Nivel3"/>
    <w:rsid w:val="00E22354"/>
    <w:rPr>
      <w:rFonts w:ascii="Palatino Linotype" w:hAnsi="Palatino Linotype"/>
      <w:lang w:val="es-ES"/>
    </w:rPr>
  </w:style>
  <w:style w:type="character" w:customStyle="1" w:styleId="Nivel4Car">
    <w:name w:val="Nivel 4 Car"/>
    <w:basedOn w:val="Nivel3Car"/>
    <w:link w:val="Nivel4"/>
    <w:rsid w:val="00E22354"/>
    <w:rPr>
      <w:rFonts w:ascii="Palatino Linotype" w:hAnsi="Palatino Linotype"/>
      <w:lang w:val="es-ES"/>
    </w:rPr>
  </w:style>
  <w:style w:type="paragraph" w:customStyle="1" w:styleId="Nivel6">
    <w:name w:val="Nivel 6"/>
    <w:basedOn w:val="Nivel5"/>
    <w:link w:val="Nivel6Car"/>
    <w:qFormat/>
    <w:rsid w:val="00E22354"/>
    <w:pPr>
      <w:numPr>
        <w:ilvl w:val="5"/>
      </w:numPr>
      <w:ind w:left="2438" w:hanging="227"/>
    </w:pPr>
  </w:style>
  <w:style w:type="character" w:customStyle="1" w:styleId="Nivel5Car">
    <w:name w:val="Nivel 5 Car"/>
    <w:basedOn w:val="Nivel4Car"/>
    <w:link w:val="Nivel5"/>
    <w:rsid w:val="00E22354"/>
    <w:rPr>
      <w:rFonts w:ascii="Palatino Linotype" w:hAnsi="Palatino Linotype"/>
      <w:lang w:val="es-ES"/>
    </w:rPr>
  </w:style>
  <w:style w:type="paragraph" w:customStyle="1" w:styleId="Nivel7">
    <w:name w:val="Nivel 7"/>
    <w:basedOn w:val="Nivel5"/>
    <w:link w:val="Nivel7Car"/>
    <w:qFormat/>
    <w:rsid w:val="00E22354"/>
    <w:pPr>
      <w:numPr>
        <w:ilvl w:val="6"/>
      </w:numPr>
      <w:ind w:left="2722" w:hanging="170"/>
    </w:pPr>
  </w:style>
  <w:style w:type="character" w:customStyle="1" w:styleId="Nivel6Car">
    <w:name w:val="Nivel 6 Car"/>
    <w:basedOn w:val="Nivel5Car"/>
    <w:link w:val="Nivel6"/>
    <w:rsid w:val="00E22354"/>
    <w:rPr>
      <w:rFonts w:ascii="Palatino Linotype" w:hAnsi="Palatino Linotype"/>
      <w:lang w:val="es-ES"/>
    </w:rPr>
  </w:style>
  <w:style w:type="character" w:customStyle="1" w:styleId="Nivel7Car">
    <w:name w:val="Nivel 7 Car"/>
    <w:basedOn w:val="Nivel5Car"/>
    <w:link w:val="Nivel7"/>
    <w:rsid w:val="00E22354"/>
    <w:rPr>
      <w:rFonts w:ascii="Palatino Linotype" w:hAnsi="Palatino Linotype"/>
      <w:lang w:val="es-ES"/>
    </w:rPr>
  </w:style>
  <w:style w:type="paragraph" w:styleId="Descripcin">
    <w:name w:val="caption"/>
    <w:basedOn w:val="Normal"/>
    <w:next w:val="Normal"/>
    <w:uiPriority w:val="35"/>
    <w:unhideWhenUsed/>
    <w:qFormat/>
    <w:rsid w:val="00E22354"/>
    <w:pPr>
      <w:spacing w:after="200" w:line="240" w:lineRule="auto"/>
    </w:pPr>
    <w:rPr>
      <w:i/>
      <w:iCs/>
      <w:color w:val="44546A" w:themeColor="text2"/>
      <w:sz w:val="18"/>
      <w:szCs w:val="18"/>
    </w:rPr>
  </w:style>
  <w:style w:type="paragraph" w:styleId="Textonotaalfinal">
    <w:name w:val="endnote text"/>
    <w:basedOn w:val="Normal"/>
    <w:link w:val="TextonotaalfinalCar"/>
    <w:uiPriority w:val="99"/>
    <w:semiHidden/>
    <w:unhideWhenUsed/>
    <w:rsid w:val="00E2235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22354"/>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22354"/>
    <w:rPr>
      <w:vertAlign w:val="superscript"/>
    </w:rPr>
  </w:style>
  <w:style w:type="paragraph" w:customStyle="1" w:styleId="Ttulo10">
    <w:name w:val="Título 10"/>
    <w:basedOn w:val="Ttulo9"/>
    <w:link w:val="Ttulo10Car"/>
    <w:qFormat/>
    <w:rsid w:val="00E22354"/>
    <w:pPr>
      <w:ind w:left="1276"/>
    </w:pPr>
    <w:rPr>
      <w:w w:val="97"/>
      <w:sz w:val="20"/>
    </w:rPr>
  </w:style>
  <w:style w:type="character" w:customStyle="1" w:styleId="Ttulo10Car">
    <w:name w:val="Título 10 Car"/>
    <w:basedOn w:val="Ttulo9Car"/>
    <w:link w:val="Ttulo10"/>
    <w:rsid w:val="00E22354"/>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E22354"/>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22354"/>
    <w:pPr>
      <w:numPr>
        <w:ilvl w:val="7"/>
      </w:numPr>
      <w:ind w:left="3005" w:hanging="170"/>
    </w:pPr>
  </w:style>
  <w:style w:type="character" w:customStyle="1" w:styleId="Nivel8Car">
    <w:name w:val="Nivel 8 Car"/>
    <w:basedOn w:val="Nivel7Car"/>
    <w:link w:val="Nivel8"/>
    <w:rsid w:val="00E22354"/>
    <w:rPr>
      <w:rFonts w:ascii="Palatino Linotype" w:hAnsi="Palatino Linotype"/>
      <w:lang w:val="es-ES"/>
    </w:rPr>
  </w:style>
  <w:style w:type="paragraph" w:customStyle="1" w:styleId="Advertencia">
    <w:name w:val="Advertencia"/>
    <w:basedOn w:val="Normal"/>
    <w:next w:val="Normal"/>
    <w:link w:val="AdvertenciaCar"/>
    <w:qFormat/>
    <w:rsid w:val="00E22354"/>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22354"/>
    <w:rPr>
      <w:rFonts w:ascii="Palatino Linotype" w:hAnsi="Palatino Linotype"/>
      <w:color w:val="C00000"/>
      <w:shd w:val="clear" w:color="auto" w:fill="FBE4D5" w:themeFill="accent2" w:themeFillTint="33"/>
      <w:lang w:val="es-ES"/>
    </w:rPr>
  </w:style>
  <w:style w:type="paragraph" w:styleId="Piedepgina">
    <w:name w:val="footer"/>
    <w:basedOn w:val="Normal"/>
    <w:link w:val="PiedepginaCar"/>
    <w:uiPriority w:val="99"/>
    <w:unhideWhenUsed/>
    <w:qFormat/>
    <w:rsid w:val="00066A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66A64"/>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12981">
      <w:bodyDiv w:val="1"/>
      <w:marLeft w:val="0"/>
      <w:marRight w:val="0"/>
      <w:marTop w:val="0"/>
      <w:marBottom w:val="0"/>
      <w:divBdr>
        <w:top w:val="none" w:sz="0" w:space="0" w:color="auto"/>
        <w:left w:val="none" w:sz="0" w:space="0" w:color="auto"/>
        <w:bottom w:val="none" w:sz="0" w:space="0" w:color="auto"/>
        <w:right w:val="none" w:sz="0" w:space="0" w:color="auto"/>
      </w:divBdr>
      <w:divsChild>
        <w:div w:id="1016470026">
          <w:marLeft w:val="480"/>
          <w:marRight w:val="0"/>
          <w:marTop w:val="0"/>
          <w:marBottom w:val="0"/>
          <w:divBdr>
            <w:top w:val="none" w:sz="0" w:space="0" w:color="auto"/>
            <w:left w:val="none" w:sz="0" w:space="0" w:color="auto"/>
            <w:bottom w:val="none" w:sz="0" w:space="0" w:color="auto"/>
            <w:right w:val="none" w:sz="0" w:space="0" w:color="auto"/>
          </w:divBdr>
          <w:divsChild>
            <w:div w:id="16329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6774">
      <w:bodyDiv w:val="1"/>
      <w:marLeft w:val="0"/>
      <w:marRight w:val="0"/>
      <w:marTop w:val="0"/>
      <w:marBottom w:val="0"/>
      <w:divBdr>
        <w:top w:val="none" w:sz="0" w:space="0" w:color="auto"/>
        <w:left w:val="none" w:sz="0" w:space="0" w:color="auto"/>
        <w:bottom w:val="none" w:sz="0" w:space="0" w:color="auto"/>
        <w:right w:val="none" w:sz="0" w:space="0" w:color="auto"/>
      </w:divBdr>
      <w:divsChild>
        <w:div w:id="1231622335">
          <w:marLeft w:val="480"/>
          <w:marRight w:val="0"/>
          <w:marTop w:val="0"/>
          <w:marBottom w:val="0"/>
          <w:divBdr>
            <w:top w:val="none" w:sz="0" w:space="0" w:color="auto"/>
            <w:left w:val="none" w:sz="0" w:space="0" w:color="auto"/>
            <w:bottom w:val="none" w:sz="0" w:space="0" w:color="auto"/>
            <w:right w:val="none" w:sz="0" w:space="0" w:color="auto"/>
          </w:divBdr>
          <w:divsChild>
            <w:div w:id="133637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2187">
      <w:bodyDiv w:val="1"/>
      <w:marLeft w:val="0"/>
      <w:marRight w:val="0"/>
      <w:marTop w:val="0"/>
      <w:marBottom w:val="0"/>
      <w:divBdr>
        <w:top w:val="none" w:sz="0" w:space="0" w:color="auto"/>
        <w:left w:val="none" w:sz="0" w:space="0" w:color="auto"/>
        <w:bottom w:val="none" w:sz="0" w:space="0" w:color="auto"/>
        <w:right w:val="none" w:sz="0" w:space="0" w:color="auto"/>
      </w:divBdr>
      <w:divsChild>
        <w:div w:id="690297165">
          <w:marLeft w:val="0"/>
          <w:marRight w:val="0"/>
          <w:marTop w:val="0"/>
          <w:marBottom w:val="0"/>
          <w:divBdr>
            <w:top w:val="none" w:sz="0" w:space="0" w:color="auto"/>
            <w:left w:val="none" w:sz="0" w:space="0" w:color="auto"/>
            <w:bottom w:val="none" w:sz="0" w:space="0" w:color="auto"/>
            <w:right w:val="none" w:sz="0" w:space="0" w:color="auto"/>
          </w:divBdr>
        </w:div>
      </w:divsChild>
    </w:div>
    <w:div w:id="130680894">
      <w:bodyDiv w:val="1"/>
      <w:marLeft w:val="0"/>
      <w:marRight w:val="0"/>
      <w:marTop w:val="0"/>
      <w:marBottom w:val="0"/>
      <w:divBdr>
        <w:top w:val="none" w:sz="0" w:space="0" w:color="auto"/>
        <w:left w:val="none" w:sz="0" w:space="0" w:color="auto"/>
        <w:bottom w:val="none" w:sz="0" w:space="0" w:color="auto"/>
        <w:right w:val="none" w:sz="0" w:space="0" w:color="auto"/>
      </w:divBdr>
      <w:divsChild>
        <w:div w:id="1387795691">
          <w:marLeft w:val="480"/>
          <w:marRight w:val="0"/>
          <w:marTop w:val="0"/>
          <w:marBottom w:val="0"/>
          <w:divBdr>
            <w:top w:val="none" w:sz="0" w:space="0" w:color="auto"/>
            <w:left w:val="none" w:sz="0" w:space="0" w:color="auto"/>
            <w:bottom w:val="none" w:sz="0" w:space="0" w:color="auto"/>
            <w:right w:val="none" w:sz="0" w:space="0" w:color="auto"/>
          </w:divBdr>
          <w:divsChild>
            <w:div w:id="115626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4512">
      <w:bodyDiv w:val="1"/>
      <w:marLeft w:val="0"/>
      <w:marRight w:val="0"/>
      <w:marTop w:val="0"/>
      <w:marBottom w:val="0"/>
      <w:divBdr>
        <w:top w:val="none" w:sz="0" w:space="0" w:color="auto"/>
        <w:left w:val="none" w:sz="0" w:space="0" w:color="auto"/>
        <w:bottom w:val="none" w:sz="0" w:space="0" w:color="auto"/>
        <w:right w:val="none" w:sz="0" w:space="0" w:color="auto"/>
      </w:divBdr>
      <w:divsChild>
        <w:div w:id="569582044">
          <w:marLeft w:val="480"/>
          <w:marRight w:val="0"/>
          <w:marTop w:val="0"/>
          <w:marBottom w:val="0"/>
          <w:divBdr>
            <w:top w:val="none" w:sz="0" w:space="0" w:color="auto"/>
            <w:left w:val="none" w:sz="0" w:space="0" w:color="auto"/>
            <w:bottom w:val="none" w:sz="0" w:space="0" w:color="auto"/>
            <w:right w:val="none" w:sz="0" w:space="0" w:color="auto"/>
          </w:divBdr>
          <w:divsChild>
            <w:div w:id="11298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11486">
      <w:bodyDiv w:val="1"/>
      <w:marLeft w:val="0"/>
      <w:marRight w:val="0"/>
      <w:marTop w:val="0"/>
      <w:marBottom w:val="0"/>
      <w:divBdr>
        <w:top w:val="none" w:sz="0" w:space="0" w:color="auto"/>
        <w:left w:val="none" w:sz="0" w:space="0" w:color="auto"/>
        <w:bottom w:val="none" w:sz="0" w:space="0" w:color="auto"/>
        <w:right w:val="none" w:sz="0" w:space="0" w:color="auto"/>
      </w:divBdr>
    </w:div>
    <w:div w:id="387845975">
      <w:bodyDiv w:val="1"/>
      <w:marLeft w:val="0"/>
      <w:marRight w:val="0"/>
      <w:marTop w:val="0"/>
      <w:marBottom w:val="0"/>
      <w:divBdr>
        <w:top w:val="none" w:sz="0" w:space="0" w:color="auto"/>
        <w:left w:val="none" w:sz="0" w:space="0" w:color="auto"/>
        <w:bottom w:val="none" w:sz="0" w:space="0" w:color="auto"/>
        <w:right w:val="none" w:sz="0" w:space="0" w:color="auto"/>
      </w:divBdr>
      <w:divsChild>
        <w:div w:id="718699869">
          <w:marLeft w:val="480"/>
          <w:marRight w:val="0"/>
          <w:marTop w:val="0"/>
          <w:marBottom w:val="0"/>
          <w:divBdr>
            <w:top w:val="none" w:sz="0" w:space="0" w:color="auto"/>
            <w:left w:val="none" w:sz="0" w:space="0" w:color="auto"/>
            <w:bottom w:val="none" w:sz="0" w:space="0" w:color="auto"/>
            <w:right w:val="none" w:sz="0" w:space="0" w:color="auto"/>
          </w:divBdr>
          <w:divsChild>
            <w:div w:id="15126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03860">
      <w:bodyDiv w:val="1"/>
      <w:marLeft w:val="0"/>
      <w:marRight w:val="0"/>
      <w:marTop w:val="0"/>
      <w:marBottom w:val="0"/>
      <w:divBdr>
        <w:top w:val="none" w:sz="0" w:space="0" w:color="auto"/>
        <w:left w:val="none" w:sz="0" w:space="0" w:color="auto"/>
        <w:bottom w:val="none" w:sz="0" w:space="0" w:color="auto"/>
        <w:right w:val="none" w:sz="0" w:space="0" w:color="auto"/>
      </w:divBdr>
    </w:div>
    <w:div w:id="579290490">
      <w:bodyDiv w:val="1"/>
      <w:marLeft w:val="0"/>
      <w:marRight w:val="0"/>
      <w:marTop w:val="0"/>
      <w:marBottom w:val="0"/>
      <w:divBdr>
        <w:top w:val="none" w:sz="0" w:space="0" w:color="auto"/>
        <w:left w:val="none" w:sz="0" w:space="0" w:color="auto"/>
        <w:bottom w:val="none" w:sz="0" w:space="0" w:color="auto"/>
        <w:right w:val="none" w:sz="0" w:space="0" w:color="auto"/>
      </w:divBdr>
    </w:div>
    <w:div w:id="621308751">
      <w:bodyDiv w:val="1"/>
      <w:marLeft w:val="0"/>
      <w:marRight w:val="0"/>
      <w:marTop w:val="0"/>
      <w:marBottom w:val="0"/>
      <w:divBdr>
        <w:top w:val="none" w:sz="0" w:space="0" w:color="auto"/>
        <w:left w:val="none" w:sz="0" w:space="0" w:color="auto"/>
        <w:bottom w:val="none" w:sz="0" w:space="0" w:color="auto"/>
        <w:right w:val="none" w:sz="0" w:space="0" w:color="auto"/>
      </w:divBdr>
    </w:div>
    <w:div w:id="679625281">
      <w:bodyDiv w:val="1"/>
      <w:marLeft w:val="0"/>
      <w:marRight w:val="0"/>
      <w:marTop w:val="0"/>
      <w:marBottom w:val="0"/>
      <w:divBdr>
        <w:top w:val="none" w:sz="0" w:space="0" w:color="auto"/>
        <w:left w:val="none" w:sz="0" w:space="0" w:color="auto"/>
        <w:bottom w:val="none" w:sz="0" w:space="0" w:color="auto"/>
        <w:right w:val="none" w:sz="0" w:space="0" w:color="auto"/>
      </w:divBdr>
      <w:divsChild>
        <w:div w:id="1364088919">
          <w:marLeft w:val="480"/>
          <w:marRight w:val="0"/>
          <w:marTop w:val="0"/>
          <w:marBottom w:val="0"/>
          <w:divBdr>
            <w:top w:val="none" w:sz="0" w:space="0" w:color="auto"/>
            <w:left w:val="none" w:sz="0" w:space="0" w:color="auto"/>
            <w:bottom w:val="none" w:sz="0" w:space="0" w:color="auto"/>
            <w:right w:val="none" w:sz="0" w:space="0" w:color="auto"/>
          </w:divBdr>
          <w:divsChild>
            <w:div w:id="48670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76060">
      <w:bodyDiv w:val="1"/>
      <w:marLeft w:val="0"/>
      <w:marRight w:val="0"/>
      <w:marTop w:val="0"/>
      <w:marBottom w:val="0"/>
      <w:divBdr>
        <w:top w:val="none" w:sz="0" w:space="0" w:color="auto"/>
        <w:left w:val="none" w:sz="0" w:space="0" w:color="auto"/>
        <w:bottom w:val="none" w:sz="0" w:space="0" w:color="auto"/>
        <w:right w:val="none" w:sz="0" w:space="0" w:color="auto"/>
      </w:divBdr>
    </w:div>
    <w:div w:id="982386883">
      <w:bodyDiv w:val="1"/>
      <w:marLeft w:val="0"/>
      <w:marRight w:val="0"/>
      <w:marTop w:val="0"/>
      <w:marBottom w:val="0"/>
      <w:divBdr>
        <w:top w:val="none" w:sz="0" w:space="0" w:color="auto"/>
        <w:left w:val="none" w:sz="0" w:space="0" w:color="auto"/>
        <w:bottom w:val="none" w:sz="0" w:space="0" w:color="auto"/>
        <w:right w:val="none" w:sz="0" w:space="0" w:color="auto"/>
      </w:divBdr>
      <w:divsChild>
        <w:div w:id="824399019">
          <w:marLeft w:val="480"/>
          <w:marRight w:val="0"/>
          <w:marTop w:val="0"/>
          <w:marBottom w:val="0"/>
          <w:divBdr>
            <w:top w:val="none" w:sz="0" w:space="0" w:color="auto"/>
            <w:left w:val="none" w:sz="0" w:space="0" w:color="auto"/>
            <w:bottom w:val="none" w:sz="0" w:space="0" w:color="auto"/>
            <w:right w:val="none" w:sz="0" w:space="0" w:color="auto"/>
          </w:divBdr>
          <w:divsChild>
            <w:div w:id="17835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771474">
      <w:bodyDiv w:val="1"/>
      <w:marLeft w:val="0"/>
      <w:marRight w:val="0"/>
      <w:marTop w:val="0"/>
      <w:marBottom w:val="0"/>
      <w:divBdr>
        <w:top w:val="none" w:sz="0" w:space="0" w:color="auto"/>
        <w:left w:val="none" w:sz="0" w:space="0" w:color="auto"/>
        <w:bottom w:val="none" w:sz="0" w:space="0" w:color="auto"/>
        <w:right w:val="none" w:sz="0" w:space="0" w:color="auto"/>
      </w:divBdr>
    </w:div>
    <w:div w:id="1014039449">
      <w:bodyDiv w:val="1"/>
      <w:marLeft w:val="0"/>
      <w:marRight w:val="0"/>
      <w:marTop w:val="0"/>
      <w:marBottom w:val="0"/>
      <w:divBdr>
        <w:top w:val="none" w:sz="0" w:space="0" w:color="auto"/>
        <w:left w:val="none" w:sz="0" w:space="0" w:color="auto"/>
        <w:bottom w:val="none" w:sz="0" w:space="0" w:color="auto"/>
        <w:right w:val="none" w:sz="0" w:space="0" w:color="auto"/>
      </w:divBdr>
    </w:div>
    <w:div w:id="1129859419">
      <w:bodyDiv w:val="1"/>
      <w:marLeft w:val="0"/>
      <w:marRight w:val="0"/>
      <w:marTop w:val="0"/>
      <w:marBottom w:val="0"/>
      <w:divBdr>
        <w:top w:val="none" w:sz="0" w:space="0" w:color="auto"/>
        <w:left w:val="none" w:sz="0" w:space="0" w:color="auto"/>
        <w:bottom w:val="none" w:sz="0" w:space="0" w:color="auto"/>
        <w:right w:val="none" w:sz="0" w:space="0" w:color="auto"/>
      </w:divBdr>
      <w:divsChild>
        <w:div w:id="53743565">
          <w:marLeft w:val="480"/>
          <w:marRight w:val="0"/>
          <w:marTop w:val="0"/>
          <w:marBottom w:val="0"/>
          <w:divBdr>
            <w:top w:val="none" w:sz="0" w:space="0" w:color="auto"/>
            <w:left w:val="none" w:sz="0" w:space="0" w:color="auto"/>
            <w:bottom w:val="none" w:sz="0" w:space="0" w:color="auto"/>
            <w:right w:val="none" w:sz="0" w:space="0" w:color="auto"/>
          </w:divBdr>
          <w:divsChild>
            <w:div w:id="16011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38947">
      <w:bodyDiv w:val="1"/>
      <w:marLeft w:val="0"/>
      <w:marRight w:val="0"/>
      <w:marTop w:val="0"/>
      <w:marBottom w:val="0"/>
      <w:divBdr>
        <w:top w:val="none" w:sz="0" w:space="0" w:color="auto"/>
        <w:left w:val="none" w:sz="0" w:space="0" w:color="auto"/>
        <w:bottom w:val="none" w:sz="0" w:space="0" w:color="auto"/>
        <w:right w:val="none" w:sz="0" w:space="0" w:color="auto"/>
      </w:divBdr>
      <w:divsChild>
        <w:div w:id="837188372">
          <w:marLeft w:val="480"/>
          <w:marRight w:val="0"/>
          <w:marTop w:val="0"/>
          <w:marBottom w:val="0"/>
          <w:divBdr>
            <w:top w:val="none" w:sz="0" w:space="0" w:color="auto"/>
            <w:left w:val="none" w:sz="0" w:space="0" w:color="auto"/>
            <w:bottom w:val="none" w:sz="0" w:space="0" w:color="auto"/>
            <w:right w:val="none" w:sz="0" w:space="0" w:color="auto"/>
          </w:divBdr>
          <w:divsChild>
            <w:div w:id="13243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768076">
      <w:bodyDiv w:val="1"/>
      <w:marLeft w:val="0"/>
      <w:marRight w:val="0"/>
      <w:marTop w:val="0"/>
      <w:marBottom w:val="0"/>
      <w:divBdr>
        <w:top w:val="none" w:sz="0" w:space="0" w:color="auto"/>
        <w:left w:val="none" w:sz="0" w:space="0" w:color="auto"/>
        <w:bottom w:val="none" w:sz="0" w:space="0" w:color="auto"/>
        <w:right w:val="none" w:sz="0" w:space="0" w:color="auto"/>
      </w:divBdr>
    </w:div>
    <w:div w:id="1280992615">
      <w:bodyDiv w:val="1"/>
      <w:marLeft w:val="0"/>
      <w:marRight w:val="0"/>
      <w:marTop w:val="0"/>
      <w:marBottom w:val="0"/>
      <w:divBdr>
        <w:top w:val="none" w:sz="0" w:space="0" w:color="auto"/>
        <w:left w:val="none" w:sz="0" w:space="0" w:color="auto"/>
        <w:bottom w:val="none" w:sz="0" w:space="0" w:color="auto"/>
        <w:right w:val="none" w:sz="0" w:space="0" w:color="auto"/>
      </w:divBdr>
    </w:div>
    <w:div w:id="1330602284">
      <w:bodyDiv w:val="1"/>
      <w:marLeft w:val="0"/>
      <w:marRight w:val="0"/>
      <w:marTop w:val="0"/>
      <w:marBottom w:val="0"/>
      <w:divBdr>
        <w:top w:val="none" w:sz="0" w:space="0" w:color="auto"/>
        <w:left w:val="none" w:sz="0" w:space="0" w:color="auto"/>
        <w:bottom w:val="none" w:sz="0" w:space="0" w:color="auto"/>
        <w:right w:val="none" w:sz="0" w:space="0" w:color="auto"/>
      </w:divBdr>
      <w:divsChild>
        <w:div w:id="1486780610">
          <w:marLeft w:val="480"/>
          <w:marRight w:val="0"/>
          <w:marTop w:val="0"/>
          <w:marBottom w:val="0"/>
          <w:divBdr>
            <w:top w:val="none" w:sz="0" w:space="0" w:color="auto"/>
            <w:left w:val="none" w:sz="0" w:space="0" w:color="auto"/>
            <w:bottom w:val="none" w:sz="0" w:space="0" w:color="auto"/>
            <w:right w:val="none" w:sz="0" w:space="0" w:color="auto"/>
          </w:divBdr>
          <w:divsChild>
            <w:div w:id="20179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54786">
      <w:bodyDiv w:val="1"/>
      <w:marLeft w:val="0"/>
      <w:marRight w:val="0"/>
      <w:marTop w:val="0"/>
      <w:marBottom w:val="0"/>
      <w:divBdr>
        <w:top w:val="none" w:sz="0" w:space="0" w:color="auto"/>
        <w:left w:val="none" w:sz="0" w:space="0" w:color="auto"/>
        <w:bottom w:val="none" w:sz="0" w:space="0" w:color="auto"/>
        <w:right w:val="none" w:sz="0" w:space="0" w:color="auto"/>
      </w:divBdr>
    </w:div>
    <w:div w:id="1910072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g"/><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hyperlink" Target="https://repositorio.bde.es/bitstream/123456789/11205/1/Las_entidades_de_contrapartida_central.pdf"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jpg"/><Relationship Id="rId11" Type="http://schemas.openxmlformats.org/officeDocument/2006/relationships/hyperlink" Target="https://youtu.be/t-6MyCpL9yU" TargetMode="External"/><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yperlink" Target="https://youtu.be/SbkvkU7-dEA" TargetMode="External"/><Relationship Id="rId45" Type="http://schemas.openxmlformats.org/officeDocument/2006/relationships/image" Target="media/image33.png"/><Relationship Id="rId53" Type="http://schemas.openxmlformats.org/officeDocument/2006/relationships/hyperlink" Target="https://repositorio.bde.es/bitstream/123456789/11205/1/Las_entidades_de_contrapartida_central.pdf" TargetMode="External"/><Relationship Id="rId58" Type="http://schemas.openxmlformats.org/officeDocument/2006/relationships/image" Target="media/image38.pn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repositorio.bde.es/bitstream/123456789/11205/1/Las_entidades_de_contrapartida_central.pdf" TargetMode="External"/><Relationship Id="rId19" Type="http://schemas.openxmlformats.org/officeDocument/2006/relationships/image" Target="media/image9.jpeg"/><Relationship Id="rId14" Type="http://schemas.openxmlformats.org/officeDocument/2006/relationships/hyperlink" Target="https://en.wikipedia.org/wiki/Spot%E2%80%93future_parity" TargetMode="External"/><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png"/><Relationship Id="rId43" Type="http://schemas.openxmlformats.org/officeDocument/2006/relationships/hyperlink" Target="https://youtu.be/JeY4Bq1F-8Q" TargetMode="External"/><Relationship Id="rId48" Type="http://schemas.openxmlformats.org/officeDocument/2006/relationships/hyperlink" Target="https://www.brokeronline.es/academia-de-trading/swaps/" TargetMode="External"/><Relationship Id="rId56" Type="http://schemas.openxmlformats.org/officeDocument/2006/relationships/image" Target="media/image37.png"/><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yperlink" Target="https://www.ecb.europa.eu/ecb/educational/explainers/tell-me-more/html/currency_swap_lines.es.html"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youtu.be/U1qvH5roZ5U" TargetMode="External"/><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4.png"/><Relationship Id="rId59" Type="http://schemas.openxmlformats.org/officeDocument/2006/relationships/hyperlink" Target="https://repositorio.bde.es/bitstream/123456789/11205/1/Las_entidades_de_contrapartida_central.pdf" TargetMode="External"/><Relationship Id="rId67" Type="http://schemas.openxmlformats.org/officeDocument/2006/relationships/footer" Target="footer2.xml"/><Relationship Id="rId20" Type="http://schemas.openxmlformats.org/officeDocument/2006/relationships/image" Target="media/image10.jpg"/><Relationship Id="rId41" Type="http://schemas.openxmlformats.org/officeDocument/2006/relationships/image" Target="media/image30.jpg"/><Relationship Id="rId54" Type="http://schemas.openxmlformats.org/officeDocument/2006/relationships/hyperlink" Target="https://doi.org/10.1002/9781118891568" TargetMode="External"/><Relationship Id="rId62" Type="http://schemas.openxmlformats.org/officeDocument/2006/relationships/image" Target="media/image40.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jpg"/><Relationship Id="rId36" Type="http://schemas.openxmlformats.org/officeDocument/2006/relationships/image" Target="media/image26.png"/><Relationship Id="rId49" Type="http://schemas.openxmlformats.org/officeDocument/2006/relationships/image" Target="media/image36.emf"/><Relationship Id="rId57" Type="http://schemas.openxmlformats.org/officeDocument/2006/relationships/hyperlink" Target="https://repositorio.bde.es/bitstream/123456789/11205/1/Las_entidades_de_contrapartida_central.pdf" TargetMode="External"/><Relationship Id="rId10" Type="http://schemas.openxmlformats.org/officeDocument/2006/relationships/image" Target="media/image2.jpeg"/><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hyperlink" Target="https://www.bis.org/statistics/about_derivatives_stats.htm?m=6_32_639" TargetMode="External"/><Relationship Id="rId60" Type="http://schemas.openxmlformats.org/officeDocument/2006/relationships/image" Target="media/image39.png"/><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youtu.be/G1dUA80d58w" TargetMode="External"/><Relationship Id="rId13" Type="http://schemas.openxmlformats.org/officeDocument/2006/relationships/image" Target="media/image5.png"/><Relationship Id="rId18" Type="http://schemas.openxmlformats.org/officeDocument/2006/relationships/hyperlink" Target="https://youtu.be/LSPGfLiTtKY" TargetMode="External"/><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hyperlink" Target="https://www.bde.es/f/webbde/SES/Secciones/Publicaciones/PublicacionesSeriadas/DocumentosOcasionales/20/Fich/do2025.pdf" TargetMode="External"/><Relationship Id="rId55" Type="http://schemas.openxmlformats.org/officeDocument/2006/relationships/hyperlink" Target="https://www.quia.com/quiz/6562974.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bloomberg.com/news/articles/2020-01-21/india-now-has-world-s-largest-derivatives-exchange-by-volume" TargetMode="External"/><Relationship Id="rId2" Type="http://schemas.openxmlformats.org/officeDocument/2006/relationships/image" Target="media/image3.png"/><Relationship Id="rId1" Type="http://schemas.openxmlformats.org/officeDocument/2006/relationships/hyperlink" Target="https://es.wikipedia.org/wiki/Tulipoman%C3%ADa" TargetMode="External"/><Relationship Id="rId6" Type="http://schemas.openxmlformats.org/officeDocument/2006/relationships/hyperlink" Target="https://www.cnmv.es/DocPortal/Publicaciones/Fichas/GR17_Warrants_Turbowarrants.pdf" TargetMode="External"/><Relationship Id="rId5" Type="http://schemas.openxmlformats.org/officeDocument/2006/relationships/hyperlink" Target="https://www.cnmv.es/Portal/inversor/Warrants.aspx" TargetMode="External"/><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66305F001154F7B83E076D8EC6AC77B"/>
        <w:category>
          <w:name w:val="General"/>
          <w:gallery w:val="placeholder"/>
        </w:category>
        <w:types>
          <w:type w:val="bbPlcHdr"/>
        </w:types>
        <w:behaviors>
          <w:behavior w:val="content"/>
        </w:behaviors>
        <w:guid w:val="{65BFC18C-B30C-4A42-AE98-436DF8A4C6E8}"/>
      </w:docPartPr>
      <w:docPartBody>
        <w:p w:rsidR="00E26233" w:rsidRDefault="005D746A">
          <w:pPr>
            <w:pStyle w:val="566305F001154F7B83E076D8EC6AC77B"/>
          </w:pPr>
          <w:r w:rsidRPr="001B5103">
            <w:rPr>
              <w:rStyle w:val="Textodelmarcadordeposicin"/>
            </w:rPr>
            <w:t>[Title]</w:t>
          </w:r>
        </w:p>
      </w:docPartBody>
    </w:docPart>
    <w:docPart>
      <w:docPartPr>
        <w:name w:val="751F97C1CCE441D2A8B0143AE86EACFE"/>
        <w:category>
          <w:name w:val="General"/>
          <w:gallery w:val="placeholder"/>
        </w:category>
        <w:types>
          <w:type w:val="bbPlcHdr"/>
        </w:types>
        <w:behaviors>
          <w:behavior w:val="content"/>
        </w:behaviors>
        <w:guid w:val="{510C6C2D-A958-4447-801F-C18B789538FF}"/>
      </w:docPartPr>
      <w:docPartBody>
        <w:p w:rsidR="00E26233" w:rsidRDefault="005D746A">
          <w:pPr>
            <w:pStyle w:val="751F97C1CCE441D2A8B0143AE86EACFE"/>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6A"/>
    <w:rsid w:val="00003004"/>
    <w:rsid w:val="00042560"/>
    <w:rsid w:val="000C66E3"/>
    <w:rsid w:val="000D2379"/>
    <w:rsid w:val="0015675D"/>
    <w:rsid w:val="00283986"/>
    <w:rsid w:val="002963A5"/>
    <w:rsid w:val="002A5DFB"/>
    <w:rsid w:val="0030287A"/>
    <w:rsid w:val="00346560"/>
    <w:rsid w:val="00366181"/>
    <w:rsid w:val="00371341"/>
    <w:rsid w:val="003E660A"/>
    <w:rsid w:val="00421CBD"/>
    <w:rsid w:val="0047214E"/>
    <w:rsid w:val="00475E15"/>
    <w:rsid w:val="0050525D"/>
    <w:rsid w:val="00541638"/>
    <w:rsid w:val="005D2434"/>
    <w:rsid w:val="005D746A"/>
    <w:rsid w:val="005F6FC9"/>
    <w:rsid w:val="00681F00"/>
    <w:rsid w:val="00695755"/>
    <w:rsid w:val="006D62AA"/>
    <w:rsid w:val="00711012"/>
    <w:rsid w:val="00737A3A"/>
    <w:rsid w:val="00780676"/>
    <w:rsid w:val="00792076"/>
    <w:rsid w:val="007A7984"/>
    <w:rsid w:val="007B69F3"/>
    <w:rsid w:val="007C76A2"/>
    <w:rsid w:val="007C7DE3"/>
    <w:rsid w:val="008F26FE"/>
    <w:rsid w:val="009A0E38"/>
    <w:rsid w:val="00A7216B"/>
    <w:rsid w:val="00A94BEE"/>
    <w:rsid w:val="00AD3559"/>
    <w:rsid w:val="00AF1B3E"/>
    <w:rsid w:val="00B0468E"/>
    <w:rsid w:val="00B16F3B"/>
    <w:rsid w:val="00B22D0B"/>
    <w:rsid w:val="00B97F52"/>
    <w:rsid w:val="00C24B26"/>
    <w:rsid w:val="00C376A5"/>
    <w:rsid w:val="00C42B86"/>
    <w:rsid w:val="00C72505"/>
    <w:rsid w:val="00CC07FF"/>
    <w:rsid w:val="00CD069F"/>
    <w:rsid w:val="00D17F3B"/>
    <w:rsid w:val="00D23F38"/>
    <w:rsid w:val="00D70F64"/>
    <w:rsid w:val="00D9472C"/>
    <w:rsid w:val="00DA71B1"/>
    <w:rsid w:val="00E26233"/>
    <w:rsid w:val="00E77A46"/>
    <w:rsid w:val="00FA322E"/>
    <w:rsid w:val="00FD57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17F3B"/>
    <w:rPr>
      <w:color w:val="808080"/>
    </w:rPr>
  </w:style>
  <w:style w:type="paragraph" w:customStyle="1" w:styleId="566305F001154F7B83E076D8EC6AC77B">
    <w:name w:val="566305F001154F7B83E076D8EC6AC77B"/>
  </w:style>
  <w:style w:type="paragraph" w:customStyle="1" w:styleId="751F97C1CCE441D2A8B0143AE86EACFE">
    <w:name w:val="751F97C1CCE441D2A8B0143AE86EA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 dockstate="right" visibility="0" width="438" row="7">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FA9CC75-E608-4074-85E5-7BDB7BDE0C93}">
  <we:reference id="wa104381411" version="1.0.0.0" store="es-ES" storeType="OMEX"/>
  <we:alternateReferences>
    <we:reference id="wa104381411" version="1.0.0.0" store="WA10438141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EC5F9B1-FF58-489B-A23C-5153D2703146}">
  <we:reference id="wa104312191" version="1.2.0.0" store="en-US" storeType="OMEX"/>
  <we:alternateReferences>
    <we:reference id="WA10431219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14</TotalTime>
  <Pages>1</Pages>
  <Words>12198</Words>
  <Characters>67095</Characters>
  <Application>Microsoft Office Word</Application>
  <DocSecurity>0</DocSecurity>
  <Lines>559</Lines>
  <Paragraphs>158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3.B.25</vt:lpstr>
      <vt:lpstr>TEMA E.P.NN</vt:lpstr>
    </vt:vector>
  </TitlesOfParts>
  <Company/>
  <LinksUpToDate>false</LinksUpToDate>
  <CharactersWithSpaces>79135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3.B.25</dc:title>
  <dc:subject>Análisis de los instrumentos y de los mercados de derivados.</dc:subject>
  <dc:creator>Víctor Gutiérrez Marcos</dc:creator>
  <cp:keywords/>
  <dc:description/>
  <cp:lastModifiedBy>Víctor Gutiérrez Marcos</cp:lastModifiedBy>
  <dcterms:created xsi:type="dcterms:W3CDTF">2024-07-31T21:44:00Z</dcterms:created>
  <dcterms:modified xsi:type="dcterms:W3CDTF">2024-08-10T20:46:00Z</dcterms:modified>
</cp:coreProperties>
</file>