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F99F3A" w14:textId="4BAA8A4C" w:rsidR="00307C23" w:rsidRDefault="00000000" w:rsidP="004C0C34">
      <w:pPr>
        <w:pStyle w:val="Ttulo"/>
      </w:pPr>
      <w:sdt>
        <w:sdtPr>
          <w:rPr>
            <w:i/>
            <w:iCs w:val="0"/>
            <w:u w:val="single"/>
          </w:rPr>
          <w:alias w:val="Title"/>
          <w:tag w:val=""/>
          <w:id w:val="-780801520"/>
          <w:placeholder>
            <w:docPart w:val="AC3D6AB95BC545539D03FDF100C087D0"/>
          </w:placeholder>
          <w:dataBinding w:prefixMappings="xmlns:ns0='http://purl.org/dc/elements/1.1/' xmlns:ns1='http://schemas.openxmlformats.org/package/2006/metadata/core-properties' " w:xpath="/ns1:coreProperties[1]/ns0:title[1]" w:storeItemID="{6C3C8BC8-F283-45AE-878A-BAB7291924A1}"/>
          <w:text/>
        </w:sdtPr>
        <w:sdtContent>
          <w:r w:rsidR="00CB167C">
            <w:rPr>
              <w:i/>
              <w:iCs w:val="0"/>
              <w:u w:val="single"/>
            </w:rPr>
            <w:t>3.B.23</w:t>
          </w:r>
        </w:sdtContent>
      </w:sdt>
      <w:r w:rsidR="00C851DA">
        <w:t xml:space="preserve"> :</w:t>
      </w:r>
      <w:r w:rsidR="00C81078" w:rsidRPr="004C0C34">
        <w:t xml:space="preserve"> </w:t>
      </w:r>
      <w:sdt>
        <w:sdtPr>
          <w:alias w:val="Subject"/>
          <w:tag w:val=""/>
          <w:id w:val="-1903059896"/>
          <w:placeholder>
            <w:docPart w:val="0C1D729B9ADA473EB7F2B4E4D7E464D3"/>
          </w:placeholder>
          <w:dataBinding w:prefixMappings="xmlns:ns0='http://purl.org/dc/elements/1.1/' xmlns:ns1='http://schemas.openxmlformats.org/package/2006/metadata/core-properties' " w:xpath="/ns1:coreProperties[1]/ns0:subject[1]" w:storeItemID="{6C3C8BC8-F283-45AE-878A-BAB7291924A1}"/>
          <w:text/>
        </w:sdtPr>
        <w:sdtContent>
          <w:r w:rsidR="00CB167C">
            <w:t>Análisis de los instrumentos financieros de renta variable. Análisis fundamental. Teoría de la elección de cartera. El modelo de valoración de activos de capital (CAPM). La teoría de valoración de activos por arbitraje (APT). Análisis técnico.</w:t>
          </w:r>
        </w:sdtContent>
      </w:sdt>
    </w:p>
    <w:p w14:paraId="4AF899A9" w14:textId="77777777" w:rsidR="009A250C" w:rsidRDefault="009A250C" w:rsidP="009A250C">
      <w:pPr>
        <w:pStyle w:val="Notaalopositor"/>
        <w:spacing w:after="0"/>
      </w:pPr>
      <w:bookmarkStart w:id="0" w:name="_Hlk111398052"/>
      <w:bookmarkStart w:id="1" w:name="_Hlk123131219"/>
      <w:r>
        <w:t>Con el cambio de temario, a partir de la convocatoria de 2023 este tema pasará a ser:</w:t>
      </w:r>
    </w:p>
    <w:p w14:paraId="3E2BCF1F" w14:textId="7FBFE8F5" w:rsidR="009A250C" w:rsidRDefault="009A250C" w:rsidP="009A250C">
      <w:pPr>
        <w:pStyle w:val="Notaalopositor"/>
      </w:pPr>
      <w:r>
        <w:t>3.B.23: Análisis de los instrumentos financieros de renta variable. Análisis fundamental. Teoría de la elección de cartera. El modelo de valoración de activos de capital (CAPM). La teoría de valoración de activos por arbitraje (APT). Análisis técnico.</w:t>
      </w:r>
    </w:p>
    <w:p w14:paraId="31B5B33A" w14:textId="77777777" w:rsidR="009A250C" w:rsidRDefault="009A250C" w:rsidP="009A250C">
      <w:pPr>
        <w:pStyle w:val="Notaalopositor"/>
        <w:spacing w:after="0"/>
      </w:pPr>
      <w:r>
        <w:t xml:space="preserve">De este modo, con lo escrito en este documento estaría </w:t>
      </w:r>
      <w:r>
        <w:rPr>
          <w:b/>
          <w:bCs/>
        </w:rPr>
        <w:t>actualizado</w:t>
      </w:r>
      <w:r w:rsidRPr="00CC188F">
        <w:rPr>
          <w:bCs/>
        </w:rPr>
        <w:t>.</w:t>
      </w:r>
      <w:bookmarkEnd w:id="0"/>
    </w:p>
    <w:bookmarkEnd w:id="1"/>
    <w:p w14:paraId="6D8C7C88" w14:textId="4E7FE167" w:rsidR="009A250C" w:rsidRPr="009A250C" w:rsidRDefault="009A250C" w:rsidP="009A250C">
      <w:pPr>
        <w:pStyle w:val="Notaalopositor"/>
        <w:jc w:val="center"/>
      </w:pPr>
      <w:r w:rsidRPr="009A250C">
        <w:rPr>
          <w:noProof/>
        </w:rPr>
        <w:drawing>
          <wp:inline distT="0" distB="0" distL="0" distR="0" wp14:anchorId="257B99F1" wp14:editId="22390D0D">
            <wp:extent cx="2880000" cy="2593488"/>
            <wp:effectExtent l="0" t="0" r="0" b="0"/>
            <wp:docPr id="12" name="Imagen 1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Tabla&#10;&#10;Descripción generada automáticamente"/>
                    <pic:cNvPicPr/>
                  </pic:nvPicPr>
                  <pic:blipFill>
                    <a:blip r:embed="rId8"/>
                    <a:stretch>
                      <a:fillRect/>
                    </a:stretch>
                  </pic:blipFill>
                  <pic:spPr>
                    <a:xfrm>
                      <a:off x="0" y="0"/>
                      <a:ext cx="2880000" cy="2593488"/>
                    </a:xfrm>
                    <a:prstGeom prst="rect">
                      <a:avLst/>
                    </a:prstGeom>
                  </pic:spPr>
                </pic:pic>
              </a:graphicData>
            </a:graphic>
          </wp:inline>
        </w:drawing>
      </w:r>
    </w:p>
    <w:p w14:paraId="03ED0C4A" w14:textId="573BB7B5" w:rsidR="00A02FA6" w:rsidRDefault="0021774E" w:rsidP="00A02FA6">
      <w:pPr>
        <w:pStyle w:val="Introduccinyconclusin"/>
        <w:rPr>
          <w:rStyle w:val="IntroduccinyconclusinChar"/>
          <w:b/>
          <w:bCs/>
          <w:caps/>
          <w:shd w:val="clear" w:color="auto" w:fill="auto"/>
        </w:rPr>
      </w:pPr>
      <w:bookmarkStart w:id="2" w:name="_Toc55382054"/>
      <w:bookmarkStart w:id="3" w:name="_Toc55382089"/>
      <w:bookmarkStart w:id="4" w:name="_Toc55382517"/>
      <w:bookmarkStart w:id="5" w:name="_Toc55382751"/>
      <w:r w:rsidRPr="00B9022F">
        <w:t>I</w:t>
      </w:r>
      <w:r w:rsidRPr="00B9022F">
        <w:rPr>
          <w:rStyle w:val="IntroduccinyconclusinChar"/>
          <w:b/>
          <w:bCs/>
          <w:caps/>
          <w:shd w:val="clear" w:color="auto" w:fill="auto"/>
        </w:rPr>
        <w:t>NTRODUCCIÓN</w:t>
      </w:r>
      <w:bookmarkEnd w:id="2"/>
      <w:bookmarkEnd w:id="3"/>
      <w:bookmarkEnd w:id="4"/>
      <w:bookmarkEnd w:id="5"/>
    </w:p>
    <w:bookmarkEnd w:id="6"/>
    <w:p w14:paraId="48746C29" w14:textId="69B15B7F" w:rsidR="00784095" w:rsidRDefault="00B77C0F" w:rsidP="001675F6">
      <w:pPr>
        <w:pStyle w:val="Nivel1"/>
        <w:keepNext/>
        <w:spacing w:before="0" w:after="0"/>
      </w:pPr>
      <w:r w:rsidRPr="0093444D">
        <w:rPr>
          <w:b/>
          <w:bCs/>
          <w:i/>
          <w:iCs/>
        </w:rPr>
        <w:t>Enganche</w:t>
      </w:r>
      <w:r>
        <w:t>:</w:t>
      </w:r>
    </w:p>
    <w:p w14:paraId="235D865A" w14:textId="12C4523D" w:rsidR="00BB0226" w:rsidRDefault="00BB0226" w:rsidP="00BB0226">
      <w:pPr>
        <w:pStyle w:val="Nivel2"/>
      </w:pPr>
      <w:bookmarkStart w:id="7" w:name="_Hlk100945283"/>
      <w:r>
        <w:t>Imaginemos a un individuo que actualmente trabaja y recibe una renta por ello, pero que no desea gastarla completamente para poder continuar consumiendo sus bienes preferidos en el futuro</w:t>
      </w:r>
      <w:r w:rsidR="008E7480">
        <w:t xml:space="preserve"> y</w:t>
      </w:r>
      <w:r>
        <w:t xml:space="preserve"> le gustaría obtener una rentabilidad por su ahorro.</w:t>
      </w:r>
    </w:p>
    <w:p w14:paraId="55F80163" w14:textId="77777777" w:rsidR="00BB0226" w:rsidRPr="00DE4328" w:rsidRDefault="00BB0226" w:rsidP="00BB0226">
      <w:pPr>
        <w:pStyle w:val="Nivel2"/>
        <w:keepNext/>
        <w:spacing w:after="0"/>
        <w:rPr>
          <w:spacing w:val="-3"/>
        </w:rPr>
      </w:pPr>
      <w:r w:rsidRPr="00DE4328">
        <w:rPr>
          <w:spacing w:val="-3"/>
        </w:rPr>
        <w:t>Imaginemos una empresa que acaba de idear un nuevo producto, pero que necesita de liquidez para poder comprar la maquinaria necesaria para poder hacer su proyecto realidad.</w:t>
      </w:r>
    </w:p>
    <w:p w14:paraId="265A12E0" w14:textId="77777777" w:rsidR="00BB0226" w:rsidRDefault="00BB0226" w:rsidP="00BB0226">
      <w:pPr>
        <w:pStyle w:val="Nivel3"/>
        <w:keepNext/>
      </w:pPr>
      <w:r>
        <w:t>Si este individuo pudiera prestar a la empresa a cambio de obtener la rentabilidad deseada en el futuro, ambos agentes saldrían beneficiados de la operación.</w:t>
      </w:r>
    </w:p>
    <w:p w14:paraId="6892E208" w14:textId="77777777" w:rsidR="00BB0226" w:rsidRDefault="00BB0226" w:rsidP="00BB0226">
      <w:pPr>
        <w:pStyle w:val="Nivel4"/>
      </w:pPr>
      <w:r>
        <w:t>El individuo obtendría una rentabilidad positiva de sus ahorros en el futuro.</w:t>
      </w:r>
    </w:p>
    <w:p w14:paraId="65F631C2" w14:textId="0DAA8CE6" w:rsidR="00BB0226" w:rsidRDefault="00BB0226" w:rsidP="00BB0226">
      <w:pPr>
        <w:pStyle w:val="Nivel4"/>
      </w:pPr>
      <w:r>
        <w:t>La empresa conseguiría la liquidez necesaria para poder llevar a cabo su proyecto hoy y obtener beneficios por ello.</w:t>
      </w:r>
    </w:p>
    <w:p w14:paraId="3C29277F" w14:textId="77777777" w:rsidR="00873620" w:rsidRDefault="00873620" w:rsidP="00873620">
      <w:pPr>
        <w:pStyle w:val="Nivel2"/>
      </w:pPr>
      <w:r>
        <w:t>E</w:t>
      </w:r>
      <w:r w:rsidRPr="008D6988">
        <w:t xml:space="preserve">n sentido general, el </w:t>
      </w:r>
      <w:r w:rsidRPr="00B027A2">
        <w:rPr>
          <w:i/>
          <w:iCs/>
        </w:rPr>
        <w:t>sistema financiero</w:t>
      </w:r>
      <w:r w:rsidRPr="008D6988">
        <w:t xml:space="preserve"> está formado por el conjunto de instituciones, medios y mercados, cuyo fin primordial es canalizar el ahorro que generan las unidades de gasto con superávit hacia los prestatarios o unidades de gasto con déficit.</w:t>
      </w:r>
      <w:r>
        <w:t xml:space="preserve"> Del estudio de estas cuestiones se encarga la </w:t>
      </w:r>
      <w:r w:rsidRPr="00B027A2">
        <w:rPr>
          <w:b/>
          <w:bCs/>
          <w:i/>
          <w:iCs/>
        </w:rPr>
        <w:t>economía financiera</w:t>
      </w:r>
      <w:r>
        <w:t>.</w:t>
      </w:r>
    </w:p>
    <w:p w14:paraId="5C184898" w14:textId="77777777" w:rsidR="00524322" w:rsidRDefault="00524322" w:rsidP="00524322">
      <w:pPr>
        <w:pStyle w:val="Nivel2"/>
        <w:keepNext/>
        <w:spacing w:after="0"/>
      </w:pPr>
      <w:bookmarkStart w:id="8" w:name="_Hlk69203938"/>
      <w:r>
        <w:t xml:space="preserve">En los </w:t>
      </w:r>
      <w:r w:rsidRPr="006454BF">
        <w:rPr>
          <w:i/>
          <w:iCs/>
          <w:u w:val="single"/>
        </w:rPr>
        <w:t>mercados financieros</w:t>
      </w:r>
      <w:r>
        <w:t xml:space="preserve"> se encuentran distintos tipos de agentes:</w:t>
      </w:r>
    </w:p>
    <w:p w14:paraId="2AA5CADC" w14:textId="2107B044" w:rsidR="00524322" w:rsidRPr="00BD7C5D" w:rsidRDefault="00524322" w:rsidP="00524322">
      <w:pPr>
        <w:pStyle w:val="Nivel3"/>
        <w:ind w:left="1560"/>
      </w:pPr>
      <w:r w:rsidRPr="00BD7C5D">
        <w:t xml:space="preserve">Por un lado, existen agentes que poseen ahorros y que desean invertir, por lo que toman </w:t>
      </w:r>
      <w:r w:rsidRPr="00BD7C5D">
        <w:rPr>
          <w:b/>
          <w:bCs/>
        </w:rPr>
        <w:t>decisiones de inversión</w:t>
      </w:r>
      <w:r w:rsidRPr="00BD7C5D">
        <w:t xml:space="preserve"> en activos financieros</w:t>
      </w:r>
      <w:r w:rsidR="008E7480">
        <w:rPr>
          <w:rStyle w:val="Refdenotaalpie"/>
        </w:rPr>
        <w:footnoteReference w:id="2"/>
      </w:r>
      <w:r w:rsidRPr="00BD7C5D">
        <w:t>.</w:t>
      </w:r>
    </w:p>
    <w:p w14:paraId="35641305" w14:textId="77777777" w:rsidR="00524322" w:rsidRDefault="00524322" w:rsidP="00524322">
      <w:pPr>
        <w:pStyle w:val="Nivel3"/>
        <w:ind w:left="1560"/>
      </w:pPr>
      <w:r w:rsidRPr="00BD7C5D">
        <w:lastRenderedPageBreak/>
        <w:t xml:space="preserve">Por otro lado, existen un conjunto de agentes que demandan liquidez y buscan financiación, por lo que toman </w:t>
      </w:r>
      <w:r w:rsidRPr="00BD7C5D">
        <w:rPr>
          <w:b/>
          <w:bCs/>
        </w:rPr>
        <w:t>decisiones de financiación</w:t>
      </w:r>
      <w:r w:rsidRPr="00BD7C5D">
        <w:t xml:space="preserve"> mediante activos financieros.</w:t>
      </w:r>
    </w:p>
    <w:p w14:paraId="5B3A6A07" w14:textId="42674BA0" w:rsidR="00524322" w:rsidRDefault="00524322" w:rsidP="00524322">
      <w:pPr>
        <w:pStyle w:val="Nivel2"/>
        <w:keepNext/>
        <w:spacing w:after="0"/>
      </w:pPr>
      <w:r>
        <w:t xml:space="preserve">Comúnmente, distinguimos </w:t>
      </w:r>
      <w:r w:rsidR="007D1E41">
        <w:t>3 </w:t>
      </w:r>
      <w:r>
        <w:t>tipos de activos financieros:</w:t>
      </w:r>
    </w:p>
    <w:p w14:paraId="6B0265C2" w14:textId="5B75EF45" w:rsidR="00524322" w:rsidRDefault="00524322" w:rsidP="00DD4A39">
      <w:pPr>
        <w:pStyle w:val="Nivel3"/>
      </w:pPr>
      <w:bookmarkStart w:id="9" w:name="_Hlk94901612"/>
      <w:r w:rsidRPr="008330D9">
        <w:rPr>
          <w:i/>
          <w:iCs/>
          <w:u w:val="single"/>
        </w:rPr>
        <w:t>Activos financieros de renta variable</w:t>
      </w:r>
      <w:r w:rsidR="00AA46F7" w:rsidRPr="009E04AF">
        <w:t xml:space="preserve"> </w:t>
      </w:r>
      <w:r w:rsidR="00AA46F7" w:rsidRPr="002058C9">
        <w:rPr>
          <w:color w:val="767171" w:themeColor="background2" w:themeShade="80"/>
          <w:sz w:val="19"/>
          <w:szCs w:val="19"/>
        </w:rPr>
        <w:t>[</w:t>
      </w:r>
      <w:r w:rsidR="00AA46F7">
        <w:rPr>
          <w:color w:val="767171" w:themeColor="background2" w:themeShade="80"/>
          <w:sz w:val="19"/>
          <w:szCs w:val="19"/>
        </w:rPr>
        <w:t>3.B.2</w:t>
      </w:r>
      <w:r w:rsidR="00131DD7">
        <w:rPr>
          <w:color w:val="767171" w:themeColor="background2" w:themeShade="80"/>
          <w:sz w:val="19"/>
          <w:szCs w:val="19"/>
        </w:rPr>
        <w:t>3</w:t>
      </w:r>
      <w:r w:rsidR="00AA46F7" w:rsidRPr="002058C9">
        <w:rPr>
          <w:color w:val="767171" w:themeColor="background2" w:themeShade="80"/>
          <w:sz w:val="19"/>
          <w:szCs w:val="19"/>
        </w:rPr>
        <w:t>]</w:t>
      </w:r>
      <w:r>
        <w:t>:</w:t>
      </w:r>
      <w:r w:rsidRPr="008330D9">
        <w:t xml:space="preserve"> </w:t>
      </w:r>
      <w:r w:rsidR="007D0938">
        <w:t>C</w:t>
      </w:r>
      <w:r w:rsidRPr="008330D9">
        <w:t>onllevan derechos de propiedad y su remuneración depende de la evolución económico-financiera del emisor.</w:t>
      </w:r>
    </w:p>
    <w:p w14:paraId="5606ADCC" w14:textId="1655F697" w:rsidR="00524322" w:rsidRDefault="00524322" w:rsidP="00DD4A39">
      <w:pPr>
        <w:pStyle w:val="Nivel3"/>
      </w:pPr>
      <w:r w:rsidRPr="008330D9">
        <w:rPr>
          <w:i/>
          <w:iCs/>
          <w:u w:val="single"/>
        </w:rPr>
        <w:t>Activos financieros de renta fija</w:t>
      </w:r>
      <w:r w:rsidR="00AA46F7" w:rsidRPr="009E04AF">
        <w:t xml:space="preserve"> </w:t>
      </w:r>
      <w:r w:rsidR="00AA46F7" w:rsidRPr="002058C9">
        <w:rPr>
          <w:color w:val="767171" w:themeColor="background2" w:themeShade="80"/>
          <w:sz w:val="19"/>
          <w:szCs w:val="19"/>
        </w:rPr>
        <w:t>[</w:t>
      </w:r>
      <w:r w:rsidR="00AA46F7">
        <w:rPr>
          <w:color w:val="767171" w:themeColor="background2" w:themeShade="80"/>
          <w:sz w:val="19"/>
          <w:szCs w:val="19"/>
        </w:rPr>
        <w:t>3.B.2</w:t>
      </w:r>
      <w:r w:rsidR="00131DD7">
        <w:rPr>
          <w:color w:val="767171" w:themeColor="background2" w:themeShade="80"/>
          <w:sz w:val="19"/>
          <w:szCs w:val="19"/>
        </w:rPr>
        <w:t>4</w:t>
      </w:r>
      <w:r w:rsidR="00AA46F7" w:rsidRPr="002058C9">
        <w:rPr>
          <w:color w:val="767171" w:themeColor="background2" w:themeShade="80"/>
          <w:sz w:val="19"/>
          <w:szCs w:val="19"/>
        </w:rPr>
        <w:t>]</w:t>
      </w:r>
      <w:r>
        <w:t xml:space="preserve">: </w:t>
      </w:r>
      <w:r w:rsidR="007D0938">
        <w:rPr>
          <w:spacing w:val="-4"/>
        </w:rPr>
        <w:t>N</w:t>
      </w:r>
      <w:r w:rsidRPr="007C6252">
        <w:rPr>
          <w:spacing w:val="-4"/>
        </w:rPr>
        <w:t>o</w:t>
      </w:r>
      <w:r w:rsidRPr="008330D9">
        <w:rPr>
          <w:spacing w:val="-4"/>
        </w:rPr>
        <w:t xml:space="preserve"> conllevan derechos de propiedad y su remuneración </w:t>
      </w:r>
      <w:r w:rsidRPr="007D0938">
        <w:t>no</w:t>
      </w:r>
      <w:r w:rsidRPr="004D196A">
        <w:t xml:space="preserve"> depende de la evolución económico-financiera del emisor</w:t>
      </w:r>
      <w:r>
        <w:t>, sino que viene especificada por una fórmula</w:t>
      </w:r>
      <w:r w:rsidRPr="004D196A">
        <w:t>.</w:t>
      </w:r>
    </w:p>
    <w:p w14:paraId="594661B8" w14:textId="43E4461D" w:rsidR="00524322" w:rsidRDefault="00524322" w:rsidP="00DD4A39">
      <w:pPr>
        <w:pStyle w:val="Nivel3"/>
      </w:pPr>
      <w:bookmarkStart w:id="10" w:name="_Hlk94901810"/>
      <w:r>
        <w:rPr>
          <w:i/>
          <w:iCs/>
          <w:u w:val="single"/>
        </w:rPr>
        <w:t>Instrumentos d</w:t>
      </w:r>
      <w:r w:rsidRPr="00737BBA">
        <w:rPr>
          <w:i/>
          <w:iCs/>
          <w:u w:val="single"/>
        </w:rPr>
        <w:t>erivados</w:t>
      </w:r>
      <w:r w:rsidR="00AA46F7" w:rsidRPr="009E04AF">
        <w:t xml:space="preserve"> </w:t>
      </w:r>
      <w:r w:rsidR="00AA46F7" w:rsidRPr="002058C9">
        <w:rPr>
          <w:color w:val="767171" w:themeColor="background2" w:themeShade="80"/>
          <w:sz w:val="19"/>
          <w:szCs w:val="19"/>
        </w:rPr>
        <w:t>[</w:t>
      </w:r>
      <w:r w:rsidR="00AA46F7">
        <w:rPr>
          <w:color w:val="767171" w:themeColor="background2" w:themeShade="80"/>
          <w:sz w:val="19"/>
          <w:szCs w:val="19"/>
        </w:rPr>
        <w:t>3.B.2</w:t>
      </w:r>
      <w:r w:rsidR="00131DD7">
        <w:rPr>
          <w:color w:val="767171" w:themeColor="background2" w:themeShade="80"/>
          <w:sz w:val="19"/>
          <w:szCs w:val="19"/>
        </w:rPr>
        <w:t>5</w:t>
      </w:r>
      <w:r w:rsidR="00AA46F7" w:rsidRPr="002058C9">
        <w:rPr>
          <w:color w:val="767171" w:themeColor="background2" w:themeShade="80"/>
          <w:sz w:val="19"/>
          <w:szCs w:val="19"/>
        </w:rPr>
        <w:t>]</w:t>
      </w:r>
      <w:r>
        <w:t xml:space="preserve">: </w:t>
      </w:r>
      <w:bookmarkStart w:id="11" w:name="_Hlk94901835"/>
      <w:r w:rsidR="007D0938">
        <w:t>S</w:t>
      </w:r>
      <w:r>
        <w:t>on instrumentos financieros cuyo valor está en función (se deriva</w:t>
      </w:r>
      <w:r w:rsidR="00E95DF4">
        <w:t>)</w:t>
      </w:r>
      <w:r>
        <w:t xml:space="preserve"> de la rentabilidad o valor de otro activo llamado </w:t>
      </w:r>
      <w:r>
        <w:rPr>
          <w:i/>
          <w:iCs/>
        </w:rPr>
        <w:t>subyacente</w:t>
      </w:r>
      <w:r>
        <w:t>.</w:t>
      </w:r>
      <w:bookmarkEnd w:id="9"/>
      <w:bookmarkEnd w:id="11"/>
    </w:p>
    <w:bookmarkEnd w:id="10"/>
    <w:p w14:paraId="64BECBE7" w14:textId="1A09704F" w:rsidR="00155C88" w:rsidRDefault="00155C88" w:rsidP="008E7480">
      <w:pPr>
        <w:pStyle w:val="Nivel2"/>
        <w:keepNext/>
        <w:spacing w:after="0"/>
      </w:pPr>
      <w:r w:rsidRPr="00096437">
        <w:rPr>
          <w:i/>
          <w:iCs/>
        </w:rPr>
        <w:t>En esta exposición</w:t>
      </w:r>
      <w:r w:rsidR="008E7480">
        <w:t xml:space="preserve">, </w:t>
      </w:r>
      <w:r>
        <w:t xml:space="preserve">nos vamos a centrar en el mercado de </w:t>
      </w:r>
      <w:r>
        <w:rPr>
          <w:b/>
          <w:bCs/>
        </w:rPr>
        <w:t>renta variable</w:t>
      </w:r>
      <w:r>
        <w:t>.</w:t>
      </w:r>
    </w:p>
    <w:bookmarkEnd w:id="8"/>
    <w:p w14:paraId="06A15BB3" w14:textId="77777777" w:rsidR="00155C88" w:rsidRDefault="00155C88" w:rsidP="008E7480">
      <w:pPr>
        <w:pStyle w:val="Nivel3"/>
        <w:keepNext/>
      </w:pPr>
      <w:r>
        <w:t xml:space="preserve">Los instrumentos de renta variable son </w:t>
      </w:r>
      <w:r>
        <w:rPr>
          <w:b/>
          <w:bCs/>
        </w:rPr>
        <w:t>atractivos</w:t>
      </w:r>
      <w:r>
        <w:t xml:space="preserve"> tanto para los </w:t>
      </w:r>
      <w:r w:rsidRPr="00AC5AAF">
        <w:rPr>
          <w:b/>
          <w:bCs/>
        </w:rPr>
        <w:t>emisores</w:t>
      </w:r>
      <w:r>
        <w:t xml:space="preserve"> como para los </w:t>
      </w:r>
      <w:r w:rsidRPr="00AC5AAF">
        <w:rPr>
          <w:b/>
          <w:bCs/>
        </w:rPr>
        <w:t>inversores</w:t>
      </w:r>
      <w:r>
        <w:t>:</w:t>
      </w:r>
    </w:p>
    <w:p w14:paraId="7747A263" w14:textId="73C9A5C9" w:rsidR="00155C88" w:rsidRDefault="00155C88" w:rsidP="008E7480">
      <w:pPr>
        <w:pStyle w:val="Nivel4"/>
      </w:pPr>
      <w:r w:rsidRPr="0059192F">
        <w:rPr>
          <w:i/>
          <w:iCs/>
          <w:u w:val="single"/>
        </w:rPr>
        <w:t>Emisores</w:t>
      </w:r>
      <w:r>
        <w:t xml:space="preserve">: </w:t>
      </w:r>
      <w:r w:rsidR="008E7480">
        <w:t>E</w:t>
      </w:r>
      <w:r>
        <w:t xml:space="preserve">s una posible forma de obtener financiación. En qué medida le convenga a la empresa recurrir a esta vía estará muy relacionado con su visión sobre </w:t>
      </w:r>
      <w:r>
        <w:rPr>
          <w:i/>
          <w:iCs/>
        </w:rPr>
        <w:t>estructura óptima de capital</w:t>
      </w:r>
      <w:r w:rsidR="008E7480">
        <w:t xml:space="preserve"> </w:t>
      </w:r>
      <w:r w:rsidR="008E7480" w:rsidRPr="002058C9">
        <w:rPr>
          <w:color w:val="767171" w:themeColor="background2" w:themeShade="80"/>
          <w:sz w:val="19"/>
          <w:szCs w:val="19"/>
        </w:rPr>
        <w:t>[</w:t>
      </w:r>
      <w:r w:rsidR="008E7480">
        <w:rPr>
          <w:color w:val="767171" w:themeColor="background2" w:themeShade="80"/>
          <w:sz w:val="19"/>
          <w:szCs w:val="19"/>
        </w:rPr>
        <w:t>ver tema 3.B.3</w:t>
      </w:r>
      <w:r w:rsidR="008E7480" w:rsidRPr="002058C9">
        <w:rPr>
          <w:color w:val="767171" w:themeColor="background2" w:themeShade="80"/>
          <w:sz w:val="19"/>
          <w:szCs w:val="19"/>
        </w:rPr>
        <w:t>]</w:t>
      </w:r>
      <w:r w:rsidR="008E7480">
        <w:t>.</w:t>
      </w:r>
    </w:p>
    <w:p w14:paraId="122DB14B" w14:textId="11F2CA46" w:rsidR="00155C88" w:rsidRPr="008E7480" w:rsidRDefault="00155C88" w:rsidP="008E7480">
      <w:pPr>
        <w:pStyle w:val="Nivel4"/>
      </w:pPr>
      <w:r w:rsidRPr="0059192F">
        <w:rPr>
          <w:i/>
          <w:iCs/>
          <w:u w:val="single"/>
        </w:rPr>
        <w:t>Inversores</w:t>
      </w:r>
      <w:r>
        <w:t xml:space="preserve">: </w:t>
      </w:r>
      <w:r w:rsidR="008E7480">
        <w:t>C</w:t>
      </w:r>
      <w:r>
        <w:t>omo consecuencia de su mayor riesgo, la renta variable también suele ofrecer una mayor rentabilidad.</w:t>
      </w:r>
    </w:p>
    <w:bookmarkEnd w:id="7"/>
    <w:p w14:paraId="64F24DEE" w14:textId="3EA48073" w:rsidR="00330D34" w:rsidRDefault="00330D34" w:rsidP="004D196A">
      <w:pPr>
        <w:pStyle w:val="Nivel1"/>
        <w:keepNext/>
        <w:spacing w:after="0"/>
      </w:pPr>
      <w:r>
        <w:rPr>
          <w:b/>
          <w:bCs/>
          <w:i/>
          <w:iCs/>
        </w:rPr>
        <w:t>Relevancia</w:t>
      </w:r>
      <w:r w:rsidRPr="00330D34">
        <w:t>:</w:t>
      </w:r>
    </w:p>
    <w:p w14:paraId="1BDAD624" w14:textId="233542A1" w:rsidR="00330D34" w:rsidRDefault="00873620" w:rsidP="001054AD">
      <w:pPr>
        <w:pStyle w:val="Nivel2"/>
        <w:keepNext/>
        <w:spacing w:after="0"/>
      </w:pPr>
      <w:r>
        <w:t>P</w:t>
      </w:r>
      <w:r w:rsidR="00330D34">
        <w:t xml:space="preserve">odemos considerar que </w:t>
      </w:r>
      <w:r>
        <w:t xml:space="preserve">esta materia </w:t>
      </w:r>
      <w:r w:rsidR="00330D34">
        <w:t>es de doble importancia:</w:t>
      </w:r>
    </w:p>
    <w:p w14:paraId="3555E158" w14:textId="3AC87601" w:rsidR="00330D34" w:rsidRDefault="00330D34" w:rsidP="001054AD">
      <w:pPr>
        <w:pStyle w:val="Nivel3"/>
        <w:keepNext/>
        <w:ind w:left="1560"/>
      </w:pPr>
      <w:r w:rsidRPr="00116C0C">
        <w:rPr>
          <w:i/>
          <w:iCs/>
          <w:u w:val="single"/>
        </w:rPr>
        <w:t>A nivel microeconómico</w:t>
      </w:r>
      <w:r>
        <w:t>, ya que los mercados financieros van a jugar un papel fundamental a la hora de permitir a los agentes transferir recursos entre per</w:t>
      </w:r>
      <w:r w:rsidR="00D46625">
        <w:t>i</w:t>
      </w:r>
      <w:r>
        <w:t>odos.</w:t>
      </w:r>
    </w:p>
    <w:p w14:paraId="3AB2C4A3" w14:textId="64679CA0" w:rsidR="00330D34" w:rsidRDefault="00330D34" w:rsidP="00873620">
      <w:pPr>
        <w:pStyle w:val="Nivel4"/>
      </w:pPr>
      <w:r>
        <w:t xml:space="preserve">Esto implicará que las inversiones dependan fundamentalmente de </w:t>
      </w:r>
      <w:r w:rsidR="00751729">
        <w:t>2 </w:t>
      </w:r>
      <w:r>
        <w:t xml:space="preserve">conceptos económicos fundamentales: el </w:t>
      </w:r>
      <w:r>
        <w:rPr>
          <w:i/>
          <w:iCs/>
        </w:rPr>
        <w:t>tiempo</w:t>
      </w:r>
      <w:r>
        <w:t xml:space="preserve"> y el </w:t>
      </w:r>
      <w:r>
        <w:rPr>
          <w:i/>
          <w:iCs/>
        </w:rPr>
        <w:t>riesgo</w:t>
      </w:r>
      <w:r>
        <w:t>.</w:t>
      </w:r>
    </w:p>
    <w:p w14:paraId="772E689E" w14:textId="77777777" w:rsidR="00330D34" w:rsidRPr="00065E48" w:rsidRDefault="00330D34" w:rsidP="00330D34">
      <w:pPr>
        <w:pStyle w:val="Nivel3"/>
        <w:ind w:left="1560"/>
      </w:pPr>
      <w:r>
        <w:rPr>
          <w:i/>
          <w:iCs/>
          <w:u w:val="single"/>
        </w:rPr>
        <w:t xml:space="preserve">A </w:t>
      </w:r>
      <w:r w:rsidRPr="00116C0C">
        <w:rPr>
          <w:i/>
          <w:iCs/>
          <w:u w:val="single"/>
        </w:rPr>
        <w:t>nivel macroeconómico</w:t>
      </w:r>
      <w:r>
        <w:t>, ya que a nivel agregado estos mercados pueden ser claves para la evolución de los agregados económicos y en última instancia para el bienestar de los individuos.</w:t>
      </w:r>
    </w:p>
    <w:p w14:paraId="25F299CB" w14:textId="3675F955" w:rsidR="00A51B24" w:rsidRDefault="0093444D" w:rsidP="00CC5839">
      <w:pPr>
        <w:pStyle w:val="Nivel1"/>
        <w:keepNext/>
        <w:spacing w:after="0"/>
      </w:pPr>
      <w:r w:rsidRPr="0093444D">
        <w:rPr>
          <w:b/>
          <w:bCs/>
          <w:i/>
          <w:iCs/>
        </w:rPr>
        <w:t>Contextualización</w:t>
      </w:r>
      <w:r w:rsidR="00A51B24">
        <w:t>:</w:t>
      </w:r>
    </w:p>
    <w:p w14:paraId="4A9376C0" w14:textId="72C87525" w:rsidR="00155C88" w:rsidRDefault="007214DA" w:rsidP="00155C88">
      <w:pPr>
        <w:pStyle w:val="Nivel2"/>
        <w:keepNext/>
        <w:spacing w:after="0"/>
      </w:pPr>
      <w:r>
        <w:t xml:space="preserve">Desde un </w:t>
      </w:r>
      <w:r w:rsidRPr="00155C88">
        <w:rPr>
          <w:i/>
          <w:iCs/>
          <w:u w:val="single"/>
        </w:rPr>
        <w:t>punto de vista histórico</w:t>
      </w:r>
      <w:r>
        <w:t>, en los últimos 50</w:t>
      </w:r>
      <w:r w:rsidR="007D1E41">
        <w:t> </w:t>
      </w:r>
      <w:r>
        <w:t>años observamos una mayor globalización en los mercados internacionales de acciones: se difumina la segmentación entre mercados con la colocación global de las acciones.</w:t>
      </w:r>
    </w:p>
    <w:p w14:paraId="63B47957" w14:textId="54E9E2DE" w:rsidR="00555F62" w:rsidRDefault="00555F62" w:rsidP="00555F62">
      <w:pPr>
        <w:pStyle w:val="Nivel3"/>
        <w:keepNext/>
      </w:pPr>
      <w:r w:rsidRPr="00555F62">
        <w:rPr>
          <w:i/>
          <w:iCs/>
        </w:rPr>
        <w:t>Desde una perspectiva práctica</w:t>
      </w:r>
      <w:r>
        <w:t>,</w:t>
      </w:r>
    </w:p>
    <w:p w14:paraId="6E9BFBCF" w14:textId="3B130506" w:rsidR="007214DA" w:rsidRDefault="007214DA" w:rsidP="00555F62">
      <w:pPr>
        <w:pStyle w:val="Nivel4"/>
      </w:pPr>
      <w:r>
        <w:t>La globaliza</w:t>
      </w:r>
      <w:r w:rsidR="00155C88">
        <w:t>c</w:t>
      </w:r>
      <w:r>
        <w:t xml:space="preserve">ión de los mercados internacionales de acciones impulsó esfuerzos de convergencia entre las normas contables aplicadas a las empresas en los distintos mercados nacionales, para evitarles la obligación de tener que formular distintos estados contables en cada uno de los mercados en que cotizan. Ese impulso llevo a la creación del </w:t>
      </w:r>
      <w:r w:rsidR="00E640FF" w:rsidRPr="00E640FF">
        <w:rPr>
          <w:i/>
          <w:iCs/>
        </w:rPr>
        <w:t>International Accounting Standards Board</w:t>
      </w:r>
      <w:r w:rsidR="00E640FF">
        <w:t xml:space="preserve"> (IASB)</w:t>
      </w:r>
      <w:r>
        <w:t xml:space="preserve">, que elaboró y viene actualizando y ampliando </w:t>
      </w:r>
      <w:r w:rsidR="00E640FF" w:rsidRPr="00E640FF">
        <w:t xml:space="preserve">una serie de normas contables internacionalmente aceptadas, las </w:t>
      </w:r>
      <w:r w:rsidR="00E640FF" w:rsidRPr="00E640FF">
        <w:rPr>
          <w:i/>
          <w:iCs/>
        </w:rPr>
        <w:t>Normas Internacionales de Información Financiera</w:t>
      </w:r>
      <w:r w:rsidR="00E640FF" w:rsidRPr="00E640FF">
        <w:t xml:space="preserve"> (NIIF)</w:t>
      </w:r>
      <w:r w:rsidRPr="00E640FF">
        <w:rPr>
          <w:color w:val="767171" w:themeColor="background2" w:themeShade="80"/>
          <w:sz w:val="19"/>
          <w:szCs w:val="19"/>
        </w:rPr>
        <w:t xml:space="preserve"> [ver tema 3.B.1]</w:t>
      </w:r>
      <w:r>
        <w:t>.</w:t>
      </w:r>
    </w:p>
    <w:p w14:paraId="315F8ACC" w14:textId="2BB13891" w:rsidR="00155C88" w:rsidRDefault="00155C88" w:rsidP="00555F62">
      <w:pPr>
        <w:pStyle w:val="Nivel4"/>
      </w:pPr>
      <w:r>
        <w:t>Una de las tendencias actuales es la mayor implicación de inversores minoristas que operan a través de plataformas (p.ej. Robinhood, DEGIRO) y un mayor empleo de la gestión pasiva.</w:t>
      </w:r>
    </w:p>
    <w:p w14:paraId="00EF6620" w14:textId="758A7440" w:rsidR="00555F62" w:rsidRDefault="00555F62" w:rsidP="00555F62">
      <w:pPr>
        <w:pStyle w:val="Nivel3"/>
        <w:keepNext/>
      </w:pPr>
      <w:r>
        <w:lastRenderedPageBreak/>
        <w:t>Por otro lado</w:t>
      </w:r>
      <w:r w:rsidRPr="00555F62">
        <w:t>,</w:t>
      </w:r>
      <w:r>
        <w:rPr>
          <w:i/>
          <w:iCs/>
        </w:rPr>
        <w:t xml:space="preserve"> d</w:t>
      </w:r>
      <w:r w:rsidRPr="00555F62">
        <w:rPr>
          <w:i/>
          <w:iCs/>
        </w:rPr>
        <w:t>esde una perspectiva teórica</w:t>
      </w:r>
      <w:r>
        <w:t>,</w:t>
      </w:r>
    </w:p>
    <w:p w14:paraId="7B2D9783" w14:textId="1E2E087E" w:rsidR="00555F62" w:rsidRDefault="00555F62" w:rsidP="00555F62">
      <w:pPr>
        <w:pStyle w:val="Nivel4"/>
      </w:pPr>
      <w:r>
        <w:t xml:space="preserve">Es obligatorio mencionar a autores como </w:t>
      </w:r>
      <w:r>
        <w:rPr>
          <w:smallCaps/>
        </w:rPr>
        <w:t>Markowitz</w:t>
      </w:r>
      <w:r>
        <w:t xml:space="preserve">, </w:t>
      </w:r>
      <w:r>
        <w:rPr>
          <w:smallCaps/>
        </w:rPr>
        <w:t>Miller</w:t>
      </w:r>
      <w:r>
        <w:t xml:space="preserve"> y </w:t>
      </w:r>
      <w:r>
        <w:rPr>
          <w:smallCaps/>
        </w:rPr>
        <w:t>Modigliani</w:t>
      </w:r>
      <w:r>
        <w:t xml:space="preserve">, que dan pie a la </w:t>
      </w:r>
      <w:r>
        <w:rPr>
          <w:i/>
          <w:iCs/>
        </w:rPr>
        <w:t>Economía financiera</w:t>
      </w:r>
      <w:r>
        <w:t xml:space="preserve"> como rama de la teoría económica</w:t>
      </w:r>
      <w:r w:rsidR="001B58C3">
        <w:rPr>
          <w:rStyle w:val="Refdenotaalpie"/>
        </w:rPr>
        <w:footnoteReference w:id="3"/>
      </w:r>
      <w:r w:rsidR="00894955" w:rsidRPr="00894955">
        <w:rPr>
          <w:vertAlign w:val="superscript"/>
        </w:rPr>
        <w:t>,</w:t>
      </w:r>
      <w:r w:rsidR="00894955">
        <w:rPr>
          <w:rStyle w:val="Refdenotaalpie"/>
          <w:smallCaps/>
        </w:rPr>
        <w:footnoteReference w:id="4"/>
      </w:r>
      <w:r>
        <w:t>.</w:t>
      </w:r>
    </w:p>
    <w:p w14:paraId="1F1A7E25" w14:textId="00FFDBBE" w:rsidR="00555F62" w:rsidRDefault="00555F62" w:rsidP="00555F62">
      <w:pPr>
        <w:pStyle w:val="Nivel4"/>
      </w:pPr>
      <w:r>
        <w:rPr>
          <w:smallCaps/>
        </w:rPr>
        <w:t>Markowitz</w:t>
      </w:r>
      <w:r>
        <w:t xml:space="preserve"> será un economista pionero en la teoría de la selección de carteras. Este autor analiza la cartera que debe mantener un inversor en función de sus preferencias y riesgos mediante una aplicación de la </w:t>
      </w:r>
      <w:r>
        <w:rPr>
          <w:i/>
          <w:iCs/>
        </w:rPr>
        <w:t>T</w:t>
      </w:r>
      <w:r w:rsidRPr="004D79A6">
        <w:rPr>
          <w:i/>
          <w:iCs/>
        </w:rPr>
        <w:t xml:space="preserve">eoría de la </w:t>
      </w:r>
      <w:r>
        <w:rPr>
          <w:i/>
          <w:iCs/>
        </w:rPr>
        <w:t>U</w:t>
      </w:r>
      <w:r w:rsidRPr="004D79A6">
        <w:rPr>
          <w:i/>
          <w:iCs/>
        </w:rPr>
        <w:t xml:space="preserve">tilidad </w:t>
      </w:r>
      <w:r>
        <w:rPr>
          <w:i/>
          <w:iCs/>
        </w:rPr>
        <w:t>E</w:t>
      </w:r>
      <w:r w:rsidRPr="004D79A6">
        <w:rPr>
          <w:i/>
          <w:iCs/>
        </w:rPr>
        <w:t>sperada</w:t>
      </w:r>
      <w:r>
        <w:t xml:space="preserve"> del consumidor ante la existencia de riesgo </w:t>
      </w:r>
      <w:r w:rsidRPr="004D79A6">
        <w:rPr>
          <w:color w:val="767171" w:themeColor="background2" w:themeShade="80"/>
          <w:sz w:val="19"/>
          <w:szCs w:val="19"/>
        </w:rPr>
        <w:t>[ver tema 3.A.</w:t>
      </w:r>
      <w:r w:rsidR="00131DD7">
        <w:rPr>
          <w:color w:val="767171" w:themeColor="background2" w:themeShade="80"/>
          <w:sz w:val="19"/>
          <w:szCs w:val="19"/>
        </w:rPr>
        <w:t>10</w:t>
      </w:r>
      <w:r w:rsidRPr="004D79A6">
        <w:rPr>
          <w:color w:val="767171" w:themeColor="background2" w:themeShade="80"/>
          <w:sz w:val="19"/>
          <w:szCs w:val="19"/>
        </w:rPr>
        <w:t>]</w:t>
      </w:r>
      <w:r>
        <w:t>.</w:t>
      </w:r>
    </w:p>
    <w:p w14:paraId="4959F5D1" w14:textId="77777777" w:rsidR="004D196A" w:rsidRPr="004D196A" w:rsidRDefault="00B77C0F" w:rsidP="004D196A">
      <w:pPr>
        <w:pStyle w:val="Nivel1"/>
        <w:keepNext/>
        <w:spacing w:after="0"/>
        <w:rPr>
          <w:i/>
          <w:iCs/>
        </w:rPr>
      </w:pPr>
      <w:r w:rsidRPr="0093444D">
        <w:rPr>
          <w:b/>
          <w:bCs/>
          <w:i/>
          <w:iCs/>
        </w:rPr>
        <w:t>Problemática</w:t>
      </w:r>
      <w:r w:rsidR="0093444D">
        <w:rPr>
          <w:b/>
          <w:bCs/>
          <w:i/>
          <w:iCs/>
        </w:rPr>
        <w:t xml:space="preserve"> (Preguntas clave)</w:t>
      </w:r>
      <w:r w:rsidRPr="000A3137">
        <w:t>:</w:t>
      </w:r>
    </w:p>
    <w:p w14:paraId="40F4A984" w14:textId="4C00ECC2" w:rsidR="00A42628" w:rsidRPr="00BA2EC1" w:rsidRDefault="00AC5AAF" w:rsidP="004D196A">
      <w:pPr>
        <w:pStyle w:val="Nivel2"/>
        <w:rPr>
          <w:i/>
          <w:iCs/>
        </w:rPr>
      </w:pPr>
      <w:r w:rsidRPr="00AC5AAF">
        <w:t>¿</w:t>
      </w:r>
      <w:r w:rsidR="007350CB">
        <w:t>C</w:t>
      </w:r>
      <w:r w:rsidRPr="00AC5AAF">
        <w:t xml:space="preserve">ómo deciden los inversores en qué títulos de renta variable invertir? O dicho de otra forma: </w:t>
      </w:r>
      <w:r w:rsidRPr="00BA2EC1">
        <w:t>¿cómo determinan los inversores el valor de los títulos de renta variable?</w:t>
      </w:r>
    </w:p>
    <w:p w14:paraId="242B1C40" w14:textId="77777777" w:rsidR="007350CB" w:rsidRPr="00BA2EC1" w:rsidRDefault="007350CB" w:rsidP="007350CB">
      <w:pPr>
        <w:pStyle w:val="Nivel2"/>
        <w:spacing w:after="0"/>
      </w:pPr>
      <w:r w:rsidRPr="00BA2EC1">
        <w:t>¿Es posible ganar dinero en bolsa?</w:t>
      </w:r>
    </w:p>
    <w:p w14:paraId="52D47643" w14:textId="77777777" w:rsidR="007350CB" w:rsidRPr="00BA2EC1" w:rsidRDefault="007350CB" w:rsidP="007350CB">
      <w:pPr>
        <w:pStyle w:val="Nivel3"/>
      </w:pPr>
      <w:r w:rsidRPr="00BA2EC1">
        <w:t>¿Cómo justificamos una gestión pasiva de carteras?</w:t>
      </w:r>
    </w:p>
    <w:p w14:paraId="5A87BB59" w14:textId="394A8205" w:rsidR="007350CB" w:rsidRPr="00BA2EC1" w:rsidRDefault="007350CB" w:rsidP="007350CB">
      <w:pPr>
        <w:pStyle w:val="Nivel3"/>
      </w:pPr>
      <w:r w:rsidRPr="00BA2EC1">
        <w:t>¿Cómo justificamos una gestión activa de carteras?</w:t>
      </w:r>
    </w:p>
    <w:p w14:paraId="05181508" w14:textId="01C22FFF" w:rsidR="00A42628" w:rsidRPr="000A3137" w:rsidRDefault="0093444D" w:rsidP="004D196A">
      <w:pPr>
        <w:pStyle w:val="Nivel1"/>
        <w:keepNext/>
        <w:spacing w:after="0"/>
      </w:pPr>
      <w:r>
        <w:rPr>
          <w:b/>
          <w:bCs/>
          <w:i/>
          <w:iCs/>
        </w:rPr>
        <w:lastRenderedPageBreak/>
        <w:t>Estructura</w:t>
      </w:r>
      <w:r w:rsidR="00B77C0F" w:rsidRPr="000A3137">
        <w:t>:</w:t>
      </w:r>
    </w:p>
    <w:tbl>
      <w:tblPr>
        <w:tblStyle w:val="Tablaconcuadrcula"/>
        <w:tblW w:w="10715" w:type="dxa"/>
        <w:jc w:val="center"/>
        <w:tblLook w:val="04A0" w:firstRow="1" w:lastRow="0" w:firstColumn="1" w:lastColumn="0" w:noHBand="0" w:noVBand="1"/>
      </w:tblPr>
      <w:tblGrid>
        <w:gridCol w:w="10715"/>
      </w:tblGrid>
      <w:tr w:rsidR="0021774E" w14:paraId="321B1333" w14:textId="77777777" w:rsidTr="002B6EA4">
        <w:trPr>
          <w:jc w:val="center"/>
          <w:hidden/>
        </w:trPr>
        <w:tc>
          <w:tcPr>
            <w:tcW w:w="1071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7BA98E6A" w14:textId="77777777" w:rsidR="0081544B" w:rsidRPr="00CA6BEA" w:rsidRDefault="0081544B">
      <w:pPr>
        <w:rPr>
          <w:sz w:val="20"/>
          <w:highlight w:val="lightGray"/>
        </w:rPr>
      </w:pPr>
      <w:r>
        <w:rPr>
          <w:highlight w:val="lightGray"/>
        </w:rPr>
        <w:br w:type="page"/>
      </w:r>
    </w:p>
    <w:p w14:paraId="3991B3ED" w14:textId="31F77768" w:rsidR="004D79A6" w:rsidRDefault="004D79A6" w:rsidP="004D79A6">
      <w:pPr>
        <w:pStyle w:val="Apartado0"/>
      </w:pPr>
      <w:bookmarkStart w:id="12" w:name="_Toc123821289"/>
      <w:bookmarkStart w:id="13" w:name="_Toc144911933"/>
      <w:r>
        <w:lastRenderedPageBreak/>
        <w:t xml:space="preserve">ANÁLISIS DE LOS INSTRUMENTOS FINANCIEROS DE RENTA </w:t>
      </w:r>
      <w:bookmarkEnd w:id="12"/>
      <w:r w:rsidR="00FE3AFB">
        <w:t>VARIABLE</w:t>
      </w:r>
      <w:bookmarkEnd w:id="13"/>
    </w:p>
    <w:p w14:paraId="25B061A4" w14:textId="7DF24052" w:rsidR="004D79A6" w:rsidRPr="00281C0B" w:rsidRDefault="004D79A6">
      <w:pPr>
        <w:pStyle w:val="Ttulo2"/>
        <w:numPr>
          <w:ilvl w:val="1"/>
          <w:numId w:val="17"/>
        </w:numPr>
        <w:ind w:left="788" w:hanging="431"/>
      </w:pPr>
      <w:bookmarkStart w:id="14" w:name="_Toc123821290"/>
      <w:bookmarkStart w:id="15" w:name="_Toc144911934"/>
      <w:r>
        <w:t>Definición de instrumentos de renta variable</w:t>
      </w:r>
      <w:r w:rsidRPr="003F3A63">
        <w:rPr>
          <w:sz w:val="19"/>
          <w:szCs w:val="19"/>
        </w:rPr>
        <w:t xml:space="preserve"> (Diferencias entre renta fija y renta variable)</w:t>
      </w:r>
      <w:bookmarkEnd w:id="14"/>
      <w:bookmarkEnd w:id="15"/>
    </w:p>
    <w:p w14:paraId="7A9EA28C" w14:textId="77777777" w:rsidR="004D79A6" w:rsidRDefault="004D79A6">
      <w:pPr>
        <w:pStyle w:val="Ttulo6"/>
        <w:numPr>
          <w:ilvl w:val="0"/>
          <w:numId w:val="18"/>
        </w:numPr>
        <w:spacing w:before="0"/>
        <w:ind w:left="284" w:hanging="284"/>
      </w:pPr>
      <w:bookmarkStart w:id="16" w:name="_Toc144911935"/>
      <w:r>
        <w:t>Esquema de pagos o derechos económicos</w:t>
      </w:r>
      <w:bookmarkEnd w:id="16"/>
    </w:p>
    <w:p w14:paraId="32CECA20" w14:textId="50EBA01D" w:rsidR="004D79A6" w:rsidRDefault="004D79A6" w:rsidP="001675F6">
      <w:pPr>
        <w:pStyle w:val="Nivel2SM"/>
        <w:keepNext/>
        <w:spacing w:after="0"/>
      </w:pPr>
      <w:r w:rsidRPr="00C511BB">
        <w:t xml:space="preserve">La remuneración de los activos de </w:t>
      </w:r>
      <w:r w:rsidRPr="00281C0B">
        <w:rPr>
          <w:i/>
          <w:iCs/>
        </w:rPr>
        <w:t>renta variable</w:t>
      </w:r>
      <w:r w:rsidRPr="00C511BB">
        <w:t xml:space="preserve"> </w:t>
      </w:r>
      <w:r w:rsidRPr="00B466AE">
        <w:rPr>
          <w:b/>
          <w:bCs/>
        </w:rPr>
        <w:t>depende de la evolución económico-financiera del emisor</w:t>
      </w:r>
      <w:r w:rsidRPr="00C511BB">
        <w:t>.</w:t>
      </w:r>
    </w:p>
    <w:p w14:paraId="7A6A5A03" w14:textId="43862167" w:rsidR="004D79A6" w:rsidRDefault="004D79A6" w:rsidP="004D79A6">
      <w:pPr>
        <w:pStyle w:val="Nivel3SM"/>
      </w:pPr>
      <w:r>
        <w:t>Por lo tanto, la relación de pagos no está estipulada en una relación contractual entre el emisor y el inversor.</w:t>
      </w:r>
    </w:p>
    <w:p w14:paraId="422CEB71" w14:textId="77777777" w:rsidR="004D79A6" w:rsidRDefault="004D79A6" w:rsidP="004D79A6">
      <w:pPr>
        <w:pStyle w:val="Nivel2SM"/>
        <w:keepNext/>
        <w:spacing w:after="0"/>
      </w:pPr>
      <w:r w:rsidRPr="00C511BB">
        <w:t xml:space="preserve">En el caso de la </w:t>
      </w:r>
      <w:r w:rsidRPr="00C511BB">
        <w:rPr>
          <w:i/>
          <w:iCs/>
        </w:rPr>
        <w:t>renta fija</w:t>
      </w:r>
      <w:r w:rsidRPr="00C511BB">
        <w:t xml:space="preserve">, </w:t>
      </w:r>
      <w:r>
        <w:t xml:space="preserve">su relación de pagos están </w:t>
      </w:r>
      <w:r w:rsidRPr="004D79A6">
        <w:t>estipulados en una relación contractual</w:t>
      </w:r>
      <w:r>
        <w:t xml:space="preserve"> entre el emisor y el inversor.</w:t>
      </w:r>
    </w:p>
    <w:p w14:paraId="4C627D23" w14:textId="77777777" w:rsidR="00446577" w:rsidRDefault="004D79A6" w:rsidP="00E131D7">
      <w:pPr>
        <w:pStyle w:val="Nivel3SM"/>
      </w:pPr>
      <w:bookmarkStart w:id="17" w:name="_Hlk124409023"/>
      <w:r>
        <w:t xml:space="preserve">Así, </w:t>
      </w:r>
      <w:r w:rsidRPr="00446577">
        <w:rPr>
          <w:spacing w:val="-4"/>
        </w:rPr>
        <w:t xml:space="preserve">su remuneración </w:t>
      </w:r>
      <w:r w:rsidRPr="004D79A6">
        <w:t>no depende de la evolución económico-financiera del emisor, sino que vi</w:t>
      </w:r>
      <w:r w:rsidRPr="00C511BB">
        <w:t>ene especificada por una fórmula</w:t>
      </w:r>
      <w:r>
        <w:t>.</w:t>
      </w:r>
      <w:r w:rsidR="00446577">
        <w:t xml:space="preserve"> Por tanto, la relación de pagos, a diferencia del caso de la renta variable no depende del comportamiento del emisor ni de decisiones discrecionales de reparto de dividendos.</w:t>
      </w:r>
    </w:p>
    <w:p w14:paraId="3CB0EF7C" w14:textId="29D786FE" w:rsidR="00446577" w:rsidRDefault="00446577" w:rsidP="00446577">
      <w:pPr>
        <w:pStyle w:val="Nivel4"/>
        <w:ind w:left="1474"/>
      </w:pPr>
      <w:r>
        <w:t>Esto no quiere decir que estos instrumentos estén exentos de riesgo, pues se pueden dar casos de impago de la deuda (</w:t>
      </w:r>
      <w:r w:rsidRPr="00446577">
        <w:rPr>
          <w:i/>
          <w:iCs/>
        </w:rPr>
        <w:t>default</w:t>
      </w:r>
      <w:r>
        <w:t>).</w:t>
      </w:r>
    </w:p>
    <w:p w14:paraId="387B2D17" w14:textId="77777777" w:rsidR="004D79A6" w:rsidRDefault="004D79A6">
      <w:pPr>
        <w:pStyle w:val="Ttulo6"/>
        <w:numPr>
          <w:ilvl w:val="0"/>
          <w:numId w:val="18"/>
        </w:numPr>
        <w:ind w:left="284" w:hanging="284"/>
      </w:pPr>
      <w:bookmarkStart w:id="18" w:name="_Toc123821292"/>
      <w:bookmarkStart w:id="19" w:name="_Toc144911936"/>
      <w:bookmarkEnd w:id="17"/>
      <w:r>
        <w:t>Vencimiento y cupones</w:t>
      </w:r>
      <w:bookmarkEnd w:id="18"/>
      <w:bookmarkEnd w:id="19"/>
    </w:p>
    <w:p w14:paraId="687DA3D8" w14:textId="10274DF9" w:rsidR="004D79A6" w:rsidRDefault="004D79A6" w:rsidP="004D79A6">
      <w:pPr>
        <w:pStyle w:val="Nivel2SM"/>
        <w:keepNext/>
        <w:spacing w:after="0"/>
      </w:pPr>
      <w:bookmarkStart w:id="20" w:name="_Hlk124004065"/>
      <w:r>
        <w:t>L</w:t>
      </w:r>
      <w:r w:rsidRPr="00C511BB">
        <w:t xml:space="preserve">os activos de </w:t>
      </w:r>
      <w:r w:rsidRPr="00C511BB">
        <w:rPr>
          <w:i/>
          <w:iCs/>
        </w:rPr>
        <w:t>renta variable</w:t>
      </w:r>
      <w:r w:rsidRPr="00C511BB">
        <w:t xml:space="preserve"> </w:t>
      </w:r>
      <w:r w:rsidRPr="004D79A6">
        <w:rPr>
          <w:b/>
          <w:bCs/>
        </w:rPr>
        <w:t>no especifican un vencimiento</w:t>
      </w:r>
      <w:r>
        <w:t>.</w:t>
      </w:r>
    </w:p>
    <w:p w14:paraId="0872D95A" w14:textId="6D0AFDC4" w:rsidR="004D79A6" w:rsidRDefault="004D79A6" w:rsidP="004D79A6">
      <w:pPr>
        <w:pStyle w:val="Nivel3SM"/>
      </w:pPr>
      <w:r>
        <w:t>Se dice que las acciones son perpetuas, por lo que su vencimiento depende de la voluntad del inversor de venderlas a un nuevo accionista en el mercado secundario.</w:t>
      </w:r>
      <w:bookmarkEnd w:id="20"/>
    </w:p>
    <w:p w14:paraId="3703832A" w14:textId="1E703B82" w:rsidR="004D79A6" w:rsidRDefault="004D79A6" w:rsidP="004D79A6">
      <w:pPr>
        <w:pStyle w:val="Nivel2SM"/>
        <w:keepNext/>
        <w:spacing w:after="0"/>
      </w:pPr>
      <w:r w:rsidRPr="00C511BB">
        <w:t xml:space="preserve">En el caso de la </w:t>
      </w:r>
      <w:r w:rsidRPr="00C511BB">
        <w:rPr>
          <w:i/>
          <w:iCs/>
        </w:rPr>
        <w:t>renta fija</w:t>
      </w:r>
      <w:r w:rsidRPr="00C511BB">
        <w:t xml:space="preserve">, </w:t>
      </w:r>
      <w:r>
        <w:t xml:space="preserve">los activos tienen generalmente un </w:t>
      </w:r>
      <w:r w:rsidRPr="00B466AE">
        <w:t>vencimiento definido</w:t>
      </w:r>
      <w:r>
        <w:t xml:space="preserve"> (puede ser deuda perpetua sin vencimiento).</w:t>
      </w:r>
    </w:p>
    <w:p w14:paraId="1CCBB91A" w14:textId="76693FBF" w:rsidR="004D79A6" w:rsidRDefault="004D79A6" w:rsidP="004D79A6">
      <w:pPr>
        <w:pStyle w:val="Nivel3SM"/>
        <w:keepNext/>
      </w:pPr>
      <w:r>
        <w:t>A vencimiento se devuelve el principal o el valor nominal (suma prestada inicialmente).</w:t>
      </w:r>
    </w:p>
    <w:p w14:paraId="4E88E1ED" w14:textId="53131743" w:rsidR="004D79A6" w:rsidRDefault="004D79A6" w:rsidP="004D79A6">
      <w:pPr>
        <w:pStyle w:val="Nivel4"/>
        <w:ind w:left="1474"/>
      </w:pPr>
      <w:r>
        <w:t>Además, a menudo, el emisor del título está obligado a realizar unos pagos periódicos hasta vencimiento (</w:t>
      </w:r>
      <w:r w:rsidRPr="00B466AE">
        <w:t>cupones</w:t>
      </w:r>
      <w:r>
        <w:t>), que consistirán en el tipo de interés del cupón multiplicado por el valor nominal.</w:t>
      </w:r>
    </w:p>
    <w:p w14:paraId="41C9E7FA" w14:textId="77777777" w:rsidR="004D79A6" w:rsidRDefault="004D79A6">
      <w:pPr>
        <w:pStyle w:val="Ttulo6"/>
        <w:numPr>
          <w:ilvl w:val="0"/>
          <w:numId w:val="18"/>
        </w:numPr>
        <w:ind w:left="284" w:hanging="284"/>
      </w:pPr>
      <w:bookmarkStart w:id="21" w:name="_Toc123821293"/>
      <w:bookmarkStart w:id="22" w:name="_Toc144911937"/>
      <w:r>
        <w:t>Derechos políticos</w:t>
      </w:r>
      <w:bookmarkEnd w:id="21"/>
      <w:bookmarkEnd w:id="22"/>
    </w:p>
    <w:p w14:paraId="1873B384" w14:textId="3EED58A8" w:rsidR="004919ED" w:rsidRPr="00446577" w:rsidRDefault="004919ED" w:rsidP="004D79A6">
      <w:pPr>
        <w:pStyle w:val="Nivel2SM"/>
        <w:rPr>
          <w:spacing w:val="-2"/>
        </w:rPr>
      </w:pPr>
      <w:bookmarkStart w:id="23" w:name="_Hlk124004209"/>
      <w:r w:rsidRPr="00446577">
        <w:rPr>
          <w:spacing w:val="-2"/>
        </w:rPr>
        <w:t xml:space="preserve">Los activos de </w:t>
      </w:r>
      <w:r w:rsidRPr="00446577">
        <w:rPr>
          <w:i/>
          <w:iCs/>
          <w:spacing w:val="-2"/>
        </w:rPr>
        <w:t>renta variable</w:t>
      </w:r>
      <w:r w:rsidRPr="00446577">
        <w:rPr>
          <w:spacing w:val="-2"/>
        </w:rPr>
        <w:t xml:space="preserve">, otorgan a su tenedor derechos políticos. El accionista es socio y, por lo tanto, las acciones conllevan </w:t>
      </w:r>
      <w:r w:rsidRPr="00446577">
        <w:rPr>
          <w:b/>
          <w:bCs/>
          <w:spacing w:val="-2"/>
        </w:rPr>
        <w:t>no s</w:t>
      </w:r>
      <w:r w:rsidR="00B466AE">
        <w:rPr>
          <w:b/>
          <w:bCs/>
          <w:spacing w:val="-2"/>
        </w:rPr>
        <w:t>ó</w:t>
      </w:r>
      <w:r w:rsidRPr="00446577">
        <w:rPr>
          <w:b/>
          <w:bCs/>
          <w:spacing w:val="-2"/>
        </w:rPr>
        <w:t>lo derechos económicos sino también derechos políticos</w:t>
      </w:r>
      <w:r w:rsidRPr="00446577">
        <w:rPr>
          <w:spacing w:val="-2"/>
        </w:rPr>
        <w:t>.</w:t>
      </w:r>
    </w:p>
    <w:p w14:paraId="79D54758" w14:textId="550A68F2" w:rsidR="004D79A6" w:rsidRDefault="004919ED" w:rsidP="004D79A6">
      <w:pPr>
        <w:pStyle w:val="Nivel2SM"/>
      </w:pPr>
      <w:r>
        <w:t>Por su parte</w:t>
      </w:r>
      <w:r w:rsidR="004D79A6">
        <w:t xml:space="preserve">, los títulos de </w:t>
      </w:r>
      <w:r w:rsidR="004D79A6" w:rsidRPr="008253CF">
        <w:rPr>
          <w:i/>
          <w:iCs/>
        </w:rPr>
        <w:t>renta fija</w:t>
      </w:r>
      <w:r w:rsidR="004D79A6">
        <w:t xml:space="preserve"> </w:t>
      </w:r>
      <w:r w:rsidR="004D79A6" w:rsidRPr="008253CF">
        <w:t>no conllevan derechos de propiedad ni derechos políticos asociados</w:t>
      </w:r>
      <w:r w:rsidR="004D79A6">
        <w:t>. En este caso, la relación es puramente económica ya que los títulos de renta fija representan una porción de la deuda de una empresa. El financiador es acreedor no socio.</w:t>
      </w:r>
      <w:bookmarkEnd w:id="23"/>
    </w:p>
    <w:p w14:paraId="53D1AE27" w14:textId="5369660F" w:rsidR="00651EE1" w:rsidRDefault="004D79A6">
      <w:pPr>
        <w:pStyle w:val="Ttulo6"/>
        <w:numPr>
          <w:ilvl w:val="0"/>
          <w:numId w:val="18"/>
        </w:numPr>
        <w:ind w:left="284" w:hanging="284"/>
      </w:pPr>
      <w:bookmarkStart w:id="24" w:name="_Toc144911938"/>
      <w:bookmarkStart w:id="25" w:name="_Toc123821294"/>
      <w:r>
        <w:t>Orden de prelació</w:t>
      </w:r>
      <w:r w:rsidR="00651EE1">
        <w:t>n</w:t>
      </w:r>
      <w:bookmarkEnd w:id="24"/>
    </w:p>
    <w:p w14:paraId="0D7D3EAB" w14:textId="21F6DA9B" w:rsidR="00651EE1" w:rsidRPr="00651EE1" w:rsidRDefault="00651EE1" w:rsidP="00651EE1">
      <w:pPr>
        <w:pStyle w:val="Nivel2SM"/>
      </w:pPr>
      <w:r>
        <w:t xml:space="preserve">Los instrumentos de </w:t>
      </w:r>
      <w:r w:rsidRPr="008253CF">
        <w:rPr>
          <w:i/>
          <w:iCs/>
        </w:rPr>
        <w:t>renta fija</w:t>
      </w:r>
      <w:r>
        <w:t xml:space="preserve"> se satisfacen de forma </w:t>
      </w:r>
      <w:r w:rsidRPr="00D82350">
        <w:t>prioritaria en caso de liquidación</w:t>
      </w:r>
      <w:r>
        <w:t xml:space="preserve"> de la empresa a los instrumentos de </w:t>
      </w:r>
      <w:r w:rsidRPr="004919ED">
        <w:rPr>
          <w:i/>
          <w:iCs/>
        </w:rPr>
        <w:t>renta variable</w:t>
      </w:r>
      <w:r w:rsidR="00D82350">
        <w:t xml:space="preserve">. Es decir, en líneas generales, </w:t>
      </w:r>
      <w:r w:rsidR="00D82350" w:rsidRPr="00D82350">
        <w:rPr>
          <w:b/>
          <w:bCs/>
        </w:rPr>
        <w:t>los instrumentos de renta variable se satisfacen sólo tras haber hecho frente a las obligaciones con los deudores de la empresa</w:t>
      </w:r>
      <w:r w:rsidR="00D82350">
        <w:t>.</w:t>
      </w:r>
    </w:p>
    <w:p w14:paraId="061EFFE5" w14:textId="14E6B041" w:rsidR="004D79A6" w:rsidRDefault="00651EE1">
      <w:pPr>
        <w:pStyle w:val="Ttulo6"/>
        <w:numPr>
          <w:ilvl w:val="0"/>
          <w:numId w:val="18"/>
        </w:numPr>
        <w:ind w:left="284" w:hanging="284"/>
      </w:pPr>
      <w:bookmarkStart w:id="26" w:name="_Toc144911939"/>
      <w:bookmarkEnd w:id="25"/>
      <w:r>
        <w:t>Tratamiento contable</w:t>
      </w:r>
      <w:bookmarkEnd w:id="26"/>
    </w:p>
    <w:p w14:paraId="2850C303" w14:textId="708D5FEC" w:rsidR="00651EE1" w:rsidRDefault="00651EE1" w:rsidP="00191F73">
      <w:pPr>
        <w:pStyle w:val="Nivel2SM"/>
      </w:pPr>
      <w:bookmarkStart w:id="27" w:name="_Hlk131896533"/>
      <w:r>
        <w:t xml:space="preserve">Contablemente, los títulos de </w:t>
      </w:r>
      <w:r w:rsidRPr="00B466AE">
        <w:rPr>
          <w:i/>
          <w:iCs/>
        </w:rPr>
        <w:t>renta variable</w:t>
      </w:r>
      <w:r>
        <w:t xml:space="preserve"> </w:t>
      </w:r>
      <w:r w:rsidR="009A2FB3">
        <w:t xml:space="preserve">forman parte del </w:t>
      </w:r>
      <w:r w:rsidR="009A2FB3" w:rsidRPr="008020F4">
        <w:rPr>
          <w:b/>
          <w:bCs/>
        </w:rPr>
        <w:t>patrimonio neto del emisor</w:t>
      </w:r>
      <w:r w:rsidR="009A2FB3">
        <w:t xml:space="preserve"> (permiten financiación) y del </w:t>
      </w:r>
      <w:r w:rsidR="009A2FB3" w:rsidRPr="008020F4">
        <w:rPr>
          <w:b/>
          <w:bCs/>
        </w:rPr>
        <w:t>activo del inversor</w:t>
      </w:r>
      <w:r w:rsidR="009A2FB3">
        <w:t xml:space="preserve"> (al generar derechos económicos).</w:t>
      </w:r>
    </w:p>
    <w:p w14:paraId="45F5C87D" w14:textId="4EBC19E3" w:rsidR="008020F4" w:rsidRPr="00651EE1" w:rsidRDefault="008020F4" w:rsidP="008020F4">
      <w:pPr>
        <w:pStyle w:val="Nivel2SM"/>
      </w:pPr>
      <w:r>
        <w:t xml:space="preserve">Los títulos de </w:t>
      </w:r>
      <w:r w:rsidRPr="00B466AE">
        <w:rPr>
          <w:i/>
          <w:iCs/>
        </w:rPr>
        <w:t xml:space="preserve">renta </w:t>
      </w:r>
      <w:r>
        <w:rPr>
          <w:i/>
          <w:iCs/>
        </w:rPr>
        <w:t>fija</w:t>
      </w:r>
      <w:r>
        <w:t xml:space="preserve"> forman parte del pasivo del emisor (permiten financiación) y del activo del inversor (al generar derechos económicos).</w:t>
      </w:r>
    </w:p>
    <w:p w14:paraId="68C50D46" w14:textId="7DD17A10" w:rsidR="004D79A6" w:rsidRDefault="00FE3AFB">
      <w:pPr>
        <w:pStyle w:val="Ttulo2"/>
        <w:numPr>
          <w:ilvl w:val="1"/>
          <w:numId w:val="17"/>
        </w:numPr>
        <w:ind w:left="788" w:hanging="431"/>
      </w:pPr>
      <w:bookmarkStart w:id="28" w:name="_Toc123821295"/>
      <w:bookmarkStart w:id="29" w:name="_Toc144911940"/>
      <w:bookmarkEnd w:id="27"/>
      <w:r>
        <w:lastRenderedPageBreak/>
        <w:t>Tipos de renta variable</w:t>
      </w:r>
      <w:bookmarkEnd w:id="28"/>
      <w:bookmarkEnd w:id="29"/>
    </w:p>
    <w:p w14:paraId="4889D0A2" w14:textId="02767FFD" w:rsidR="00651EE1" w:rsidRDefault="00FE3AFB" w:rsidP="001675F6">
      <w:pPr>
        <w:pStyle w:val="Nivel1"/>
        <w:keepNext/>
        <w:spacing w:before="0" w:after="0"/>
        <w:ind w:left="198"/>
      </w:pPr>
      <w:r>
        <w:t xml:space="preserve">Generalmente, cuando se habla de </w:t>
      </w:r>
      <w:r w:rsidRPr="00651EE1">
        <w:rPr>
          <w:b/>
          <w:bCs/>
        </w:rPr>
        <w:t>instrumentos de renta variable</w:t>
      </w:r>
      <w:r>
        <w:t xml:space="preserve">, nos referimos sobre todo a </w:t>
      </w:r>
      <w:r w:rsidRPr="00651EE1">
        <w:rPr>
          <w:b/>
          <w:bCs/>
        </w:rPr>
        <w:t>acciones de empresas</w:t>
      </w:r>
      <w:r>
        <w:t>.</w:t>
      </w:r>
    </w:p>
    <w:p w14:paraId="40D66542" w14:textId="5DBD320A" w:rsidR="00651EE1" w:rsidRPr="00894955" w:rsidRDefault="00651EE1" w:rsidP="00651EE1">
      <w:pPr>
        <w:pStyle w:val="Nivel2SM"/>
        <w:rPr>
          <w:spacing w:val="-5"/>
        </w:rPr>
      </w:pPr>
      <w:r w:rsidRPr="00894955">
        <w:rPr>
          <w:spacing w:val="-5"/>
        </w:rPr>
        <w:t>L</w:t>
      </w:r>
      <w:r w:rsidR="00FE3AFB" w:rsidRPr="00894955">
        <w:rPr>
          <w:spacing w:val="-5"/>
        </w:rPr>
        <w:t xml:space="preserve">as </w:t>
      </w:r>
      <w:r w:rsidR="00FE3AFB" w:rsidRPr="00894955">
        <w:rPr>
          <w:i/>
          <w:iCs/>
          <w:spacing w:val="-5"/>
        </w:rPr>
        <w:t>acciones</w:t>
      </w:r>
      <w:r w:rsidR="00FE3AFB" w:rsidRPr="00894955">
        <w:rPr>
          <w:spacing w:val="-5"/>
        </w:rPr>
        <w:t xml:space="preserve"> son aquellos títulos que representan una parte alícuota de la propiedad de una empresa.</w:t>
      </w:r>
    </w:p>
    <w:p w14:paraId="0102F5D2" w14:textId="77777777" w:rsidR="003D4D51" w:rsidRDefault="003D4D51" w:rsidP="003D4D51">
      <w:pPr>
        <w:pStyle w:val="Nivel2SM"/>
        <w:keepNext/>
        <w:spacing w:after="0"/>
      </w:pPr>
      <w:r>
        <w:t>Podemos clasificar las acciones según distintos criterios:</w:t>
      </w:r>
    </w:p>
    <w:p w14:paraId="699D33A8" w14:textId="18D18CCE" w:rsidR="003D4D51" w:rsidRPr="00976B58" w:rsidRDefault="003D4D51" w:rsidP="003D4D51">
      <w:pPr>
        <w:pStyle w:val="Nivel3SM"/>
      </w:pPr>
      <w:r w:rsidRPr="00187AD8">
        <w:rPr>
          <w:i/>
          <w:iCs/>
          <w:u w:val="single"/>
        </w:rPr>
        <w:t>Según la forma</w:t>
      </w:r>
      <w:r>
        <w:rPr>
          <w:i/>
          <w:iCs/>
          <w:u w:val="single"/>
        </w:rPr>
        <w:t xml:space="preserve"> de designar al titular</w:t>
      </w:r>
      <w:r>
        <w:t xml:space="preserve">: </w:t>
      </w:r>
      <w:r w:rsidRPr="000B6430">
        <w:rPr>
          <w:i/>
          <w:iCs/>
        </w:rPr>
        <w:t>nominativas</w:t>
      </w:r>
      <w:r>
        <w:t xml:space="preserve"> </w:t>
      </w:r>
      <w:r w:rsidRPr="00836505">
        <w:rPr>
          <w:sz w:val="19"/>
          <w:szCs w:val="19"/>
        </w:rPr>
        <w:t>(se especifica el nombre)</w:t>
      </w:r>
      <w:r>
        <w:t xml:space="preserve"> o </w:t>
      </w:r>
      <w:r w:rsidRPr="000B6430">
        <w:rPr>
          <w:i/>
          <w:iCs/>
        </w:rPr>
        <w:t>al portador</w:t>
      </w:r>
      <w:r>
        <w:t xml:space="preserve"> </w:t>
      </w:r>
      <w:r w:rsidRPr="00836505">
        <w:rPr>
          <w:sz w:val="19"/>
          <w:szCs w:val="19"/>
        </w:rPr>
        <w:t>(no</w:t>
      </w:r>
      <w:r w:rsidR="00836505" w:rsidRPr="00836505">
        <w:rPr>
          <w:sz w:val="19"/>
          <w:szCs w:val="19"/>
        </w:rPr>
        <w:t> </w:t>
      </w:r>
      <w:r w:rsidRPr="00836505">
        <w:rPr>
          <w:sz w:val="19"/>
          <w:szCs w:val="19"/>
        </w:rPr>
        <w:t>detallan el nombre del accionista, por lo que el tenedor del certificado es considerado como el dueño)</w:t>
      </w:r>
      <w:r>
        <w:t>.</w:t>
      </w:r>
    </w:p>
    <w:p w14:paraId="4ED3A0FA" w14:textId="77777777" w:rsidR="003D4D51" w:rsidRPr="00836505" w:rsidRDefault="003D4D51" w:rsidP="003D4D51">
      <w:pPr>
        <w:pStyle w:val="Nivel3SM"/>
        <w:rPr>
          <w:spacing w:val="-5"/>
        </w:rPr>
      </w:pPr>
      <w:r w:rsidRPr="00836505">
        <w:rPr>
          <w:i/>
          <w:iCs/>
          <w:spacing w:val="-5"/>
          <w:u w:val="single"/>
        </w:rPr>
        <w:t>Según los privilegios inherentes</w:t>
      </w:r>
      <w:r w:rsidRPr="00836505">
        <w:rPr>
          <w:spacing w:val="-5"/>
        </w:rPr>
        <w:t xml:space="preserve">: </w:t>
      </w:r>
      <w:r w:rsidRPr="00836505">
        <w:rPr>
          <w:i/>
          <w:iCs/>
          <w:spacing w:val="-5"/>
        </w:rPr>
        <w:t>ordinarias</w:t>
      </w:r>
      <w:r w:rsidRPr="00836505">
        <w:rPr>
          <w:spacing w:val="-5"/>
        </w:rPr>
        <w:t xml:space="preserve"> o </w:t>
      </w:r>
      <w:r w:rsidRPr="00836505">
        <w:rPr>
          <w:i/>
          <w:iCs/>
          <w:spacing w:val="-5"/>
        </w:rPr>
        <w:t>preferentes</w:t>
      </w:r>
      <w:r w:rsidRPr="00836505">
        <w:rPr>
          <w:spacing w:val="-5"/>
        </w:rPr>
        <w:t xml:space="preserve"> (cuentan con algún derecho suplementario (p.ej. mayor dividendo o preferencia en el orden de prelación en caso de concurso)).</w:t>
      </w:r>
    </w:p>
    <w:p w14:paraId="27D3802C" w14:textId="77777777" w:rsidR="003D4D51" w:rsidRDefault="003D4D51" w:rsidP="003D4D51">
      <w:pPr>
        <w:pStyle w:val="Nivel3SM"/>
      </w:pPr>
      <w:r>
        <w:rPr>
          <w:i/>
          <w:iCs/>
          <w:u w:val="single"/>
        </w:rPr>
        <w:t>Según el precio de emisión</w:t>
      </w:r>
      <w:r>
        <w:t xml:space="preserve">: </w:t>
      </w:r>
      <w:r w:rsidRPr="000B6430">
        <w:rPr>
          <w:i/>
          <w:iCs/>
        </w:rPr>
        <w:t>a la par</w:t>
      </w:r>
      <w:r>
        <w:t xml:space="preserve">, </w:t>
      </w:r>
      <w:r w:rsidRPr="000B6430">
        <w:rPr>
          <w:i/>
          <w:iCs/>
        </w:rPr>
        <w:t>sobre la par</w:t>
      </w:r>
      <w:r>
        <w:t xml:space="preserve">, o </w:t>
      </w:r>
      <w:r w:rsidRPr="000B6430">
        <w:rPr>
          <w:i/>
          <w:iCs/>
        </w:rPr>
        <w:t xml:space="preserve">bajo </w:t>
      </w:r>
      <w:r>
        <w:rPr>
          <w:i/>
          <w:iCs/>
        </w:rPr>
        <w:t xml:space="preserve">la </w:t>
      </w:r>
      <w:r w:rsidRPr="000B6430">
        <w:rPr>
          <w:i/>
          <w:iCs/>
        </w:rPr>
        <w:t>par</w:t>
      </w:r>
      <w:r>
        <w:t xml:space="preserve"> en relación al precio reflejado en los libros contables.</w:t>
      </w:r>
    </w:p>
    <w:p w14:paraId="77E8DA4B" w14:textId="77777777" w:rsidR="003D4D51" w:rsidRDefault="003D4D51" w:rsidP="003D4D51">
      <w:pPr>
        <w:pStyle w:val="Nivel3SM"/>
      </w:pPr>
      <w:r>
        <w:rPr>
          <w:i/>
          <w:iCs/>
          <w:u w:val="single"/>
        </w:rPr>
        <w:t>Según el mercado donde coticen</w:t>
      </w:r>
      <w:r>
        <w:t xml:space="preserve">: </w:t>
      </w:r>
      <w:r w:rsidRPr="00E80815">
        <w:rPr>
          <w:i/>
          <w:iCs/>
        </w:rPr>
        <w:t>Mercados de</w:t>
      </w:r>
      <w:r>
        <w:t xml:space="preserve"> </w:t>
      </w:r>
      <w:proofErr w:type="spellStart"/>
      <w:r>
        <w:rPr>
          <w:i/>
          <w:iCs/>
        </w:rPr>
        <w:t>private</w:t>
      </w:r>
      <w:proofErr w:type="spellEnd"/>
      <w:r>
        <w:rPr>
          <w:i/>
          <w:iCs/>
        </w:rPr>
        <w:t xml:space="preserve"> </w:t>
      </w:r>
      <w:proofErr w:type="spellStart"/>
      <w:r>
        <w:rPr>
          <w:i/>
          <w:iCs/>
        </w:rPr>
        <w:t>equity</w:t>
      </w:r>
      <w:proofErr w:type="spellEnd"/>
      <w:r>
        <w:t xml:space="preserve"> (más orientados a la financiación vía equity en fase </w:t>
      </w:r>
      <w:r>
        <w:rPr>
          <w:i/>
          <w:iCs/>
        </w:rPr>
        <w:t>start-up</w:t>
      </w:r>
      <w:r>
        <w:t xml:space="preserve">) o </w:t>
      </w:r>
      <w:r>
        <w:rPr>
          <w:i/>
          <w:iCs/>
        </w:rPr>
        <w:t>mercado bursátil</w:t>
      </w:r>
      <w:r>
        <w:rPr>
          <w:rStyle w:val="Refdenotaalpie"/>
        </w:rPr>
        <w:footnoteReference w:id="5"/>
      </w:r>
      <w:r>
        <w:t>.</w:t>
      </w:r>
    </w:p>
    <w:p w14:paraId="3B0B65EF" w14:textId="6BEC9618" w:rsidR="003D4D51" w:rsidRDefault="003D4D51" w:rsidP="003D4D51">
      <w:pPr>
        <w:pStyle w:val="Nivel3SM"/>
      </w:pPr>
      <w:r>
        <w:rPr>
          <w:i/>
          <w:iCs/>
          <w:u w:val="single"/>
        </w:rPr>
        <w:t>Según</w:t>
      </w:r>
      <w:r w:rsidR="00842A8D">
        <w:rPr>
          <w:i/>
          <w:iCs/>
          <w:u w:val="single"/>
        </w:rPr>
        <w:t xml:space="preserve"> </w:t>
      </w:r>
      <w:r w:rsidR="00842A8D" w:rsidRPr="00976B58">
        <w:rPr>
          <w:i/>
          <w:iCs/>
          <w:highlight w:val="yellow"/>
          <w:u w:val="single"/>
        </w:rPr>
        <w:t>…</w:t>
      </w:r>
      <w:r w:rsidRPr="00976B58">
        <w:t>:</w:t>
      </w:r>
      <w:r>
        <w:t xml:space="preserve"> </w:t>
      </w:r>
      <w:r>
        <w:rPr>
          <w:i/>
          <w:iCs/>
        </w:rPr>
        <w:t>Nuevas</w:t>
      </w:r>
      <w:r w:rsidRPr="00976B58">
        <w:t xml:space="preserve"> (</w:t>
      </w:r>
      <w:r>
        <w:t>proceden de ampliaciones de capital</w:t>
      </w:r>
      <w:r w:rsidRPr="00976B58">
        <w:t>)</w:t>
      </w:r>
      <w:r>
        <w:t xml:space="preserve">, </w:t>
      </w:r>
      <w:r>
        <w:rPr>
          <w:i/>
          <w:iCs/>
        </w:rPr>
        <w:t>liberadas</w:t>
      </w:r>
      <w:r>
        <w:t xml:space="preserve"> (s</w:t>
      </w:r>
      <w:r w:rsidRPr="00976B58">
        <w:t>on acciones 100</w:t>
      </w:r>
      <w:r>
        <w:t> </w:t>
      </w:r>
      <w:r w:rsidRPr="00976B58">
        <w:t>% gratuitas (habitualmente premian a los accionistas más antiguos)</w:t>
      </w:r>
      <w:r>
        <w:t xml:space="preserve">), </w:t>
      </w:r>
      <w:r w:rsidRPr="00976B58">
        <w:rPr>
          <w:highlight w:val="yellow"/>
        </w:rPr>
        <w:t>…</w:t>
      </w:r>
      <w:r>
        <w:t>.</w:t>
      </w:r>
    </w:p>
    <w:p w14:paraId="2640259D" w14:textId="63E95D26" w:rsidR="007350CB" w:rsidRDefault="007A421F" w:rsidP="007350CB">
      <w:pPr>
        <w:pStyle w:val="Ttulo1"/>
      </w:pPr>
      <w:bookmarkStart w:id="30" w:name="_Toc144911941"/>
      <w:r>
        <w:t>TEORÍA DE LA ELECCIÓN DE CARTERA Y</w:t>
      </w:r>
      <w:r>
        <w:br/>
        <w:t xml:space="preserve">MODELOS DE VALORACIÓN BASADOS EN </w:t>
      </w:r>
      <w:r w:rsidR="00AA616D">
        <w:t>ELLA</w:t>
      </w:r>
      <w:bookmarkEnd w:id="30"/>
    </w:p>
    <w:p w14:paraId="27B7FE0C" w14:textId="086E5BEF" w:rsidR="007350CB" w:rsidRPr="00C5595E" w:rsidRDefault="007350CB" w:rsidP="001675F6">
      <w:pPr>
        <w:pStyle w:val="Nivel1SM"/>
        <w:keepNext/>
        <w:spacing w:before="0" w:after="0"/>
      </w:pPr>
      <w:r w:rsidRPr="00C5595E">
        <w:rPr>
          <w:b/>
          <w:bCs/>
        </w:rPr>
        <w:t>¿Es posible ganar dinero en bolsa?</w:t>
      </w:r>
    </w:p>
    <w:p w14:paraId="50217014" w14:textId="5C3FB591" w:rsidR="00191F73" w:rsidRPr="00A34FB9" w:rsidRDefault="001C0F37" w:rsidP="001C0F37">
      <w:pPr>
        <w:pStyle w:val="Nivel2SM"/>
      </w:pPr>
      <w:r>
        <w:t xml:space="preserve">Para responder a esta cuestión, </w:t>
      </w:r>
      <w:r w:rsidR="00191F73">
        <w:t xml:space="preserve">primero estudiaremos la </w:t>
      </w:r>
      <w:r w:rsidR="00191F73" w:rsidRPr="00C5595E">
        <w:rPr>
          <w:b/>
          <w:bCs/>
        </w:rPr>
        <w:t>teoría de la elección de cartera</w:t>
      </w:r>
      <w:r w:rsidR="00191F73">
        <w:t xml:space="preserve"> y</w:t>
      </w:r>
      <w:r w:rsidR="00493498">
        <w:t>,</w:t>
      </w:r>
      <w:r w:rsidR="00191F73">
        <w:t xml:space="preserve"> </w:t>
      </w:r>
      <w:r w:rsidR="00493498">
        <w:t>posteriormente</w:t>
      </w:r>
      <w:r w:rsidR="00191F73">
        <w:t xml:space="preserve">, a partir de ella, se abordarán </w:t>
      </w:r>
      <w:r w:rsidR="001675F6" w:rsidRPr="00C5595E">
        <w:rPr>
          <w:b/>
          <w:bCs/>
        </w:rPr>
        <w:t>2 </w:t>
      </w:r>
      <w:r w:rsidR="00191F73" w:rsidRPr="00C5595E">
        <w:rPr>
          <w:b/>
          <w:bCs/>
        </w:rPr>
        <w:t>modelos de valoración</w:t>
      </w:r>
      <w:r w:rsidR="00191F73">
        <w:t>: el CAPM y el APT.</w:t>
      </w:r>
    </w:p>
    <w:p w14:paraId="58E3B79F" w14:textId="453DE359" w:rsidR="007350CB" w:rsidRDefault="007350CB" w:rsidP="007350CB">
      <w:pPr>
        <w:pStyle w:val="Ttulo2"/>
      </w:pPr>
      <w:bookmarkStart w:id="31" w:name="_Toc144911942"/>
      <w:r>
        <w:t>Teoría de la elección de cartera</w:t>
      </w:r>
      <w:bookmarkEnd w:id="31"/>
    </w:p>
    <w:p w14:paraId="47316528" w14:textId="77777777" w:rsidR="003A2D29" w:rsidRDefault="007350CB" w:rsidP="001675F6">
      <w:pPr>
        <w:pStyle w:val="Nivel1SM"/>
        <w:keepNext/>
        <w:spacing w:before="0" w:after="0"/>
      </w:pPr>
      <w:r w:rsidRPr="00A34FB9">
        <w:t xml:space="preserve">Esta teoría pone énfasis en que el valor de un activo no puede </w:t>
      </w:r>
      <w:r>
        <w:t>tomarse de forma aislada, sino que hay que ponerlo en relación con el resto de títulos que componen la cartera.</w:t>
      </w:r>
    </w:p>
    <w:p w14:paraId="33082335" w14:textId="5CE7E462" w:rsidR="007350CB" w:rsidRDefault="007350CB" w:rsidP="003A2D29">
      <w:pPr>
        <w:pStyle w:val="Nivel2SM"/>
      </w:pPr>
      <w:r>
        <w:t>Esto es así ya que entre los distintos activos disponibles para el inversor existe cierta correlación que obliga al inversor a no valorar únicamente el activo de forma individual sino a calcular el valor que éste aporta al conjunto de la cartera.</w:t>
      </w:r>
    </w:p>
    <w:p w14:paraId="702A8A94" w14:textId="77777777" w:rsidR="003A2D29" w:rsidRDefault="007350CB" w:rsidP="003A2D29">
      <w:pPr>
        <w:pStyle w:val="Nivel1SM"/>
        <w:keepNext/>
        <w:spacing w:after="0"/>
      </w:pPr>
      <w:r>
        <w:t xml:space="preserve">La </w:t>
      </w:r>
      <w:r w:rsidRPr="003A2D29">
        <w:rPr>
          <w:i/>
          <w:iCs/>
          <w:u w:val="single"/>
        </w:rPr>
        <w:t>fundamentación teórica</w:t>
      </w:r>
      <w:r>
        <w:t xml:space="preserve"> del análisis fundamental de los valores de renta variable la encontramos en la </w:t>
      </w:r>
      <w:r w:rsidRPr="003A2D29">
        <w:rPr>
          <w:i/>
          <w:iCs/>
        </w:rPr>
        <w:t>teoría de la elección de cartera</w:t>
      </w:r>
      <w:r>
        <w:t>.</w:t>
      </w:r>
    </w:p>
    <w:p w14:paraId="033B7A5A" w14:textId="2159DECC" w:rsidR="003A2D29" w:rsidRDefault="007350CB" w:rsidP="003A2D29">
      <w:pPr>
        <w:pStyle w:val="Nivel2SM"/>
        <w:keepNext/>
        <w:spacing w:after="0"/>
      </w:pPr>
      <w:r>
        <w:t>El estudio formal de la elección de cartera se inicia con la publicación en l</w:t>
      </w:r>
      <w:r w:rsidR="002C5B0F">
        <w:t>a década de 19</w:t>
      </w:r>
      <w:r>
        <w:t xml:space="preserve">50 de una serie de trabajos de </w:t>
      </w:r>
      <w:r>
        <w:rPr>
          <w:smallCaps/>
        </w:rPr>
        <w:t>Harry Markowitz</w:t>
      </w:r>
      <w:r>
        <w:t xml:space="preserve"> en los que presentaba la formulación inicial del comportamiento racional de los inversores a la hora de elegir su cartera.</w:t>
      </w:r>
    </w:p>
    <w:p w14:paraId="3B52103A" w14:textId="25632F61" w:rsidR="003A2D29" w:rsidRPr="00E803AD" w:rsidRDefault="007350CB" w:rsidP="003A2D29">
      <w:pPr>
        <w:pStyle w:val="Nivel3SM"/>
        <w:rPr>
          <w:spacing w:val="-5"/>
        </w:rPr>
      </w:pPr>
      <w:r w:rsidRPr="00E803AD">
        <w:rPr>
          <w:spacing w:val="-5"/>
        </w:rPr>
        <w:t>En esta época</w:t>
      </w:r>
      <w:r w:rsidR="002C5B0F" w:rsidRPr="00E803AD">
        <w:rPr>
          <w:spacing w:val="-5"/>
        </w:rPr>
        <w:t>,</w:t>
      </w:r>
      <w:r w:rsidRPr="00E803AD">
        <w:rPr>
          <w:spacing w:val="-5"/>
        </w:rPr>
        <w:t xml:space="preserve"> </w:t>
      </w:r>
      <w:r w:rsidRPr="00E803AD">
        <w:rPr>
          <w:smallCaps/>
          <w:spacing w:val="-5"/>
        </w:rPr>
        <w:t>James Tobin</w:t>
      </w:r>
      <w:r w:rsidRPr="00E803AD">
        <w:rPr>
          <w:spacing w:val="-5"/>
        </w:rPr>
        <w:t xml:space="preserve"> modeliza la </w:t>
      </w:r>
      <w:r w:rsidRPr="00E803AD">
        <w:rPr>
          <w:i/>
          <w:iCs/>
          <w:spacing w:val="-5"/>
        </w:rPr>
        <w:t>demanda de dinero</w:t>
      </w:r>
      <w:r w:rsidRPr="00E803AD">
        <w:rPr>
          <w:spacing w:val="-5"/>
        </w:rPr>
        <w:t xml:space="preserve"> por </w:t>
      </w:r>
      <w:r w:rsidRPr="00E803AD">
        <w:rPr>
          <w:i/>
          <w:iCs/>
          <w:spacing w:val="-5"/>
        </w:rPr>
        <w:t>motivo especulación</w:t>
      </w:r>
      <w:r w:rsidRPr="00E803AD">
        <w:rPr>
          <w:spacing w:val="-5"/>
        </w:rPr>
        <w:t xml:space="preserve">, ya adelantada por </w:t>
      </w:r>
      <w:r w:rsidRPr="00E803AD">
        <w:rPr>
          <w:smallCaps/>
          <w:spacing w:val="-5"/>
        </w:rPr>
        <w:t>Keynes</w:t>
      </w:r>
      <w:r w:rsidRPr="00E803AD">
        <w:rPr>
          <w:spacing w:val="-5"/>
        </w:rPr>
        <w:t>, formalizando con ello la teoría de la elección de cartera</w:t>
      </w:r>
      <w:r w:rsidR="003A2D29" w:rsidRPr="00E803AD">
        <w:rPr>
          <w:spacing w:val="-5"/>
        </w:rPr>
        <w:t xml:space="preserve"> </w:t>
      </w:r>
      <w:r w:rsidR="003A2D29" w:rsidRPr="00E803AD">
        <w:rPr>
          <w:color w:val="767171" w:themeColor="background2" w:themeShade="80"/>
          <w:spacing w:val="-5"/>
          <w:sz w:val="19"/>
          <w:szCs w:val="19"/>
        </w:rPr>
        <w:t>[ver tema 3.A.3</w:t>
      </w:r>
      <w:r w:rsidR="00131DD7">
        <w:rPr>
          <w:color w:val="767171" w:themeColor="background2" w:themeShade="80"/>
          <w:spacing w:val="-5"/>
          <w:sz w:val="19"/>
          <w:szCs w:val="19"/>
        </w:rPr>
        <w:t>5</w:t>
      </w:r>
      <w:r w:rsidR="003A2D29" w:rsidRPr="00E803AD">
        <w:rPr>
          <w:color w:val="767171" w:themeColor="background2" w:themeShade="80"/>
          <w:spacing w:val="-5"/>
          <w:sz w:val="19"/>
          <w:szCs w:val="19"/>
        </w:rPr>
        <w:t>]</w:t>
      </w:r>
      <w:r w:rsidRPr="00E803AD">
        <w:rPr>
          <w:spacing w:val="-5"/>
        </w:rPr>
        <w:t>.</w:t>
      </w:r>
    </w:p>
    <w:p w14:paraId="1A234472" w14:textId="26A2BB85" w:rsidR="003A2D29" w:rsidRDefault="007350CB" w:rsidP="003A2D29">
      <w:pPr>
        <w:pStyle w:val="Nivel2SM"/>
        <w:keepNext/>
        <w:spacing w:after="0"/>
      </w:pPr>
      <w:r>
        <w:rPr>
          <w:smallCaps/>
        </w:rPr>
        <w:t>Markowitz</w:t>
      </w:r>
      <w:r>
        <w:t xml:space="preserve"> y</w:t>
      </w:r>
      <w:r w:rsidR="002C5B0F">
        <w:t xml:space="preserve"> </w:t>
      </w:r>
      <w:r>
        <w:rPr>
          <w:smallCaps/>
        </w:rPr>
        <w:t>Tobin</w:t>
      </w:r>
      <w:r>
        <w:t xml:space="preserve"> se basan en la racionalidad de los agentes que tratan de maximizar su rendimiento para un determinado nivel de riesgo dado o bien tratan de minimizar su riesgo para un determinado rendimiento.</w:t>
      </w:r>
    </w:p>
    <w:p w14:paraId="5A3B76ED" w14:textId="2BBB845F" w:rsidR="007350CB" w:rsidRDefault="007350CB" w:rsidP="00F94DDE">
      <w:pPr>
        <w:pStyle w:val="Nivel3SM"/>
        <w:spacing w:after="100"/>
      </w:pPr>
      <w:r w:rsidRPr="002C160D">
        <w:t>En este sentido, estos autores</w:t>
      </w:r>
      <w:r>
        <w:t xml:space="preserve"> realizan una aplicación de la </w:t>
      </w:r>
      <w:r w:rsidR="003A2D29">
        <w:t>T</w:t>
      </w:r>
      <w:r>
        <w:t xml:space="preserve">eoría de la </w:t>
      </w:r>
      <w:r w:rsidR="003A2D29">
        <w:t>U</w:t>
      </w:r>
      <w:r>
        <w:t xml:space="preserve">tilidad </w:t>
      </w:r>
      <w:r w:rsidR="003A2D29">
        <w:t>E</w:t>
      </w:r>
      <w:r>
        <w:t>sperada del consumidor ante la existencia de riesgo y va</w:t>
      </w:r>
      <w:r w:rsidR="003A2D29">
        <w:t>n</w:t>
      </w:r>
      <w:r>
        <w:t xml:space="preserve"> a analizar que cartera debe adquirir un inversor en función de sus preferencias (i.e. su aversión al riesgo) </w:t>
      </w:r>
      <w:r w:rsidRPr="004A6FD2">
        <w:rPr>
          <w:color w:val="767171" w:themeColor="background2" w:themeShade="80"/>
          <w:sz w:val="19"/>
          <w:szCs w:val="19"/>
        </w:rPr>
        <w:t>[ver tema 3.A.</w:t>
      </w:r>
      <w:r w:rsidR="00131DD7">
        <w:rPr>
          <w:color w:val="767171" w:themeColor="background2" w:themeShade="80"/>
          <w:sz w:val="19"/>
          <w:szCs w:val="19"/>
        </w:rPr>
        <w:t>10</w:t>
      </w:r>
      <w:r w:rsidRPr="004A6FD2">
        <w:rPr>
          <w:color w:val="767171" w:themeColor="background2" w:themeShade="80"/>
          <w:sz w:val="19"/>
          <w:szCs w:val="19"/>
        </w:rPr>
        <w:t>]</w:t>
      </w:r>
      <w:r>
        <w:t>.</w:t>
      </w:r>
    </w:p>
    <w:p w14:paraId="1489A762" w14:textId="77777777" w:rsidR="00AB003B" w:rsidRDefault="00F94DDE" w:rsidP="00AB003B">
      <w:pPr>
        <w:pStyle w:val="Nivel1SM"/>
        <w:keepNext/>
        <w:spacing w:after="0"/>
      </w:pPr>
      <w:r>
        <w:lastRenderedPageBreak/>
        <w:t>Por tanto, p</w:t>
      </w:r>
      <w:r w:rsidR="007350CB">
        <w:t xml:space="preserve">artimos de </w:t>
      </w:r>
      <w:r w:rsidR="001A6441">
        <w:rPr>
          <w:b/>
          <w:bCs/>
        </w:rPr>
        <w:t>2 </w:t>
      </w:r>
      <w:r w:rsidR="0038196F" w:rsidRPr="00BC1FF3">
        <w:rPr>
          <w:b/>
          <w:bCs/>
        </w:rPr>
        <w:t>ideas clave</w:t>
      </w:r>
      <w:r w:rsidR="007350CB">
        <w:t xml:space="preserve">: el </w:t>
      </w:r>
      <w:r w:rsidR="007350CB" w:rsidRPr="00BD4266">
        <w:rPr>
          <w:i/>
          <w:iCs/>
        </w:rPr>
        <w:t>binomio rentabilidad-riesgo</w:t>
      </w:r>
      <w:r w:rsidR="007350CB">
        <w:t xml:space="preserve"> y la </w:t>
      </w:r>
      <w:r w:rsidR="007350CB" w:rsidRPr="00BD4266">
        <w:rPr>
          <w:i/>
          <w:iCs/>
        </w:rPr>
        <w:t>racionalidad de los agentes</w:t>
      </w:r>
      <w:r w:rsidR="007350CB">
        <w:t xml:space="preserve">, que realizan una </w:t>
      </w:r>
      <w:r w:rsidR="007350CB" w:rsidRPr="00BC1FF3">
        <w:t>diversificación científica</w:t>
      </w:r>
      <w:r w:rsidR="00BE5FC6">
        <w:t>.</w:t>
      </w:r>
    </w:p>
    <w:p w14:paraId="364E57A9" w14:textId="2E47D380" w:rsidR="007350CB" w:rsidRPr="00141E9D" w:rsidRDefault="007350CB" w:rsidP="00AB003B">
      <w:pPr>
        <w:pStyle w:val="Nivel2SM"/>
      </w:pPr>
      <w:r>
        <w:t>El objetivo es la disminución del riesgo de cartera sin disminuir su rentabilidad.</w:t>
      </w:r>
    </w:p>
    <w:p w14:paraId="7685C801" w14:textId="77777777" w:rsidR="007350CB" w:rsidRDefault="007350CB" w:rsidP="007350CB">
      <w:pPr>
        <w:pStyle w:val="Ttulo3"/>
      </w:pPr>
      <w:bookmarkStart w:id="32" w:name="_Toc144911943"/>
      <w:r>
        <w:t>Modelo de media-varianza (</w:t>
      </w:r>
      <w:r w:rsidRPr="00421B38">
        <w:rPr>
          <w:smallCaps/>
        </w:rPr>
        <w:t>Markowitz</w:t>
      </w:r>
      <w:r>
        <w:t>, 1952)</w:t>
      </w:r>
      <w:bookmarkEnd w:id="32"/>
    </w:p>
    <w:p w14:paraId="0556D7DC" w14:textId="77777777" w:rsidR="007350CB" w:rsidRPr="001054AD" w:rsidRDefault="007350CB" w:rsidP="001675F6">
      <w:pPr>
        <w:pStyle w:val="Ttulo6"/>
        <w:spacing w:before="0"/>
      </w:pPr>
      <w:bookmarkStart w:id="33" w:name="_Toc144911944"/>
      <w:r>
        <w:t>Idea</w:t>
      </w:r>
      <w:bookmarkEnd w:id="33"/>
    </w:p>
    <w:p w14:paraId="6FA3D262" w14:textId="77777777" w:rsidR="007350CB" w:rsidRPr="005F737C" w:rsidRDefault="007350CB" w:rsidP="001675F6">
      <w:pPr>
        <w:pStyle w:val="Nivel1SM"/>
        <w:spacing w:before="0"/>
      </w:pPr>
      <w:r>
        <w:rPr>
          <w:smallCaps/>
        </w:rPr>
        <w:t>Harry Markowitz</w:t>
      </w:r>
      <w:r>
        <w:t xml:space="preserve"> desarrolló un modelo en el que el inversor </w:t>
      </w:r>
      <w:r>
        <w:rPr>
          <w:b/>
          <w:bCs/>
        </w:rPr>
        <w:t>trata de maximizar el rendimiento</w:t>
      </w:r>
      <w:r>
        <w:t xml:space="preserve"> y, al mismo tiempo, </w:t>
      </w:r>
      <w:r>
        <w:rPr>
          <w:b/>
          <w:bCs/>
        </w:rPr>
        <w:t>minimizar el riesgo</w:t>
      </w:r>
      <w:r>
        <w:t xml:space="preserve">. Es decir, el agente </w:t>
      </w:r>
      <w:r>
        <w:rPr>
          <w:i/>
          <w:iCs/>
        </w:rPr>
        <w:t>racional</w:t>
      </w:r>
      <w:r>
        <w:t xml:space="preserve"> del modelo de </w:t>
      </w:r>
      <w:r>
        <w:rPr>
          <w:smallCaps/>
        </w:rPr>
        <w:t>Markowitz</w:t>
      </w:r>
      <w:r>
        <w:t xml:space="preserve"> trata de optimizar la combinación rendimiento-riesgo.</w:t>
      </w:r>
    </w:p>
    <w:p w14:paraId="7ACAF408" w14:textId="77777777" w:rsidR="007350CB" w:rsidRDefault="007350CB" w:rsidP="007350CB">
      <w:pPr>
        <w:pStyle w:val="Ttulo6"/>
      </w:pPr>
      <w:bookmarkStart w:id="34" w:name="_Toc144911945"/>
      <w:r>
        <w:t>Modelo</w:t>
      </w:r>
      <w:bookmarkEnd w:id="34"/>
    </w:p>
    <w:p w14:paraId="5700CF9D" w14:textId="77777777" w:rsidR="007350CB" w:rsidRDefault="007350CB" w:rsidP="001675F6">
      <w:pPr>
        <w:pStyle w:val="Ttulo7"/>
        <w:spacing w:before="0"/>
      </w:pPr>
      <w:bookmarkStart w:id="35" w:name="_Toc144911946"/>
      <w:r>
        <w:t>Supuestos</w:t>
      </w:r>
      <w:bookmarkEnd w:id="35"/>
    </w:p>
    <w:p w14:paraId="6FF79C4E" w14:textId="44BDD443" w:rsidR="002C5B0F" w:rsidRDefault="002C5B0F" w:rsidP="001675F6">
      <w:pPr>
        <w:pStyle w:val="Nivel1SM"/>
        <w:keepNext/>
        <w:spacing w:before="0" w:after="0"/>
      </w:pPr>
      <w:r>
        <w:rPr>
          <w:smallCaps/>
        </w:rPr>
        <w:t>Markowitz</w:t>
      </w:r>
      <w:r>
        <w:t xml:space="preserve"> parte de los siguientes </w:t>
      </w:r>
      <w:r w:rsidRPr="002C5B0F">
        <w:rPr>
          <w:b/>
          <w:bCs/>
        </w:rPr>
        <w:t>supuestos</w:t>
      </w:r>
      <w:r>
        <w:t>:</w:t>
      </w:r>
    </w:p>
    <w:p w14:paraId="5529ABDA" w14:textId="1673B51B" w:rsidR="007350CB" w:rsidRDefault="007350CB" w:rsidP="002C5B0F">
      <w:pPr>
        <w:pStyle w:val="Nivel2SM"/>
      </w:pPr>
      <w:r>
        <w:t xml:space="preserve">El </w:t>
      </w:r>
      <w:r w:rsidRPr="006346E6">
        <w:rPr>
          <w:b/>
          <w:bCs/>
        </w:rPr>
        <w:t>rendimiento</w:t>
      </w:r>
      <w:r>
        <w:t xml:space="preserve"> de cualquier título o cartera es descrito por una </w:t>
      </w:r>
      <w:r w:rsidRPr="006346E6">
        <w:rPr>
          <w:i/>
          <w:iCs/>
        </w:rPr>
        <w:t>variable aleatoria subjetiva</w:t>
      </w:r>
      <w:r>
        <w:t xml:space="preserve">, cuya </w:t>
      </w:r>
      <w:r w:rsidRPr="006346E6">
        <w:rPr>
          <w:i/>
          <w:iCs/>
        </w:rPr>
        <w:t>distribución de probabilidad</w:t>
      </w:r>
      <w:r>
        <w:t xml:space="preserve"> para el periodo de referencia es conocida por el inversor. Por lo tanto medimos el rendimiento como el </w:t>
      </w:r>
      <w:r w:rsidRPr="00F36674">
        <w:rPr>
          <w:i/>
          <w:iCs/>
        </w:rPr>
        <w:t>valor medio</w:t>
      </w:r>
      <w:r>
        <w:t xml:space="preserve"> o esperanza matemática.</w:t>
      </w:r>
    </w:p>
    <w:p w14:paraId="3AB2A0AA" w14:textId="77777777" w:rsidR="007350CB" w:rsidRDefault="007350CB" w:rsidP="002C5B0F">
      <w:pPr>
        <w:pStyle w:val="Nivel2SM"/>
      </w:pPr>
      <w:r>
        <w:t xml:space="preserve">El </w:t>
      </w:r>
      <w:r w:rsidRPr="006346E6">
        <w:rPr>
          <w:b/>
          <w:bCs/>
        </w:rPr>
        <w:t>riesgo</w:t>
      </w:r>
      <w:r>
        <w:t xml:space="preserve"> de un título, o cartera, viene medido por la </w:t>
      </w:r>
      <w:r w:rsidRPr="006346E6">
        <w:rPr>
          <w:i/>
          <w:iCs/>
        </w:rPr>
        <w:t>varianza (o desviación típica)</w:t>
      </w:r>
      <w:r>
        <w:t xml:space="preserve"> de la variable aleatoria representativa de su rendimiento.</w:t>
      </w:r>
    </w:p>
    <w:p w14:paraId="71CA64C2" w14:textId="2EB6CEB9" w:rsidR="007350CB" w:rsidRDefault="007350CB" w:rsidP="002C5B0F">
      <w:pPr>
        <w:pStyle w:val="Nivel2SM"/>
        <w:keepNext/>
        <w:spacing w:after="0"/>
      </w:pPr>
      <w:r>
        <w:t xml:space="preserve">El inversor </w:t>
      </w:r>
      <w:r w:rsidRPr="006346E6">
        <w:rPr>
          <w:u w:val="single"/>
        </w:rPr>
        <w:t xml:space="preserve">preferirá aquellos activos financieros que tengan un mayor rendimiento para un riesgo dado, o un menor riesgo para un </w:t>
      </w:r>
      <w:r w:rsidR="00D46625">
        <w:rPr>
          <w:u w:val="single"/>
        </w:rPr>
        <w:t xml:space="preserve">mismo </w:t>
      </w:r>
      <w:r w:rsidRPr="006346E6">
        <w:rPr>
          <w:u w:val="single"/>
        </w:rPr>
        <w:t>rendimiento</w:t>
      </w:r>
      <w:r w:rsidR="00D46625">
        <w:rPr>
          <w:u w:val="single"/>
        </w:rPr>
        <w:t xml:space="preserve"> esperado</w:t>
      </w:r>
      <w:r>
        <w:t xml:space="preserve">. A esta regla de decisión se la denomina </w:t>
      </w:r>
      <w:r w:rsidRPr="006346E6">
        <w:rPr>
          <w:b/>
          <w:bCs/>
        </w:rPr>
        <w:t>conducta racional del inversor</w:t>
      </w:r>
      <w:r>
        <w:t xml:space="preserve">. La teoría de la cartera de </w:t>
      </w:r>
      <w:r>
        <w:rPr>
          <w:smallCaps/>
        </w:rPr>
        <w:t>Markowitz</w:t>
      </w:r>
      <w:r>
        <w:t xml:space="preserve"> se basa en el supuesto teórico en el que el comportamiento de un inversor se caracteriza por el grado de </w:t>
      </w:r>
      <w:r w:rsidRPr="00AB688C">
        <w:rPr>
          <w:b/>
          <w:bCs/>
        </w:rPr>
        <w:t>aversión al riesgo</w:t>
      </w:r>
      <w:r w:rsidRPr="00CC491B">
        <w:rPr>
          <w:rStyle w:val="Refdenotaalpie"/>
        </w:rPr>
        <w:footnoteReference w:id="6"/>
      </w:r>
      <w:r>
        <w:t xml:space="preserve"> que tenga y el grado de maximización de utilidades que espera.</w:t>
      </w:r>
    </w:p>
    <w:p w14:paraId="7C885FDB" w14:textId="77777777" w:rsidR="007350CB" w:rsidRDefault="007350CB" w:rsidP="002C5B0F">
      <w:pPr>
        <w:pStyle w:val="Nivel3SM"/>
      </w:pPr>
      <w:r>
        <w:t xml:space="preserve">De este modo, el </w:t>
      </w:r>
      <w:r w:rsidRPr="00AB688C">
        <w:rPr>
          <w:i/>
          <w:iCs/>
        </w:rPr>
        <w:t>rendimiento</w:t>
      </w:r>
      <w:r>
        <w:t xml:space="preserve"> será considerado un </w:t>
      </w:r>
      <w:r w:rsidRPr="00AB688C">
        <w:rPr>
          <w:i/>
          <w:iCs/>
        </w:rPr>
        <w:t>bien</w:t>
      </w:r>
      <w:r>
        <w:t xml:space="preserve"> y el </w:t>
      </w:r>
      <w:r w:rsidRPr="00AB688C">
        <w:rPr>
          <w:i/>
          <w:iCs/>
        </w:rPr>
        <w:t>riesgo</w:t>
      </w:r>
      <w:r>
        <w:t xml:space="preserve"> un </w:t>
      </w:r>
      <w:r w:rsidRPr="00AB688C">
        <w:rPr>
          <w:i/>
          <w:iCs/>
        </w:rPr>
        <w:t>mal</w:t>
      </w:r>
      <w:r w:rsidRPr="00655F7F">
        <w:rPr>
          <w:rStyle w:val="Refdenotaalpie"/>
        </w:rPr>
        <w:footnoteReference w:id="7"/>
      </w:r>
      <w:r>
        <w:t>.</w:t>
      </w:r>
    </w:p>
    <w:p w14:paraId="16D25EA7" w14:textId="77777777" w:rsidR="007350CB" w:rsidRDefault="007350CB" w:rsidP="002C5B0F">
      <w:pPr>
        <w:pStyle w:val="Nivel3SM"/>
      </w:pPr>
      <w:r>
        <w:t xml:space="preserve">Así, queda justificada la representación en el espacio rentabilidad-riesgo de curvas de indiferencia </w:t>
      </w:r>
      <w:r w:rsidRPr="00F36674">
        <w:rPr>
          <w:i/>
          <w:iCs/>
        </w:rPr>
        <w:t>crecientes</w:t>
      </w:r>
      <w:r>
        <w:t xml:space="preserve"> </w:t>
      </w:r>
      <w:r w:rsidRPr="00547C58">
        <w:rPr>
          <w:sz w:val="19"/>
          <w:szCs w:val="19"/>
        </w:rPr>
        <w:t>(ya que hay un bien y un mal)</w:t>
      </w:r>
      <w:r>
        <w:t xml:space="preserve"> y </w:t>
      </w:r>
      <w:r w:rsidRPr="00F36674">
        <w:rPr>
          <w:i/>
          <w:iCs/>
        </w:rPr>
        <w:t>convexas</w:t>
      </w:r>
      <w:r>
        <w:t xml:space="preserve"> </w:t>
      </w:r>
      <w:r w:rsidRPr="00547C58">
        <w:rPr>
          <w:sz w:val="19"/>
          <w:szCs w:val="19"/>
        </w:rPr>
        <w:t>(debido a la aversión al riesgo del agente cuando aumenta el riesgo, la rentabilidad tiene que aumentar cada vez más)</w:t>
      </w:r>
      <w:r>
        <w:t>.</w:t>
      </w:r>
    </w:p>
    <w:p w14:paraId="1F85FD85" w14:textId="77777777" w:rsidR="007350CB" w:rsidRDefault="007350CB" w:rsidP="007350CB">
      <w:pPr>
        <w:pStyle w:val="Ttulo7"/>
      </w:pPr>
      <w:bookmarkStart w:id="36" w:name="_Toc144911947"/>
      <w:r>
        <w:lastRenderedPageBreak/>
        <w:t>Desarrollo</w:t>
      </w:r>
      <w:bookmarkEnd w:id="36"/>
    </w:p>
    <w:p w14:paraId="725B8A6A" w14:textId="28D21F14" w:rsidR="007350CB" w:rsidRDefault="007350CB" w:rsidP="001675F6">
      <w:pPr>
        <w:pStyle w:val="Nivel1SM"/>
        <w:keepNext/>
        <w:spacing w:before="0" w:after="0"/>
      </w:pPr>
      <w:r>
        <w:t xml:space="preserve">El </w:t>
      </w:r>
      <w:r>
        <w:rPr>
          <w:b/>
          <w:bCs/>
        </w:rPr>
        <w:t>problema de optimización</w:t>
      </w:r>
      <w:r>
        <w:t xml:space="preserve"> del </w:t>
      </w:r>
      <w:r w:rsidRPr="007D2D3B">
        <w:rPr>
          <w:i/>
          <w:iCs/>
        </w:rPr>
        <w:t>inversor</w:t>
      </w:r>
      <w:r>
        <w:t xml:space="preserve"> </w:t>
      </w:r>
      <w:r>
        <w:rPr>
          <w:i/>
          <w:iCs/>
        </w:rPr>
        <w:t>racional</w:t>
      </w:r>
      <w:r>
        <w:t xml:space="preserve"> será el de maximizar su utilidad sujeta a la frontera eficiente</w:t>
      </w:r>
      <w:r>
        <w:rPr>
          <w:rStyle w:val="Refdenotaalpie"/>
        </w:rPr>
        <w:footnoteReference w:id="8"/>
      </w:r>
      <w:r>
        <w:t>:</w:t>
      </w:r>
    </w:p>
    <w:p w14:paraId="3CDA0011" w14:textId="77F03CC2" w:rsidR="007350CB" w:rsidRPr="00B979C4" w:rsidRDefault="00000000" w:rsidP="005E31D7">
      <w:pPr>
        <w:spacing w:after="100"/>
        <w:jc w:val="center"/>
        <w:rPr>
          <w:i/>
          <w:lang w:val="en-US"/>
        </w:rPr>
      </w:pPr>
      <m:oMathPara>
        <m:oMath>
          <m:m>
            <m:mPr>
              <m:mcs>
                <m:mc>
                  <m:mcPr>
                    <m:count m:val="1"/>
                    <m:mcJc m:val="center"/>
                  </m:mcPr>
                </m:mc>
              </m:mcs>
              <m:ctrlPr>
                <w:rPr>
                  <w:rFonts w:ascii="Cambria Math" w:hAnsi="Cambria Math"/>
                  <w:i/>
                </w:rPr>
              </m:ctrlPr>
            </m:mPr>
            <m:mr>
              <m:e>
                <m:m>
                  <m:mPr>
                    <m:mcs>
                      <m:mc>
                        <m:mcPr>
                          <m:count m:val="2"/>
                          <m:mcJc m:val="center"/>
                        </m:mcPr>
                      </m:mc>
                    </m:mcs>
                    <m:ctrlPr>
                      <w:rPr>
                        <w:rFonts w:ascii="Cambria Math" w:hAnsi="Cambria Math"/>
                        <w:i/>
                      </w:rPr>
                    </m:ctrlPr>
                  </m:mPr>
                  <m:mr>
                    <m:e>
                      <m:limLow>
                        <m:limLowPr>
                          <m:ctrlPr>
                            <w:rPr>
                              <w:rFonts w:ascii="Cambria Math" w:eastAsia="Calibri" w:hAnsi="Cambria Math" w:cs="Times New Roman"/>
                              <w:i/>
                            </w:rPr>
                          </m:ctrlPr>
                        </m:limLowPr>
                        <m:e>
                          <m:r>
                            <m:rPr>
                              <m:nor/>
                            </m:rPr>
                            <w:rPr>
                              <w:rFonts w:eastAsia="Calibri" w:cs="Times New Roman"/>
                              <w:i/>
                            </w:rPr>
                            <m:t>max</m:t>
                          </m:r>
                        </m:e>
                        <m:lim>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X</m:t>
                                  </m:r>
                                </m:e>
                                <m:sub>
                                  <m:r>
                                    <m:rPr>
                                      <m:nor/>
                                    </m:rPr>
                                    <w:rPr>
                                      <w:rFonts w:eastAsia="Calibri" w:cs="Times New Roman"/>
                                      <w:i/>
                                    </w:rPr>
                                    <m:t>i</m:t>
                                  </m:r>
                                </m:sub>
                              </m:sSub>
                            </m:e>
                          </m:d>
                        </m:lim>
                      </m:limLow>
                    </m:e>
                    <m:e>
                      <m:r>
                        <m:rPr>
                          <m:nor/>
                        </m:rPr>
                        <w:rPr>
                          <w:rFonts w:eastAsia="Calibri" w:cs="Times New Roman"/>
                          <w:i/>
                        </w:rPr>
                        <m:t>U</m:t>
                      </m:r>
                      <m:d>
                        <m:dPr>
                          <m:ctrlPr>
                            <w:rPr>
                              <w:rFonts w:ascii="Cambria Math" w:eastAsia="Calibri" w:hAnsi="Cambria Math" w:cs="Times New Roman"/>
                              <w:i/>
                            </w:rPr>
                          </m:ctrlPr>
                        </m:dPr>
                        <m:e>
                          <m:limUpp>
                            <m:limUppPr>
                              <m:ctrlPr>
                                <w:rPr>
                                  <w:rFonts w:ascii="Cambria Math" w:eastAsia="Calibri" w:hAnsi="Cambria Math" w:cs="Times New Roman"/>
                                  <w:i/>
                                </w:rPr>
                              </m:ctrlPr>
                            </m:limUppPr>
                            <m:e>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p</m:t>
                                      </m:r>
                                    </m:sub>
                                  </m:sSub>
                                </m:e>
                              </m:d>
                            </m:e>
                            <m:lim>
                              <m:r>
                                <w:rPr>
                                  <w:rFonts w:ascii="Cambria Math" w:eastAsia="Calibri" w:hAnsi="Cambria Math" w:cs="Times New Roman"/>
                                </w:rPr>
                                <m:t>+</m:t>
                              </m:r>
                            </m:lim>
                          </m:limUpp>
                          <m:r>
                            <m:rPr>
                              <m:nor/>
                            </m:rPr>
                            <w:rPr>
                              <w:rFonts w:eastAsia="Calibri" w:cs="Times New Roman"/>
                              <w:i/>
                            </w:rPr>
                            <m:t>,</m:t>
                          </m:r>
                          <m:r>
                            <m:rPr>
                              <m:nor/>
                            </m:rPr>
                            <w:rPr>
                              <w:rFonts w:ascii="Cambria Math" w:eastAsia="Calibri" w:cs="Times New Roman"/>
                              <w:i/>
                            </w:rPr>
                            <m:t xml:space="preserve"> </m:t>
                          </m:r>
                          <m:limUpp>
                            <m:limUppPr>
                              <m:ctrlPr>
                                <w:rPr>
                                  <w:rFonts w:ascii="Cambria Math" w:eastAsia="Calibri" w:hAnsi="Cambria Math" w:cs="Times New Roman"/>
                                  <w:i/>
                                </w:rPr>
                              </m:ctrlPr>
                            </m:limUppPr>
                            <m:e>
                              <m:sSup>
                                <m:sSupPr>
                                  <m:ctrlPr>
                                    <w:rPr>
                                      <w:rFonts w:ascii="Cambria Math" w:eastAsia="Calibri" w:hAnsi="Cambria Math" w:cs="Times New Roman"/>
                                      <w:i/>
                                    </w:rPr>
                                  </m:ctrlPr>
                                </m:sSupPr>
                                <m:e>
                                  <m:r>
                                    <m:rPr>
                                      <m:nor/>
                                    </m:rPr>
                                    <w:rPr>
                                      <w:rFonts w:eastAsia="Calibri" w:cs="Times New Roman"/>
                                      <w:i/>
                                    </w:rPr>
                                    <m:t>σ</m:t>
                                  </m:r>
                                </m:e>
                                <m:sup>
                                  <m:r>
                                    <m:rPr>
                                      <m:nor/>
                                    </m:rPr>
                                    <w:rPr>
                                      <w:rFonts w:eastAsia="Calibri" w:cs="Times New Roman"/>
                                      <w:i/>
                                    </w:rPr>
                                    <m:t>2</m:t>
                                  </m:r>
                                </m:sup>
                              </m:sSup>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p</m:t>
                                      </m:r>
                                    </m:sub>
                                  </m:sSub>
                                </m:e>
                              </m:d>
                            </m:e>
                            <m:lim>
                              <m:r>
                                <w:rPr>
                                  <w:rFonts w:ascii="Cambria Math" w:eastAsia="Calibri" w:hAnsi="Cambria Math" w:cs="Times New Roman"/>
                                </w:rPr>
                                <m:t>-</m:t>
                              </m:r>
                            </m:lim>
                          </m:limUpp>
                        </m:e>
                      </m:d>
                    </m:e>
                  </m:mr>
                </m:m>
              </m:e>
            </m:mr>
            <m:mr>
              <m:e>
                <m:m>
                  <m:mPr>
                    <m:mcs>
                      <m:mc>
                        <m:mcPr>
                          <m:count m:val="1"/>
                          <m:mcJc m:val="center"/>
                        </m:mcPr>
                      </m:mc>
                    </m:mcs>
                    <m:ctrlPr>
                      <w:rPr>
                        <w:rFonts w:ascii="Cambria Math" w:eastAsia="Calibri" w:hAnsi="Cambria Math" w:cs="Times New Roman"/>
                        <w:i/>
                      </w:rPr>
                    </m:ctrlPr>
                  </m:mPr>
                  <m:mr>
                    <m:e>
                      <m:m>
                        <m:mPr>
                          <m:mcs>
                            <m:mc>
                              <m:mcPr>
                                <m:count m:val="2"/>
                                <m:mcJc m:val="center"/>
                              </m:mcPr>
                            </m:mc>
                          </m:mcs>
                          <m:ctrlPr>
                            <w:rPr>
                              <w:rFonts w:ascii="Cambria Math" w:eastAsia="Calibri" w:hAnsi="Cambria Math" w:cs="Times New Roman"/>
                              <w:i/>
                            </w:rPr>
                          </m:ctrlPr>
                        </m:mPr>
                        <m:mr>
                          <m:e>
                            <m:r>
                              <m:rPr>
                                <m:nor/>
                              </m:rPr>
                              <w:rPr>
                                <w:rFonts w:eastAsia="Calibri" w:cs="Times New Roman"/>
                                <w:i/>
                              </w:rPr>
                              <m:t>s.a.</m:t>
                            </m:r>
                          </m:e>
                          <m:e>
                            <m:r>
                              <m:rPr>
                                <m:nor/>
                              </m:rPr>
                              <w:rPr>
                                <w:rFonts w:eastAsia="Calibri" w:cs="Times New Roman"/>
                                <w:i/>
                              </w:rPr>
                              <m:t>frontera</m:t>
                            </m:r>
                            <m:r>
                              <m:rPr>
                                <m:nor/>
                              </m:rPr>
                              <w:rPr>
                                <w:rFonts w:ascii="Cambria Math" w:eastAsia="Calibri" w:cs="Times New Roman"/>
                                <w:i/>
                              </w:rPr>
                              <m:t xml:space="preserve"> </m:t>
                            </m:r>
                            <m:r>
                              <m:rPr>
                                <m:nor/>
                              </m:rPr>
                              <w:rPr>
                                <w:rFonts w:eastAsia="Calibri" w:cs="Times New Roman"/>
                                <w:i/>
                              </w:rPr>
                              <m:t>eficiente:</m:t>
                            </m:r>
                          </m:e>
                        </m:mr>
                      </m:m>
                    </m:e>
                  </m:mr>
                  <m:mr>
                    <m:e>
                      <m:r>
                        <w:rPr>
                          <w:rFonts w:ascii="Cambria Math" w:eastAsia="Calibri" w:hAnsi="Cambria Math" w:cs="Times New Roman"/>
                        </w:rPr>
                        <m:t xml:space="preserve">                                    </m:t>
                      </m:r>
                      <m:d>
                        <m:dPr>
                          <m:begChr m:val="{"/>
                          <m:endChr m:val=""/>
                          <m:ctrlPr>
                            <w:rPr>
                              <w:rFonts w:ascii="Cambria Math" w:hAnsi="Cambria Math"/>
                              <w:i/>
                            </w:rPr>
                          </m:ctrlPr>
                        </m:dPr>
                        <m:e>
                          <m:m>
                            <m:mPr>
                              <m:mcs>
                                <m:mc>
                                  <m:mcPr>
                                    <m:count m:val="1"/>
                                    <m:mcJc m:val="center"/>
                                  </m:mcPr>
                                </m:mc>
                              </m:mcs>
                              <m:ctrlPr>
                                <w:rPr>
                                  <w:rFonts w:ascii="Cambria Math" w:hAnsi="Cambria Math"/>
                                  <w:i/>
                                </w:rPr>
                              </m:ctrlPr>
                            </m:mPr>
                            <m:mr>
                              <m:e>
                                <m:m>
                                  <m:mPr>
                                    <m:mcs>
                                      <m:mc>
                                        <m:mcPr>
                                          <m:count m:val="2"/>
                                          <m:mcJc m:val="center"/>
                                        </m:mcPr>
                                      </m:mc>
                                    </m:mcs>
                                    <m:ctrlPr>
                                      <w:rPr>
                                        <w:rFonts w:ascii="Cambria Math" w:hAnsi="Cambria Math"/>
                                        <w:i/>
                                      </w:rPr>
                                    </m:ctrlPr>
                                  </m:mPr>
                                  <m:mr>
                                    <m:e>
                                      <m:limLow>
                                        <m:limLowPr>
                                          <m:ctrlPr>
                                            <w:rPr>
                                              <w:rFonts w:ascii="Cambria Math" w:eastAsia="Calibri" w:hAnsi="Cambria Math" w:cs="Times New Roman"/>
                                              <w:i/>
                                            </w:rPr>
                                          </m:ctrlPr>
                                        </m:limLowPr>
                                        <m:e>
                                          <m:r>
                                            <m:rPr>
                                              <m:nor/>
                                            </m:rPr>
                                            <w:rPr>
                                              <w:rFonts w:eastAsia="Calibri" w:cs="Times New Roman"/>
                                              <w:i/>
                                            </w:rPr>
                                            <m:t>max</m:t>
                                          </m:r>
                                        </m:e>
                                        <m:lim>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X</m:t>
                                                  </m:r>
                                                </m:e>
                                                <m:sub>
                                                  <m:r>
                                                    <m:rPr>
                                                      <m:nor/>
                                                    </m:rPr>
                                                    <w:rPr>
                                                      <w:rFonts w:eastAsia="Calibri" w:cs="Times New Roman"/>
                                                      <w:i/>
                                                    </w:rPr>
                                                    <m:t>i</m:t>
                                                  </m:r>
                                                </m:sub>
                                              </m:sSub>
                                            </m:e>
                                          </m:d>
                                        </m:lim>
                                      </m:limLow>
                                    </m:e>
                                    <m:e>
                                      <w:bookmarkStart w:id="37" w:name="_Hlk100692242"/>
                                      <m:r>
                                        <m:rPr>
                                          <m:nor/>
                                        </m:rPr>
                                        <w:rPr>
                                          <w:rFonts w:ascii="Cambria Math" w:eastAsia="Calibri" w:cs="Times New Roman"/>
                                          <w:i/>
                                        </w:rPr>
                                        <m:t xml:space="preserve">   </m:t>
                                      </m:r>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p</m:t>
                                              </m:r>
                                            </m:sub>
                                          </m:sSub>
                                        </m:e>
                                      </m:d>
                                      <m:r>
                                        <w:rPr>
                                          <w:rFonts w:ascii="Cambria Math" w:eastAsia="Calibri" w:hAnsi="Cambria Math" w:cs="Times New Roman"/>
                                        </w:rPr>
                                        <m:t>=</m:t>
                                      </m:r>
                                      <m:nary>
                                        <m:naryPr>
                                          <m:chr m:val="∑"/>
                                          <m:ctrlPr>
                                            <w:rPr>
                                              <w:rFonts w:ascii="Cambria Math" w:eastAsia="Calibri" w:hAnsi="Cambria Math" w:cs="Times New Roman"/>
                                              <w:i/>
                                            </w:rPr>
                                          </m:ctrlPr>
                                        </m:naryPr>
                                        <m:sub>
                                          <m:r>
                                            <m:rPr>
                                              <m:nor/>
                                            </m:rPr>
                                            <w:rPr>
                                              <w:rFonts w:eastAsia="Calibri" w:cs="Times New Roman"/>
                                              <w:i/>
                                            </w:rPr>
                                            <m:t>i=1</m:t>
                                          </m:r>
                                        </m:sub>
                                        <m:sup>
                                          <m:r>
                                            <m:rPr>
                                              <m:nor/>
                                            </m:rPr>
                                            <w:rPr>
                                              <w:rFonts w:eastAsia="Calibri" w:cs="Times New Roman"/>
                                              <w:i/>
                                            </w:rPr>
                                            <m:t>n</m:t>
                                          </m:r>
                                        </m:sup>
                                        <m:e>
                                          <m:sSub>
                                            <m:sSubPr>
                                              <m:ctrlPr>
                                                <w:rPr>
                                                  <w:rFonts w:ascii="Cambria Math" w:eastAsia="Calibri" w:hAnsi="Cambria Math" w:cs="Times New Roman"/>
                                                  <w:i/>
                                                </w:rPr>
                                              </m:ctrlPr>
                                            </m:sSubPr>
                                            <m:e>
                                              <m:r>
                                                <m:rPr>
                                                  <m:nor/>
                                                </m:rPr>
                                                <w:rPr>
                                                  <w:rFonts w:eastAsia="Calibri" w:cs="Times New Roman"/>
                                                  <w:i/>
                                                </w:rPr>
                                                <m:t>X</m:t>
                                              </m:r>
                                            </m:e>
                                            <m:sub>
                                              <m:r>
                                                <m:rPr>
                                                  <m:nor/>
                                                </m:rPr>
                                                <w:rPr>
                                                  <w:rFonts w:eastAsia="Calibri" w:cs="Times New Roman"/>
                                                  <w:i/>
                                                </w:rPr>
                                                <m:t>i</m:t>
                                              </m:r>
                                            </m:sub>
                                          </m:sSub>
                                          <m:r>
                                            <w:rPr>
                                              <w:rFonts w:ascii="Cambria Math" w:eastAsia="Calibri" w:hAnsi="Cambria Math" w:cs="Times New Roman"/>
                                            </w:rPr>
                                            <m:t>∙</m:t>
                                          </m:r>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i</m:t>
                                                  </m:r>
                                                </m:sub>
                                              </m:sSub>
                                            </m:e>
                                          </m:d>
                                        </m:e>
                                      </m:nary>
                                      <w:bookmarkEnd w:id="37"/>
                                    </m:e>
                                  </m:mr>
                                </m:m>
                                <m:r>
                                  <w:rPr>
                                    <w:rFonts w:ascii="Cambria Math" w:hAnsi="Cambria Math"/>
                                  </w:rPr>
                                  <m:t xml:space="preserve">         </m:t>
                                </m:r>
                              </m:e>
                            </m:mr>
                            <m:mr>
                              <m:e>
                                <m:m>
                                  <m:mPr>
                                    <m:mcs>
                                      <m:mc>
                                        <m:mcPr>
                                          <m:count m:val="2"/>
                                          <m:mcJc m:val="center"/>
                                        </m:mcPr>
                                      </m:mc>
                                    </m:mcs>
                                    <m:ctrlPr>
                                      <w:rPr>
                                        <w:rFonts w:ascii="Cambria Math" w:hAnsi="Cambria Math"/>
                                        <w:i/>
                                      </w:rPr>
                                    </m:ctrlPr>
                                  </m:mPr>
                                  <m:mr>
                                    <m:e>
                                      <m:r>
                                        <m:rPr>
                                          <m:nor/>
                                        </m:rPr>
                                        <w:rPr>
                                          <w:rFonts w:eastAsia="Calibri" w:cs="Times New Roman"/>
                                          <w:i/>
                                        </w:rPr>
                                        <m:t>s.a.</m:t>
                                      </m:r>
                                    </m:e>
                                    <m:e>
                                      <m:d>
                                        <m:dPr>
                                          <m:begChr m:val="{"/>
                                          <m:endChr m:val=""/>
                                          <m:ctrlPr>
                                            <w:rPr>
                                              <w:rFonts w:ascii="Cambria Math" w:eastAsia="Calibri" w:hAnsi="Cambria Math" w:cs="Times New Roman"/>
                                              <w:i/>
                                            </w:rPr>
                                          </m:ctrlPr>
                                        </m:dPr>
                                        <m:e>
                                          <m:m>
                                            <m:mPr>
                                              <m:mcs>
                                                <m:mc>
                                                  <m:mcPr>
                                                    <m:count m:val="1"/>
                                                    <m:mcJc m:val="center"/>
                                                  </m:mcPr>
                                                </m:mc>
                                              </m:mcs>
                                              <m:ctrlPr>
                                                <w:rPr>
                                                  <w:rFonts w:ascii="Cambria Math" w:eastAsia="Calibri" w:hAnsi="Cambria Math" w:cs="Times New Roman"/>
                                                  <w:i/>
                                                </w:rPr>
                                              </m:ctrlPr>
                                            </m:mPr>
                                            <m:mr>
                                              <m:e>
                                                <m:sSup>
                                                  <m:sSupPr>
                                                    <m:ctrlPr>
                                                      <w:rPr>
                                                        <w:rFonts w:ascii="Cambria Math" w:eastAsia="Calibri" w:hAnsi="Cambria Math" w:cs="Times New Roman"/>
                                                        <w:i/>
                                                      </w:rPr>
                                                    </m:ctrlPr>
                                                  </m:sSupPr>
                                                  <m:e>
                                                    <m:r>
                                                      <m:rPr>
                                                        <m:nor/>
                                                      </m:rPr>
                                                      <w:rPr>
                                                        <w:rFonts w:eastAsia="Calibri" w:cs="Times New Roman"/>
                                                        <w:i/>
                                                      </w:rPr>
                                                      <m:t>σ</m:t>
                                                    </m:r>
                                                  </m:e>
                                                  <m:sup>
                                                    <m:r>
                                                      <m:rPr>
                                                        <m:nor/>
                                                      </m:rPr>
                                                      <w:rPr>
                                                        <w:rFonts w:eastAsia="Calibri" w:cs="Times New Roman"/>
                                                        <w:i/>
                                                        <w:lang w:val="en-US"/>
                                                      </w:rPr>
                                                      <m:t>2</m:t>
                                                    </m:r>
                                                  </m:sup>
                                                </m:sSup>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lang w:val="en-US"/>
                                                          </w:rPr>
                                                          <m:t>R</m:t>
                                                        </m:r>
                                                      </m:e>
                                                      <m:sub>
                                                        <m:r>
                                                          <m:rPr>
                                                            <m:nor/>
                                                          </m:rPr>
                                                          <w:rPr>
                                                            <w:rFonts w:eastAsia="Calibri" w:cs="Times New Roman"/>
                                                            <w:i/>
                                                            <w:lang w:val="en-US"/>
                                                          </w:rPr>
                                                          <m:t>p</m:t>
                                                        </m:r>
                                                      </m:sub>
                                                    </m:sSub>
                                                  </m:e>
                                                </m:d>
                                                <m:r>
                                                  <w:rPr>
                                                    <w:rFonts w:ascii="Cambria Math" w:eastAsia="Calibri" w:hAnsi="Cambria Math" w:cs="Times New Roman"/>
                                                    <w:lang w:val="en-US"/>
                                                  </w:rPr>
                                                  <m:t>=</m:t>
                                                </m:r>
                                                <m:nary>
                                                  <m:naryPr>
                                                    <m:chr m:val="∑"/>
                                                    <m:ctrlPr>
                                                      <w:rPr>
                                                        <w:rFonts w:ascii="Cambria Math" w:eastAsia="Calibri" w:hAnsi="Cambria Math" w:cs="Times New Roman"/>
                                                        <w:i/>
                                                      </w:rPr>
                                                    </m:ctrlPr>
                                                  </m:naryPr>
                                                  <m:sub>
                                                    <m:r>
                                                      <m:rPr>
                                                        <m:nor/>
                                                      </m:rPr>
                                                      <w:rPr>
                                                        <w:rFonts w:eastAsia="Calibri" w:cs="Times New Roman"/>
                                                        <w:i/>
                                                        <w:lang w:val="en-US"/>
                                                      </w:rPr>
                                                      <m:t>i=1</m:t>
                                                    </m:r>
                                                  </m:sub>
                                                  <m:sup>
                                                    <m:r>
                                                      <m:rPr>
                                                        <m:nor/>
                                                      </m:rPr>
                                                      <w:rPr>
                                                        <w:rFonts w:eastAsia="Calibri" w:cs="Times New Roman"/>
                                                        <w:i/>
                                                        <w:lang w:val="en-US"/>
                                                      </w:rPr>
                                                      <m:t>n</m:t>
                                                    </m:r>
                                                  </m:sup>
                                                  <m:e>
                                                    <m:nary>
                                                      <m:naryPr>
                                                        <m:chr m:val="∑"/>
                                                        <m:ctrlPr>
                                                          <w:rPr>
                                                            <w:rFonts w:ascii="Cambria Math" w:eastAsia="Calibri" w:hAnsi="Cambria Math" w:cs="Times New Roman"/>
                                                            <w:i/>
                                                          </w:rPr>
                                                        </m:ctrlPr>
                                                      </m:naryPr>
                                                      <m:sub>
                                                        <m:r>
                                                          <m:rPr>
                                                            <m:nor/>
                                                          </m:rPr>
                                                          <w:rPr>
                                                            <w:rFonts w:eastAsia="Calibri" w:cs="Times New Roman"/>
                                                            <w:i/>
                                                            <w:lang w:val="en-US"/>
                                                          </w:rPr>
                                                          <m:t>j=1</m:t>
                                                        </m:r>
                                                      </m:sub>
                                                      <m:sup>
                                                        <m:r>
                                                          <m:rPr>
                                                            <m:nor/>
                                                          </m:rPr>
                                                          <w:rPr>
                                                            <w:rFonts w:eastAsia="Calibri" w:cs="Times New Roman"/>
                                                            <w:i/>
                                                            <w:lang w:val="en-US"/>
                                                          </w:rPr>
                                                          <m:t>n</m:t>
                                                        </m:r>
                                                      </m:sup>
                                                      <m:e>
                                                        <m:sSub>
                                                          <m:sSubPr>
                                                            <m:ctrlPr>
                                                              <w:rPr>
                                                                <w:rFonts w:ascii="Cambria Math" w:eastAsia="Calibri" w:hAnsi="Cambria Math" w:cs="Times New Roman"/>
                                                                <w:i/>
                                                              </w:rPr>
                                                            </m:ctrlPr>
                                                          </m:sSubPr>
                                                          <m:e>
                                                            <m:r>
                                                              <m:rPr>
                                                                <m:nor/>
                                                              </m:rPr>
                                                              <w:rPr>
                                                                <w:rFonts w:eastAsia="Calibri" w:cs="Times New Roman"/>
                                                                <w:i/>
                                                                <w:lang w:val="en-US"/>
                                                              </w:rPr>
                                                              <m:t>X</m:t>
                                                            </m:r>
                                                          </m:e>
                                                          <m:sub>
                                                            <m:r>
                                                              <m:rPr>
                                                                <m:nor/>
                                                              </m:rPr>
                                                              <w:rPr>
                                                                <w:rFonts w:eastAsia="Calibri" w:cs="Times New Roman"/>
                                                                <w:i/>
                                                                <w:lang w:val="en-US"/>
                                                              </w:rPr>
                                                              <m:t>i</m:t>
                                                            </m:r>
                                                          </m:sub>
                                                        </m:sSub>
                                                        <m:r>
                                                          <w:rPr>
                                                            <w:rFonts w:ascii="Cambria Math" w:eastAsia="Calibri" w:hAnsi="Cambria Math" w:cs="Times New Roman"/>
                                                            <w:lang w:val="en-US"/>
                                                          </w:rPr>
                                                          <m:t>∙</m:t>
                                                        </m:r>
                                                        <m:sSub>
                                                          <m:sSubPr>
                                                            <m:ctrlPr>
                                                              <w:rPr>
                                                                <w:rFonts w:ascii="Cambria Math" w:eastAsia="Calibri" w:hAnsi="Cambria Math" w:cs="Times New Roman"/>
                                                                <w:i/>
                                                              </w:rPr>
                                                            </m:ctrlPr>
                                                          </m:sSubPr>
                                                          <m:e>
                                                            <m:r>
                                                              <m:rPr>
                                                                <m:nor/>
                                                              </m:rPr>
                                                              <w:rPr>
                                                                <w:rFonts w:eastAsia="Calibri" w:cs="Times New Roman"/>
                                                                <w:i/>
                                                                <w:lang w:val="en-US"/>
                                                              </w:rPr>
                                                              <m:t>X</m:t>
                                                            </m:r>
                                                          </m:e>
                                                          <m:sub>
                                                            <m:r>
                                                              <m:rPr>
                                                                <m:nor/>
                                                              </m:rPr>
                                                              <w:rPr>
                                                                <w:rFonts w:eastAsia="Calibri" w:cs="Times New Roman"/>
                                                                <w:i/>
                                                                <w:lang w:val="en-US"/>
                                                              </w:rPr>
                                                              <m:t>j</m:t>
                                                            </m:r>
                                                          </m:sub>
                                                        </m:sSub>
                                                        <m:r>
                                                          <w:rPr>
                                                            <w:rFonts w:ascii="Cambria Math" w:eastAsia="Calibri" w:hAnsi="Cambria Math" w:cs="Times New Roman"/>
                                                            <w:lang w:val="en-US"/>
                                                          </w:rPr>
                                                          <m:t>∙</m:t>
                                                        </m:r>
                                                        <m:sSub>
                                                          <m:sSubPr>
                                                            <m:ctrlPr>
                                                              <w:rPr>
                                                                <w:rFonts w:ascii="Cambria Math" w:eastAsia="Calibri" w:hAnsi="Cambria Math" w:cs="Times New Roman"/>
                                                                <w:i/>
                                                              </w:rPr>
                                                            </m:ctrlPr>
                                                          </m:sSubPr>
                                                          <m:e>
                                                            <m:r>
                                                              <m:rPr>
                                                                <m:nor/>
                                                              </m:rPr>
                                                              <w:rPr>
                                                                <w:rFonts w:eastAsia="Calibri" w:cs="Times New Roman"/>
                                                                <w:i/>
                                                              </w:rPr>
                                                              <m:t>σ</m:t>
                                                            </m:r>
                                                          </m:e>
                                                          <m:sub>
                                                            <m:r>
                                                              <m:rPr>
                                                                <m:nor/>
                                                              </m:rPr>
                                                              <w:rPr>
                                                                <w:rFonts w:eastAsia="Calibri" w:cs="Times New Roman"/>
                                                                <w:i/>
                                                                <w:lang w:val="en-US"/>
                                                              </w:rPr>
                                                              <m:t>ij</m:t>
                                                            </m:r>
                                                          </m:sub>
                                                        </m:sSub>
                                                      </m:e>
                                                    </m:nary>
                                                  </m:e>
                                                </m:nary>
                                              </m:e>
                                            </m:mr>
                                            <m:mr>
                                              <m:e>
                                                <m:sSub>
                                                  <m:sSubPr>
                                                    <m:ctrlPr>
                                                      <w:rPr>
                                                        <w:rFonts w:ascii="Cambria Math" w:eastAsia="Calibri" w:hAnsi="Cambria Math" w:cs="Times New Roman"/>
                                                        <w:i/>
                                                      </w:rPr>
                                                    </m:ctrlPr>
                                                  </m:sSubPr>
                                                  <m:e>
                                                    <m:r>
                                                      <m:rPr>
                                                        <m:nor/>
                                                      </m:rPr>
                                                      <w:rPr>
                                                        <w:rFonts w:eastAsia="Calibri" w:cs="Times New Roman"/>
                                                        <w:i/>
                                                        <w:lang w:val="en-US"/>
                                                      </w:rPr>
                                                      <m:t>X</m:t>
                                                    </m:r>
                                                  </m:e>
                                                  <m:sub>
                                                    <m:r>
                                                      <m:rPr>
                                                        <m:nor/>
                                                      </m:rPr>
                                                      <w:rPr>
                                                        <w:rFonts w:eastAsia="Calibri" w:cs="Times New Roman"/>
                                                        <w:i/>
                                                        <w:lang w:val="en-US"/>
                                                      </w:rPr>
                                                      <m:t>1</m:t>
                                                    </m:r>
                                                  </m:sub>
                                                </m:sSub>
                                                <m:r>
                                                  <w:rPr>
                                                    <w:rFonts w:ascii="Cambria Math" w:eastAsia="Calibri" w:hAnsi="Cambria Math" w:cs="Times New Roman"/>
                                                    <w:lang w:val="en-US"/>
                                                  </w:rPr>
                                                  <m:t>+</m:t>
                                                </m:r>
                                                <m:sSub>
                                                  <m:sSubPr>
                                                    <m:ctrlPr>
                                                      <w:rPr>
                                                        <w:rFonts w:ascii="Cambria Math" w:eastAsia="Calibri" w:hAnsi="Cambria Math" w:cs="Times New Roman"/>
                                                        <w:i/>
                                                      </w:rPr>
                                                    </m:ctrlPr>
                                                  </m:sSubPr>
                                                  <m:e>
                                                    <m:r>
                                                      <m:rPr>
                                                        <m:nor/>
                                                      </m:rPr>
                                                      <w:rPr>
                                                        <w:rFonts w:eastAsia="Calibri" w:cs="Times New Roman"/>
                                                        <w:i/>
                                                        <w:lang w:val="en-US"/>
                                                      </w:rPr>
                                                      <m:t>X</m:t>
                                                    </m:r>
                                                  </m:e>
                                                  <m:sub>
                                                    <m:r>
                                                      <m:rPr>
                                                        <m:nor/>
                                                      </m:rPr>
                                                      <w:rPr>
                                                        <w:rFonts w:eastAsia="Calibri" w:cs="Times New Roman"/>
                                                        <w:i/>
                                                        <w:lang w:val="en-US"/>
                                                      </w:rPr>
                                                      <m:t>2</m:t>
                                                    </m:r>
                                                  </m:sub>
                                                </m:sSub>
                                                <w:bookmarkStart w:id="38" w:name="_Hlk100686577"/>
                                                <m:r>
                                                  <w:rPr>
                                                    <w:rFonts w:ascii="Cambria Math" w:eastAsia="Calibri" w:hAnsi="Cambria Math" w:cs="Times New Roman"/>
                                                    <w:lang w:val="en-US"/>
                                                  </w:rPr>
                                                  <m:t>+</m:t>
                                                </m:r>
                                                <w:bookmarkEnd w:id="38"/>
                                                <m:r>
                                                  <m:rPr>
                                                    <m:nor/>
                                                  </m:rPr>
                                                  <w:rPr>
                                                    <w:rFonts w:eastAsia="Calibri" w:cs="Times New Roman"/>
                                                    <w:i/>
                                                    <w:lang w:val="en-US"/>
                                                  </w:rPr>
                                                  <m:t>...</m:t>
                                                </m:r>
                                                <m:r>
                                                  <w:rPr>
                                                    <w:rFonts w:ascii="Cambria Math" w:eastAsia="Calibri" w:hAnsi="Cambria Math" w:cs="Times New Roman"/>
                                                    <w:lang w:val="en-US"/>
                                                  </w:rPr>
                                                  <m:t>+</m:t>
                                                </m:r>
                                                <m:sSub>
                                                  <m:sSubPr>
                                                    <m:ctrlPr>
                                                      <w:rPr>
                                                        <w:rFonts w:ascii="Cambria Math" w:eastAsia="Calibri" w:hAnsi="Cambria Math" w:cs="Times New Roman"/>
                                                        <w:i/>
                                                      </w:rPr>
                                                    </m:ctrlPr>
                                                  </m:sSubPr>
                                                  <m:e>
                                                    <m:r>
                                                      <m:rPr>
                                                        <m:nor/>
                                                      </m:rPr>
                                                      <w:rPr>
                                                        <w:rFonts w:eastAsia="Calibri" w:cs="Times New Roman"/>
                                                        <w:i/>
                                                        <w:lang w:val="en-US"/>
                                                      </w:rPr>
                                                      <m:t>X</m:t>
                                                    </m:r>
                                                  </m:e>
                                                  <m:sub>
                                                    <m:r>
                                                      <m:rPr>
                                                        <m:nor/>
                                                      </m:rPr>
                                                      <w:rPr>
                                                        <w:rFonts w:eastAsia="Calibri" w:cs="Times New Roman"/>
                                                        <w:i/>
                                                        <w:lang w:val="en-US"/>
                                                      </w:rPr>
                                                      <m:t>n</m:t>
                                                    </m:r>
                                                  </m:sub>
                                                </m:sSub>
                                                <m:r>
                                                  <w:rPr>
                                                    <w:rFonts w:ascii="Cambria Math" w:eastAsia="Calibri" w:hAnsi="Cambria Math" w:cs="Times New Roman"/>
                                                    <w:lang w:val="en-US"/>
                                                  </w:rPr>
                                                  <m:t>=</m:t>
                                                </m:r>
                                                <m:r>
                                                  <m:rPr>
                                                    <m:nor/>
                                                  </m:rPr>
                                                  <w:rPr>
                                                    <w:rFonts w:eastAsia="Calibri" w:cs="Times New Roman"/>
                                                    <w:i/>
                                                    <w:lang w:val="en-US"/>
                                                  </w:rPr>
                                                  <m:t>1</m:t>
                                                </m:r>
                                                <m:r>
                                                  <m:rPr>
                                                    <m:nor/>
                                                  </m:rPr>
                                                  <w:rPr>
                                                    <w:rFonts w:ascii="Cambria Math" w:eastAsia="Calibri" w:cs="Times New Roman"/>
                                                    <w:i/>
                                                    <w:lang w:val="en-US"/>
                                                  </w:rPr>
                                                  <m:t xml:space="preserve">        </m:t>
                                                </m:r>
                                              </m:e>
                                            </m:mr>
                                            <m:mr>
                                              <m:e>
                                                <m:sSub>
                                                  <m:sSubPr>
                                                    <m:ctrlPr>
                                                      <w:rPr>
                                                        <w:rFonts w:ascii="Cambria Math" w:eastAsia="Calibri" w:hAnsi="Cambria Math" w:cs="Times New Roman"/>
                                                        <w:i/>
                                                      </w:rPr>
                                                    </m:ctrlPr>
                                                  </m:sSubPr>
                                                  <m:e>
                                                    <m:r>
                                                      <m:rPr>
                                                        <m:nor/>
                                                      </m:rPr>
                                                      <w:rPr>
                                                        <w:rFonts w:eastAsia="Calibri" w:cs="Times New Roman"/>
                                                        <w:i/>
                                                        <w:lang w:val="en-US"/>
                                                      </w:rPr>
                                                      <m:t>X</m:t>
                                                    </m:r>
                                                  </m:e>
                                                  <m:sub>
                                                    <m:r>
                                                      <m:rPr>
                                                        <m:nor/>
                                                      </m:rPr>
                                                      <w:rPr>
                                                        <w:rFonts w:eastAsia="Calibri" w:cs="Times New Roman"/>
                                                        <w:i/>
                                                        <w:lang w:val="en-US"/>
                                                      </w:rPr>
                                                      <m:t>1</m:t>
                                                    </m:r>
                                                  </m:sub>
                                                </m:sSub>
                                                <m:r>
                                                  <m:rPr>
                                                    <m:nor/>
                                                  </m:rPr>
                                                  <w:rPr>
                                                    <w:rFonts w:eastAsia="Calibri" w:cs="Times New Roman"/>
                                                    <w:i/>
                                                    <w:lang w:val="en-US"/>
                                                  </w:rPr>
                                                  <m:t>,</m:t>
                                                </m:r>
                                                <m:sSub>
                                                  <m:sSubPr>
                                                    <m:ctrlPr>
                                                      <w:rPr>
                                                        <w:rFonts w:ascii="Cambria Math" w:eastAsia="Calibri" w:hAnsi="Cambria Math" w:cs="Times New Roman"/>
                                                        <w:i/>
                                                      </w:rPr>
                                                    </m:ctrlPr>
                                                  </m:sSubPr>
                                                  <m:e>
                                                    <m:r>
                                                      <m:rPr>
                                                        <m:nor/>
                                                      </m:rPr>
                                                      <w:rPr>
                                                        <w:rFonts w:eastAsia="Calibri" w:cs="Times New Roman"/>
                                                        <w:i/>
                                                        <w:lang w:val="en-US"/>
                                                      </w:rPr>
                                                      <m:t>X</m:t>
                                                    </m:r>
                                                  </m:e>
                                                  <m:sub>
                                                    <m:r>
                                                      <m:rPr>
                                                        <m:nor/>
                                                      </m:rPr>
                                                      <w:rPr>
                                                        <w:rFonts w:eastAsia="Calibri" w:cs="Times New Roman"/>
                                                        <w:i/>
                                                        <w:lang w:val="en-US"/>
                                                      </w:rPr>
                                                      <m:t>2</m:t>
                                                    </m:r>
                                                  </m:sub>
                                                </m:sSub>
                                                <m:r>
                                                  <m:rPr>
                                                    <m:nor/>
                                                  </m:rPr>
                                                  <w:rPr>
                                                    <w:rFonts w:eastAsia="Calibri" w:cs="Times New Roman"/>
                                                    <w:i/>
                                                    <w:lang w:val="en-US"/>
                                                  </w:rPr>
                                                  <m:t>,...,</m:t>
                                                </m:r>
                                                <m:sSub>
                                                  <m:sSubPr>
                                                    <m:ctrlPr>
                                                      <w:rPr>
                                                        <w:rFonts w:ascii="Cambria Math" w:eastAsia="Calibri" w:hAnsi="Cambria Math" w:cs="Times New Roman"/>
                                                        <w:i/>
                                                      </w:rPr>
                                                    </m:ctrlPr>
                                                  </m:sSubPr>
                                                  <m:e>
                                                    <m:r>
                                                      <m:rPr>
                                                        <m:nor/>
                                                      </m:rPr>
                                                      <w:rPr>
                                                        <w:rFonts w:eastAsia="Calibri" w:cs="Times New Roman"/>
                                                        <w:i/>
                                                        <w:lang w:val="en-US"/>
                                                      </w:rPr>
                                                      <m:t>X</m:t>
                                                    </m:r>
                                                  </m:e>
                                                  <m:sub>
                                                    <m:r>
                                                      <m:rPr>
                                                        <m:nor/>
                                                      </m:rPr>
                                                      <w:rPr>
                                                        <w:rFonts w:eastAsia="Calibri" w:cs="Times New Roman"/>
                                                        <w:i/>
                                                        <w:lang w:val="en-US"/>
                                                      </w:rPr>
                                                      <m:t>n</m:t>
                                                    </m:r>
                                                  </m:sub>
                                                </m:sSub>
                                                <m:r>
                                                  <w:rPr>
                                                    <w:rFonts w:ascii="Cambria Math" w:eastAsia="Calibri" w:hAnsi="Cambria Math" w:cs="Times New Roman"/>
                                                    <w:lang w:val="en-US"/>
                                                  </w:rPr>
                                                  <m:t>≥</m:t>
                                                </m:r>
                                                <m:r>
                                                  <m:rPr>
                                                    <m:nor/>
                                                  </m:rPr>
                                                  <w:rPr>
                                                    <w:rFonts w:eastAsia="Calibri" w:cs="Times New Roman"/>
                                                    <w:i/>
                                                    <w:lang w:val="en-US"/>
                                                  </w:rPr>
                                                  <m:t>0</m:t>
                                                </m:r>
                                                <m:r>
                                                  <m:rPr>
                                                    <m:nor/>
                                                  </m:rPr>
                                                  <w:rPr>
                                                    <w:rFonts w:ascii="Cambria Math" w:eastAsia="Calibri" w:cs="Times New Roman"/>
                                                    <w:i/>
                                                    <w:lang w:val="en-US"/>
                                                  </w:rPr>
                                                  <m:t xml:space="preserve">                     </m:t>
                                                </m:r>
                                              </m:e>
                                            </m:mr>
                                          </m:m>
                                        </m:e>
                                      </m:d>
                                    </m:e>
                                  </m:mr>
                                </m:m>
                              </m:e>
                            </m:mr>
                          </m:m>
                        </m:e>
                      </m:d>
                    </m:e>
                  </m:mr>
                </m:m>
              </m:e>
            </m:mr>
          </m:m>
        </m:oMath>
      </m:oMathPara>
    </w:p>
    <w:p w14:paraId="124153E3" w14:textId="12FBAF49" w:rsidR="007350CB" w:rsidRDefault="007350CB" w:rsidP="008A75E2">
      <w:pPr>
        <w:pStyle w:val="Nivel1SM"/>
        <w:keepNext/>
        <w:spacing w:after="0"/>
      </w:pPr>
      <w:r>
        <w:t xml:space="preserve">El </w:t>
      </w:r>
      <w:r>
        <w:rPr>
          <w:b/>
          <w:bCs/>
        </w:rPr>
        <w:t>objetivo</w:t>
      </w:r>
      <w:r>
        <w:t xml:space="preserve"> será determinar la </w:t>
      </w:r>
      <w:r w:rsidRPr="00AB688C">
        <w:rPr>
          <w:b/>
          <w:bCs/>
        </w:rPr>
        <w:t>cartera óptima</w:t>
      </w:r>
      <w:r>
        <w:t xml:space="preserve">, para lo cual procedemos en </w:t>
      </w:r>
      <w:r w:rsidRPr="003534C5">
        <w:rPr>
          <w:i/>
          <w:iCs/>
        </w:rPr>
        <w:t>2</w:t>
      </w:r>
      <w:r w:rsidR="001675F6">
        <w:rPr>
          <w:i/>
          <w:iCs/>
        </w:rPr>
        <w:t> </w:t>
      </w:r>
      <w:r w:rsidRPr="003534C5">
        <w:rPr>
          <w:i/>
          <w:iCs/>
        </w:rPr>
        <w:t>etapas</w:t>
      </w:r>
      <w:r>
        <w:t>:</w:t>
      </w:r>
    </w:p>
    <w:p w14:paraId="6F3BD86B" w14:textId="2C121967" w:rsidR="007350CB" w:rsidRPr="008A75E2" w:rsidRDefault="007350CB" w:rsidP="00547C58">
      <w:pPr>
        <w:pStyle w:val="Nmero"/>
        <w:keepNext/>
        <w:numPr>
          <w:ilvl w:val="0"/>
          <w:numId w:val="7"/>
        </w:numPr>
        <w:spacing w:after="0"/>
        <w:ind w:left="568" w:hanging="284"/>
        <w:rPr>
          <w:spacing w:val="-2"/>
        </w:rPr>
      </w:pPr>
      <w:r w:rsidRPr="008A75E2">
        <w:rPr>
          <w:b/>
          <w:bCs/>
          <w:spacing w:val="-2"/>
        </w:rPr>
        <w:t>Primera etapa</w:t>
      </w:r>
      <w:r w:rsidRPr="001675F6">
        <w:rPr>
          <w:spacing w:val="-2"/>
        </w:rPr>
        <w:t xml:space="preserve">: </w:t>
      </w:r>
      <w:r w:rsidRPr="008A75E2">
        <w:rPr>
          <w:spacing w:val="-2"/>
        </w:rPr>
        <w:t xml:space="preserve">Calculamos todas las </w:t>
      </w:r>
      <w:r w:rsidRPr="008A75E2">
        <w:rPr>
          <w:b/>
          <w:bCs/>
          <w:spacing w:val="-2"/>
        </w:rPr>
        <w:t>carteras eficientes posibles</w:t>
      </w:r>
      <w:r w:rsidRPr="008A75E2">
        <w:rPr>
          <w:spacing w:val="-2"/>
        </w:rPr>
        <w:t xml:space="preserve"> (las que maximizan la rentabilidad para cada nivel de riesgo). Este será un problema objetivo, en el sentido de que será igual para todos los agentes. Gráficamente, la forma de la frontera eficiente va a depender de la correlación entre el rendimiento de los activos. Imaginemos que tenemos dos activos, </w:t>
      </w:r>
      <w:r w:rsidRPr="008A75E2">
        <w:rPr>
          <w:i/>
          <w:iCs/>
          <w:spacing w:val="-2"/>
        </w:rPr>
        <w:t>A</w:t>
      </w:r>
      <w:r w:rsidRPr="008A75E2">
        <w:rPr>
          <w:spacing w:val="-2"/>
        </w:rPr>
        <w:t xml:space="preserve"> y </w:t>
      </w:r>
      <w:r w:rsidRPr="008A75E2">
        <w:rPr>
          <w:i/>
          <w:iCs/>
          <w:spacing w:val="-2"/>
        </w:rPr>
        <w:t>B</w:t>
      </w:r>
      <w:r w:rsidR="00E0123A">
        <w:rPr>
          <w:rStyle w:val="Refdenotaalpie"/>
          <w:i/>
          <w:iCs/>
          <w:spacing w:val="-2"/>
        </w:rPr>
        <w:footnoteReference w:id="9"/>
      </w:r>
      <w:r w:rsidRPr="008A75E2">
        <w:rPr>
          <w:spacing w:val="-2"/>
        </w:rPr>
        <w:t>:</w:t>
      </w:r>
    </w:p>
    <w:p w14:paraId="55F4172C" w14:textId="226CE22F" w:rsidR="007350CB" w:rsidRDefault="007350CB" w:rsidP="009946D2">
      <w:pPr>
        <w:pStyle w:val="Nivel3SM"/>
        <w:keepNext/>
      </w:pPr>
      <w:r>
        <w:t xml:space="preserve">En el caso de que </w:t>
      </w:r>
      <w:r w:rsidRPr="00AF02D1">
        <w:t>no</w:t>
      </w:r>
      <w:r>
        <w:t xml:space="preserve"> se permitan ventas </w:t>
      </w:r>
      <w:r w:rsidR="00C646E0">
        <w:t>en</w:t>
      </w:r>
      <w:r>
        <w:t xml:space="preserve"> corto</w:t>
      </w:r>
      <w:r w:rsidR="00C646E0">
        <w:rPr>
          <w:rStyle w:val="Refdenotaalpie"/>
        </w:rPr>
        <w:footnoteReference w:id="10"/>
      </w:r>
      <w:r>
        <w:t xml:space="preserve"> se podría resumir en el siguiente dibujo:</w:t>
      </w:r>
    </w:p>
    <w:p w14:paraId="029A3514" w14:textId="5051ECDC" w:rsidR="00FA3929" w:rsidRPr="00FA3929" w:rsidRDefault="00FA3929" w:rsidP="00FA3929">
      <w:pPr>
        <w:pStyle w:val="Ttuloimagen"/>
        <w:rPr>
          <w:smallCaps w:val="0"/>
        </w:rPr>
      </w:pPr>
      <w:r>
        <w:t>Imagen</w:t>
      </w:r>
      <w:r w:rsidR="001675F6">
        <w:t> </w:t>
      </w:r>
      <w:r>
        <w:fldChar w:fldCharType="begin"/>
      </w:r>
      <w:r>
        <w:instrText xml:space="preserve"> SEQ Ilustración \* ARABIC </w:instrText>
      </w:r>
      <w:r>
        <w:fldChar w:fldCharType="separate"/>
      </w:r>
      <w:r w:rsidR="00561B3A">
        <w:t>1</w:t>
      </w:r>
      <w:r>
        <w:fldChar w:fldCharType="end"/>
      </w:r>
      <w:r>
        <w:rPr>
          <w:smallCaps w:val="0"/>
        </w:rPr>
        <w:t xml:space="preserve">.– </w:t>
      </w:r>
      <w:r>
        <w:rPr>
          <w:i/>
          <w:iCs/>
          <w:smallCaps w:val="0"/>
        </w:rPr>
        <w:t>Carteras eficientes</w:t>
      </w:r>
    </w:p>
    <w:p w14:paraId="1029DAFD" w14:textId="71DF572B" w:rsidR="007350CB" w:rsidRDefault="007350CB" w:rsidP="00FA3929">
      <w:pPr>
        <w:pStyle w:val="Imagen"/>
      </w:pPr>
      <w:r>
        <w:drawing>
          <wp:inline distT="0" distB="0" distL="0" distR="0" wp14:anchorId="69863008" wp14:editId="77621E54">
            <wp:extent cx="1652256" cy="1224000"/>
            <wp:effectExtent l="0" t="0" r="5715" b="0"/>
            <wp:docPr id="9" name="Imagen 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Diagrama&#10;&#10;Descripción generada automáticamente"/>
                    <pic:cNvPicPr/>
                  </pic:nvPicPr>
                  <pic:blipFill>
                    <a:blip r:embed="rId11" cstate="print">
                      <a:extLst>
                        <a:ext uri="{28A0092B-C50C-407E-A947-70E740481C1C}">
                          <a14:useLocalDpi xmlns:a14="http://schemas.microsoft.com/office/drawing/2010/main" val="0"/>
                        </a:ext>
                      </a:extLst>
                    </a:blip>
                    <a:srcRect t="692" b="692"/>
                    <a:stretch>
                      <a:fillRect/>
                    </a:stretch>
                  </pic:blipFill>
                  <pic:spPr bwMode="auto">
                    <a:xfrm>
                      <a:off x="0" y="0"/>
                      <a:ext cx="1652256" cy="1224000"/>
                    </a:xfrm>
                    <a:prstGeom prst="rect">
                      <a:avLst/>
                    </a:prstGeom>
                    <a:ln>
                      <a:noFill/>
                    </a:ln>
                    <a:extLst>
                      <a:ext uri="{53640926-AAD7-44D8-BBD7-CCE9431645EC}">
                        <a14:shadowObscured xmlns:a14="http://schemas.microsoft.com/office/drawing/2010/main"/>
                      </a:ext>
                    </a:extLst>
                  </pic:spPr>
                </pic:pic>
              </a:graphicData>
            </a:graphic>
          </wp:inline>
        </w:drawing>
      </w:r>
    </w:p>
    <w:p w14:paraId="201FFC6B" w14:textId="33583E66" w:rsidR="00FA3929" w:rsidRPr="00FA3929" w:rsidRDefault="00FA3929" w:rsidP="005E31D7">
      <w:pPr>
        <w:pStyle w:val="PiedeImagen"/>
        <w:ind w:left="720" w:hanging="720"/>
        <w:rPr>
          <w:i w:val="0"/>
          <w:iCs/>
        </w:rPr>
      </w:pPr>
      <w:r>
        <w:t>Fuente</w:t>
      </w:r>
      <w:r>
        <w:rPr>
          <w:i w:val="0"/>
          <w:iCs/>
        </w:rPr>
        <w:t xml:space="preserve">: </w:t>
      </w:r>
      <w:r w:rsidR="00655F7F">
        <w:rPr>
          <w:i w:val="0"/>
          <w:iCs/>
        </w:rPr>
        <w:t xml:space="preserve">Moreno, J.D. &amp; Gutiérrez, M. (2018). </w:t>
      </w:r>
      <w:r w:rsidR="00655F7F">
        <w:t>Tema 4: Teoría de Carteras</w:t>
      </w:r>
      <w:r w:rsidR="00655F7F">
        <w:rPr>
          <w:i w:val="0"/>
          <w:iCs/>
        </w:rPr>
        <w:t>. UC3M</w:t>
      </w:r>
    </w:p>
    <w:p w14:paraId="30C2D3E2" w14:textId="46DC7BDE" w:rsidR="007350CB" w:rsidRDefault="007350CB">
      <w:pPr>
        <w:pStyle w:val="Nivel3"/>
        <w:keepNext/>
        <w:numPr>
          <w:ilvl w:val="0"/>
          <w:numId w:val="11"/>
        </w:numPr>
        <w:ind w:left="1418" w:hanging="284"/>
      </w:pPr>
      <w:r>
        <w:rPr>
          <w:u w:val="single"/>
        </w:rPr>
        <w:lastRenderedPageBreak/>
        <w:t>Correlación perfecta positiva</w:t>
      </w:r>
      <w:r>
        <w:t xml:space="preserve"> (</w:t>
      </w:r>
      <m:oMath>
        <m:sSub>
          <m:sSubPr>
            <m:ctrlPr>
              <w:rPr>
                <w:rFonts w:ascii="Cambria Math" w:hAnsi="Cambria Math"/>
                <w:i/>
              </w:rPr>
            </m:ctrlPr>
          </m:sSubPr>
          <m:e>
            <m:r>
              <m:rPr>
                <m:nor/>
              </m:rPr>
              <w:rPr>
                <w:rFonts w:ascii="Times New Roman" w:hAnsi="Times New Roman" w:cs="Times New Roman"/>
                <w:i/>
              </w:rPr>
              <m:t>ρ</m:t>
            </m:r>
          </m:e>
          <m:sub>
            <m:r>
              <m:rPr>
                <m:nor/>
              </m:rPr>
              <w:rPr>
                <w:i/>
              </w:rPr>
              <m:t>A,B</m:t>
            </m:r>
          </m:sub>
        </m:sSub>
        <m:r>
          <w:rPr>
            <w:rFonts w:ascii="Cambria Math" w:hAnsi="Cambria Math"/>
          </w:rPr>
          <m:t>=</m:t>
        </m:r>
        <m:r>
          <m:rPr>
            <m:nor/>
          </m:rPr>
          <w:rPr>
            <w:i/>
          </w:rPr>
          <m:t>1</m:t>
        </m:r>
      </m:oMath>
      <w:r>
        <w:t xml:space="preserve">): Las variaciones porcentuales de los rendimientos de ambos títulos son </w:t>
      </w:r>
      <w:r>
        <w:rPr>
          <w:i/>
          <w:iCs/>
        </w:rPr>
        <w:t>iguales</w:t>
      </w:r>
      <w:r>
        <w:t xml:space="preserve"> y en el </w:t>
      </w:r>
      <w:r>
        <w:rPr>
          <w:i/>
          <w:iCs/>
        </w:rPr>
        <w:t>mismo sentido</w:t>
      </w:r>
      <w:r>
        <w:t xml:space="preserve"> (p. ej. son dos títulos de la misma empresa o de empresas del mismo sector que han comenzado un proceso de fusión). Las combinaciones rentabilidad esperada-riesgo tendrán forma de línea recta, por lo que tanto el rendimiento como el riesgo de la cartera con unas medias ponderadas del rendimiento y riesgo de los títulos individuales.</w:t>
      </w:r>
    </w:p>
    <w:p w14:paraId="3D4752E1" w14:textId="6F915A5B" w:rsidR="007350CB" w:rsidRPr="00C646E0" w:rsidRDefault="007350CB" w:rsidP="009946D2">
      <w:pPr>
        <w:pStyle w:val="Nivel4"/>
        <w:rPr>
          <w:spacing w:val="-3"/>
        </w:rPr>
      </w:pPr>
      <w:r w:rsidRPr="00C646E0">
        <w:rPr>
          <w:spacing w:val="-3"/>
        </w:rPr>
        <w:t>Si el inversor invierte el 100</w:t>
      </w:r>
      <w:r w:rsidR="00FA6664">
        <w:rPr>
          <w:spacing w:val="-3"/>
        </w:rPr>
        <w:t> </w:t>
      </w:r>
      <w:r w:rsidRPr="00C646E0">
        <w:rPr>
          <w:spacing w:val="-3"/>
        </w:rPr>
        <w:t>% de su presupuesto en el activo</w:t>
      </w:r>
      <w:r w:rsidR="001675F6">
        <w:rPr>
          <w:spacing w:val="-3"/>
        </w:rPr>
        <w:t> </w:t>
      </w:r>
      <w:r w:rsidRPr="00C646E0">
        <w:rPr>
          <w:i/>
          <w:iCs/>
          <w:spacing w:val="-3"/>
        </w:rPr>
        <w:t>A</w:t>
      </w:r>
      <w:r w:rsidRPr="00C646E0">
        <w:rPr>
          <w:spacing w:val="-3"/>
        </w:rPr>
        <w:t xml:space="preserve">, se situará en el punto </w:t>
      </w:r>
      <w:r w:rsidRPr="00C646E0">
        <w:rPr>
          <w:i/>
          <w:iCs/>
          <w:spacing w:val="-3"/>
        </w:rPr>
        <w:t>A</w:t>
      </w:r>
      <w:r w:rsidRPr="00C646E0">
        <w:rPr>
          <w:spacing w:val="-3"/>
        </w:rPr>
        <w:t xml:space="preserve"> y obtendrá la combinación rentabilidad-riesgo asociada a dicho activo. Si invierte el 100</w:t>
      </w:r>
      <w:r w:rsidR="00FA6664">
        <w:rPr>
          <w:spacing w:val="-3"/>
        </w:rPr>
        <w:t> </w:t>
      </w:r>
      <w:r w:rsidRPr="00C646E0">
        <w:rPr>
          <w:spacing w:val="-3"/>
        </w:rPr>
        <w:t>% en el activo</w:t>
      </w:r>
      <w:r w:rsidR="001675F6">
        <w:rPr>
          <w:spacing w:val="-3"/>
        </w:rPr>
        <w:t> </w:t>
      </w:r>
      <w:r w:rsidRPr="00C646E0">
        <w:rPr>
          <w:i/>
          <w:iCs/>
          <w:spacing w:val="-3"/>
        </w:rPr>
        <w:t>B</w:t>
      </w:r>
      <w:r w:rsidRPr="00C646E0">
        <w:rPr>
          <w:spacing w:val="-3"/>
        </w:rPr>
        <w:t>, entonces se situará en el punto</w:t>
      </w:r>
      <w:r w:rsidR="001675F6">
        <w:rPr>
          <w:spacing w:val="-3"/>
        </w:rPr>
        <w:t> </w:t>
      </w:r>
      <w:r w:rsidRPr="00C646E0">
        <w:rPr>
          <w:i/>
          <w:iCs/>
          <w:spacing w:val="-3"/>
        </w:rPr>
        <w:t>B</w:t>
      </w:r>
      <w:r w:rsidRPr="00C646E0">
        <w:rPr>
          <w:spacing w:val="-3"/>
        </w:rPr>
        <w:t xml:space="preserve"> y obtendrá la combinación rentabilidad-riesgo asociada a dicho activo. Si reparte su presupuesto en ambos, obtendrá un par rentabilidad-riesgo que será una combinación lineal de los pares de </w:t>
      </w:r>
      <w:r w:rsidRPr="00C646E0">
        <w:rPr>
          <w:i/>
          <w:iCs/>
          <w:spacing w:val="-3"/>
        </w:rPr>
        <w:t>A</w:t>
      </w:r>
      <w:r w:rsidRPr="00C646E0">
        <w:rPr>
          <w:spacing w:val="-3"/>
        </w:rPr>
        <w:t xml:space="preserve"> y </w:t>
      </w:r>
      <w:r w:rsidRPr="00C646E0">
        <w:rPr>
          <w:i/>
          <w:iCs/>
          <w:spacing w:val="-3"/>
        </w:rPr>
        <w:t>B</w:t>
      </w:r>
      <w:r w:rsidRPr="00C646E0">
        <w:rPr>
          <w:spacing w:val="-3"/>
        </w:rPr>
        <w:t xml:space="preserve"> (i.e. estará sobre la recta que une ambos puntos).</w:t>
      </w:r>
    </w:p>
    <w:p w14:paraId="74434A0B" w14:textId="77777777" w:rsidR="007350CB" w:rsidRDefault="007350CB" w:rsidP="009946D2">
      <w:pPr>
        <w:pStyle w:val="Nivel4"/>
      </w:pPr>
      <w:r>
        <w:t xml:space="preserve">Como consecuencia de ello, </w:t>
      </w:r>
      <w:r w:rsidRPr="00AF02D1">
        <w:t>no</w:t>
      </w:r>
      <w:r>
        <w:t xml:space="preserve"> se obtiene ninguna ventaja de reducción del riesgo con la diversificación.</w:t>
      </w:r>
    </w:p>
    <w:p w14:paraId="547C6CB3" w14:textId="77777777" w:rsidR="007350CB" w:rsidRDefault="007350CB">
      <w:pPr>
        <w:pStyle w:val="Nivel3"/>
        <w:keepNext/>
        <w:numPr>
          <w:ilvl w:val="0"/>
          <w:numId w:val="11"/>
        </w:numPr>
        <w:ind w:left="1418" w:hanging="284"/>
      </w:pPr>
      <w:r>
        <w:rPr>
          <w:u w:val="single"/>
        </w:rPr>
        <w:t>Correlación perfecta negativa</w:t>
      </w:r>
      <w:r>
        <w:t xml:space="preserve"> (</w:t>
      </w:r>
      <m:oMath>
        <m:sSub>
          <m:sSubPr>
            <m:ctrlPr>
              <w:rPr>
                <w:rFonts w:ascii="Cambria Math" w:hAnsi="Cambria Math"/>
                <w:i/>
              </w:rPr>
            </m:ctrlPr>
          </m:sSubPr>
          <m:e>
            <m:r>
              <m:rPr>
                <m:nor/>
              </m:rPr>
              <w:rPr>
                <w:rFonts w:ascii="Times New Roman" w:hAnsi="Times New Roman" w:cs="Times New Roman"/>
                <w:i/>
              </w:rPr>
              <m:t>ρ</m:t>
            </m:r>
          </m:e>
          <m:sub>
            <m:r>
              <m:rPr>
                <m:nor/>
              </m:rPr>
              <w:rPr>
                <w:i/>
              </w:rPr>
              <m:t>A,B</m:t>
            </m:r>
          </m:sub>
        </m:sSub>
        <m:r>
          <w:rPr>
            <w:rFonts w:ascii="Cambria Math" w:hAnsi="Cambria Math"/>
          </w:rPr>
          <m:t>=-</m:t>
        </m:r>
        <m:r>
          <m:rPr>
            <m:nor/>
          </m:rPr>
          <w:rPr>
            <w:i/>
          </w:rPr>
          <m:t>1</m:t>
        </m:r>
      </m:oMath>
      <w:r>
        <w:t xml:space="preserve">): </w:t>
      </w:r>
      <w:r w:rsidRPr="00C67F23">
        <w:t xml:space="preserve">Esto quiere decir que las variaciones porcentuales de los rendimientos de ambos títulos son </w:t>
      </w:r>
      <w:r w:rsidRPr="00C67F23">
        <w:rPr>
          <w:i/>
          <w:iCs/>
        </w:rPr>
        <w:t>iguales</w:t>
      </w:r>
      <w:r w:rsidRPr="00C67F23">
        <w:t xml:space="preserve"> pero en </w:t>
      </w:r>
      <w:r w:rsidRPr="00C67F23">
        <w:rPr>
          <w:i/>
          <w:iCs/>
        </w:rPr>
        <w:t>sentido contrario</w:t>
      </w:r>
      <w:r w:rsidRPr="00C67F23">
        <w:t>.</w:t>
      </w:r>
      <w:r>
        <w:t xml:space="preserve"> </w:t>
      </w:r>
      <w:r w:rsidRPr="00C67F23">
        <w:t>Ahora la diversificación sí permitirá construir una cartera cuyo riesgo total sea menor que la suma ponderada de los riesgos de los títulos que la componen.</w:t>
      </w:r>
    </w:p>
    <w:p w14:paraId="4462EDA9" w14:textId="4AF3DD2E" w:rsidR="007350CB" w:rsidRDefault="007350CB" w:rsidP="009946D2">
      <w:pPr>
        <w:pStyle w:val="Nivel4"/>
      </w:pPr>
      <w:r w:rsidRPr="00C67F23">
        <w:t>Si partimos de una inversión del 100</w:t>
      </w:r>
      <w:r w:rsidR="00892F7F">
        <w:t> </w:t>
      </w:r>
      <w:r w:rsidRPr="00C67F23">
        <w:t xml:space="preserve">% en </w:t>
      </w:r>
      <w:r w:rsidRPr="00892F7F">
        <w:rPr>
          <w:i/>
          <w:iCs/>
        </w:rPr>
        <w:t>A</w:t>
      </w:r>
      <w:r w:rsidRPr="00C67F23">
        <w:t xml:space="preserve">, a medida que vamos desinvirtiendo en </w:t>
      </w:r>
      <w:r w:rsidRPr="00892F7F">
        <w:rPr>
          <w:i/>
          <w:iCs/>
        </w:rPr>
        <w:t>A</w:t>
      </w:r>
      <w:r w:rsidRPr="00C67F23">
        <w:t xml:space="preserve"> e invirtiendo en </w:t>
      </w:r>
      <w:r w:rsidRPr="00892F7F">
        <w:rPr>
          <w:i/>
          <w:iCs/>
        </w:rPr>
        <w:t>B</w:t>
      </w:r>
      <w:r w:rsidRPr="00C67F23">
        <w:t>, la rentabilidad aumenta y el riesgo disminuye, hasta alcanzar una combinación de ambos activos en la que el riesgo será nulo. A partir de ahí, si seguimos invirtiendo en el activo</w:t>
      </w:r>
      <w:r w:rsidR="001675F6">
        <w:t> </w:t>
      </w:r>
      <w:r w:rsidRPr="00892F7F">
        <w:rPr>
          <w:i/>
          <w:iCs/>
        </w:rPr>
        <w:t>B</w:t>
      </w:r>
      <w:r w:rsidRPr="00C67F23">
        <w:t>, aumentarán tanto la rentabilidad como el riesgo. Nótese que el tramo inferior no será relevante, pues en él, para cada nivel de riesgo, el tramo superior ofrecerá siempre mayor rentabilidad</w:t>
      </w:r>
      <w:bookmarkStart w:id="39" w:name="_Hlk69202389"/>
      <w:r>
        <w:rPr>
          <w:rStyle w:val="Refdenotaalpie"/>
        </w:rPr>
        <w:footnoteReference w:id="11"/>
      </w:r>
      <w:bookmarkEnd w:id="39"/>
      <w:r>
        <w:t>.</w:t>
      </w:r>
    </w:p>
    <w:p w14:paraId="2244560C" w14:textId="77777777" w:rsidR="007350CB" w:rsidRDefault="007350CB" w:rsidP="009946D2">
      <w:pPr>
        <w:pStyle w:val="Nivel4"/>
      </w:pPr>
      <w:r>
        <w:t>Como consecuencia de ello, se puede disminuir el riesgo de la cartera con la diversificación.</w:t>
      </w:r>
    </w:p>
    <w:p w14:paraId="32A5C22F" w14:textId="77777777" w:rsidR="007350CB" w:rsidRDefault="007350CB">
      <w:pPr>
        <w:pStyle w:val="Nivel3"/>
        <w:keepNext/>
        <w:numPr>
          <w:ilvl w:val="0"/>
          <w:numId w:val="11"/>
        </w:numPr>
        <w:ind w:left="1418" w:hanging="284"/>
      </w:pPr>
      <w:r>
        <w:rPr>
          <w:u w:val="single"/>
        </w:rPr>
        <w:t>Correlación imperfecta</w:t>
      </w:r>
      <w:r>
        <w:t xml:space="preserve"> (</w:t>
      </w:r>
      <m:oMath>
        <m:sSub>
          <m:sSubPr>
            <m:ctrlPr>
              <w:rPr>
                <w:rFonts w:ascii="Cambria Math" w:hAnsi="Cambria Math"/>
                <w:i/>
              </w:rPr>
            </m:ctrlPr>
          </m:sSubPr>
          <m:e>
            <m:r>
              <m:rPr>
                <m:nor/>
              </m:rPr>
              <w:rPr>
                <w:rFonts w:ascii="Times New Roman" w:hAnsi="Times New Roman" w:cs="Times New Roman"/>
                <w:i/>
              </w:rPr>
              <m:t>ρ</m:t>
            </m:r>
          </m:e>
          <m:sub>
            <m:r>
              <m:rPr>
                <m:nor/>
              </m:rPr>
              <w:rPr>
                <w:i/>
              </w:rPr>
              <m:t>A,B</m:t>
            </m:r>
          </m:sub>
        </m:sSub>
        <m:r>
          <m:rPr>
            <m:nor/>
          </m:rPr>
          <w:rPr>
            <w:i/>
            <w:iCs/>
          </w:rPr>
          <m:t xml:space="preserve"> </m:t>
        </m:r>
        <m:r>
          <w:rPr>
            <w:rFonts w:ascii="Cambria Math" w:hAnsi="Cambria Math" w:cs="Cambria"/>
          </w:rPr>
          <m:t>∈</m:t>
        </m:r>
        <m:r>
          <m:rPr>
            <m:nor/>
          </m:rPr>
          <w:rPr>
            <w:i/>
            <w:iCs/>
          </w:rPr>
          <m:t xml:space="preserve"> </m:t>
        </m:r>
        <m:d>
          <m:dPr>
            <m:ctrlPr>
              <w:rPr>
                <w:rFonts w:ascii="Cambria Math" w:hAnsi="Cambria Math"/>
                <w:i/>
                <w:iCs/>
              </w:rPr>
            </m:ctrlPr>
          </m:dPr>
          <m:e>
            <m:r>
              <w:rPr>
                <w:rFonts w:ascii="Cambria Math" w:hAnsi="Cambria Math"/>
              </w:rPr>
              <m:t>-</m:t>
            </m:r>
            <m:r>
              <m:rPr>
                <m:nor/>
              </m:rPr>
              <w:rPr>
                <w:i/>
                <w:iCs/>
              </w:rPr>
              <m:t>1, 1</m:t>
            </m:r>
          </m:e>
        </m:d>
      </m:oMath>
      <w:r>
        <w:t>): Seguirá habiendo ventajas de la diversificación, aunque menores que si la correlación fuera perfecta y negativa</w:t>
      </w:r>
      <w:r>
        <w:rPr>
          <w:rStyle w:val="Refdenotaalpie"/>
        </w:rPr>
        <w:footnoteReference w:id="12"/>
      </w:r>
      <w:r>
        <w:t>.</w:t>
      </w:r>
    </w:p>
    <w:p w14:paraId="1C1744EA" w14:textId="77777777" w:rsidR="007350CB" w:rsidRPr="00F031C1" w:rsidRDefault="007350CB" w:rsidP="009946D2">
      <w:pPr>
        <w:pStyle w:val="Nivel4"/>
        <w:rPr>
          <w:spacing w:val="-1"/>
        </w:rPr>
      </w:pPr>
      <w:r w:rsidRPr="00F031C1">
        <w:rPr>
          <w:spacing w:val="-1"/>
        </w:rPr>
        <w:t>Por lo tanto, la curva de combinaciones de rentabilidad y riesgo será más cóncava cuanto más negativa e imperfectamente correlacionados estén los rendimientos de los títulos. Así, cuanto menor sea el coeficiente de correlación entre los rendimientos de los activos, mayor será el beneficio de la diversificación.</w:t>
      </w:r>
    </w:p>
    <w:p w14:paraId="43BB958E" w14:textId="77777777" w:rsidR="007350CB" w:rsidRDefault="007350CB" w:rsidP="009946D2">
      <w:pPr>
        <w:pStyle w:val="Nivel3SM"/>
      </w:pPr>
      <w:r>
        <w:t>El análisis se puede extender a infinitos activos, y la frontera eficiente seguiría teniendo el mismo aspecto.</w:t>
      </w:r>
    </w:p>
    <w:p w14:paraId="34B46BB9" w14:textId="44D33989" w:rsidR="009946D2" w:rsidRPr="009946D2" w:rsidRDefault="009946D2" w:rsidP="009946D2">
      <w:pPr>
        <w:pStyle w:val="Ttuloimagen"/>
        <w:rPr>
          <w:smallCaps w:val="0"/>
        </w:rPr>
      </w:pPr>
      <w:r>
        <w:lastRenderedPageBreak/>
        <w:t>Imagen</w:t>
      </w:r>
      <w:r w:rsidR="001675F6">
        <w:t> </w:t>
      </w:r>
      <w:r>
        <w:fldChar w:fldCharType="begin"/>
      </w:r>
      <w:r>
        <w:instrText xml:space="preserve"> SEQ Ilustración \* ARABIC </w:instrText>
      </w:r>
      <w:r>
        <w:fldChar w:fldCharType="separate"/>
      </w:r>
      <w:r w:rsidR="00561B3A">
        <w:t>2</w:t>
      </w:r>
      <w:r>
        <w:fldChar w:fldCharType="end"/>
      </w:r>
      <w:r>
        <w:rPr>
          <w:smallCaps w:val="0"/>
        </w:rPr>
        <w:t xml:space="preserve">.– </w:t>
      </w:r>
      <w:r>
        <w:rPr>
          <w:i/>
          <w:iCs/>
          <w:smallCaps w:val="0"/>
        </w:rPr>
        <w:t>Frontera eficiente de activos de riesgo</w:t>
      </w:r>
    </w:p>
    <w:p w14:paraId="0E654C8B" w14:textId="4AB8F5A4" w:rsidR="007350CB" w:rsidRDefault="007350CB" w:rsidP="006951C6">
      <w:pPr>
        <w:pStyle w:val="Imagen"/>
      </w:pPr>
      <w:r w:rsidRPr="006951C6">
        <w:drawing>
          <wp:inline distT="0" distB="0" distL="0" distR="0" wp14:anchorId="42A0887F" wp14:editId="5C64237F">
            <wp:extent cx="2393258" cy="1620000"/>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2"/>
                    <a:stretch>
                      <a:fillRect/>
                    </a:stretch>
                  </pic:blipFill>
                  <pic:spPr>
                    <a:xfrm>
                      <a:off x="0" y="0"/>
                      <a:ext cx="2393258" cy="1620000"/>
                    </a:xfrm>
                    <a:prstGeom prst="rect">
                      <a:avLst/>
                    </a:prstGeom>
                  </pic:spPr>
                </pic:pic>
              </a:graphicData>
            </a:graphic>
          </wp:inline>
        </w:drawing>
      </w:r>
    </w:p>
    <w:p w14:paraId="5F362FCF" w14:textId="15D33C32" w:rsidR="007350CB" w:rsidRDefault="007350CB" w:rsidP="004F3248">
      <w:pPr>
        <w:pStyle w:val="Imagen"/>
      </w:pPr>
      <w:r>
        <w:drawing>
          <wp:inline distT="0" distB="0" distL="0" distR="0" wp14:anchorId="7D18B391" wp14:editId="79BAAF2E">
            <wp:extent cx="2303945" cy="1620000"/>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3"/>
                    <a:stretch>
                      <a:fillRect/>
                    </a:stretch>
                  </pic:blipFill>
                  <pic:spPr>
                    <a:xfrm>
                      <a:off x="0" y="0"/>
                      <a:ext cx="2303945" cy="1620000"/>
                    </a:xfrm>
                    <a:prstGeom prst="rect">
                      <a:avLst/>
                    </a:prstGeom>
                  </pic:spPr>
                </pic:pic>
              </a:graphicData>
            </a:graphic>
          </wp:inline>
        </w:drawing>
      </w:r>
    </w:p>
    <w:p w14:paraId="63B90D00" w14:textId="57AD165C" w:rsidR="004F3248" w:rsidRPr="004F3248" w:rsidRDefault="004F3248" w:rsidP="004F3248">
      <w:pPr>
        <w:pStyle w:val="PiedeImagen"/>
        <w:rPr>
          <w:i w:val="0"/>
          <w:iCs/>
        </w:rPr>
      </w:pPr>
      <w:r w:rsidRPr="00E36A47">
        <w:rPr>
          <w:lang w:val="en-US"/>
        </w:rPr>
        <w:t>Fuente</w:t>
      </w:r>
      <w:r w:rsidRPr="00E36A47">
        <w:rPr>
          <w:i w:val="0"/>
          <w:iCs/>
          <w:lang w:val="en-US"/>
        </w:rPr>
        <w:t>:</w:t>
      </w:r>
      <w:r w:rsidRPr="00E36A47">
        <w:rPr>
          <w:lang w:val="en-US"/>
        </w:rPr>
        <w:t xml:space="preserve"> </w:t>
      </w:r>
      <w:r w:rsidRPr="00E36A47">
        <w:rPr>
          <w:i w:val="0"/>
          <w:iCs/>
          <w:lang w:val="en-US"/>
        </w:rPr>
        <w:t xml:space="preserve">Bodie, Z., Kane, A. &amp; Marcus, A. J. (2021). </w:t>
      </w:r>
      <w:r w:rsidRPr="00E36A47">
        <w:rPr>
          <w:lang w:val="en-US"/>
        </w:rPr>
        <w:t>Investments</w:t>
      </w:r>
      <w:r w:rsidRPr="00E36A47">
        <w:rPr>
          <w:i w:val="0"/>
          <w:iCs/>
          <w:lang w:val="en-US"/>
        </w:rPr>
        <w:t xml:space="preserve"> (Twelfth edition, International student edition). </w:t>
      </w:r>
      <w:r w:rsidRPr="004F3248">
        <w:rPr>
          <w:i w:val="0"/>
          <w:iCs/>
        </w:rPr>
        <w:t>McGraw-Hill.</w:t>
      </w:r>
    </w:p>
    <w:p w14:paraId="3CDB3C47" w14:textId="77777777" w:rsidR="006951C6" w:rsidRDefault="007350CB">
      <w:pPr>
        <w:pStyle w:val="Nmero"/>
        <w:keepNext/>
        <w:numPr>
          <w:ilvl w:val="0"/>
          <w:numId w:val="7"/>
        </w:numPr>
        <w:spacing w:after="0"/>
        <w:ind w:left="568" w:hanging="284"/>
      </w:pPr>
      <w:r>
        <w:rPr>
          <w:b/>
          <w:bCs/>
        </w:rPr>
        <w:t>Segunda etapa</w:t>
      </w:r>
      <w:r w:rsidRPr="001675F6">
        <w:t xml:space="preserve">: </w:t>
      </w:r>
      <w:r>
        <w:t xml:space="preserve">Determinamos la cartera óptima de cada inversor, resultado de la resolución del problema de maximización ya planteado (puede ser planteado de forma </w:t>
      </w:r>
      <w:r w:rsidRPr="000523B4">
        <w:rPr>
          <w:i/>
          <w:iCs/>
        </w:rPr>
        <w:t>primal</w:t>
      </w:r>
      <w:r>
        <w:t xml:space="preserve"> (maximización del beneficio esperado) o </w:t>
      </w:r>
      <w:r w:rsidRPr="000523B4">
        <w:rPr>
          <w:i/>
          <w:iCs/>
        </w:rPr>
        <w:t>dual</w:t>
      </w:r>
      <w:r>
        <w:t xml:space="preserve"> (minimización del riesgo)).</w:t>
      </w:r>
    </w:p>
    <w:p w14:paraId="6136EF9D" w14:textId="020E6807" w:rsidR="00F741DA" w:rsidRDefault="007350CB" w:rsidP="00F52A40">
      <w:pPr>
        <w:pStyle w:val="Nivel3SM"/>
        <w:keepNext/>
      </w:pPr>
      <w:r>
        <w:t xml:space="preserve">Este problema será </w:t>
      </w:r>
      <w:r w:rsidRPr="00825930">
        <w:rPr>
          <w:b/>
          <w:bCs/>
        </w:rPr>
        <w:t>subjetivo</w:t>
      </w:r>
      <w:r>
        <w:t xml:space="preserve">, en el sentido de que la solución será diferente para cada inversor. La solución se dará en el punto de tangencia entre las </w:t>
      </w:r>
      <w:r w:rsidRPr="00692618">
        <w:rPr>
          <w:b/>
          <w:bCs/>
        </w:rPr>
        <w:t>curvas de indiferencia del inversor</w:t>
      </w:r>
      <w:r>
        <w:t xml:space="preserve"> y la </w:t>
      </w:r>
      <w:r w:rsidRPr="00692618">
        <w:rPr>
          <w:b/>
          <w:bCs/>
        </w:rPr>
        <w:t>frontera eficiente</w:t>
      </w:r>
      <w:r>
        <w:t>.</w:t>
      </w:r>
    </w:p>
    <w:p w14:paraId="11A16565" w14:textId="48088DC3" w:rsidR="00F741DA" w:rsidRDefault="00F741DA" w:rsidP="00F52A40">
      <w:pPr>
        <w:pStyle w:val="Nivel4"/>
        <w:ind w:left="1474"/>
      </w:pPr>
      <w:r>
        <w:t>Las curvas de indiferencia tendrán pendiente negativa, ya que, como hemos dicho, consideramos la rentabilidad un bien y el riesgo un mal.</w:t>
      </w:r>
    </w:p>
    <w:p w14:paraId="2A497057" w14:textId="77777777" w:rsidR="00231678" w:rsidRDefault="00F741DA" w:rsidP="00231678">
      <w:pPr>
        <w:pStyle w:val="Nivel4"/>
        <w:keepNext/>
        <w:ind w:left="1474"/>
      </w:pPr>
      <w:r>
        <w:t>Además, las curvas de indiferencia serán convexas porque a medida que aumenta el riesgo el individuo exige una rentabilidad cada vez mayor.</w:t>
      </w:r>
    </w:p>
    <w:p w14:paraId="5321FB1A" w14:textId="79F44008" w:rsidR="007350CB" w:rsidRDefault="005D1EA1" w:rsidP="00231678">
      <w:pPr>
        <w:pStyle w:val="Nivel5"/>
        <w:ind w:left="1871"/>
      </w:pPr>
      <w:r>
        <w:t xml:space="preserve">Así, </w:t>
      </w:r>
      <w:r w:rsidR="00231678">
        <w:t>la pendiente</w:t>
      </w:r>
      <w:r w:rsidR="007350CB">
        <w:t xml:space="preserve"> </w:t>
      </w:r>
      <w:r w:rsidR="00231678">
        <w:t xml:space="preserve">y el grado de convexidad </w:t>
      </w:r>
      <w:r w:rsidR="007350CB">
        <w:t>de las curvas de indiferencia dependerá de la aversión al riesgo del inversor, por lo que para cada inversor esa cartera óptima será diferente.</w:t>
      </w:r>
    </w:p>
    <w:p w14:paraId="23FD581E" w14:textId="35C0187B" w:rsidR="006951C6" w:rsidRPr="009946D2" w:rsidRDefault="006951C6" w:rsidP="006951C6">
      <w:pPr>
        <w:pStyle w:val="Ttuloimagen"/>
        <w:rPr>
          <w:smallCaps w:val="0"/>
        </w:rPr>
      </w:pPr>
      <w:r>
        <w:t>Imagen</w:t>
      </w:r>
      <w:r w:rsidR="001675F6">
        <w:t> </w:t>
      </w:r>
      <w:r>
        <w:fldChar w:fldCharType="begin"/>
      </w:r>
      <w:r>
        <w:instrText xml:space="preserve"> SEQ Ilustración \* ARABIC </w:instrText>
      </w:r>
      <w:r>
        <w:fldChar w:fldCharType="separate"/>
      </w:r>
      <w:r w:rsidR="00561B3A">
        <w:t>3</w:t>
      </w:r>
      <w:r>
        <w:fldChar w:fldCharType="end"/>
      </w:r>
      <w:r>
        <w:rPr>
          <w:smallCaps w:val="0"/>
        </w:rPr>
        <w:t xml:space="preserve">.– </w:t>
      </w:r>
      <w:r>
        <w:rPr>
          <w:i/>
          <w:iCs/>
          <w:smallCaps w:val="0"/>
        </w:rPr>
        <w:t>Curvas de indiferencia en función de la aversión al riesgo del inversor</w:t>
      </w:r>
    </w:p>
    <w:p w14:paraId="74F87065" w14:textId="414073C2" w:rsidR="006951C6" w:rsidRDefault="006951C6" w:rsidP="006951C6">
      <w:pPr>
        <w:pStyle w:val="Imagen"/>
      </w:pPr>
      <w:r>
        <w:drawing>
          <wp:inline distT="0" distB="0" distL="0" distR="0" wp14:anchorId="15529B3E" wp14:editId="20E9C59D">
            <wp:extent cx="2422467" cy="2340000"/>
            <wp:effectExtent l="0" t="0" r="0" b="3175"/>
            <wp:docPr id="14" name="Imagen 14"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Diagrama, Dibujo de ingeniería&#10;&#10;Descripción generada automáticamente"/>
                    <pic:cNvPicPr/>
                  </pic:nvPicPr>
                  <pic:blipFill>
                    <a:blip r:embed="rId14"/>
                    <a:stretch>
                      <a:fillRect/>
                    </a:stretch>
                  </pic:blipFill>
                  <pic:spPr>
                    <a:xfrm>
                      <a:off x="0" y="0"/>
                      <a:ext cx="2422467" cy="2340000"/>
                    </a:xfrm>
                    <a:prstGeom prst="rect">
                      <a:avLst/>
                    </a:prstGeom>
                  </pic:spPr>
                </pic:pic>
              </a:graphicData>
            </a:graphic>
          </wp:inline>
        </w:drawing>
      </w:r>
    </w:p>
    <w:p w14:paraId="79FCB7FE" w14:textId="22547D34" w:rsidR="006951C6" w:rsidRPr="00453B21" w:rsidRDefault="006951C6" w:rsidP="006951C6">
      <w:pPr>
        <w:pStyle w:val="PiedeImagen"/>
        <w:rPr>
          <w:i w:val="0"/>
          <w:iCs/>
        </w:rPr>
      </w:pPr>
      <w:r w:rsidRPr="00E36A47">
        <w:rPr>
          <w:lang w:val="en-US"/>
        </w:rPr>
        <w:t>Fuente</w:t>
      </w:r>
      <w:r w:rsidRPr="00E36A47">
        <w:rPr>
          <w:i w:val="0"/>
          <w:iCs/>
          <w:lang w:val="en-US"/>
        </w:rPr>
        <w:t>:</w:t>
      </w:r>
      <w:r w:rsidRPr="00E36A47">
        <w:rPr>
          <w:lang w:val="en-US"/>
        </w:rPr>
        <w:t xml:space="preserve"> </w:t>
      </w:r>
      <w:r w:rsidRPr="006951C6">
        <w:rPr>
          <w:i w:val="0"/>
          <w:iCs/>
          <w:lang w:val="en-US"/>
        </w:rPr>
        <w:t xml:space="preserve">Sharpe, W. F., Alexander, G. J. &amp; Bailey, J. V. (1999). </w:t>
      </w:r>
      <w:r w:rsidRPr="006951C6">
        <w:rPr>
          <w:lang w:val="en-US"/>
        </w:rPr>
        <w:t>Investments</w:t>
      </w:r>
      <w:r w:rsidRPr="006951C6">
        <w:rPr>
          <w:i w:val="0"/>
          <w:iCs/>
          <w:lang w:val="en-US"/>
        </w:rPr>
        <w:t xml:space="preserve"> (6th ed). </w:t>
      </w:r>
      <w:r w:rsidRPr="00453B21">
        <w:rPr>
          <w:i w:val="0"/>
          <w:iCs/>
        </w:rPr>
        <w:t>Prentice Hall.</w:t>
      </w:r>
    </w:p>
    <w:p w14:paraId="40B4798C" w14:textId="7DDAC5B3" w:rsidR="006951C6" w:rsidRPr="006951C6" w:rsidRDefault="006951C6" w:rsidP="006951C6">
      <w:pPr>
        <w:pStyle w:val="Ttuloimagen"/>
        <w:rPr>
          <w:smallCaps w:val="0"/>
        </w:rPr>
      </w:pPr>
      <w:r>
        <w:lastRenderedPageBreak/>
        <w:t>Imagen</w:t>
      </w:r>
      <w:r w:rsidR="001675F6">
        <w:t> </w:t>
      </w:r>
      <w:r>
        <w:fldChar w:fldCharType="begin"/>
      </w:r>
      <w:r>
        <w:instrText xml:space="preserve"> SEQ Ilustración \* ARABIC </w:instrText>
      </w:r>
      <w:r>
        <w:fldChar w:fldCharType="separate"/>
      </w:r>
      <w:r w:rsidR="00561B3A">
        <w:t>4</w:t>
      </w:r>
      <w:r>
        <w:fldChar w:fldCharType="end"/>
      </w:r>
      <w:r>
        <w:rPr>
          <w:smallCaps w:val="0"/>
        </w:rPr>
        <w:t xml:space="preserve">.– </w:t>
      </w:r>
      <w:r>
        <w:rPr>
          <w:i/>
          <w:iCs/>
          <w:smallCaps w:val="0"/>
        </w:rPr>
        <w:t xml:space="preserve">Solución gráfica al problema de elección de carteras de </w:t>
      </w:r>
      <w:r>
        <w:rPr>
          <w:i/>
          <w:iCs/>
        </w:rPr>
        <w:t>Markowitz</w:t>
      </w:r>
    </w:p>
    <w:p w14:paraId="4DB26C8B" w14:textId="77777777" w:rsidR="006951C6" w:rsidRDefault="006951C6" w:rsidP="006951C6">
      <w:pPr>
        <w:pStyle w:val="Imagen"/>
      </w:pPr>
      <w:r>
        <w:drawing>
          <wp:inline distT="0" distB="0" distL="0" distR="0" wp14:anchorId="70B163C6" wp14:editId="0A207705">
            <wp:extent cx="1920000" cy="1440000"/>
            <wp:effectExtent l="0" t="0" r="4445" b="8255"/>
            <wp:docPr id="27" name="Imagen 2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20000" cy="1440000"/>
                    </a:xfrm>
                    <a:prstGeom prst="rect">
                      <a:avLst/>
                    </a:prstGeom>
                    <a:noFill/>
                    <a:ln>
                      <a:noFill/>
                    </a:ln>
                  </pic:spPr>
                </pic:pic>
              </a:graphicData>
            </a:graphic>
          </wp:inline>
        </w:drawing>
      </w:r>
    </w:p>
    <w:p w14:paraId="50FAF7D2" w14:textId="33F8FA0A" w:rsidR="006951C6" w:rsidRPr="00EE76D2" w:rsidRDefault="006951C6" w:rsidP="006951C6">
      <w:pPr>
        <w:pStyle w:val="PiedeImagen"/>
        <w:rPr>
          <w:i w:val="0"/>
          <w:iCs/>
        </w:rPr>
      </w:pPr>
      <w:r w:rsidRPr="00EE76D2">
        <w:t>Fuente</w:t>
      </w:r>
      <w:r w:rsidRPr="00EE76D2">
        <w:rPr>
          <w:i w:val="0"/>
          <w:iCs/>
        </w:rPr>
        <w:t>:</w:t>
      </w:r>
      <w:r w:rsidRPr="00EE76D2">
        <w:t xml:space="preserve"> </w:t>
      </w:r>
      <w:r w:rsidR="00EE76D2" w:rsidRPr="00EE76D2">
        <w:rPr>
          <w:i w:val="0"/>
          <w:iCs/>
        </w:rPr>
        <w:t>Wikipedia</w:t>
      </w:r>
      <w:r w:rsidR="00EE76D2">
        <w:rPr>
          <w:i w:val="0"/>
          <w:iCs/>
        </w:rPr>
        <w:t xml:space="preserve"> (2022) </w:t>
      </w:r>
      <w:r w:rsidR="00EE76D2">
        <w:t>Markowitz model</w:t>
      </w:r>
      <w:r w:rsidR="00EE76D2">
        <w:rPr>
          <w:i w:val="0"/>
          <w:iCs/>
        </w:rPr>
        <w:t>.</w:t>
      </w:r>
      <w:r w:rsidR="00EE76D2" w:rsidRPr="00EE76D2">
        <w:rPr>
          <w:i w:val="0"/>
          <w:iCs/>
        </w:rPr>
        <w:t xml:space="preserve"> </w:t>
      </w:r>
      <w:hyperlink r:id="rId16" w:history="1">
        <w:r w:rsidR="00EE76D2" w:rsidRPr="000A4053">
          <w:rPr>
            <w:rStyle w:val="Hipervnculo"/>
            <w:i w:val="0"/>
            <w:iCs/>
          </w:rPr>
          <w:t>https://en.wikipedia.org/wiki/Markowitz_model</w:t>
        </w:r>
      </w:hyperlink>
    </w:p>
    <w:p w14:paraId="204169BE" w14:textId="0667EFD8" w:rsidR="007350CB" w:rsidRDefault="007350CB" w:rsidP="007350CB">
      <w:pPr>
        <w:pStyle w:val="Ttulo7"/>
      </w:pPr>
      <w:bookmarkStart w:id="40" w:name="_Toc144911948"/>
      <w:r w:rsidRPr="00EE76D2">
        <w:t>Implicaciones</w:t>
      </w:r>
      <w:bookmarkEnd w:id="40"/>
    </w:p>
    <w:p w14:paraId="5C68DF66" w14:textId="22EF4F0B" w:rsidR="00F52A40" w:rsidRPr="00F52A40" w:rsidRDefault="00F52A40" w:rsidP="001675F6">
      <w:pPr>
        <w:pStyle w:val="Nivel1SM"/>
        <w:keepNext/>
        <w:spacing w:before="0" w:after="0"/>
      </w:pPr>
      <w:r>
        <w:t xml:space="preserve">El modelo de </w:t>
      </w:r>
      <w:r>
        <w:rPr>
          <w:smallCaps/>
        </w:rPr>
        <w:t>Markowitz</w:t>
      </w:r>
      <w:r>
        <w:t xml:space="preserve"> nos permite obtener las siguientes conclusiones:</w:t>
      </w:r>
    </w:p>
    <w:p w14:paraId="088273F8" w14:textId="07B83301" w:rsidR="007350CB" w:rsidRDefault="00FE691E" w:rsidP="00E131D7">
      <w:pPr>
        <w:pStyle w:val="Nmero"/>
        <w:numPr>
          <w:ilvl w:val="0"/>
          <w:numId w:val="8"/>
        </w:numPr>
        <w:spacing w:after="100"/>
        <w:ind w:left="568" w:hanging="284"/>
        <w:contextualSpacing/>
      </w:pPr>
      <w:r>
        <w:t xml:space="preserve">Cuando los activos están imperfectamente correlacionados, </w:t>
      </w:r>
      <w:r w:rsidRPr="00FE691E">
        <w:rPr>
          <w:b/>
          <w:bCs/>
        </w:rPr>
        <w:t>el mínimo riesgo no se alcanza invirtiendo en el activo con menor riesgo, sino diversificando</w:t>
      </w:r>
      <w:r>
        <w:t xml:space="preserve">. </w:t>
      </w:r>
      <w:r w:rsidRPr="00FE691E">
        <w:t>Es decir, l</w:t>
      </w:r>
      <w:r w:rsidR="007350CB" w:rsidRPr="00FE691E">
        <w:t>a diversificación puede reducir el riesgo sin reducir a la rentabilidad</w:t>
      </w:r>
      <w:r w:rsidR="007350CB">
        <w:t>.</w:t>
      </w:r>
    </w:p>
    <w:p w14:paraId="0FA7B1AF" w14:textId="77777777" w:rsidR="007350CB" w:rsidRDefault="007350CB">
      <w:pPr>
        <w:pStyle w:val="Nmero"/>
        <w:numPr>
          <w:ilvl w:val="0"/>
          <w:numId w:val="8"/>
        </w:numPr>
        <w:spacing w:after="100"/>
        <w:ind w:left="568" w:hanging="284"/>
        <w:contextualSpacing/>
      </w:pPr>
      <w:r>
        <w:t xml:space="preserve">Las </w:t>
      </w:r>
      <w:r w:rsidRPr="00EF2A6C">
        <w:rPr>
          <w:b/>
          <w:bCs/>
        </w:rPr>
        <w:t>combinaciones de dos activos financieros nunca pueden tener más riesgo</w:t>
      </w:r>
      <w:r>
        <w:t xml:space="preserve"> que el que se encuentra en la línea recta que conecta a ambos (i.e. más riesgo que la suma ponderada de los riesgos de los títulos).</w:t>
      </w:r>
    </w:p>
    <w:p w14:paraId="5A8655EF" w14:textId="5B09272B" w:rsidR="007350CB" w:rsidRDefault="007350CB" w:rsidP="00E131D7">
      <w:pPr>
        <w:pStyle w:val="Nmero"/>
        <w:numPr>
          <w:ilvl w:val="0"/>
          <w:numId w:val="8"/>
        </w:numPr>
        <w:spacing w:after="100"/>
        <w:ind w:left="568" w:hanging="284"/>
        <w:contextualSpacing/>
      </w:pPr>
      <w:r>
        <w:t xml:space="preserve">No es el riesgo del título lo que debe importar al inversor, sino la </w:t>
      </w:r>
      <w:r w:rsidRPr="00FE691E">
        <w:rPr>
          <w:b/>
          <w:bCs/>
        </w:rPr>
        <w:t>contribución que dicho título hace al riesgo de la cartera</w:t>
      </w:r>
      <w:r>
        <w:t xml:space="preserve"> (i.e. es una cuestión de la covarianza con el título de la cartera).</w:t>
      </w:r>
      <w:r w:rsidR="00FE691E">
        <w:t xml:space="preserve"> Es decir, </w:t>
      </w:r>
      <w:r w:rsidR="001A3650">
        <w:t>l</w:t>
      </w:r>
      <w:r>
        <w:t xml:space="preserve">a decisión de poseer un activo financiero </w:t>
      </w:r>
      <w:r w:rsidRPr="00EF2A6C">
        <w:t>no</w:t>
      </w:r>
      <w:r>
        <w:t xml:space="preserve"> debe tomarse únicamente comparando su rendimiento esperado y su varianza co</w:t>
      </w:r>
      <w:r w:rsidRPr="00FE691E">
        <w:t xml:space="preserve">n respecto a los otros, sino que deben valorarse </w:t>
      </w:r>
      <w:r w:rsidRPr="00FE691E">
        <w:rPr>
          <w:i/>
          <w:iCs/>
        </w:rPr>
        <w:t>todos</w:t>
      </w:r>
      <w:r w:rsidRPr="00FE691E">
        <w:t xml:space="preserve"> </w:t>
      </w:r>
      <w:r w:rsidR="00EF2A6C" w:rsidRPr="00FE691E">
        <w:t xml:space="preserve">los activos financieros </w:t>
      </w:r>
      <w:r w:rsidRPr="00FE691E">
        <w:t>en su conjunto</w:t>
      </w:r>
      <w:r w:rsidR="00564C62">
        <w:rPr>
          <w:rStyle w:val="Refdenotaalpie"/>
        </w:rPr>
        <w:footnoteReference w:id="13"/>
      </w:r>
      <w:r>
        <w:t>.</w:t>
      </w:r>
    </w:p>
    <w:p w14:paraId="6E9BA177" w14:textId="77777777" w:rsidR="007350CB" w:rsidRDefault="007350CB" w:rsidP="007350CB">
      <w:pPr>
        <w:pStyle w:val="Ttulo6"/>
      </w:pPr>
      <w:bookmarkStart w:id="41" w:name="_Toc144911949"/>
      <w:r>
        <w:t>Valoración</w:t>
      </w:r>
      <w:bookmarkEnd w:id="41"/>
    </w:p>
    <w:p w14:paraId="638E44CB" w14:textId="77777777" w:rsidR="007350CB" w:rsidRDefault="007350CB" w:rsidP="001675F6">
      <w:pPr>
        <w:pStyle w:val="Nivel1SM"/>
        <w:spacing w:before="0"/>
      </w:pPr>
      <w:r>
        <w:t xml:space="preserve">El modelo de </w:t>
      </w:r>
      <w:r>
        <w:rPr>
          <w:smallCaps/>
        </w:rPr>
        <w:t>Markowitz</w:t>
      </w:r>
      <w:r>
        <w:t xml:space="preserve"> supuso un gran avance en el análisis del mercado financiero, ya que permitía la modelización de las decisiones de inversión de los agentes basándose en un comportamiento racional.</w:t>
      </w:r>
    </w:p>
    <w:p w14:paraId="1ED7F4EF" w14:textId="51DB284E" w:rsidR="00577330" w:rsidRPr="00577330" w:rsidRDefault="007350CB" w:rsidP="00577330">
      <w:pPr>
        <w:pStyle w:val="Nivel1SM"/>
        <w:keepNext/>
        <w:spacing w:after="0"/>
        <w:rPr>
          <w:rFonts w:eastAsiaTheme="minorEastAsia"/>
        </w:rPr>
      </w:pPr>
      <w:r>
        <w:t xml:space="preserve">Sin embargo, su planteamiento tiene una serie de </w:t>
      </w:r>
      <w:r w:rsidRPr="00B02613">
        <w:rPr>
          <w:b/>
          <w:bCs/>
        </w:rPr>
        <w:t>limitaciones</w:t>
      </w:r>
      <w:r w:rsidR="009F1413">
        <w:t>:</w:t>
      </w:r>
    </w:p>
    <w:p w14:paraId="338EF037" w14:textId="047BB728" w:rsidR="009F1413" w:rsidRDefault="009F1413">
      <w:pPr>
        <w:pStyle w:val="Prrafodelista"/>
        <w:keepNext/>
        <w:numPr>
          <w:ilvl w:val="0"/>
          <w:numId w:val="21"/>
        </w:numPr>
        <w:spacing w:after="0"/>
        <w:ind w:left="567" w:hanging="113"/>
        <w:rPr>
          <w:rFonts w:eastAsiaTheme="minorEastAsia"/>
        </w:rPr>
      </w:pPr>
      <w:r w:rsidRPr="00B02613">
        <w:rPr>
          <w:rFonts w:eastAsiaTheme="minorEastAsia"/>
          <w:i/>
          <w:iCs/>
          <w:u w:val="single"/>
        </w:rPr>
        <w:t>No permite comparar las distintas carteras eficientes</w:t>
      </w:r>
      <w:r>
        <w:rPr>
          <w:rFonts w:eastAsiaTheme="minorEastAsia"/>
        </w:rPr>
        <w:t>.</w:t>
      </w:r>
    </w:p>
    <w:p w14:paraId="192E23CB" w14:textId="20B2EBB1" w:rsidR="00A3232C" w:rsidRPr="009F1413" w:rsidRDefault="00A3232C" w:rsidP="00A3232C">
      <w:pPr>
        <w:pStyle w:val="Nivel3SM"/>
      </w:pPr>
      <w:r>
        <w:t>Analizaremos esta cuestión mediante el modelo de carteras mixtas (</w:t>
      </w:r>
      <w:r>
        <w:rPr>
          <w:smallCaps/>
        </w:rPr>
        <w:t>Tobin</w:t>
      </w:r>
      <w:r>
        <w:t xml:space="preserve">, </w:t>
      </w:r>
      <w:r>
        <w:rPr>
          <w:smallCaps/>
        </w:rPr>
        <w:t>Sharpe</w:t>
      </w:r>
      <w:r>
        <w:t xml:space="preserve">, </w:t>
      </w:r>
      <w:r>
        <w:rPr>
          <w:smallCaps/>
        </w:rPr>
        <w:t>Lintner</w:t>
      </w:r>
      <w:r>
        <w:t xml:space="preserve"> y </w:t>
      </w:r>
      <w:r>
        <w:rPr>
          <w:smallCaps/>
        </w:rPr>
        <w:t>Fama</w:t>
      </w:r>
      <w:r>
        <w:t>).</w:t>
      </w:r>
    </w:p>
    <w:p w14:paraId="1CFC542A" w14:textId="689D5BBE" w:rsidR="00577330" w:rsidRPr="009F1413" w:rsidRDefault="009F1413">
      <w:pPr>
        <w:pStyle w:val="Prrafodelista"/>
        <w:keepNext/>
        <w:numPr>
          <w:ilvl w:val="0"/>
          <w:numId w:val="21"/>
        </w:numPr>
        <w:spacing w:after="0"/>
        <w:ind w:left="567" w:hanging="113"/>
        <w:rPr>
          <w:rFonts w:eastAsiaTheme="minorEastAsia"/>
        </w:rPr>
      </w:pPr>
      <w:r>
        <w:t>Otra</w:t>
      </w:r>
      <w:r w:rsidR="007350CB">
        <w:t xml:space="preserve"> limitación del planteamiento de </w:t>
      </w:r>
      <w:r w:rsidR="007350CB" w:rsidRPr="009F1413">
        <w:rPr>
          <w:smallCaps/>
        </w:rPr>
        <w:t>Markowitz</w:t>
      </w:r>
      <w:r w:rsidR="007350CB">
        <w:t xml:space="preserve"> es de carácter práctico</w:t>
      </w:r>
      <w:r w:rsidR="00B02613">
        <w:t>, pues</w:t>
      </w:r>
      <w:r w:rsidR="007350CB">
        <w:t xml:space="preserve"> a la hora de resolver el modelo por la </w:t>
      </w:r>
      <w:r w:rsidR="007350CB" w:rsidRPr="00B02613">
        <w:rPr>
          <w:i/>
          <w:iCs/>
          <w:u w:val="single"/>
        </w:rPr>
        <w:t>necesidad de estimar un enorme número de parámetros</w:t>
      </w:r>
      <w:r w:rsidR="007350CB">
        <w:t>.</w:t>
      </w:r>
    </w:p>
    <w:p w14:paraId="7560BD5E" w14:textId="77BF9F1D" w:rsidR="009F6ACE" w:rsidRPr="009F6ACE" w:rsidRDefault="007350CB" w:rsidP="009F6ACE">
      <w:pPr>
        <w:pStyle w:val="Nivel3SM"/>
        <w:keepNext/>
        <w:rPr>
          <w:rFonts w:eastAsiaTheme="minorEastAsia"/>
        </w:rPr>
      </w:pPr>
      <w:r>
        <w:t xml:space="preserve">Si suponemos </w:t>
      </w:r>
      <w:r w:rsidRPr="00427761">
        <w:rPr>
          <w:i/>
          <w:iCs/>
        </w:rPr>
        <w:t>n</w:t>
      </w:r>
      <w:r w:rsidR="005E31D7">
        <w:t> </w:t>
      </w:r>
      <w:r>
        <w:t xml:space="preserve">valores </w:t>
      </w:r>
      <w:r w:rsidR="009F6ACE">
        <w:t>en</w:t>
      </w:r>
      <w:r>
        <w:t xml:space="preserve"> la cartera, hay que estimar:</w:t>
      </w:r>
    </w:p>
    <w:p w14:paraId="5F771465" w14:textId="6BE9A6A1" w:rsidR="009F6ACE" w:rsidRDefault="007350CB" w:rsidP="009F6ACE">
      <w:pPr>
        <w:pStyle w:val="Nivel4"/>
        <w:ind w:left="1474"/>
      </w:pPr>
      <w:r>
        <w:rPr>
          <w:i/>
          <w:iCs/>
        </w:rPr>
        <w:t>n</w:t>
      </w:r>
      <w:r w:rsidR="005E31D7">
        <w:t> </w:t>
      </w:r>
      <w:r>
        <w:t>esperanzas,</w:t>
      </w:r>
    </w:p>
    <w:p w14:paraId="3D86789B" w14:textId="1F719509" w:rsidR="009F6ACE" w:rsidRDefault="007350CB" w:rsidP="009F6ACE">
      <w:pPr>
        <w:pStyle w:val="Nivel4"/>
        <w:ind w:left="1474"/>
      </w:pPr>
      <w:r>
        <w:rPr>
          <w:i/>
          <w:iCs/>
        </w:rPr>
        <w:t>n</w:t>
      </w:r>
      <w:r w:rsidR="005E31D7">
        <w:t> </w:t>
      </w:r>
      <w:r>
        <w:t>varianzas</w:t>
      </w:r>
      <w:r w:rsidR="009F6ACE">
        <w:t xml:space="preserve">; </w:t>
      </w:r>
      <w:r>
        <w:t>y</w:t>
      </w:r>
    </w:p>
    <w:p w14:paraId="74F3E9B4" w14:textId="3BCD6377" w:rsidR="009F6ACE" w:rsidRDefault="00000000" w:rsidP="009F6ACE">
      <w:pPr>
        <w:pStyle w:val="Nivel4"/>
        <w:keepNext/>
        <w:ind w:left="1474"/>
      </w:pPr>
      <m:oMath>
        <m:f>
          <m:fPr>
            <m:type m:val="lin"/>
            <m:ctrlPr>
              <w:rPr>
                <w:rFonts w:ascii="Cambria Math" w:hAnsi="Cambria Math"/>
                <w:i/>
              </w:rPr>
            </m:ctrlPr>
          </m:fPr>
          <m:num>
            <m:d>
              <m:dPr>
                <m:begChr m:val="["/>
                <m:endChr m:val="]"/>
                <m:ctrlPr>
                  <w:rPr>
                    <w:rFonts w:ascii="Cambria Math" w:hAnsi="Cambria Math"/>
                    <w:i/>
                  </w:rPr>
                </m:ctrlPr>
              </m:dPr>
              <m:e>
                <m:r>
                  <m:rPr>
                    <m:nor/>
                  </m:rPr>
                  <w:rPr>
                    <w:i/>
                  </w:rPr>
                  <m:t>n</m:t>
                </m:r>
                <m:r>
                  <w:rPr>
                    <w:rFonts w:ascii="Cambria Math" w:hAnsi="Cambria Math"/>
                  </w:rPr>
                  <m:t>∙</m:t>
                </m:r>
                <m:d>
                  <m:dPr>
                    <m:ctrlPr>
                      <w:rPr>
                        <w:rFonts w:ascii="Cambria Math" w:hAnsi="Cambria Math"/>
                        <w:i/>
                      </w:rPr>
                    </m:ctrlPr>
                  </m:dPr>
                  <m:e>
                    <m:r>
                      <m:rPr>
                        <m:nor/>
                      </m:rPr>
                      <w:rPr>
                        <w:i/>
                      </w:rPr>
                      <m:t>n</m:t>
                    </m:r>
                    <m:r>
                      <w:rPr>
                        <w:rFonts w:ascii="Cambria Math" w:hAnsi="Cambria Math"/>
                      </w:rPr>
                      <m:t>-</m:t>
                    </m:r>
                    <m:r>
                      <m:rPr>
                        <m:nor/>
                      </m:rPr>
                      <w:rPr>
                        <w:i/>
                      </w:rPr>
                      <m:t>1</m:t>
                    </m:r>
                  </m:e>
                </m:d>
              </m:e>
            </m:d>
          </m:num>
          <m:den>
            <m:r>
              <m:rPr>
                <m:nor/>
              </m:rPr>
              <w:rPr>
                <w:i/>
              </w:rPr>
              <m:t>2</m:t>
            </m:r>
          </m:den>
        </m:f>
      </m:oMath>
      <w:r w:rsidR="005E31D7">
        <w:t> </w:t>
      </w:r>
      <w:r w:rsidR="007350CB">
        <w:t>covarianzas</w:t>
      </w:r>
      <w:r w:rsidR="009F6ACE">
        <w:t>.</w:t>
      </w:r>
    </w:p>
    <w:p w14:paraId="63F2159B" w14:textId="73B752AB" w:rsidR="007350CB" w:rsidRDefault="009F6ACE" w:rsidP="009F6ACE">
      <w:pPr>
        <w:pStyle w:val="Nivel5"/>
        <w:ind w:left="1871"/>
      </w:pPr>
      <w:r>
        <w:t>E</w:t>
      </w:r>
      <w:r w:rsidR="007350CB">
        <w:t xml:space="preserve">s decir, un total de </w:t>
      </w:r>
      <m:oMath>
        <m:f>
          <m:fPr>
            <m:type m:val="lin"/>
            <m:ctrlPr>
              <w:rPr>
                <w:rFonts w:ascii="Cambria Math" w:hAnsi="Cambria Math"/>
                <w:i/>
              </w:rPr>
            </m:ctrlPr>
          </m:fPr>
          <m:num>
            <m:d>
              <m:dPr>
                <m:begChr m:val="["/>
                <m:endChr m:val="]"/>
                <m:ctrlPr>
                  <w:rPr>
                    <w:rFonts w:ascii="Cambria Math" w:hAnsi="Cambria Math"/>
                    <w:i/>
                  </w:rPr>
                </m:ctrlPr>
              </m:dPr>
              <m:e>
                <m:r>
                  <m:rPr>
                    <m:nor/>
                  </m:rPr>
                  <w:rPr>
                    <w:i/>
                  </w:rPr>
                  <m:t>n</m:t>
                </m:r>
                <m:r>
                  <w:rPr>
                    <w:rFonts w:ascii="Cambria Math" w:hAnsi="Cambria Math"/>
                  </w:rPr>
                  <m:t>∙</m:t>
                </m:r>
                <m:d>
                  <m:dPr>
                    <m:ctrlPr>
                      <w:rPr>
                        <w:rFonts w:ascii="Cambria Math" w:hAnsi="Cambria Math"/>
                        <w:i/>
                      </w:rPr>
                    </m:ctrlPr>
                  </m:dPr>
                  <m:e>
                    <m:r>
                      <m:rPr>
                        <m:nor/>
                      </m:rPr>
                      <w:rPr>
                        <w:i/>
                      </w:rPr>
                      <m:t>n</m:t>
                    </m:r>
                    <m:r>
                      <w:rPr>
                        <w:rFonts w:ascii="Cambria Math" w:hAnsi="Cambria Math"/>
                      </w:rPr>
                      <m:t>+</m:t>
                    </m:r>
                    <m:r>
                      <m:rPr>
                        <m:nor/>
                      </m:rPr>
                      <w:rPr>
                        <w:i/>
                      </w:rPr>
                      <m:t>3</m:t>
                    </m:r>
                  </m:e>
                </m:d>
              </m:e>
            </m:d>
          </m:num>
          <m:den>
            <m:r>
              <m:rPr>
                <m:nor/>
              </m:rPr>
              <w:rPr>
                <w:i/>
              </w:rPr>
              <m:t>2</m:t>
            </m:r>
          </m:den>
        </m:f>
      </m:oMath>
      <w:r w:rsidR="005E31D7">
        <w:t> </w:t>
      </w:r>
      <w:r w:rsidR="007350CB">
        <w:t>estimaciones.</w:t>
      </w:r>
    </w:p>
    <w:p w14:paraId="44CD2039" w14:textId="1787E482" w:rsidR="009F1413" w:rsidRDefault="009F1413" w:rsidP="00577330">
      <w:pPr>
        <w:pStyle w:val="Nivel3SM"/>
        <w:rPr>
          <w:rFonts w:eastAsiaTheme="minorEastAsia"/>
        </w:rPr>
      </w:pPr>
      <w:r>
        <w:rPr>
          <w:rFonts w:eastAsiaTheme="minorEastAsia"/>
        </w:rPr>
        <w:t>Para resolver esta limitación surgirá el modelo de la diagonal (</w:t>
      </w:r>
      <w:r>
        <w:rPr>
          <w:rFonts w:eastAsiaTheme="minorEastAsia"/>
          <w:smallCaps/>
        </w:rPr>
        <w:t>Sharpe</w:t>
      </w:r>
      <w:r>
        <w:rPr>
          <w:rFonts w:eastAsiaTheme="minorEastAsia"/>
        </w:rPr>
        <w:t>, 1963).</w:t>
      </w:r>
    </w:p>
    <w:p w14:paraId="560BF002" w14:textId="1AB07A4E" w:rsidR="009F1413" w:rsidRDefault="00A3232C">
      <w:pPr>
        <w:pStyle w:val="Prrafodelista"/>
        <w:keepNext/>
        <w:numPr>
          <w:ilvl w:val="0"/>
          <w:numId w:val="21"/>
        </w:numPr>
        <w:spacing w:after="0"/>
        <w:ind w:left="567" w:hanging="113"/>
      </w:pPr>
      <w:r w:rsidRPr="00B02613">
        <w:t xml:space="preserve">Además, </w:t>
      </w:r>
      <w:r w:rsidRPr="00B02613">
        <w:rPr>
          <w:i/>
          <w:iCs/>
          <w:u w:val="single"/>
        </w:rPr>
        <w:t>tampoc</w:t>
      </w:r>
      <w:r w:rsidR="009F1413" w:rsidRPr="00B02613">
        <w:rPr>
          <w:i/>
          <w:iCs/>
          <w:u w:val="single"/>
        </w:rPr>
        <w:t>o permite comparar y analizar carteras y títulos no eficientes</w:t>
      </w:r>
      <w:r w:rsidR="009F1413">
        <w:t>.</w:t>
      </w:r>
    </w:p>
    <w:p w14:paraId="23035FDC" w14:textId="77777777" w:rsidR="009F1413" w:rsidRPr="002A00F9" w:rsidRDefault="009F1413" w:rsidP="00A3232C">
      <w:pPr>
        <w:pStyle w:val="Nivel3SM"/>
        <w:rPr>
          <w:spacing w:val="-4"/>
        </w:rPr>
      </w:pPr>
      <w:r w:rsidRPr="002A00F9">
        <w:rPr>
          <w:spacing w:val="-4"/>
        </w:rPr>
        <w:t>Para resolver esta cuestión se desarrolla el modelo de valoración de activos de capital (CAPM).</w:t>
      </w:r>
    </w:p>
    <w:p w14:paraId="6B7036EB" w14:textId="77777777" w:rsidR="009F1413" w:rsidRDefault="009F1413" w:rsidP="009F1413">
      <w:pPr>
        <w:pStyle w:val="Ttulo3"/>
      </w:pPr>
      <w:bookmarkStart w:id="42" w:name="_Toc144911950"/>
      <w:r>
        <w:lastRenderedPageBreak/>
        <w:t>Modelo de carteras mixtas (</w:t>
      </w:r>
      <w:r>
        <w:rPr>
          <w:smallCaps/>
        </w:rPr>
        <w:t>Tobin, Sharpe, Lintner</w:t>
      </w:r>
      <w:r>
        <w:t xml:space="preserve"> y </w:t>
      </w:r>
      <w:r>
        <w:rPr>
          <w:smallCaps/>
        </w:rPr>
        <w:t>Fama</w:t>
      </w:r>
      <w:r>
        <w:t>)</w:t>
      </w:r>
      <w:bookmarkEnd w:id="42"/>
    </w:p>
    <w:p w14:paraId="4AF7B7D4" w14:textId="77777777" w:rsidR="009F1413" w:rsidRDefault="009F1413" w:rsidP="001675F6">
      <w:pPr>
        <w:pStyle w:val="Ttulo6"/>
        <w:spacing w:before="0"/>
      </w:pPr>
      <w:bookmarkStart w:id="43" w:name="_Toc144911951"/>
      <w:r>
        <w:t>Idea</w:t>
      </w:r>
      <w:bookmarkEnd w:id="43"/>
    </w:p>
    <w:p w14:paraId="1C540D92" w14:textId="77777777" w:rsidR="009F1413" w:rsidRDefault="009F1413" w:rsidP="001675F6">
      <w:pPr>
        <w:pStyle w:val="Nivel1SM"/>
        <w:keepNext/>
        <w:spacing w:before="0" w:after="0"/>
      </w:pPr>
      <w:r>
        <w:t xml:space="preserve">Una extensión natural del modelo de </w:t>
      </w:r>
      <w:r w:rsidRPr="00155C88">
        <w:rPr>
          <w:smallCaps/>
        </w:rPr>
        <w:t>Markowitz</w:t>
      </w:r>
      <w:r>
        <w:t xml:space="preserve"> </w:t>
      </w:r>
      <w:r w:rsidRPr="00155C88">
        <w:t>es</w:t>
      </w:r>
      <w:r>
        <w:t xml:space="preserve"> conceder al inversor la </w:t>
      </w:r>
      <w:r w:rsidRPr="0017500D">
        <w:rPr>
          <w:b/>
          <w:bCs/>
        </w:rPr>
        <w:t>posibilidad de que una parte de su inversión la realice en activos libres de riesgo</w:t>
      </w:r>
      <w:r>
        <w:t>, que dan un rendimiento cierto y libre de riesgo a vencimiento, así como la posibilidad de endeudarse a ese mismo tipo de interés libre de riesgo para invertir.</w:t>
      </w:r>
    </w:p>
    <w:p w14:paraId="5F994D70" w14:textId="77777777" w:rsidR="009F1413" w:rsidRPr="00E02765" w:rsidRDefault="009F1413" w:rsidP="009F1413">
      <w:pPr>
        <w:pStyle w:val="Nivel2SM"/>
      </w:pPr>
      <w:r>
        <w:t>Cuando los inversores pueden incluir un activo libre de riesgo, ya podemos comparar entre las carteras eficientes de la frontera eficiente, cosa que antes no podíamos.</w:t>
      </w:r>
    </w:p>
    <w:p w14:paraId="173CB2C2" w14:textId="77777777" w:rsidR="009F1413" w:rsidRDefault="009F1413" w:rsidP="009F1413">
      <w:pPr>
        <w:pStyle w:val="Ttulo6"/>
      </w:pPr>
      <w:bookmarkStart w:id="44" w:name="_Toc144911952"/>
      <w:r>
        <w:t>Modelo</w:t>
      </w:r>
      <w:bookmarkEnd w:id="44"/>
    </w:p>
    <w:p w14:paraId="0EA273A1" w14:textId="77777777" w:rsidR="009F1413" w:rsidRDefault="009F1413" w:rsidP="001675F6">
      <w:pPr>
        <w:pStyle w:val="Ttulo7"/>
        <w:spacing w:before="0"/>
      </w:pPr>
      <w:bookmarkStart w:id="45" w:name="_Toc144911953"/>
      <w:r>
        <w:t>Supuestos</w:t>
      </w:r>
      <w:bookmarkEnd w:id="45"/>
    </w:p>
    <w:p w14:paraId="093A8EFB" w14:textId="77777777" w:rsidR="009F1413" w:rsidRDefault="009F1413" w:rsidP="001675F6">
      <w:pPr>
        <w:pStyle w:val="Nivel1SM"/>
        <w:keepNext/>
        <w:spacing w:before="0" w:after="0"/>
      </w:pPr>
      <w:r>
        <w:t xml:space="preserve">En este modelo partimos de los siguientes </w:t>
      </w:r>
      <w:r w:rsidRPr="00A01615">
        <w:rPr>
          <w:b/>
          <w:bCs/>
        </w:rPr>
        <w:t>supuestos</w:t>
      </w:r>
      <w:r>
        <w:t>:</w:t>
      </w:r>
    </w:p>
    <w:p w14:paraId="268BDC19" w14:textId="77777777" w:rsidR="009F1413" w:rsidRDefault="009F1413" w:rsidP="009F1413">
      <w:pPr>
        <w:pStyle w:val="Nivel2SM"/>
      </w:pPr>
      <w:r>
        <w:t xml:space="preserve">Los mismos que en el modelo de </w:t>
      </w:r>
      <w:r>
        <w:rPr>
          <w:smallCaps/>
        </w:rPr>
        <w:t>Markowitz</w:t>
      </w:r>
      <w:r>
        <w:t xml:space="preserve"> (1952).</w:t>
      </w:r>
    </w:p>
    <w:p w14:paraId="5E87654D" w14:textId="77777777" w:rsidR="009F1413" w:rsidRPr="008067F4" w:rsidRDefault="009F1413" w:rsidP="009F1413">
      <w:pPr>
        <w:pStyle w:val="Nivel2SM"/>
        <w:keepNext/>
        <w:spacing w:after="0"/>
        <w:rPr>
          <w:spacing w:val="-1"/>
        </w:rPr>
      </w:pPr>
      <w:r w:rsidRPr="008067F4">
        <w:rPr>
          <w:spacing w:val="-1"/>
        </w:rPr>
        <w:t xml:space="preserve">Añadimos un </w:t>
      </w:r>
      <w:r w:rsidRPr="008067F4">
        <w:rPr>
          <w:i/>
          <w:iCs/>
          <w:spacing w:val="-1"/>
        </w:rPr>
        <w:t>activo libre de riesgo</w:t>
      </w:r>
      <w:r w:rsidRPr="008067F4">
        <w:rPr>
          <w:spacing w:val="-1"/>
        </w:rPr>
        <w:t xml:space="preserve">, que ofrece una rentabilidad segura </w:t>
      </w:r>
      <m:oMath>
        <m:sSub>
          <m:sSubPr>
            <m:ctrlPr>
              <w:rPr>
                <w:rFonts w:ascii="Cambria Math" w:hAnsi="Cambria Math"/>
                <w:i/>
                <w:spacing w:val="-1"/>
              </w:rPr>
            </m:ctrlPr>
          </m:sSubPr>
          <m:e>
            <m:r>
              <m:rPr>
                <m:nor/>
              </m:rPr>
              <w:rPr>
                <w:i/>
                <w:spacing w:val="-1"/>
              </w:rPr>
              <m:t>R</m:t>
            </m:r>
          </m:e>
          <m:sub>
            <m:r>
              <m:rPr>
                <m:nor/>
              </m:rPr>
              <w:rPr>
                <w:i/>
                <w:spacing w:val="-1"/>
              </w:rPr>
              <m:t>f</m:t>
            </m:r>
          </m:sub>
        </m:sSub>
      </m:oMath>
      <w:r w:rsidRPr="008067F4">
        <w:rPr>
          <w:rFonts w:eastAsiaTheme="minorEastAsia"/>
          <w:spacing w:val="-1"/>
        </w:rPr>
        <w:t>, a la que el inversor:</w:t>
      </w:r>
    </w:p>
    <w:p w14:paraId="0B4619FC" w14:textId="77777777" w:rsidR="009F1413" w:rsidRPr="008067F4" w:rsidRDefault="009F1413" w:rsidP="009F1413">
      <w:pPr>
        <w:pStyle w:val="Nivel3SM"/>
      </w:pPr>
      <w:r w:rsidRPr="008067F4">
        <w:t xml:space="preserve">Puede </w:t>
      </w:r>
      <w:r w:rsidRPr="008067F4">
        <w:rPr>
          <w:i/>
          <w:iCs/>
        </w:rPr>
        <w:t>prestar</w:t>
      </w:r>
      <w:r w:rsidRPr="008067F4">
        <w:t xml:space="preserve"> si dedica parte de su presupuesto a la adquisición de activos libres de riesgo.</w:t>
      </w:r>
    </w:p>
    <w:p w14:paraId="1B5F9850" w14:textId="77777777" w:rsidR="009F1413" w:rsidRPr="004C71E9" w:rsidRDefault="009F1413" w:rsidP="009F1413">
      <w:pPr>
        <w:pStyle w:val="Nivel3SM"/>
        <w:rPr>
          <w:spacing w:val="-2"/>
        </w:rPr>
      </w:pPr>
      <w:r w:rsidRPr="004C71E9">
        <w:rPr>
          <w:spacing w:val="-2"/>
        </w:rPr>
        <w:t xml:space="preserve">Puede </w:t>
      </w:r>
      <w:r w:rsidRPr="004C71E9">
        <w:rPr>
          <w:i/>
          <w:iCs/>
          <w:spacing w:val="-2"/>
        </w:rPr>
        <w:t>pedir prestado</w:t>
      </w:r>
      <w:r w:rsidRPr="004C71E9">
        <w:rPr>
          <w:spacing w:val="-2"/>
        </w:rPr>
        <w:t>, si invierte en activos de riesgo más de lo que dispone</w:t>
      </w:r>
      <w:r w:rsidRPr="004C71E9">
        <w:rPr>
          <w:spacing w:val="-2"/>
          <w:sz w:val="19"/>
          <w:szCs w:val="19"/>
        </w:rPr>
        <w:t xml:space="preserve"> (i.e. apalancamiento)</w:t>
      </w:r>
      <w:r w:rsidRPr="004C71E9">
        <w:rPr>
          <w:spacing w:val="-2"/>
        </w:rPr>
        <w:t>.</w:t>
      </w:r>
    </w:p>
    <w:p w14:paraId="3D62FEA4" w14:textId="77777777" w:rsidR="009F1413" w:rsidRDefault="009F1413" w:rsidP="009F1413">
      <w:pPr>
        <w:pStyle w:val="Ttulo7"/>
      </w:pPr>
      <w:bookmarkStart w:id="46" w:name="_Toc144911954"/>
      <w:r>
        <w:t>Desarrollo</w:t>
      </w:r>
      <w:bookmarkEnd w:id="46"/>
    </w:p>
    <w:p w14:paraId="19CFC1A8" w14:textId="79B64A0E" w:rsidR="009F1413" w:rsidRDefault="009F1413" w:rsidP="001675F6">
      <w:pPr>
        <w:pStyle w:val="Nivel1SM"/>
        <w:spacing w:before="0"/>
      </w:pPr>
      <w:r>
        <w:t xml:space="preserve">Se puede demostrar </w:t>
      </w:r>
      <w:r w:rsidRPr="00E02765">
        <w:rPr>
          <w:i/>
          <w:iCs/>
        </w:rPr>
        <w:t>gráficamente</w:t>
      </w:r>
      <w:r>
        <w:t xml:space="preserve"> que la combinación de la cartera formada por el activo libre de riesgo (</w:t>
      </w:r>
      <m:oMath>
        <m:sSub>
          <m:sSubPr>
            <m:ctrlPr>
              <w:rPr>
                <w:rFonts w:ascii="Cambria Math" w:hAnsi="Cambria Math"/>
                <w:i/>
              </w:rPr>
            </m:ctrlPr>
          </m:sSubPr>
          <m:e>
            <m:r>
              <m:rPr>
                <m:nor/>
              </m:rPr>
              <w:rPr>
                <w:i/>
              </w:rPr>
              <m:t>R</m:t>
            </m:r>
          </m:e>
          <m:sub>
            <m:r>
              <m:rPr>
                <m:nor/>
              </m:rPr>
              <w:rPr>
                <w:i/>
              </w:rPr>
              <m:t>f</m:t>
            </m:r>
          </m:sub>
        </m:sSub>
      </m:oMath>
      <w:r>
        <w:t>) y la cartera</w:t>
      </w:r>
      <w:r w:rsidR="001675F6">
        <w:t> </w:t>
      </w:r>
      <m:oMath>
        <m:r>
          <m:rPr>
            <m:nor/>
          </m:rPr>
          <w:rPr>
            <w:i/>
          </w:rPr>
          <m:t>M</m:t>
        </m:r>
      </m:oMath>
      <w:r>
        <w:t xml:space="preserve"> (la cartera óptima de la frontera eficiente) es superior a cualquier cartera compuesta por el mismo activo libre de riesgo y cualquier otra cartera, ya que permite alcanzar una mayor utilidad (curvas de indiferencia más alejadas del origen).</w:t>
      </w:r>
    </w:p>
    <w:p w14:paraId="524508F8" w14:textId="4BA59D85" w:rsidR="009F1413" w:rsidRPr="0017500D" w:rsidRDefault="009F1413" w:rsidP="009F1413">
      <w:pPr>
        <w:pStyle w:val="Ttuloimagen"/>
        <w:rPr>
          <w:smallCaps w:val="0"/>
        </w:rPr>
      </w:pPr>
      <w:r>
        <w:t>Imagen</w:t>
      </w:r>
      <w:r w:rsidR="001675F6">
        <w:t> </w:t>
      </w:r>
      <w:r>
        <w:fldChar w:fldCharType="begin"/>
      </w:r>
      <w:r>
        <w:instrText xml:space="preserve"> SEQ Ilustración \* ARABIC </w:instrText>
      </w:r>
      <w:r>
        <w:fldChar w:fldCharType="separate"/>
      </w:r>
      <w:r w:rsidR="00561B3A">
        <w:t>5</w:t>
      </w:r>
      <w:r>
        <w:fldChar w:fldCharType="end"/>
      </w:r>
      <w:r>
        <w:rPr>
          <w:smallCaps w:val="0"/>
        </w:rPr>
        <w:t xml:space="preserve">.– </w:t>
      </w:r>
      <w:r>
        <w:rPr>
          <w:i/>
          <w:iCs/>
          <w:smallCaps w:val="0"/>
        </w:rPr>
        <w:t>Capital Market Line</w:t>
      </w:r>
    </w:p>
    <w:p w14:paraId="3D76021D" w14:textId="77777777" w:rsidR="009F1413" w:rsidRDefault="009F1413" w:rsidP="009F1413">
      <w:pPr>
        <w:pStyle w:val="Imagen"/>
      </w:pPr>
      <w:r w:rsidRPr="0017500D">
        <w:drawing>
          <wp:inline distT="0" distB="0" distL="0" distR="0" wp14:anchorId="33078C1D" wp14:editId="4397127F">
            <wp:extent cx="2332951" cy="1656000"/>
            <wp:effectExtent l="0" t="0" r="0" b="1905"/>
            <wp:docPr id="5" name="Imagen 5" descr="Efficient frontier and the tangency portfolio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ficient frontier and the tangency portfolio | Download Scientific Diagram"/>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32951" cy="1656000"/>
                    </a:xfrm>
                    <a:prstGeom prst="rect">
                      <a:avLst/>
                    </a:prstGeom>
                    <a:noFill/>
                    <a:ln>
                      <a:noFill/>
                    </a:ln>
                  </pic:spPr>
                </pic:pic>
              </a:graphicData>
            </a:graphic>
          </wp:inline>
        </w:drawing>
      </w:r>
    </w:p>
    <w:p w14:paraId="733BDB36" w14:textId="465E5216" w:rsidR="009F1413" w:rsidRPr="0017500D" w:rsidRDefault="009F1413" w:rsidP="009F1413">
      <w:pPr>
        <w:pStyle w:val="PiedeImagen"/>
        <w:rPr>
          <w:i w:val="0"/>
          <w:iCs/>
        </w:rPr>
      </w:pPr>
      <w:r w:rsidRPr="001E603F">
        <w:rPr>
          <w:lang w:val="fr-FR"/>
        </w:rPr>
        <w:t>Fuente</w:t>
      </w:r>
      <w:r w:rsidRPr="001E603F">
        <w:rPr>
          <w:i w:val="0"/>
          <w:iCs/>
          <w:lang w:val="fr-FR"/>
        </w:rPr>
        <w:t xml:space="preserve">: </w:t>
      </w:r>
      <w:r w:rsidR="001E603F" w:rsidRPr="001E603F">
        <w:rPr>
          <w:i w:val="0"/>
          <w:iCs/>
          <w:lang w:val="fr-FR"/>
        </w:rPr>
        <w:t xml:space="preserve">Hassine, M. &amp; Roncalli, T. (2013). </w:t>
      </w:r>
      <w:r w:rsidR="001E603F" w:rsidRPr="001E603F">
        <w:rPr>
          <w:i w:val="0"/>
          <w:iCs/>
          <w:lang w:val="en-US"/>
        </w:rPr>
        <w:t xml:space="preserve">Measuring Performance of Exchange-Traded Funds. </w:t>
      </w:r>
      <w:r w:rsidR="001E603F" w:rsidRPr="001E603F">
        <w:t>The Journal of Index Investing, 4</w:t>
      </w:r>
      <w:r w:rsidR="001E603F" w:rsidRPr="001E603F">
        <w:rPr>
          <w:i w:val="0"/>
          <w:iCs/>
        </w:rPr>
        <w:t xml:space="preserve">(3), 57-85. </w:t>
      </w:r>
      <w:hyperlink r:id="rId18" w:history="1">
        <w:r w:rsidR="001E603F" w:rsidRPr="001160EE">
          <w:rPr>
            <w:rStyle w:val="Hipervnculo"/>
            <w:i w:val="0"/>
            <w:iCs/>
          </w:rPr>
          <w:t>https://doi.org/10.3905/jii.2013.4.3.057</w:t>
        </w:r>
      </w:hyperlink>
    </w:p>
    <w:p w14:paraId="5A55AE29" w14:textId="77777777" w:rsidR="009F1413" w:rsidRDefault="009F1413" w:rsidP="009F1413">
      <w:pPr>
        <w:pStyle w:val="Nivel1SM"/>
        <w:keepNext/>
        <w:spacing w:after="0"/>
      </w:pPr>
      <w:r>
        <w:t xml:space="preserve">De este modo, obtenemos la </w:t>
      </w:r>
      <w:r w:rsidRPr="00D759C8">
        <w:rPr>
          <w:i/>
          <w:iCs/>
        </w:rPr>
        <w:t>Línea del Mercado de Capitales</w:t>
      </w:r>
      <w:r>
        <w:t xml:space="preserve"> (Capital Market Line, CML).</w:t>
      </w:r>
    </w:p>
    <w:p w14:paraId="24074B5D" w14:textId="77777777" w:rsidR="009F1413" w:rsidRDefault="009F1413" w:rsidP="009F1413">
      <w:pPr>
        <w:pStyle w:val="Nivel2SM"/>
      </w:pPr>
      <w:r>
        <w:t>La Línea del Mercado de Capitales nos ofrece carteras superiores a las de la frontera eficiente y muestra que existe una relación lineal y positiva entre el rendimiento y el riesgo.</w:t>
      </w:r>
    </w:p>
    <w:p w14:paraId="46E2FAEA" w14:textId="5CF9E418" w:rsidR="009F1413" w:rsidRDefault="009F1413" w:rsidP="009F1413">
      <w:pPr>
        <w:pStyle w:val="Nivel2SM"/>
      </w:pPr>
      <w:r>
        <w:t>Además, vemos c</w:t>
      </w:r>
      <w:r w:rsidR="00981D02">
        <w:t>ó</w:t>
      </w:r>
      <w:r>
        <w:t>mo la cartera</w:t>
      </w:r>
      <w:r w:rsidR="00340499">
        <w:t> </w:t>
      </w:r>
      <w:r w:rsidR="00340499">
        <w:rPr>
          <w:i/>
          <w:iCs/>
        </w:rPr>
        <w:t>M</w:t>
      </w:r>
      <w:r>
        <w:t xml:space="preserve"> es óptima para cualquier inversor y nadie adquiriría ninguna otra cartera con riesgo.</w:t>
      </w:r>
    </w:p>
    <w:p w14:paraId="0CC0AB78" w14:textId="77777777" w:rsidR="009F1413" w:rsidRDefault="009F1413" w:rsidP="009F1413">
      <w:pPr>
        <w:pStyle w:val="Nivel1SM"/>
        <w:keepNext/>
        <w:spacing w:after="0"/>
      </w:pPr>
      <w:r>
        <w:t>Para determinar la ecuación de la CML realizamos los siguientes pasos:</w:t>
      </w:r>
    </w:p>
    <w:p w14:paraId="567EC082" w14:textId="77777777" w:rsidR="009F1413" w:rsidRDefault="009F1413" w:rsidP="009F1413">
      <w:pPr>
        <w:pStyle w:val="Nivel2SM"/>
        <w:keepNext/>
        <w:spacing w:after="0"/>
      </w:pPr>
      <w:r>
        <w:t xml:space="preserve">Se considera que la rentabilidad de la cartera es la media de la rentabilidad del activo libre de riesgo y la rentabilidad de la cartera del mercado, ponderada por los pesos de cada activo en la cartera (suponemos que </w:t>
      </w:r>
      <m:oMath>
        <m:r>
          <m:rPr>
            <m:nor/>
          </m:rPr>
          <w:rPr>
            <w:rFonts w:eastAsia="Calibri" w:cs="Times New Roman"/>
            <w:i/>
          </w:rPr>
          <m:t>w</m:t>
        </m:r>
      </m:oMath>
      <w:r>
        <w:rPr>
          <w:rFonts w:eastAsiaTheme="minorEastAsia"/>
        </w:rPr>
        <w:t xml:space="preserve"> es la proporción de la cartera de mercado en la cartera</w:t>
      </w:r>
      <w:r>
        <w:t>):</w:t>
      </w:r>
    </w:p>
    <w:p w14:paraId="57AC119E" w14:textId="081916CE" w:rsidR="009F1413" w:rsidRDefault="009F1413" w:rsidP="009F1413">
      <w:pPr>
        <w:pStyle w:val="Nivel2SM"/>
        <w:numPr>
          <w:ilvl w:val="0"/>
          <w:numId w:val="0"/>
        </w:numPr>
        <w:spacing w:after="0"/>
        <w:ind w:left="567"/>
      </w:pPr>
      <m:oMathPara>
        <m:oMath>
          <m:r>
            <w:rPr>
              <w:rFonts w:ascii="Cambria Math" w:hAnsi="Cambria Math"/>
            </w:rPr>
            <m:t xml:space="preserve"> </m:t>
          </m:r>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i/>
                    </w:rPr>
                    <m:t>P</m:t>
                  </m:r>
                </m:sub>
              </m:sSub>
            </m:e>
          </m:d>
          <m:r>
            <w:rPr>
              <w:rFonts w:ascii="Cambria Math" w:hAnsi="Cambria Math"/>
            </w:rPr>
            <m:t>=</m:t>
          </m:r>
          <m:d>
            <m:dPr>
              <m:ctrlPr>
                <w:rPr>
                  <w:rFonts w:ascii="Cambria Math" w:eastAsia="Calibri" w:hAnsi="Cambria Math" w:cs="Times New Roman"/>
                  <w:i/>
                </w:rPr>
              </m:ctrlPr>
            </m:dPr>
            <m:e>
              <m:r>
                <m:rPr>
                  <m:nor/>
                </m:rPr>
                <w:rPr>
                  <w:rFonts w:eastAsia="Calibri" w:cs="Times New Roman"/>
                  <w:i/>
                </w:rPr>
                <m:t>1</m:t>
              </m:r>
              <m:r>
                <w:rPr>
                  <w:rFonts w:ascii="Cambria Math" w:eastAsia="Calibri" w:hAnsi="Cambria Math" w:cs="Times New Roman"/>
                </w:rPr>
                <m:t>-</m:t>
              </m:r>
              <m:r>
                <m:rPr>
                  <m:nor/>
                </m:rPr>
                <w:rPr>
                  <w:rFonts w:eastAsia="Calibri" w:cs="Times New Roman"/>
                  <w:i/>
                </w:rPr>
                <m:t>w</m:t>
              </m:r>
            </m:e>
          </m:d>
          <m:r>
            <w:rPr>
              <w:rFonts w:ascii="Cambria Math" w:eastAsia="Calibri" w:hAnsi="Cambria Math" w:cs="Times New Roman"/>
            </w:rPr>
            <m:t>∙</m:t>
          </m:r>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f</m:t>
              </m:r>
            </m:sub>
          </m:sSub>
          <m:r>
            <w:rPr>
              <w:rFonts w:ascii="Cambria Math" w:eastAsia="Calibri" w:hAnsi="Cambria Math" w:cs="Times New Roman"/>
            </w:rPr>
            <m:t>+</m:t>
          </m:r>
          <m:r>
            <m:rPr>
              <m:nor/>
            </m:rPr>
            <w:rPr>
              <w:rFonts w:eastAsia="Calibri" w:cs="Times New Roman"/>
              <w:i/>
            </w:rPr>
            <m:t>w</m:t>
          </m:r>
          <m:r>
            <w:rPr>
              <w:rFonts w:ascii="Cambria Math" w:eastAsia="Calibri" w:hAnsi="Cambria Math" w:cs="Times New Roman"/>
            </w:rPr>
            <m:t>∙</m:t>
          </m:r>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M</m:t>
                  </m:r>
                </m:sub>
              </m:sSub>
            </m:e>
          </m:d>
        </m:oMath>
      </m:oMathPara>
    </w:p>
    <w:p w14:paraId="7F2CC4CB" w14:textId="77777777" w:rsidR="009F1413" w:rsidRDefault="009F1413" w:rsidP="009F1413">
      <w:pPr>
        <w:pStyle w:val="Nivel2SM"/>
        <w:keepNext/>
        <w:spacing w:after="0"/>
      </w:pPr>
      <w:r>
        <w:t>Por su parte, el riesgo de la cartera (que viene dado por la desviación estándar) es igual a la media de la desviación estándar del activo libre de riesgo (i.e. cero) y la desviación estándar de la cartera del mercado, ponderada por los pesos de cada activo en la cartera:</w:t>
      </w:r>
    </w:p>
    <w:p w14:paraId="73869D40" w14:textId="0C245393" w:rsidR="009F1413" w:rsidRPr="009E5C06" w:rsidRDefault="009F1413" w:rsidP="005E31D7">
      <w:pPr>
        <w:pStyle w:val="Nivel1"/>
        <w:numPr>
          <w:ilvl w:val="0"/>
          <w:numId w:val="0"/>
        </w:numPr>
        <w:spacing w:before="0" w:after="0"/>
        <w:ind w:left="623"/>
        <w:rPr>
          <w:i/>
          <w:iCs/>
        </w:rPr>
      </w:pPr>
      <m:oMathPara>
        <m:oMath>
          <m:r>
            <w:rPr>
              <w:rFonts w:ascii="Cambria Math" w:eastAsiaTheme="minorEastAsia" w:hAnsi="Cambria Math"/>
            </w:rPr>
            <m:t xml:space="preserve"> </m:t>
          </m:r>
          <m:sSub>
            <m:sSubPr>
              <m:ctrlPr>
                <w:rPr>
                  <w:rFonts w:ascii="Cambria Math" w:hAnsi="Cambria Math"/>
                  <w:i/>
                  <w:iCs/>
                </w:rPr>
              </m:ctrlPr>
            </m:sSubPr>
            <m:e>
              <m:r>
                <m:rPr>
                  <m:nor/>
                </m:rPr>
                <w:rPr>
                  <w:i/>
                </w:rPr>
                <m:t>σ</m:t>
              </m:r>
            </m:e>
            <m:sub>
              <m:r>
                <m:rPr>
                  <m:nor/>
                </m:rPr>
                <w:rPr>
                  <w:i/>
                </w:rPr>
                <m:t>P</m:t>
              </m:r>
            </m:sub>
          </m:sSub>
          <m:r>
            <w:rPr>
              <w:rFonts w:ascii="Cambria Math" w:hAnsi="Cambria Math"/>
            </w:rPr>
            <m:t>=</m:t>
          </m:r>
          <m:d>
            <m:dPr>
              <m:ctrlPr>
                <w:rPr>
                  <w:rFonts w:ascii="Cambria Math" w:eastAsia="Calibri" w:hAnsi="Cambria Math" w:cs="Times New Roman"/>
                  <w:i/>
                </w:rPr>
              </m:ctrlPr>
            </m:dPr>
            <m:e>
              <m:r>
                <m:rPr>
                  <m:nor/>
                </m:rPr>
                <w:rPr>
                  <w:rFonts w:eastAsia="Calibri" w:cs="Times New Roman"/>
                  <w:i/>
                </w:rPr>
                <m:t>1</m:t>
              </m:r>
              <m:r>
                <w:rPr>
                  <w:rFonts w:ascii="Cambria Math" w:eastAsia="Calibri" w:hAnsi="Cambria Math" w:cs="Times New Roman"/>
                </w:rPr>
                <m:t>-</m:t>
              </m:r>
              <m:r>
                <m:rPr>
                  <m:nor/>
                </m:rPr>
                <w:rPr>
                  <w:rFonts w:eastAsia="Calibri" w:cs="Times New Roman"/>
                  <w:i/>
                </w:rPr>
                <m:t>w</m:t>
              </m:r>
            </m:e>
          </m:d>
          <m:r>
            <w:rPr>
              <w:rFonts w:ascii="Cambria Math" w:hAnsi="Cambria Math"/>
            </w:rPr>
            <m:t>∙</m:t>
          </m:r>
          <m:limLow>
            <m:limLowPr>
              <m:ctrlPr>
                <w:rPr>
                  <w:rFonts w:ascii="Cambria Math" w:eastAsia="Calibri" w:hAnsi="Cambria Math" w:cs="Times New Roman"/>
                  <w:i/>
                </w:rPr>
              </m:ctrlPr>
            </m:limLowPr>
            <m:e>
              <m:groupChr>
                <m:groupChrPr>
                  <m:ctrlPr>
                    <w:rPr>
                      <w:rFonts w:ascii="Cambria Math" w:eastAsia="Calibri" w:hAnsi="Cambria Math" w:cs="Times New Roman"/>
                      <w:i/>
                    </w:rPr>
                  </m:ctrlPr>
                </m:groupChrPr>
                <m:e>
                  <m:r>
                    <m:rPr>
                      <m:nor/>
                    </m:rPr>
                    <w:rPr>
                      <w:rFonts w:eastAsia="Calibri" w:cs="Times New Roman"/>
                      <w:i/>
                    </w:rPr>
                    <m:t>σ</m:t>
                  </m:r>
                  <m:d>
                    <m:dPr>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f</m:t>
                          </m:r>
                        </m:sub>
                      </m:sSub>
                    </m:e>
                  </m:d>
                </m:e>
              </m:groupChr>
            </m:e>
            <m:lim>
              <m:r>
                <w:rPr>
                  <w:rFonts w:ascii="Cambria Math" w:eastAsia="Calibri" w:hAnsi="Cambria Math" w:cs="Times New Roman"/>
                </w:rPr>
                <m:t>=</m:t>
              </m:r>
              <m:r>
                <m:rPr>
                  <m:nor/>
                </m:rPr>
                <w:rPr>
                  <w:rFonts w:eastAsia="Calibri" w:cs="Times New Roman"/>
                  <w:i/>
                </w:rPr>
                <m:t>0</m:t>
              </m:r>
            </m:lim>
          </m:limLow>
          <m:r>
            <w:rPr>
              <w:rFonts w:ascii="Cambria Math" w:hAnsi="Cambria Math"/>
            </w:rPr>
            <m:t>+</m:t>
          </m:r>
          <m:r>
            <m:rPr>
              <m:nor/>
            </m:rPr>
            <w:rPr>
              <w:rFonts w:eastAsia="Calibri" w:cs="Times New Roman"/>
              <w:i/>
            </w:rPr>
            <m:t>w</m:t>
          </m:r>
          <m:r>
            <w:rPr>
              <w:rFonts w:ascii="Cambria Math" w:hAnsi="Cambria Math"/>
            </w:rPr>
            <m:t>∙</m:t>
          </m:r>
          <m:sSub>
            <m:sSubPr>
              <m:ctrlPr>
                <w:rPr>
                  <w:rFonts w:ascii="Cambria Math" w:hAnsi="Cambria Math"/>
                  <w:i/>
                  <w:iCs/>
                </w:rPr>
              </m:ctrlPr>
            </m:sSubPr>
            <m:e>
              <m:r>
                <m:rPr>
                  <m:nor/>
                </m:rPr>
                <w:rPr>
                  <w:i/>
                </w:rPr>
                <m:t>σ</m:t>
              </m:r>
            </m:e>
            <m:sub>
              <m:r>
                <m:rPr>
                  <m:nor/>
                </m:rPr>
                <w:rPr>
                  <w:i/>
                </w:rPr>
                <m:t>M</m:t>
              </m:r>
            </m:sub>
          </m:sSub>
          <m:r>
            <w:rPr>
              <w:rFonts w:ascii="Cambria Math" w:eastAsia="Calibri" w:hAnsi="Cambria Math" w:cs="Times New Roman"/>
            </w:rPr>
            <m:t>⟹</m:t>
          </m:r>
          <m:sSub>
            <m:sSubPr>
              <m:ctrlPr>
                <w:rPr>
                  <w:rFonts w:ascii="Cambria Math" w:hAnsi="Cambria Math"/>
                  <w:i/>
                  <w:iCs/>
                </w:rPr>
              </m:ctrlPr>
            </m:sSubPr>
            <m:e>
              <m:r>
                <m:rPr>
                  <m:nor/>
                </m:rPr>
                <w:rPr>
                  <w:i/>
                </w:rPr>
                <m:t>σ</m:t>
              </m:r>
            </m:e>
            <m:sub>
              <m:r>
                <m:rPr>
                  <m:nor/>
                </m:rPr>
                <w:rPr>
                  <w:i/>
                </w:rPr>
                <m:t>P</m:t>
              </m:r>
            </m:sub>
          </m:sSub>
          <m:r>
            <w:rPr>
              <w:rFonts w:ascii="Cambria Math" w:hAnsi="Cambria Math"/>
            </w:rPr>
            <m:t>=</m:t>
          </m:r>
          <m:r>
            <m:rPr>
              <m:nor/>
            </m:rPr>
            <w:rPr>
              <w:rFonts w:eastAsia="Calibri" w:cs="Times New Roman"/>
              <w:i/>
            </w:rPr>
            <m:t>w</m:t>
          </m:r>
          <m:r>
            <w:rPr>
              <w:rFonts w:ascii="Cambria Math" w:hAnsi="Cambria Math"/>
            </w:rPr>
            <m:t>∙</m:t>
          </m:r>
          <m:sSub>
            <m:sSubPr>
              <m:ctrlPr>
                <w:rPr>
                  <w:rFonts w:ascii="Cambria Math" w:hAnsi="Cambria Math"/>
                  <w:i/>
                  <w:iCs/>
                </w:rPr>
              </m:ctrlPr>
            </m:sSubPr>
            <m:e>
              <m:r>
                <m:rPr>
                  <m:nor/>
                </m:rPr>
                <w:rPr>
                  <w:i/>
                </w:rPr>
                <m:t>σ</m:t>
              </m:r>
            </m:e>
            <m:sub>
              <m:r>
                <m:rPr>
                  <m:nor/>
                </m:rPr>
                <w:rPr>
                  <w:i/>
                </w:rPr>
                <m:t>M</m:t>
              </m:r>
            </m:sub>
          </m:sSub>
        </m:oMath>
      </m:oMathPara>
    </w:p>
    <w:p w14:paraId="0E4B83AF" w14:textId="77777777" w:rsidR="009F1413" w:rsidRDefault="009F1413" w:rsidP="009F1413">
      <w:pPr>
        <w:pStyle w:val="Nivel2SM"/>
        <w:keepNext/>
        <w:spacing w:after="0"/>
      </w:pPr>
      <w:r>
        <w:lastRenderedPageBreak/>
        <w:t>Operando, llegamos a la siguiente expresión:</w:t>
      </w:r>
    </w:p>
    <w:p w14:paraId="0207858D" w14:textId="180E631F" w:rsidR="009F1413" w:rsidRDefault="00000000" w:rsidP="009F1413">
      <w:pPr>
        <w:pStyle w:val="Nivel2SM"/>
        <w:numPr>
          <w:ilvl w:val="0"/>
          <w:numId w:val="0"/>
        </w:numPr>
        <w:spacing w:after="0"/>
        <w:ind w:left="567"/>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i/>
                              </w:rPr>
                              <m:t>P</m:t>
                            </m:r>
                          </m:sub>
                        </m:sSub>
                      </m:e>
                    </m:d>
                    <m:r>
                      <w:rPr>
                        <w:rFonts w:ascii="Cambria Math" w:hAnsi="Cambria Math"/>
                      </w:rPr>
                      <m:t>=</m:t>
                    </m:r>
                    <m:d>
                      <m:dPr>
                        <m:ctrlPr>
                          <w:rPr>
                            <w:rFonts w:ascii="Cambria Math" w:eastAsia="Calibri" w:hAnsi="Cambria Math" w:cs="Times New Roman"/>
                            <w:i/>
                          </w:rPr>
                        </m:ctrlPr>
                      </m:dPr>
                      <m:e>
                        <m:r>
                          <m:rPr>
                            <m:nor/>
                          </m:rPr>
                          <w:rPr>
                            <w:rFonts w:eastAsia="Calibri" w:cs="Times New Roman"/>
                            <w:i/>
                          </w:rPr>
                          <m:t>1</m:t>
                        </m:r>
                        <m:r>
                          <w:rPr>
                            <w:rFonts w:ascii="Cambria Math" w:eastAsia="Calibri" w:hAnsi="Cambria Math" w:cs="Times New Roman"/>
                          </w:rPr>
                          <m:t>-</m:t>
                        </m:r>
                        <m:r>
                          <m:rPr>
                            <m:nor/>
                          </m:rPr>
                          <w:rPr>
                            <w:rFonts w:eastAsia="Calibri" w:cs="Times New Roman"/>
                            <w:i/>
                          </w:rPr>
                          <m:t>w</m:t>
                        </m:r>
                      </m:e>
                    </m:d>
                    <m:r>
                      <w:rPr>
                        <w:rFonts w:ascii="Cambria Math" w:eastAsia="Calibri" w:hAnsi="Cambria Math" w:cs="Times New Roman"/>
                      </w:rPr>
                      <m:t>∙</m:t>
                    </m:r>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f</m:t>
                        </m:r>
                      </m:sub>
                    </m:sSub>
                    <m:r>
                      <w:rPr>
                        <w:rFonts w:ascii="Cambria Math" w:eastAsia="Calibri" w:hAnsi="Cambria Math" w:cs="Times New Roman"/>
                      </w:rPr>
                      <m:t>+</m:t>
                    </m:r>
                    <m:r>
                      <m:rPr>
                        <m:nor/>
                      </m:rPr>
                      <w:rPr>
                        <w:rFonts w:eastAsia="Calibri" w:cs="Times New Roman"/>
                        <w:i/>
                      </w:rPr>
                      <m:t>w</m:t>
                    </m:r>
                    <m:r>
                      <w:rPr>
                        <w:rFonts w:ascii="Cambria Math" w:eastAsia="Calibri" w:hAnsi="Cambria Math" w:cs="Times New Roman"/>
                      </w:rPr>
                      <m:t>∙</m:t>
                    </m:r>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M</m:t>
                            </m:r>
                          </m:sub>
                        </m:sSub>
                      </m:e>
                    </m:d>
                  </m:e>
                </m:mr>
                <m:mr>
                  <m:e>
                    <m:r>
                      <w:rPr>
                        <w:rFonts w:ascii="Cambria Math" w:hAnsi="Cambria Math"/>
                      </w:rPr>
                      <m:t xml:space="preserve">        </m:t>
                    </m:r>
                    <m:sSub>
                      <m:sSubPr>
                        <m:ctrlPr>
                          <w:rPr>
                            <w:rFonts w:ascii="Cambria Math" w:hAnsi="Cambria Math"/>
                            <w:i/>
                            <w:iCs/>
                          </w:rPr>
                        </m:ctrlPr>
                      </m:sSubPr>
                      <m:e>
                        <m:r>
                          <m:rPr>
                            <m:nor/>
                          </m:rPr>
                          <w:rPr>
                            <w:i/>
                          </w:rPr>
                          <m:t>σ</m:t>
                        </m:r>
                      </m:e>
                      <m:sub>
                        <m:r>
                          <m:rPr>
                            <m:nor/>
                          </m:rPr>
                          <w:rPr>
                            <w:i/>
                          </w:rPr>
                          <m:t>P</m:t>
                        </m:r>
                      </m:sub>
                    </m:sSub>
                    <m:r>
                      <w:rPr>
                        <w:rFonts w:ascii="Cambria Math" w:hAnsi="Cambria Math"/>
                      </w:rPr>
                      <m:t>=</m:t>
                    </m:r>
                    <m:r>
                      <m:rPr>
                        <m:nor/>
                      </m:rPr>
                      <w:rPr>
                        <w:rFonts w:eastAsia="Calibri" w:cs="Times New Roman"/>
                        <w:i/>
                      </w:rPr>
                      <m:t>w</m:t>
                    </m:r>
                    <m:r>
                      <w:rPr>
                        <w:rFonts w:ascii="Cambria Math" w:hAnsi="Cambria Math"/>
                      </w:rPr>
                      <m:t>∙</m:t>
                    </m:r>
                    <m:sSub>
                      <m:sSubPr>
                        <m:ctrlPr>
                          <w:rPr>
                            <w:rFonts w:ascii="Cambria Math" w:hAnsi="Cambria Math"/>
                            <w:i/>
                            <w:iCs/>
                          </w:rPr>
                        </m:ctrlPr>
                      </m:sSubPr>
                      <m:e>
                        <m:r>
                          <m:rPr>
                            <m:nor/>
                          </m:rPr>
                          <w:rPr>
                            <w:i/>
                          </w:rPr>
                          <m:t>σ</m:t>
                        </m:r>
                      </m:e>
                      <m:sub>
                        <m:r>
                          <m:rPr>
                            <m:nor/>
                          </m:rPr>
                          <w:rPr>
                            <w:i/>
                          </w:rPr>
                          <m:t>M</m:t>
                        </m:r>
                      </m:sub>
                    </m:sSub>
                    <m:r>
                      <w:rPr>
                        <w:rFonts w:ascii="Cambria Math" w:hAnsi="Cambria Math"/>
                      </w:rPr>
                      <m:t>⟹</m:t>
                    </m:r>
                    <m:r>
                      <m:rPr>
                        <m:nor/>
                      </m:rPr>
                      <w:rPr>
                        <w:rFonts w:eastAsia="Calibri" w:cs="Times New Roman"/>
                        <w:i/>
                      </w:rPr>
                      <m:t>w</m:t>
                    </m:r>
                    <m:r>
                      <w:rPr>
                        <w:rFonts w:ascii="Cambria Math" w:eastAsia="Calibri" w:cs="Times New Roman"/>
                      </w:rPr>
                      <m:t>=</m:t>
                    </m:r>
                    <m:f>
                      <m:fPr>
                        <m:type m:val="lin"/>
                        <m:ctrlPr>
                          <w:rPr>
                            <w:rFonts w:ascii="Cambria Math" w:eastAsia="Calibri" w:hAnsi="Cambria Math" w:cs="Times New Roman"/>
                            <w:i/>
                          </w:rPr>
                        </m:ctrlPr>
                      </m:fPr>
                      <m:num>
                        <m:sSub>
                          <m:sSubPr>
                            <m:ctrlPr>
                              <w:rPr>
                                <w:rFonts w:ascii="Cambria Math" w:hAnsi="Cambria Math"/>
                                <w:i/>
                                <w:iCs/>
                              </w:rPr>
                            </m:ctrlPr>
                          </m:sSubPr>
                          <m:e>
                            <m:r>
                              <m:rPr>
                                <m:nor/>
                              </m:rPr>
                              <w:rPr>
                                <w:i/>
                              </w:rPr>
                              <m:t>σ</m:t>
                            </m:r>
                          </m:e>
                          <m:sub>
                            <m:r>
                              <m:rPr>
                                <m:nor/>
                              </m:rPr>
                              <w:rPr>
                                <w:i/>
                              </w:rPr>
                              <m:t>P</m:t>
                            </m:r>
                          </m:sub>
                        </m:sSub>
                      </m:num>
                      <m:den>
                        <m:sSub>
                          <m:sSubPr>
                            <m:ctrlPr>
                              <w:rPr>
                                <w:rFonts w:ascii="Cambria Math" w:hAnsi="Cambria Math"/>
                                <w:i/>
                                <w:iCs/>
                              </w:rPr>
                            </m:ctrlPr>
                          </m:sSubPr>
                          <m:e>
                            <m:r>
                              <m:rPr>
                                <m:nor/>
                              </m:rPr>
                              <w:rPr>
                                <w:i/>
                              </w:rPr>
                              <m:t>σ</m:t>
                            </m:r>
                          </m:e>
                          <m:sub>
                            <m:r>
                              <m:rPr>
                                <m:nor/>
                              </m:rPr>
                              <w:rPr>
                                <w:i/>
                              </w:rPr>
                              <m:t>M</m:t>
                            </m:r>
                          </m:sub>
                        </m:sSub>
                      </m:den>
                    </m:f>
                  </m:e>
                </m:mr>
              </m:m>
            </m:e>
          </m:d>
          <m:r>
            <w:rPr>
              <w:rFonts w:ascii="Cambria Math" w:hAnsi="Cambria Math"/>
            </w:rPr>
            <m:t>⟹</m:t>
          </m:r>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i/>
                    </w:rPr>
                    <m:t>P</m:t>
                  </m:r>
                </m:sub>
              </m:sSub>
            </m:e>
          </m:d>
          <m:r>
            <w:rPr>
              <w:rFonts w:ascii="Cambria Math" w:hAnsi="Cambria Math"/>
            </w:rPr>
            <m:t>=</m:t>
          </m:r>
          <m:d>
            <m:dPr>
              <m:ctrlPr>
                <w:rPr>
                  <w:rFonts w:ascii="Cambria Math" w:eastAsia="Calibri" w:hAnsi="Cambria Math" w:cs="Times New Roman"/>
                  <w:i/>
                </w:rPr>
              </m:ctrlPr>
            </m:dPr>
            <m:e>
              <m:r>
                <m:rPr>
                  <m:nor/>
                </m:rPr>
                <w:rPr>
                  <w:rFonts w:eastAsia="Calibri" w:cs="Times New Roman"/>
                  <w:i/>
                </w:rPr>
                <m:t>1</m:t>
              </m:r>
              <m:r>
                <w:rPr>
                  <w:rFonts w:ascii="Cambria Math" w:eastAsia="Calibri" w:hAnsi="Cambria Math" w:cs="Times New Roman"/>
                </w:rPr>
                <m:t>-</m:t>
              </m:r>
              <m:f>
                <m:fPr>
                  <m:ctrlPr>
                    <w:rPr>
                      <w:rFonts w:ascii="Cambria Math" w:eastAsia="Calibri" w:hAnsi="Cambria Math" w:cs="Times New Roman"/>
                      <w:i/>
                    </w:rPr>
                  </m:ctrlPr>
                </m:fPr>
                <m:num>
                  <m:sSub>
                    <m:sSubPr>
                      <m:ctrlPr>
                        <w:rPr>
                          <w:rFonts w:ascii="Cambria Math" w:hAnsi="Cambria Math"/>
                          <w:i/>
                          <w:iCs/>
                        </w:rPr>
                      </m:ctrlPr>
                    </m:sSubPr>
                    <m:e>
                      <m:r>
                        <m:rPr>
                          <m:nor/>
                        </m:rPr>
                        <w:rPr>
                          <w:i/>
                        </w:rPr>
                        <m:t>σ</m:t>
                      </m:r>
                    </m:e>
                    <m:sub>
                      <m:r>
                        <m:rPr>
                          <m:nor/>
                        </m:rPr>
                        <w:rPr>
                          <w:i/>
                        </w:rPr>
                        <m:t>P</m:t>
                      </m:r>
                    </m:sub>
                  </m:sSub>
                </m:num>
                <m:den>
                  <m:sSub>
                    <m:sSubPr>
                      <m:ctrlPr>
                        <w:rPr>
                          <w:rFonts w:ascii="Cambria Math" w:hAnsi="Cambria Math"/>
                          <w:i/>
                          <w:iCs/>
                        </w:rPr>
                      </m:ctrlPr>
                    </m:sSubPr>
                    <m:e>
                      <m:r>
                        <m:rPr>
                          <m:nor/>
                        </m:rPr>
                        <w:rPr>
                          <w:i/>
                        </w:rPr>
                        <m:t>σ</m:t>
                      </m:r>
                    </m:e>
                    <m:sub>
                      <m:r>
                        <m:rPr>
                          <m:nor/>
                        </m:rPr>
                        <w:rPr>
                          <w:i/>
                        </w:rPr>
                        <m:t>M</m:t>
                      </m:r>
                    </m:sub>
                  </m:sSub>
                </m:den>
              </m:f>
            </m:e>
          </m:d>
          <m:r>
            <w:rPr>
              <w:rFonts w:ascii="Cambria Math" w:eastAsia="Calibri" w:hAnsi="Cambria Math" w:cs="Times New Roman"/>
            </w:rPr>
            <m:t>∙</m:t>
          </m:r>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f</m:t>
              </m:r>
            </m:sub>
          </m:sSub>
          <m:r>
            <w:rPr>
              <w:rFonts w:ascii="Cambria Math" w:eastAsia="Calibri" w:hAnsi="Cambria Math" w:cs="Times New Roman"/>
            </w:rPr>
            <m:t>+</m:t>
          </m:r>
          <m:f>
            <m:fPr>
              <m:ctrlPr>
                <w:rPr>
                  <w:rFonts w:ascii="Cambria Math" w:eastAsia="Calibri" w:hAnsi="Cambria Math" w:cs="Times New Roman"/>
                  <w:i/>
                </w:rPr>
              </m:ctrlPr>
            </m:fPr>
            <m:num>
              <m:sSub>
                <m:sSubPr>
                  <m:ctrlPr>
                    <w:rPr>
                      <w:rFonts w:ascii="Cambria Math" w:hAnsi="Cambria Math"/>
                      <w:i/>
                      <w:iCs/>
                    </w:rPr>
                  </m:ctrlPr>
                </m:sSubPr>
                <m:e>
                  <m:r>
                    <m:rPr>
                      <m:nor/>
                    </m:rPr>
                    <w:rPr>
                      <w:i/>
                    </w:rPr>
                    <m:t>σ</m:t>
                  </m:r>
                </m:e>
                <m:sub>
                  <m:r>
                    <m:rPr>
                      <m:nor/>
                    </m:rPr>
                    <w:rPr>
                      <w:i/>
                    </w:rPr>
                    <m:t>P</m:t>
                  </m:r>
                </m:sub>
              </m:sSub>
            </m:num>
            <m:den>
              <m:sSub>
                <m:sSubPr>
                  <m:ctrlPr>
                    <w:rPr>
                      <w:rFonts w:ascii="Cambria Math" w:hAnsi="Cambria Math"/>
                      <w:i/>
                      <w:iCs/>
                    </w:rPr>
                  </m:ctrlPr>
                </m:sSubPr>
                <m:e>
                  <m:r>
                    <m:rPr>
                      <m:nor/>
                    </m:rPr>
                    <w:rPr>
                      <w:i/>
                    </w:rPr>
                    <m:t>σ</m:t>
                  </m:r>
                </m:e>
                <m:sub>
                  <m:r>
                    <m:rPr>
                      <m:nor/>
                    </m:rPr>
                    <w:rPr>
                      <w:i/>
                    </w:rPr>
                    <m:t>M</m:t>
                  </m:r>
                </m:sub>
              </m:sSub>
            </m:den>
          </m:f>
          <m:r>
            <w:rPr>
              <w:rFonts w:ascii="Cambria Math" w:eastAsia="Calibri" w:hAnsi="Cambria Math" w:cs="Times New Roman"/>
            </w:rPr>
            <m:t>∙</m:t>
          </m:r>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M</m:t>
                  </m:r>
                </m:sub>
              </m:sSub>
            </m:e>
          </m:d>
          <m:r>
            <m:rPr>
              <m:sty m:val="p"/>
            </m:rPr>
            <w:rPr>
              <w:rFonts w:ascii="Cambria Math" w:eastAsia="Calibri" w:hAnsi="Cambria Math" w:cs="Times New Roman"/>
            </w:rPr>
            <w:br/>
          </m:r>
        </m:oMath>
        <m:oMath>
          <m:r>
            <w:rPr>
              <w:rFonts w:ascii="Cambria Math" w:hAnsi="Cambria Math"/>
            </w:rPr>
            <m:t>⟹</m:t>
          </m:r>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i/>
                    </w:rPr>
                    <m:t>P</m:t>
                  </m:r>
                </m:sub>
              </m:sSub>
            </m:e>
          </m:d>
          <m:r>
            <w:rPr>
              <w:rFonts w:ascii="Cambria Math" w:hAnsi="Cambria Math"/>
            </w:rPr>
            <m:t>=</m:t>
          </m:r>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f</m:t>
              </m:r>
            </m:sub>
          </m:sSub>
          <m:r>
            <w:rPr>
              <w:rFonts w:ascii="Cambria Math" w:eastAsia="Calibri" w:hAnsi="Cambria Math" w:cs="Times New Roman"/>
            </w:rPr>
            <m:t>-</m:t>
          </m:r>
          <m:f>
            <m:fPr>
              <m:ctrlPr>
                <w:rPr>
                  <w:rFonts w:ascii="Cambria Math" w:eastAsia="Calibri" w:hAnsi="Cambria Math" w:cs="Times New Roman"/>
                  <w:i/>
                </w:rPr>
              </m:ctrlPr>
            </m:fPr>
            <m:num>
              <m:sSub>
                <m:sSubPr>
                  <m:ctrlPr>
                    <w:rPr>
                      <w:rFonts w:ascii="Cambria Math" w:hAnsi="Cambria Math"/>
                      <w:i/>
                      <w:iCs/>
                    </w:rPr>
                  </m:ctrlPr>
                </m:sSubPr>
                <m:e>
                  <m:r>
                    <m:rPr>
                      <m:nor/>
                    </m:rPr>
                    <w:rPr>
                      <w:i/>
                    </w:rPr>
                    <m:t>σ</m:t>
                  </m:r>
                </m:e>
                <m:sub>
                  <m:r>
                    <m:rPr>
                      <m:nor/>
                    </m:rPr>
                    <w:rPr>
                      <w:i/>
                    </w:rPr>
                    <m:t>P</m:t>
                  </m:r>
                </m:sub>
              </m:sSub>
            </m:num>
            <m:den>
              <m:sSub>
                <m:sSubPr>
                  <m:ctrlPr>
                    <w:rPr>
                      <w:rFonts w:ascii="Cambria Math" w:hAnsi="Cambria Math"/>
                      <w:i/>
                      <w:iCs/>
                    </w:rPr>
                  </m:ctrlPr>
                </m:sSubPr>
                <m:e>
                  <m:r>
                    <m:rPr>
                      <m:nor/>
                    </m:rPr>
                    <w:rPr>
                      <w:i/>
                    </w:rPr>
                    <m:t>σ</m:t>
                  </m:r>
                </m:e>
                <m:sub>
                  <m:r>
                    <m:rPr>
                      <m:nor/>
                    </m:rPr>
                    <w:rPr>
                      <w:i/>
                    </w:rPr>
                    <m:t>M</m:t>
                  </m:r>
                </m:sub>
              </m:sSub>
            </m:den>
          </m:f>
          <m:r>
            <w:rPr>
              <w:rFonts w:ascii="Cambria Math" w:eastAsia="Calibri" w:hAnsi="Cambria Math" w:cs="Times New Roman"/>
            </w:rPr>
            <m:t>∙</m:t>
          </m:r>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f</m:t>
              </m:r>
            </m:sub>
          </m:sSub>
          <m:r>
            <w:rPr>
              <w:rFonts w:ascii="Cambria Math" w:eastAsia="Calibri" w:hAnsi="Cambria Math" w:cs="Times New Roman"/>
            </w:rPr>
            <m:t>+</m:t>
          </m:r>
          <m:f>
            <m:fPr>
              <m:ctrlPr>
                <w:rPr>
                  <w:rFonts w:ascii="Cambria Math" w:eastAsia="Calibri" w:hAnsi="Cambria Math" w:cs="Times New Roman"/>
                  <w:i/>
                </w:rPr>
              </m:ctrlPr>
            </m:fPr>
            <m:num>
              <m:sSub>
                <m:sSubPr>
                  <m:ctrlPr>
                    <w:rPr>
                      <w:rFonts w:ascii="Cambria Math" w:hAnsi="Cambria Math"/>
                      <w:i/>
                      <w:iCs/>
                    </w:rPr>
                  </m:ctrlPr>
                </m:sSubPr>
                <m:e>
                  <m:r>
                    <m:rPr>
                      <m:nor/>
                    </m:rPr>
                    <w:rPr>
                      <w:i/>
                    </w:rPr>
                    <m:t>σ</m:t>
                  </m:r>
                </m:e>
                <m:sub>
                  <m:r>
                    <m:rPr>
                      <m:nor/>
                    </m:rPr>
                    <w:rPr>
                      <w:i/>
                    </w:rPr>
                    <m:t>P</m:t>
                  </m:r>
                </m:sub>
              </m:sSub>
            </m:num>
            <m:den>
              <m:sSub>
                <m:sSubPr>
                  <m:ctrlPr>
                    <w:rPr>
                      <w:rFonts w:ascii="Cambria Math" w:hAnsi="Cambria Math"/>
                      <w:i/>
                      <w:iCs/>
                    </w:rPr>
                  </m:ctrlPr>
                </m:sSubPr>
                <m:e>
                  <m:r>
                    <m:rPr>
                      <m:nor/>
                    </m:rPr>
                    <w:rPr>
                      <w:i/>
                    </w:rPr>
                    <m:t>σ</m:t>
                  </m:r>
                </m:e>
                <m:sub>
                  <m:r>
                    <m:rPr>
                      <m:nor/>
                    </m:rPr>
                    <w:rPr>
                      <w:i/>
                    </w:rPr>
                    <m:t>M</m:t>
                  </m:r>
                </m:sub>
              </m:sSub>
            </m:den>
          </m:f>
          <m:r>
            <w:rPr>
              <w:rFonts w:ascii="Cambria Math" w:eastAsia="Calibri" w:hAnsi="Cambria Math" w:cs="Times New Roman"/>
            </w:rPr>
            <m:t>∙</m:t>
          </m:r>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M</m:t>
                  </m:r>
                </m:sub>
              </m:sSub>
            </m:e>
          </m:d>
          <m:r>
            <w:rPr>
              <w:rFonts w:ascii="Cambria Math" w:hAnsi="Cambria Math"/>
            </w:rPr>
            <m:t>⟹</m:t>
          </m:r>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i/>
                    </w:rPr>
                    <m:t>P</m:t>
                  </m:r>
                </m:sub>
              </m:sSub>
            </m:e>
          </m:d>
          <m:r>
            <w:rPr>
              <w:rFonts w:ascii="Cambria Math" w:hAnsi="Cambria Math"/>
            </w:rPr>
            <m:t>=</m:t>
          </m:r>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f</m:t>
              </m:r>
            </m:sub>
          </m:sSub>
          <m:r>
            <w:rPr>
              <w:rFonts w:ascii="Cambria Math" w:eastAsia="Calibri" w:hAnsi="Cambria Math" w:cs="Times New Roman"/>
            </w:rPr>
            <m:t>+</m:t>
          </m:r>
          <m:f>
            <m:fPr>
              <m:ctrlPr>
                <w:rPr>
                  <w:rFonts w:ascii="Cambria Math" w:eastAsia="Calibri" w:hAnsi="Cambria Math" w:cs="Times New Roman"/>
                  <w:i/>
                </w:rPr>
              </m:ctrlPr>
            </m:fPr>
            <m:num>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M</m:t>
                      </m:r>
                    </m:sub>
                  </m:sSub>
                </m:e>
              </m:d>
              <m:r>
                <w:rPr>
                  <w:rFonts w:ascii="Cambria Math" w:eastAsia="Calibri" w:hAnsi="Cambria Math" w:cs="Times New Roman"/>
                </w:rPr>
                <m:t>-</m:t>
              </m:r>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f</m:t>
                  </m:r>
                </m:sub>
              </m:sSub>
            </m:num>
            <m:den>
              <m:sSub>
                <m:sSubPr>
                  <m:ctrlPr>
                    <w:rPr>
                      <w:rFonts w:ascii="Cambria Math" w:hAnsi="Cambria Math"/>
                      <w:i/>
                      <w:iCs/>
                    </w:rPr>
                  </m:ctrlPr>
                </m:sSubPr>
                <m:e>
                  <m:r>
                    <m:rPr>
                      <m:nor/>
                    </m:rPr>
                    <w:rPr>
                      <w:i/>
                    </w:rPr>
                    <m:t>σ</m:t>
                  </m:r>
                </m:e>
                <m:sub>
                  <m:r>
                    <m:rPr>
                      <m:nor/>
                    </m:rPr>
                    <w:rPr>
                      <w:i/>
                    </w:rPr>
                    <m:t>M</m:t>
                  </m:r>
                </m:sub>
              </m:sSub>
            </m:den>
          </m:f>
          <m:r>
            <w:rPr>
              <w:rFonts w:ascii="Cambria Math" w:eastAsia="Calibri" w:hAnsi="Cambria Math" w:cs="Times New Roman"/>
            </w:rPr>
            <m:t>∙</m:t>
          </m:r>
          <m:sSub>
            <m:sSubPr>
              <m:ctrlPr>
                <w:rPr>
                  <w:rFonts w:ascii="Cambria Math" w:hAnsi="Cambria Math"/>
                  <w:i/>
                  <w:iCs/>
                </w:rPr>
              </m:ctrlPr>
            </m:sSubPr>
            <m:e>
              <m:r>
                <m:rPr>
                  <m:nor/>
                </m:rPr>
                <w:rPr>
                  <w:i/>
                </w:rPr>
                <m:t>σ</m:t>
              </m:r>
            </m:e>
            <m:sub>
              <m:r>
                <m:rPr>
                  <m:nor/>
                </m:rPr>
                <w:rPr>
                  <w:i/>
                </w:rPr>
                <m:t>P</m:t>
              </m:r>
            </m:sub>
          </m:sSub>
        </m:oMath>
      </m:oMathPara>
    </w:p>
    <w:p w14:paraId="759B35CE" w14:textId="77777777" w:rsidR="009F1413" w:rsidRDefault="009F1413" w:rsidP="009F1413">
      <w:pPr>
        <w:pStyle w:val="Nivel3SM"/>
        <w:keepNext/>
      </w:pPr>
      <w:r>
        <w:t>Por lo tanto, podemos determinar la ecuación de la CML como</w:t>
      </w:r>
      <w:r>
        <w:rPr>
          <w:rStyle w:val="Refdenotaalpie"/>
        </w:rPr>
        <w:footnoteReference w:id="14"/>
      </w:r>
      <w:r>
        <w:t>:</w:t>
      </w:r>
    </w:p>
    <w:p w14:paraId="5E6C19E5" w14:textId="35C1C39C" w:rsidR="009F1413" w:rsidRDefault="00000000" w:rsidP="009F1413">
      <w:pPr>
        <w:spacing w:after="100"/>
      </w:pPr>
      <m:oMathPara>
        <m:oMath>
          <m:borderBox>
            <m:borderBoxPr>
              <m:ctrlPr>
                <w:rPr>
                  <w:rFonts w:ascii="Cambria Math" w:hAnsi="Cambria Math"/>
                  <w:i/>
                  <w:iCs/>
                </w:rPr>
              </m:ctrlPr>
            </m:borderBoxPr>
            <m:e>
              <m:r>
                <m:rPr>
                  <m:nor/>
                </m:rPr>
                <w:rPr>
                  <w:i/>
                  <w:iCs/>
                </w:rPr>
                <m:t>CML</m:t>
              </m:r>
              <m:r>
                <w:rPr>
                  <w:rFonts w:ascii="Cambria Math" w:hAnsi="Cambria Math"/>
                </w:rPr>
                <m:t xml:space="preserve">: </m:t>
              </m:r>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i/>
                        </w:rPr>
                        <m:t>P</m:t>
                      </m:r>
                    </m:sub>
                  </m:sSub>
                </m:e>
              </m:d>
              <m:r>
                <w:rPr>
                  <w:rFonts w:ascii="Cambria Math" w:hAnsi="Cambria Math"/>
                </w:rPr>
                <m:t>=</m:t>
              </m:r>
              <m:limLow>
                <m:limLowPr>
                  <m:ctrlPr>
                    <w:rPr>
                      <w:rFonts w:ascii="Cambria Math" w:eastAsia="Calibri" w:hAnsi="Cambria Math" w:cs="Times New Roman"/>
                      <w:i/>
                    </w:rPr>
                  </m:ctrlPr>
                </m:limLowPr>
                <m:e>
                  <m:groupChr>
                    <m:groupChrPr>
                      <m:ctrlPr>
                        <w:rPr>
                          <w:rFonts w:ascii="Cambria Math" w:eastAsia="Calibri" w:hAnsi="Cambria Math" w:cs="Times New Roman"/>
                          <w:i/>
                        </w:rPr>
                      </m:ctrlPr>
                    </m:groupChr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f</m:t>
                          </m:r>
                        </m:sub>
                      </m:sSub>
                    </m:e>
                  </m:groupChr>
                </m:e>
                <m:lim>
                  <m:r>
                    <m:rPr>
                      <m:nor/>
                    </m:rPr>
                    <w:rPr>
                      <w:rFonts w:eastAsia="Calibri" w:cs="Times New Roman"/>
                      <w:i/>
                      <w:iCs/>
                    </w:rPr>
                    <m:t>Ordenada</m:t>
                  </m:r>
                </m:lim>
              </m:limLow>
              <m:r>
                <w:rPr>
                  <w:rFonts w:ascii="Cambria Math" w:eastAsia="Calibri" w:hAnsi="Cambria Math" w:cs="Times New Roman"/>
                </w:rPr>
                <m:t>+</m:t>
              </m:r>
              <m:limLow>
                <m:limLowPr>
                  <m:ctrlPr>
                    <w:rPr>
                      <w:rFonts w:ascii="Cambria Math" w:eastAsia="Calibri" w:hAnsi="Cambria Math" w:cs="Times New Roman"/>
                      <w:i/>
                    </w:rPr>
                  </m:ctrlPr>
                </m:limLowPr>
                <m:e>
                  <m:groupChr>
                    <m:groupChrPr>
                      <m:ctrlPr>
                        <w:rPr>
                          <w:rFonts w:ascii="Cambria Math" w:eastAsia="Calibri" w:hAnsi="Cambria Math" w:cs="Times New Roman"/>
                          <w:i/>
                        </w:rPr>
                      </m:ctrlPr>
                    </m:groupChrPr>
                    <m:e>
                      <m:f>
                        <m:fPr>
                          <m:ctrlPr>
                            <w:rPr>
                              <w:rFonts w:ascii="Cambria Math" w:eastAsia="Calibri" w:hAnsi="Cambria Math" w:cs="Times New Roman"/>
                              <w:i/>
                            </w:rPr>
                          </m:ctrlPr>
                        </m:fPr>
                        <m:num>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M</m:t>
                                  </m:r>
                                </m:sub>
                              </m:sSub>
                            </m:e>
                          </m:d>
                          <m:r>
                            <w:rPr>
                              <w:rFonts w:ascii="Cambria Math" w:eastAsia="Calibri" w:hAnsi="Cambria Math" w:cs="Times New Roman"/>
                            </w:rPr>
                            <m:t>-</m:t>
                          </m:r>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f</m:t>
                              </m:r>
                            </m:sub>
                          </m:sSub>
                        </m:num>
                        <m:den>
                          <m:sSub>
                            <m:sSubPr>
                              <m:ctrlPr>
                                <w:rPr>
                                  <w:rFonts w:ascii="Cambria Math" w:hAnsi="Cambria Math"/>
                                  <w:i/>
                                  <w:iCs/>
                                </w:rPr>
                              </m:ctrlPr>
                            </m:sSubPr>
                            <m:e>
                              <m:r>
                                <m:rPr>
                                  <m:nor/>
                                </m:rPr>
                                <w:rPr>
                                  <w:i/>
                                </w:rPr>
                                <m:t>σ</m:t>
                              </m:r>
                            </m:e>
                            <m:sub>
                              <m:r>
                                <m:rPr>
                                  <m:nor/>
                                </m:rPr>
                                <w:rPr>
                                  <w:i/>
                                </w:rPr>
                                <m:t>M</m:t>
                              </m:r>
                            </m:sub>
                          </m:sSub>
                        </m:den>
                      </m:f>
                    </m:e>
                  </m:groupChr>
                </m:e>
                <m:lim>
                  <m:eqArr>
                    <m:eqArrPr>
                      <m:ctrlPr>
                        <w:rPr>
                          <w:rFonts w:ascii="Cambria Math" w:eastAsia="Calibri" w:hAnsi="Cambria Math" w:cs="Times New Roman"/>
                          <w:i/>
                        </w:rPr>
                      </m:ctrlPr>
                    </m:eqArrPr>
                    <m:e>
                      <m:r>
                        <m:rPr>
                          <m:nor/>
                        </m:rPr>
                        <w:rPr>
                          <w:rFonts w:eastAsia="Calibri" w:cs="Times New Roman"/>
                          <w:i/>
                        </w:rPr>
                        <m:t>Pendiente</m:t>
                      </m:r>
                    </m:e>
                    <m:e>
                      <m:r>
                        <m:rPr>
                          <m:nor/>
                        </m:rPr>
                        <w:rPr>
                          <w:rFonts w:eastAsia="Calibri" w:cs="Times New Roman"/>
                          <w:i/>
                        </w:rPr>
                        <m:t>Ratio de Sharpe</m:t>
                      </m:r>
                      <m:ctrlPr>
                        <w:rPr>
                          <w:rFonts w:ascii="Cambria Math" w:eastAsia="Cambria Math" w:hAnsi="Cambria Math" w:cs="Cambria Math"/>
                          <w:i/>
                        </w:rPr>
                      </m:ctrlPr>
                    </m:e>
                    <m:e>
                      <m:r>
                        <m:rPr>
                          <m:nor/>
                        </m:rPr>
                        <w:rPr>
                          <w:rFonts w:eastAsia="Cambria Math" w:cs="Cambria Math"/>
                          <w:i/>
                        </w:rPr>
                        <m:t>(Precio del riesgo)</m:t>
                      </m:r>
                    </m:e>
                  </m:eqArr>
                </m:lim>
              </m:limLow>
              <m:r>
                <w:rPr>
                  <w:rFonts w:ascii="Cambria Math" w:eastAsia="Calibri" w:hAnsi="Cambria Math" w:cs="Times New Roman"/>
                </w:rPr>
                <m:t>∙</m:t>
              </m:r>
              <m:sSub>
                <m:sSubPr>
                  <m:ctrlPr>
                    <w:rPr>
                      <w:rFonts w:ascii="Cambria Math" w:hAnsi="Cambria Math"/>
                      <w:i/>
                      <w:iCs/>
                    </w:rPr>
                  </m:ctrlPr>
                </m:sSubPr>
                <m:e>
                  <m:r>
                    <m:rPr>
                      <m:nor/>
                    </m:rPr>
                    <w:rPr>
                      <w:i/>
                    </w:rPr>
                    <m:t>σ</m:t>
                  </m:r>
                </m:e>
                <m:sub>
                  <m:r>
                    <m:rPr>
                      <m:nor/>
                    </m:rPr>
                    <w:rPr>
                      <w:i/>
                    </w:rPr>
                    <m:t>P</m:t>
                  </m:r>
                </m:sub>
              </m:sSub>
            </m:e>
          </m:borderBox>
        </m:oMath>
      </m:oMathPara>
    </w:p>
    <w:p w14:paraId="742A52E9" w14:textId="51BB618C" w:rsidR="009F1413" w:rsidRPr="0017500D" w:rsidRDefault="009F1413" w:rsidP="009F1413">
      <w:pPr>
        <w:pStyle w:val="Ttuloimagen"/>
        <w:rPr>
          <w:smallCaps w:val="0"/>
        </w:rPr>
      </w:pPr>
      <w:r>
        <w:t>Imagen</w:t>
      </w:r>
      <w:r w:rsidR="001675F6">
        <w:t> </w:t>
      </w:r>
      <w:r>
        <w:fldChar w:fldCharType="begin"/>
      </w:r>
      <w:r>
        <w:instrText xml:space="preserve"> SEQ Ilustración \* ARABIC </w:instrText>
      </w:r>
      <w:r>
        <w:fldChar w:fldCharType="separate"/>
      </w:r>
      <w:r w:rsidR="00561B3A">
        <w:t>6</w:t>
      </w:r>
      <w:r>
        <w:fldChar w:fldCharType="end"/>
      </w:r>
      <w:r>
        <w:rPr>
          <w:smallCaps w:val="0"/>
        </w:rPr>
        <w:t xml:space="preserve">.– </w:t>
      </w:r>
      <w:r>
        <w:rPr>
          <w:i/>
          <w:iCs/>
          <w:smallCaps w:val="0"/>
        </w:rPr>
        <w:t>Solución gráfica al modelo de carteras mixtas</w:t>
      </w:r>
    </w:p>
    <w:p w14:paraId="16BBA3FE" w14:textId="332A707D" w:rsidR="009F1413" w:rsidRDefault="003E4AB4" w:rsidP="009F1413">
      <w:pPr>
        <w:pStyle w:val="Imagen"/>
      </w:pPr>
      <w:r>
        <w:drawing>
          <wp:inline distT="0" distB="0" distL="0" distR="0" wp14:anchorId="532BE5B4" wp14:editId="76185589">
            <wp:extent cx="2616798" cy="2160000"/>
            <wp:effectExtent l="0" t="0" r="0" b="0"/>
            <wp:docPr id="2137837465" name="Imagen 3"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837465" name="Imagen 3" descr="Gráfico&#10;&#10;Descripción generada automáticamente"/>
                    <pic:cNvPicPr/>
                  </pic:nvPicPr>
                  <pic:blipFill rotWithShape="1">
                    <a:blip r:embed="rId19"/>
                    <a:srcRect l="23906" t="5092" r="26167" b="21638"/>
                    <a:stretch/>
                  </pic:blipFill>
                  <pic:spPr bwMode="auto">
                    <a:xfrm>
                      <a:off x="0" y="0"/>
                      <a:ext cx="2616798" cy="2160000"/>
                    </a:xfrm>
                    <a:prstGeom prst="rect">
                      <a:avLst/>
                    </a:prstGeom>
                    <a:ln>
                      <a:noFill/>
                    </a:ln>
                    <a:extLst>
                      <a:ext uri="{53640926-AAD7-44D8-BBD7-CCE9431645EC}">
                        <a14:shadowObscured xmlns:a14="http://schemas.microsoft.com/office/drawing/2010/main"/>
                      </a:ext>
                    </a:extLst>
                  </pic:spPr>
                </pic:pic>
              </a:graphicData>
            </a:graphic>
          </wp:inline>
        </w:drawing>
      </w:r>
    </w:p>
    <w:p w14:paraId="378EF7C1" w14:textId="5849EC1D" w:rsidR="009F1413" w:rsidRPr="00727920" w:rsidRDefault="009F1413" w:rsidP="009F1413">
      <w:pPr>
        <w:pStyle w:val="PiedeImagen"/>
        <w:rPr>
          <w:i w:val="0"/>
          <w:iCs/>
          <w:spacing w:val="-2"/>
        </w:rPr>
      </w:pPr>
      <w:r w:rsidRPr="003E4AB4">
        <w:rPr>
          <w:spacing w:val="-2"/>
        </w:rPr>
        <w:t>Fuente</w:t>
      </w:r>
      <w:r w:rsidRPr="003E4AB4">
        <w:rPr>
          <w:i w:val="0"/>
          <w:iCs/>
          <w:spacing w:val="-2"/>
        </w:rPr>
        <w:t xml:space="preserve">: </w:t>
      </w:r>
      <w:r w:rsidR="003E4AB4" w:rsidRPr="003E4AB4">
        <w:rPr>
          <w:i w:val="0"/>
          <w:iCs/>
          <w:spacing w:val="-2"/>
        </w:rPr>
        <w:t xml:space="preserve">Adaptado de </w:t>
      </w:r>
      <w:r w:rsidRPr="003E4AB4">
        <w:rPr>
          <w:i w:val="0"/>
          <w:iCs/>
          <w:spacing w:val="-2"/>
        </w:rPr>
        <w:t xml:space="preserve">Bodie, Z., Kane, A. &amp; Marcus, A. J. (2021). </w:t>
      </w:r>
      <w:r w:rsidRPr="003E4AB4">
        <w:rPr>
          <w:spacing w:val="-2"/>
          <w:lang w:val="en-US"/>
        </w:rPr>
        <w:t>Investments</w:t>
      </w:r>
      <w:r w:rsidRPr="003E4AB4">
        <w:rPr>
          <w:i w:val="0"/>
          <w:iCs/>
          <w:spacing w:val="-2"/>
          <w:lang w:val="en-US"/>
        </w:rPr>
        <w:t xml:space="preserve"> (Twelfth edition, International student edition). </w:t>
      </w:r>
      <w:r w:rsidRPr="00727920">
        <w:rPr>
          <w:i w:val="0"/>
          <w:iCs/>
          <w:spacing w:val="-2"/>
        </w:rPr>
        <w:t>McGraw-Hill.</w:t>
      </w:r>
      <w:r w:rsidR="00B1060F" w:rsidRPr="00727920">
        <w:rPr>
          <w:i w:val="0"/>
          <w:iCs/>
          <w:spacing w:val="-2"/>
        </w:rPr>
        <w:t xml:space="preserve"> Pág. 206</w:t>
      </w:r>
    </w:p>
    <w:p w14:paraId="02C36E99" w14:textId="77777777" w:rsidR="009F1413" w:rsidRDefault="009F1413" w:rsidP="009F1413">
      <w:pPr>
        <w:pStyle w:val="Nivel1SM"/>
        <w:keepNext/>
        <w:spacing w:after="0"/>
      </w:pPr>
      <w:r>
        <w:t xml:space="preserve">Ahora bien, </w:t>
      </w:r>
      <w:r w:rsidRPr="00ED2FB1">
        <w:rPr>
          <w:i/>
          <w:iCs/>
        </w:rPr>
        <w:t>el punto exacto donde el inversor se sitúa en esa línea depende de su actitud frente al riesgo</w:t>
      </w:r>
      <w:r>
        <w:t>.</w:t>
      </w:r>
    </w:p>
    <w:p w14:paraId="1E76A200" w14:textId="4F4BAE2C" w:rsidR="009F1413" w:rsidRPr="00340499" w:rsidRDefault="009F1413" w:rsidP="009F1413">
      <w:pPr>
        <w:pStyle w:val="Nivel2SM"/>
        <w:rPr>
          <w:spacing w:val="-3"/>
        </w:rPr>
      </w:pPr>
      <w:r w:rsidRPr="00340499">
        <w:rPr>
          <w:spacing w:val="-3"/>
        </w:rPr>
        <w:t xml:space="preserve">Los inversores con mayor aversión al riesgo podrán invertir una mínima parte de su cartera en la cartera de mercado </w:t>
      </w:r>
      <w:r w:rsidR="00340499" w:rsidRPr="00340499">
        <w:rPr>
          <w:i/>
          <w:iCs/>
          <w:spacing w:val="-3"/>
        </w:rPr>
        <w:t>M</w:t>
      </w:r>
      <w:r w:rsidRPr="00340499">
        <w:rPr>
          <w:spacing w:val="-3"/>
        </w:rPr>
        <w:t xml:space="preserve"> y dedicar el resto de su riqueza a prestar al tipo de interés libre de riesgo.</w:t>
      </w:r>
    </w:p>
    <w:p w14:paraId="4831993E" w14:textId="483A6E72" w:rsidR="009F1413" w:rsidRDefault="009F1413" w:rsidP="009F1413">
      <w:pPr>
        <w:pStyle w:val="Nivel2SM"/>
      </w:pPr>
      <w:r>
        <w:t xml:space="preserve">Análogamente, aquellos inversores más amantes del riesgo podrán endeudarse al tipo de interés libre de riesgo para destinar una cantidad superior a su riqueza inicial para invertir (situándose así en un punto de la CML a la derecha de </w:t>
      </w:r>
      <w:r w:rsidR="00340499">
        <w:rPr>
          <w:i/>
          <w:iCs/>
        </w:rPr>
        <w:t>M</w:t>
      </w:r>
      <w:r>
        <w:t>).</w:t>
      </w:r>
    </w:p>
    <w:p w14:paraId="31D0B5B1" w14:textId="77777777" w:rsidR="009F1413" w:rsidRDefault="009F1413" w:rsidP="009F1413">
      <w:pPr>
        <w:pStyle w:val="Ttulo7"/>
      </w:pPr>
      <w:bookmarkStart w:id="47" w:name="_Toc144911955"/>
      <w:r>
        <w:t>Implicaciones</w:t>
      </w:r>
      <w:bookmarkEnd w:id="47"/>
    </w:p>
    <w:p w14:paraId="2ED71CCC" w14:textId="20F52986" w:rsidR="009F1413" w:rsidRDefault="009F1413" w:rsidP="001675F6">
      <w:pPr>
        <w:pStyle w:val="Nivel1SM"/>
        <w:keepNext/>
        <w:spacing w:before="0" w:after="0"/>
      </w:pPr>
      <w:r>
        <w:t xml:space="preserve">Así obtenemos el </w:t>
      </w:r>
      <w:r w:rsidRPr="00A10C28">
        <w:rPr>
          <w:b/>
          <w:bCs/>
          <w:i/>
          <w:iCs/>
        </w:rPr>
        <w:t xml:space="preserve">Teorema de la Separación de </w:t>
      </w:r>
      <w:r w:rsidRPr="00A10C28">
        <w:rPr>
          <w:b/>
          <w:bCs/>
          <w:i/>
          <w:iCs/>
          <w:smallCaps/>
        </w:rPr>
        <w:t>Tobin</w:t>
      </w:r>
      <w:r>
        <w:t xml:space="preserve"> según el cual todo inversor toma las decisiones en </w:t>
      </w:r>
      <w:r w:rsidR="00305E32">
        <w:t>2 </w:t>
      </w:r>
      <w:r>
        <w:t>partes:</w:t>
      </w:r>
    </w:p>
    <w:p w14:paraId="0D787B41" w14:textId="4BE8FC55" w:rsidR="009F1413" w:rsidRDefault="009F1413">
      <w:pPr>
        <w:pStyle w:val="Prrafodelista"/>
        <w:numPr>
          <w:ilvl w:val="0"/>
          <w:numId w:val="13"/>
        </w:numPr>
        <w:ind w:left="567" w:hanging="142"/>
      </w:pPr>
      <w:r w:rsidRPr="00A10C28">
        <w:rPr>
          <w:b/>
          <w:bCs/>
        </w:rPr>
        <w:t>Determinar la cartera de mercado</w:t>
      </w:r>
      <w:r w:rsidR="005E31D7">
        <w:rPr>
          <w:b/>
          <w:bCs/>
        </w:rPr>
        <w:t> </w:t>
      </w:r>
      <w:r w:rsidR="00340499">
        <w:rPr>
          <w:b/>
          <w:bCs/>
          <w:i/>
          <w:iCs/>
        </w:rPr>
        <w:t>M</w:t>
      </w:r>
      <w:r w:rsidRPr="00A10C28">
        <w:rPr>
          <w:b/>
          <w:bCs/>
        </w:rPr>
        <w:t xml:space="preserve"> mediante modelizaciones matemáticas</w:t>
      </w:r>
      <w:r>
        <w:t xml:space="preserve">. </w:t>
      </w:r>
      <w:r w:rsidR="00EB08B4">
        <w:t>Como hemos visto, e</w:t>
      </w:r>
      <w:r>
        <w:t xml:space="preserve">sta cartera es la misma para todos los inversores. Es decir, a diferencia del modelo de </w:t>
      </w:r>
      <w:r>
        <w:rPr>
          <w:smallCaps/>
        </w:rPr>
        <w:t>Markowitz</w:t>
      </w:r>
      <w:r>
        <w:t>, no dependerá de la actitud frente al riesgo del inversor.</w:t>
      </w:r>
    </w:p>
    <w:p w14:paraId="621D287B" w14:textId="77777777" w:rsidR="009F1413" w:rsidRDefault="009F1413">
      <w:pPr>
        <w:pStyle w:val="Prrafodelista"/>
        <w:numPr>
          <w:ilvl w:val="0"/>
          <w:numId w:val="13"/>
        </w:numPr>
        <w:ind w:left="567" w:hanging="142"/>
      </w:pPr>
      <w:r w:rsidRPr="00A10C28">
        <w:rPr>
          <w:b/>
          <w:bCs/>
        </w:rPr>
        <w:t>Determinar la proporción del presupuesto del inversor que invierte en activos libres de riesgo y activos con riesgo</w:t>
      </w:r>
      <w:r>
        <w:t>. Esto sí que dependerá de la actitud frente al riesgo del inversor de modo que los más amantes al riesgo pedirán prestado al tipo de interés libre de riesgo, mientras que los más aversos podrán invertir parte de su riqueza a prestar al tipo de interés libre de riesgo.</w:t>
      </w:r>
    </w:p>
    <w:p w14:paraId="13A6D58C" w14:textId="77777777" w:rsidR="009F1413" w:rsidRDefault="009F1413" w:rsidP="009F1413">
      <w:pPr>
        <w:pStyle w:val="Nivel1SM"/>
        <w:keepNext/>
        <w:spacing w:after="0"/>
      </w:pPr>
      <w:r>
        <w:lastRenderedPageBreak/>
        <w:t xml:space="preserve">Además, este modelo </w:t>
      </w:r>
      <w:r w:rsidRPr="007915F3">
        <w:rPr>
          <w:b/>
          <w:bCs/>
        </w:rPr>
        <w:t>nos permite comparar dos carteras cualesquiera</w:t>
      </w:r>
      <w:r>
        <w:t>.</w:t>
      </w:r>
    </w:p>
    <w:p w14:paraId="025B0DB1" w14:textId="584CDA78" w:rsidR="009F1413" w:rsidRDefault="009F1413" w:rsidP="009F1413">
      <w:pPr>
        <w:pStyle w:val="Nivel2SM"/>
      </w:pPr>
      <w:r>
        <w:t xml:space="preserve">Al combinar cualquier cartera con el activo libre de riesgo, da lugar a una </w:t>
      </w:r>
      <w:r w:rsidRPr="00F65777">
        <w:rPr>
          <w:i/>
          <w:iCs/>
        </w:rPr>
        <w:t xml:space="preserve">Capital </w:t>
      </w:r>
      <w:proofErr w:type="spellStart"/>
      <w:r w:rsidRPr="00F65777">
        <w:rPr>
          <w:i/>
          <w:iCs/>
        </w:rPr>
        <w:t>Allocation</w:t>
      </w:r>
      <w:proofErr w:type="spellEnd"/>
      <w:r w:rsidRPr="00F65777">
        <w:rPr>
          <w:i/>
          <w:iCs/>
        </w:rPr>
        <w:t xml:space="preserve"> Line</w:t>
      </w:r>
      <w:r>
        <w:t>, que será una línea recta que parta desde el activo libre de riesgo</w:t>
      </w:r>
      <w:r w:rsidR="00B1060F">
        <w:rPr>
          <w:rStyle w:val="Refdenotaalpie"/>
        </w:rPr>
        <w:footnoteReference w:id="15"/>
      </w:r>
      <w:r>
        <w:t>.</w:t>
      </w:r>
    </w:p>
    <w:p w14:paraId="7A28EAC2" w14:textId="77777777" w:rsidR="009F1413" w:rsidRPr="00D759C8" w:rsidRDefault="009F1413" w:rsidP="009F1413">
      <w:pPr>
        <w:pStyle w:val="Nivel2SM"/>
      </w:pPr>
      <w:r>
        <w:t>Si comparamos la CAL de distintos activos, veremos que algunas permiten alcanzar puntos superiores a otras, por lo que podemos afirmar que una cartera es superior a otra independientemente de las preferencias del inversor.</w:t>
      </w:r>
    </w:p>
    <w:p w14:paraId="0EC2FBCF" w14:textId="77777777" w:rsidR="009F1413" w:rsidRDefault="009F1413" w:rsidP="009F1413">
      <w:pPr>
        <w:pStyle w:val="Ttulo6"/>
      </w:pPr>
      <w:bookmarkStart w:id="48" w:name="_Toc144911956"/>
      <w:r>
        <w:t>Valoración</w:t>
      </w:r>
      <w:bookmarkEnd w:id="48"/>
    </w:p>
    <w:p w14:paraId="6942EAD2" w14:textId="7F750376" w:rsidR="009F1413" w:rsidRDefault="009F1413" w:rsidP="001675F6">
      <w:pPr>
        <w:pStyle w:val="Nivel1SM"/>
        <w:keepNext/>
        <w:spacing w:before="0" w:after="0"/>
      </w:pPr>
      <w:r>
        <w:t xml:space="preserve">La </w:t>
      </w:r>
      <w:r>
        <w:rPr>
          <w:i/>
          <w:iCs/>
        </w:rPr>
        <w:t xml:space="preserve">Capital Market </w:t>
      </w:r>
      <w:r w:rsidRPr="00687B95">
        <w:rPr>
          <w:i/>
          <w:iCs/>
        </w:rPr>
        <w:t>Line</w:t>
      </w:r>
      <w:r>
        <w:t xml:space="preserve"> (</w:t>
      </w:r>
      <w:r w:rsidRPr="00687B95">
        <w:t>CML</w:t>
      </w:r>
      <w:r>
        <w:t xml:space="preserve">) </w:t>
      </w:r>
      <w:r w:rsidRPr="00B02613">
        <w:rPr>
          <w:i/>
          <w:iCs/>
          <w:u w:val="single"/>
        </w:rPr>
        <w:t>resuelve el problema de comparar y analizar las carteras eficientes</w:t>
      </w:r>
      <w:r>
        <w:t xml:space="preserve">. En cualquier caso, quedan aún </w:t>
      </w:r>
      <w:r w:rsidR="001675F6" w:rsidRPr="001675F6">
        <w:rPr>
          <w:b/>
          <w:bCs/>
        </w:rPr>
        <w:t>2 </w:t>
      </w:r>
      <w:r w:rsidR="00B02613" w:rsidRPr="00B02613">
        <w:rPr>
          <w:b/>
          <w:bCs/>
        </w:rPr>
        <w:t>limitaciones</w:t>
      </w:r>
      <w:r>
        <w:t xml:space="preserve"> sin resolver:</w:t>
      </w:r>
    </w:p>
    <w:p w14:paraId="7737A02D" w14:textId="28AF8E58" w:rsidR="009F1413" w:rsidRPr="009F1413" w:rsidRDefault="009272DC">
      <w:pPr>
        <w:pStyle w:val="Prrafodelista"/>
        <w:keepNext/>
        <w:numPr>
          <w:ilvl w:val="0"/>
          <w:numId w:val="20"/>
        </w:numPr>
        <w:spacing w:after="0"/>
        <w:ind w:left="567" w:hanging="113"/>
        <w:rPr>
          <w:rFonts w:eastAsiaTheme="minorEastAsia"/>
        </w:rPr>
      </w:pPr>
      <w:r>
        <w:t xml:space="preserve">Mantiene la </w:t>
      </w:r>
      <w:r w:rsidR="009F1413">
        <w:t xml:space="preserve">limitación </w:t>
      </w:r>
      <w:r>
        <w:t xml:space="preserve">práctica </w:t>
      </w:r>
      <w:r w:rsidR="009F1413">
        <w:t xml:space="preserve">del planteamiento de </w:t>
      </w:r>
      <w:r w:rsidR="009F1413" w:rsidRPr="009F1413">
        <w:rPr>
          <w:smallCaps/>
        </w:rPr>
        <w:t>Markowitz</w:t>
      </w:r>
      <w:r>
        <w:t xml:space="preserve">. A </w:t>
      </w:r>
      <w:r w:rsidR="009F1413">
        <w:t>la hora de resolver el modelo</w:t>
      </w:r>
      <w:r>
        <w:t xml:space="preserve">, sigue siendo necesario </w:t>
      </w:r>
      <w:r w:rsidR="009F1413" w:rsidRPr="00B02613">
        <w:rPr>
          <w:i/>
          <w:iCs/>
          <w:u w:val="single"/>
        </w:rPr>
        <w:t>estimar un enorme número de parámetros</w:t>
      </w:r>
      <w:r w:rsidR="009F1413" w:rsidRPr="00B02613">
        <w:t>.</w:t>
      </w:r>
    </w:p>
    <w:p w14:paraId="6C6CB119" w14:textId="21C13816" w:rsidR="009F6ACE" w:rsidRPr="009F6ACE" w:rsidRDefault="009F6ACE" w:rsidP="009F6ACE">
      <w:pPr>
        <w:pStyle w:val="Nivel3SM"/>
        <w:keepNext/>
        <w:rPr>
          <w:rFonts w:eastAsiaTheme="minorEastAsia"/>
        </w:rPr>
      </w:pPr>
      <w:r>
        <w:t xml:space="preserve">Si suponemos </w:t>
      </w:r>
      <w:r w:rsidRPr="00427761">
        <w:rPr>
          <w:i/>
          <w:iCs/>
        </w:rPr>
        <w:t>n</w:t>
      </w:r>
      <w:r w:rsidR="00B979C4">
        <w:t> </w:t>
      </w:r>
      <w:r>
        <w:t>valores en la cartera, hay que estimar:</w:t>
      </w:r>
    </w:p>
    <w:p w14:paraId="20D2F150" w14:textId="40BB3269" w:rsidR="009F6ACE" w:rsidRDefault="009F6ACE" w:rsidP="009F6ACE">
      <w:pPr>
        <w:pStyle w:val="Nivel4"/>
        <w:ind w:left="1474"/>
      </w:pPr>
      <w:r>
        <w:rPr>
          <w:i/>
          <w:iCs/>
        </w:rPr>
        <w:t>n</w:t>
      </w:r>
      <w:r w:rsidR="00B979C4">
        <w:t> </w:t>
      </w:r>
      <w:r>
        <w:t>esperanzas,</w:t>
      </w:r>
    </w:p>
    <w:p w14:paraId="57804CD3" w14:textId="7D517A77" w:rsidR="009F6ACE" w:rsidRDefault="009F6ACE" w:rsidP="009F6ACE">
      <w:pPr>
        <w:pStyle w:val="Nivel4"/>
        <w:ind w:left="1474"/>
      </w:pPr>
      <w:r>
        <w:rPr>
          <w:i/>
          <w:iCs/>
        </w:rPr>
        <w:t>n</w:t>
      </w:r>
      <w:r w:rsidR="00B979C4">
        <w:t> </w:t>
      </w:r>
      <w:r>
        <w:t>varianzas; y</w:t>
      </w:r>
    </w:p>
    <w:p w14:paraId="70100E6B" w14:textId="54432E5A" w:rsidR="009F6ACE" w:rsidRDefault="00000000" w:rsidP="009F6ACE">
      <w:pPr>
        <w:pStyle w:val="Nivel4"/>
        <w:keepNext/>
        <w:ind w:left="1474"/>
      </w:pPr>
      <m:oMath>
        <m:f>
          <m:fPr>
            <m:type m:val="lin"/>
            <m:ctrlPr>
              <w:rPr>
                <w:rFonts w:ascii="Cambria Math" w:hAnsi="Cambria Math"/>
                <w:i/>
              </w:rPr>
            </m:ctrlPr>
          </m:fPr>
          <m:num>
            <m:d>
              <m:dPr>
                <m:begChr m:val="["/>
                <m:endChr m:val="]"/>
                <m:ctrlPr>
                  <w:rPr>
                    <w:rFonts w:ascii="Cambria Math" w:hAnsi="Cambria Math"/>
                    <w:i/>
                  </w:rPr>
                </m:ctrlPr>
              </m:dPr>
              <m:e>
                <m:r>
                  <m:rPr>
                    <m:nor/>
                  </m:rPr>
                  <w:rPr>
                    <w:i/>
                  </w:rPr>
                  <m:t>n</m:t>
                </m:r>
                <m:r>
                  <w:rPr>
                    <w:rFonts w:ascii="Cambria Math" w:hAnsi="Cambria Math"/>
                  </w:rPr>
                  <m:t>∙</m:t>
                </m:r>
                <m:d>
                  <m:dPr>
                    <m:ctrlPr>
                      <w:rPr>
                        <w:rFonts w:ascii="Cambria Math" w:hAnsi="Cambria Math"/>
                        <w:i/>
                      </w:rPr>
                    </m:ctrlPr>
                  </m:dPr>
                  <m:e>
                    <m:r>
                      <m:rPr>
                        <m:nor/>
                      </m:rPr>
                      <w:rPr>
                        <w:i/>
                      </w:rPr>
                      <m:t>n</m:t>
                    </m:r>
                    <m:r>
                      <w:rPr>
                        <w:rFonts w:ascii="Cambria Math" w:hAnsi="Cambria Math"/>
                      </w:rPr>
                      <m:t>-</m:t>
                    </m:r>
                    <m:r>
                      <m:rPr>
                        <m:nor/>
                      </m:rPr>
                      <w:rPr>
                        <w:i/>
                      </w:rPr>
                      <m:t>1</m:t>
                    </m:r>
                  </m:e>
                </m:d>
              </m:e>
            </m:d>
          </m:num>
          <m:den>
            <m:r>
              <m:rPr>
                <m:nor/>
              </m:rPr>
              <w:rPr>
                <w:i/>
              </w:rPr>
              <m:t>2</m:t>
            </m:r>
          </m:den>
        </m:f>
      </m:oMath>
      <w:r w:rsidR="00564B8B">
        <w:t> </w:t>
      </w:r>
      <w:r w:rsidR="009F6ACE">
        <w:t>covarianzas.</w:t>
      </w:r>
    </w:p>
    <w:p w14:paraId="330621EC" w14:textId="71A164A0" w:rsidR="009F6ACE" w:rsidRDefault="009F6ACE" w:rsidP="009F6ACE">
      <w:pPr>
        <w:pStyle w:val="Nivel5"/>
        <w:ind w:left="1871"/>
      </w:pPr>
      <w:r>
        <w:t xml:space="preserve">Es decir, un total de </w:t>
      </w:r>
      <m:oMath>
        <m:f>
          <m:fPr>
            <m:type m:val="lin"/>
            <m:ctrlPr>
              <w:rPr>
                <w:rFonts w:ascii="Cambria Math" w:hAnsi="Cambria Math"/>
                <w:i/>
              </w:rPr>
            </m:ctrlPr>
          </m:fPr>
          <m:num>
            <m:d>
              <m:dPr>
                <m:begChr m:val="["/>
                <m:endChr m:val="]"/>
                <m:ctrlPr>
                  <w:rPr>
                    <w:rFonts w:ascii="Cambria Math" w:hAnsi="Cambria Math"/>
                    <w:i/>
                  </w:rPr>
                </m:ctrlPr>
              </m:dPr>
              <m:e>
                <m:r>
                  <m:rPr>
                    <m:nor/>
                  </m:rPr>
                  <w:rPr>
                    <w:i/>
                  </w:rPr>
                  <m:t>n</m:t>
                </m:r>
                <m:r>
                  <w:rPr>
                    <w:rFonts w:ascii="Cambria Math" w:hAnsi="Cambria Math"/>
                  </w:rPr>
                  <m:t>∙</m:t>
                </m:r>
                <m:d>
                  <m:dPr>
                    <m:ctrlPr>
                      <w:rPr>
                        <w:rFonts w:ascii="Cambria Math" w:hAnsi="Cambria Math"/>
                        <w:i/>
                      </w:rPr>
                    </m:ctrlPr>
                  </m:dPr>
                  <m:e>
                    <m:r>
                      <m:rPr>
                        <m:nor/>
                      </m:rPr>
                      <w:rPr>
                        <w:i/>
                      </w:rPr>
                      <m:t>n</m:t>
                    </m:r>
                    <m:r>
                      <w:rPr>
                        <w:rFonts w:ascii="Cambria Math" w:hAnsi="Cambria Math"/>
                      </w:rPr>
                      <m:t>+</m:t>
                    </m:r>
                    <m:r>
                      <m:rPr>
                        <m:nor/>
                      </m:rPr>
                      <w:rPr>
                        <w:i/>
                      </w:rPr>
                      <m:t>3</m:t>
                    </m:r>
                  </m:e>
                </m:d>
              </m:e>
            </m:d>
          </m:num>
          <m:den>
            <m:r>
              <m:rPr>
                <m:nor/>
              </m:rPr>
              <w:rPr>
                <w:i/>
              </w:rPr>
              <m:t>2</m:t>
            </m:r>
          </m:den>
        </m:f>
      </m:oMath>
      <w:r w:rsidR="00564B8B">
        <w:t> </w:t>
      </w:r>
      <w:r>
        <w:t>estimaciones.</w:t>
      </w:r>
    </w:p>
    <w:p w14:paraId="205F3F9E" w14:textId="77777777" w:rsidR="009F1413" w:rsidRDefault="009F1413" w:rsidP="009F1413">
      <w:pPr>
        <w:pStyle w:val="Nivel3SM"/>
        <w:rPr>
          <w:rFonts w:eastAsiaTheme="minorEastAsia"/>
        </w:rPr>
      </w:pPr>
      <w:r>
        <w:rPr>
          <w:rFonts w:eastAsiaTheme="minorEastAsia"/>
        </w:rPr>
        <w:t>Para resolver esta limitación surgirá el modelo de la diagonal (</w:t>
      </w:r>
      <w:r>
        <w:rPr>
          <w:rFonts w:eastAsiaTheme="minorEastAsia"/>
          <w:smallCaps/>
        </w:rPr>
        <w:t>Sharpe</w:t>
      </w:r>
      <w:r>
        <w:rPr>
          <w:rFonts w:eastAsiaTheme="minorEastAsia"/>
        </w:rPr>
        <w:t>, 1963).</w:t>
      </w:r>
    </w:p>
    <w:p w14:paraId="19563A88" w14:textId="7FF85DDE" w:rsidR="009F1413" w:rsidRDefault="00D87750">
      <w:pPr>
        <w:pStyle w:val="Prrafodelista"/>
        <w:keepNext/>
        <w:numPr>
          <w:ilvl w:val="0"/>
          <w:numId w:val="20"/>
        </w:numPr>
        <w:spacing w:after="0"/>
        <w:ind w:left="567" w:hanging="113"/>
      </w:pPr>
      <w:r w:rsidRPr="00B02613">
        <w:rPr>
          <w:i/>
          <w:iCs/>
          <w:u w:val="single"/>
        </w:rPr>
        <w:t xml:space="preserve">Tampoco permite </w:t>
      </w:r>
      <w:r w:rsidR="009F1413" w:rsidRPr="00B02613">
        <w:rPr>
          <w:i/>
          <w:iCs/>
          <w:u w:val="single"/>
        </w:rPr>
        <w:t>analizar carteras y títulos no eficientes</w:t>
      </w:r>
      <w:r w:rsidR="009F1413">
        <w:t>.</w:t>
      </w:r>
    </w:p>
    <w:p w14:paraId="47376416" w14:textId="17830B53" w:rsidR="009F1413" w:rsidRPr="00687B95" w:rsidRDefault="009F1413" w:rsidP="009F1413">
      <w:pPr>
        <w:pStyle w:val="Nivel3SM"/>
      </w:pPr>
      <w:r>
        <w:t>Para resolver esta cuestión se desarrolla el modelo de valoración de activos de capital (CAPM).</w:t>
      </w:r>
    </w:p>
    <w:p w14:paraId="5933D0CC" w14:textId="199B9D67" w:rsidR="007350CB" w:rsidRDefault="007350CB" w:rsidP="007350CB">
      <w:pPr>
        <w:pStyle w:val="Ttulo3"/>
      </w:pPr>
      <w:bookmarkStart w:id="49" w:name="_Toc144911957"/>
      <w:r>
        <w:t>Modelo de la diagonal (</w:t>
      </w:r>
      <w:r>
        <w:rPr>
          <w:smallCaps/>
        </w:rPr>
        <w:t>Sharpe</w:t>
      </w:r>
      <w:r>
        <w:t>, 1963)</w:t>
      </w:r>
      <w:bookmarkEnd w:id="49"/>
    </w:p>
    <w:p w14:paraId="01F23EC8" w14:textId="36BC37CA" w:rsidR="00577330" w:rsidRPr="00577330" w:rsidRDefault="00577330" w:rsidP="001675F6">
      <w:pPr>
        <w:pStyle w:val="Ttulo6"/>
        <w:spacing w:before="0"/>
      </w:pPr>
      <w:bookmarkStart w:id="50" w:name="_Toc144911958"/>
      <w:r>
        <w:t>Idea</w:t>
      </w:r>
      <w:bookmarkEnd w:id="50"/>
    </w:p>
    <w:p w14:paraId="33DDF4C2" w14:textId="77777777" w:rsidR="007350CB" w:rsidRPr="00A3091E" w:rsidRDefault="007350CB" w:rsidP="00FB33EB">
      <w:pPr>
        <w:pStyle w:val="Nivel1SM"/>
        <w:keepNext/>
        <w:spacing w:before="0" w:after="0"/>
      </w:pPr>
      <w:r>
        <w:t xml:space="preserve">Buscando </w:t>
      </w:r>
      <w:r>
        <w:rPr>
          <w:b/>
          <w:bCs/>
        </w:rPr>
        <w:t>facilitar la aplicación práctica</w:t>
      </w:r>
      <w:r>
        <w:t xml:space="preserve"> de su modelo, </w:t>
      </w:r>
      <w:r>
        <w:rPr>
          <w:smallCaps/>
        </w:rPr>
        <w:t>Markowitz</w:t>
      </w:r>
      <w:r>
        <w:t xml:space="preserve"> encargó a uno de sus doctorandos, </w:t>
      </w:r>
      <w:r>
        <w:rPr>
          <w:smallCaps/>
        </w:rPr>
        <w:t>William Sharpe</w:t>
      </w:r>
      <w:r>
        <w:t xml:space="preserve"> (también Premio Nobel en 1990) que investigara sobre las correlaciones que parecían tener los títulos del mercado entre sí.</w:t>
      </w:r>
    </w:p>
    <w:p w14:paraId="6503775D" w14:textId="35962CD0" w:rsidR="007350CB" w:rsidRDefault="007350CB" w:rsidP="00FB33EB">
      <w:pPr>
        <w:pStyle w:val="Nivel2SM"/>
      </w:pPr>
      <w:r>
        <w:rPr>
          <w:smallCaps/>
        </w:rPr>
        <w:t>Sharpe,</w:t>
      </w:r>
      <w:r>
        <w:t xml:space="preserve"> en lo que hoy conocemos como la </w:t>
      </w:r>
      <w:r w:rsidRPr="00C15172">
        <w:rPr>
          <w:b/>
          <w:bCs/>
        </w:rPr>
        <w:t>“simplificación de Sharpe”</w:t>
      </w:r>
      <w:r>
        <w:t xml:space="preserve"> resuelve este problema centrándose en el estudio de la correlación de los valores con respecto a un índice de referencia en lugar de centrarse en el estudio de la correlación de los propios valores. Así pues, la clave es la relación entre cada título y el mercado, en términos generales, con el índice bursátil.</w:t>
      </w:r>
    </w:p>
    <w:p w14:paraId="5107102A" w14:textId="7673F2FA" w:rsidR="007350CB" w:rsidRDefault="007350CB" w:rsidP="00577330">
      <w:pPr>
        <w:pStyle w:val="Nivel1SM"/>
        <w:keepNext/>
        <w:spacing w:after="0"/>
      </w:pPr>
      <w:r>
        <w:rPr>
          <w:smallCaps/>
        </w:rPr>
        <w:t>Sharpe</w:t>
      </w:r>
      <w:r>
        <w:t xml:space="preserve"> observó que los títulos que componen las carteras de valores parecían estar sujetos a influencias comunes, por lo que postuló que los rendimientos de</w:t>
      </w:r>
      <w:r w:rsidR="003D1ADC">
        <w:t xml:space="preserve"> </w:t>
      </w:r>
      <w:r>
        <w:t>los títulos suelen estar positivamente correlacionados.</w:t>
      </w:r>
    </w:p>
    <w:p w14:paraId="6757271C" w14:textId="175E1B89" w:rsidR="00577330" w:rsidRPr="002C3FB5" w:rsidRDefault="007350CB" w:rsidP="00577330">
      <w:pPr>
        <w:pStyle w:val="Nivel2SM"/>
        <w:rPr>
          <w:spacing w:val="-4"/>
        </w:rPr>
      </w:pPr>
      <w:r w:rsidRPr="002C3FB5">
        <w:rPr>
          <w:spacing w:val="-4"/>
        </w:rPr>
        <w:t xml:space="preserve">Esto le llevó a introducir una importante </w:t>
      </w:r>
      <w:r w:rsidRPr="002C3FB5">
        <w:rPr>
          <w:i/>
          <w:iCs/>
          <w:spacing w:val="-4"/>
        </w:rPr>
        <w:t>simplificación</w:t>
      </w:r>
      <w:r w:rsidRPr="002C3FB5">
        <w:rPr>
          <w:spacing w:val="-4"/>
        </w:rPr>
        <w:t xml:space="preserve">, al considerar que los rendimientos de los diferentes valores están </w:t>
      </w:r>
      <w:r w:rsidRPr="002C3FB5">
        <w:rPr>
          <w:b/>
          <w:bCs/>
          <w:spacing w:val="-4"/>
        </w:rPr>
        <w:t>relacionados</w:t>
      </w:r>
      <w:r w:rsidRPr="002C3FB5">
        <w:rPr>
          <w:spacing w:val="-4"/>
        </w:rPr>
        <w:t xml:space="preserve"> con un </w:t>
      </w:r>
      <w:r w:rsidRPr="002C3FB5">
        <w:rPr>
          <w:b/>
          <w:bCs/>
          <w:spacing w:val="-4"/>
        </w:rPr>
        <w:t xml:space="preserve">índice </w:t>
      </w:r>
      <w:r w:rsidR="00D85BC8" w:rsidRPr="002C3FB5">
        <w:rPr>
          <w:b/>
          <w:bCs/>
          <w:spacing w:val="-4"/>
        </w:rPr>
        <w:t xml:space="preserve">bursátil </w:t>
      </w:r>
      <w:r w:rsidRPr="002C3FB5">
        <w:rPr>
          <w:b/>
          <w:bCs/>
          <w:spacing w:val="-4"/>
        </w:rPr>
        <w:t xml:space="preserve">general </w:t>
      </w:r>
      <w:r w:rsidR="00D85BC8" w:rsidRPr="002C3FB5">
        <w:rPr>
          <w:b/>
          <w:bCs/>
          <w:spacing w:val="-4"/>
        </w:rPr>
        <w:t>o de mercado</w:t>
      </w:r>
      <w:r w:rsidR="00D85BC8" w:rsidRPr="002C3FB5">
        <w:rPr>
          <w:spacing w:val="-4"/>
        </w:rPr>
        <w:t xml:space="preserve"> </w:t>
      </w:r>
      <w:r w:rsidRPr="002C3FB5">
        <w:rPr>
          <w:spacing w:val="-4"/>
        </w:rPr>
        <w:t>y que la correlación entre los rendimientos de los diversos valores se deriva de su relación con dicho índice.</w:t>
      </w:r>
    </w:p>
    <w:p w14:paraId="1703EBE2" w14:textId="403206CF" w:rsidR="007350CB" w:rsidRDefault="007350CB" w:rsidP="00577330">
      <w:pPr>
        <w:pStyle w:val="Nivel2SM"/>
      </w:pPr>
      <w:r>
        <w:t xml:space="preserve">Así, dado que los rendimientos de los activos dependen en última instancia de unos índices y no de las correlaciones entre ellos, la </w:t>
      </w:r>
      <w:r w:rsidRPr="00240AF3">
        <w:rPr>
          <w:i/>
          <w:iCs/>
        </w:rPr>
        <w:t>matriz de varianzas y covarianzas</w:t>
      </w:r>
      <w:r>
        <w:t xml:space="preserve"> sólo presentará valores distintos de cero en su diagonal principal (es decir, en las varianzas). Esta es la razón por la cual este modelo se conoce como </w:t>
      </w:r>
      <w:r>
        <w:rPr>
          <w:i/>
          <w:iCs/>
        </w:rPr>
        <w:t>modelo de la diagonal</w:t>
      </w:r>
      <w:r>
        <w:t>.</w:t>
      </w:r>
    </w:p>
    <w:p w14:paraId="4E796E0A" w14:textId="19ED80BE" w:rsidR="00FB33EB" w:rsidRPr="00577330" w:rsidRDefault="00FB33EB" w:rsidP="00FB33EB">
      <w:pPr>
        <w:pStyle w:val="Ttulo6"/>
      </w:pPr>
      <w:bookmarkStart w:id="51" w:name="_Toc144911959"/>
      <w:r>
        <w:lastRenderedPageBreak/>
        <w:t>Modelo</w:t>
      </w:r>
      <w:bookmarkEnd w:id="51"/>
    </w:p>
    <w:p w14:paraId="07262EE6" w14:textId="41897998" w:rsidR="00FB33EB" w:rsidRPr="00FB33EB" w:rsidRDefault="00FB33EB" w:rsidP="00FB33EB">
      <w:pPr>
        <w:pStyle w:val="Ttulo7"/>
        <w:spacing w:before="0"/>
      </w:pPr>
      <w:bookmarkStart w:id="52" w:name="_Toc144911960"/>
      <w:r>
        <w:t>Supuestos</w:t>
      </w:r>
      <w:bookmarkEnd w:id="52"/>
    </w:p>
    <w:p w14:paraId="63100010" w14:textId="77777777" w:rsidR="00DF4AC2" w:rsidRDefault="007350CB" w:rsidP="00DF4AC2">
      <w:pPr>
        <w:pStyle w:val="Nivel1SM"/>
        <w:keepNext/>
        <w:spacing w:before="0" w:after="0"/>
      </w:pPr>
      <w:r>
        <w:rPr>
          <w:smallCaps/>
        </w:rPr>
        <w:t>Sharpe</w:t>
      </w:r>
      <w:r>
        <w:t xml:space="preserve"> </w:t>
      </w:r>
      <w:r w:rsidR="00DF4AC2">
        <w:t>parte de los siguientes supuestos:</w:t>
      </w:r>
    </w:p>
    <w:p w14:paraId="0C7D01AA" w14:textId="34410622" w:rsidR="007350CB" w:rsidRDefault="00DF4AC2" w:rsidP="00DF4AC2">
      <w:pPr>
        <w:pStyle w:val="Nivel2SM"/>
        <w:keepNext/>
        <w:spacing w:after="0"/>
      </w:pPr>
      <w:r>
        <w:t>M</w:t>
      </w:r>
      <w:r w:rsidR="007350CB">
        <w:t>antiene el binomio de partida rentabilidad-riesgo:</w:t>
      </w:r>
    </w:p>
    <w:p w14:paraId="32B591F4" w14:textId="77777777" w:rsidR="007350CB" w:rsidRDefault="007350CB" w:rsidP="00DF4AC2">
      <w:pPr>
        <w:pStyle w:val="Nivel3SM"/>
      </w:pPr>
      <w:r>
        <w:t xml:space="preserve">La definición de </w:t>
      </w:r>
      <w:r w:rsidRPr="00C15172">
        <w:rPr>
          <w:b/>
          <w:bCs/>
        </w:rPr>
        <w:t>rentabilidad</w:t>
      </w:r>
      <w:r>
        <w:t xml:space="preserve"> es la misma que la utilizada por </w:t>
      </w:r>
      <w:r>
        <w:rPr>
          <w:smallCaps/>
        </w:rPr>
        <w:t>Markowitz</w:t>
      </w:r>
      <w:r>
        <w:t>, y al igual que este, es medida por el valor medio o esperanza matemática.</w:t>
      </w:r>
    </w:p>
    <w:p w14:paraId="7AAD0425" w14:textId="48DE6C00" w:rsidR="007350CB" w:rsidRDefault="007350CB" w:rsidP="00DF4AC2">
      <w:pPr>
        <w:pStyle w:val="Nivel3SM"/>
        <w:keepNext/>
      </w:pPr>
      <w:r>
        <w:t xml:space="preserve">En cuanto al </w:t>
      </w:r>
      <w:r w:rsidRPr="00C15172">
        <w:rPr>
          <w:b/>
          <w:bCs/>
        </w:rPr>
        <w:t>riesgo</w:t>
      </w:r>
      <w:r>
        <w:t xml:space="preserve">, </w:t>
      </w:r>
      <w:r w:rsidR="00DF4AC2">
        <w:t>el resultado del modelo le permitirá</w:t>
      </w:r>
      <w:r>
        <w:t xml:space="preserve"> desglosa</w:t>
      </w:r>
      <w:r w:rsidR="00DF4AC2">
        <w:t>rlo</w:t>
      </w:r>
      <w:r>
        <w:t xml:space="preserve"> en </w:t>
      </w:r>
      <w:r w:rsidR="00FB33EB">
        <w:t>2 </w:t>
      </w:r>
      <w:r>
        <w:t>componentes:</w:t>
      </w:r>
    </w:p>
    <w:p w14:paraId="5A84FCB8" w14:textId="726C1211" w:rsidR="007350CB" w:rsidRDefault="007350CB" w:rsidP="00DF4AC2">
      <w:pPr>
        <w:pStyle w:val="Nivel4"/>
        <w:ind w:left="1474"/>
      </w:pPr>
      <w:r w:rsidRPr="00C15172">
        <w:rPr>
          <w:i/>
          <w:iCs/>
          <w:u w:val="single"/>
        </w:rPr>
        <w:t>Riesgo propio o específico</w:t>
      </w:r>
      <w:r w:rsidR="00FB33EB">
        <w:t>,</w:t>
      </w:r>
      <w:r>
        <w:t xml:space="preserve"> que depende de la empresa emisora y es un riesgo diversificable y que debería poder reducirse a cero.</w:t>
      </w:r>
    </w:p>
    <w:p w14:paraId="3AE013A8" w14:textId="17E2147E" w:rsidR="007350CB" w:rsidRDefault="007350CB" w:rsidP="00DF4AC2">
      <w:pPr>
        <w:pStyle w:val="Nivel4"/>
        <w:ind w:left="1474"/>
      </w:pPr>
      <w:r w:rsidRPr="00C15172">
        <w:rPr>
          <w:i/>
          <w:iCs/>
          <w:u w:val="single"/>
        </w:rPr>
        <w:t>Riesgo sistemático o de mercado</w:t>
      </w:r>
      <w:r w:rsidR="00FB33EB">
        <w:t>,</w:t>
      </w:r>
      <w:r>
        <w:t xml:space="preserve"> que es independiente de la empresa. Este riesgo se relaciona con el mercado a través del coeficiente y </w:t>
      </w:r>
      <w:r w:rsidRPr="00F4119C">
        <w:t>no</w:t>
      </w:r>
      <w:r>
        <w:t xml:space="preserve"> es diversificable.</w:t>
      </w:r>
    </w:p>
    <w:p w14:paraId="01B2D856" w14:textId="77777777" w:rsidR="00DF4AC2" w:rsidRDefault="00DF4AC2" w:rsidP="00DF4AC2">
      <w:pPr>
        <w:pStyle w:val="Nivel2SM"/>
        <w:keepNext/>
        <w:spacing w:after="0"/>
      </w:pPr>
      <w:r>
        <w:t>La idea inicial es que los títulos no se comportan igual ante una variación en el mercado, sino que tienen distintas sensibilidades.</w:t>
      </w:r>
    </w:p>
    <w:p w14:paraId="4521FED5" w14:textId="77777777" w:rsidR="00DF4AC2" w:rsidRDefault="00DF4AC2" w:rsidP="00DF4AC2">
      <w:pPr>
        <w:pStyle w:val="Nivel3SM"/>
        <w:keepNext/>
      </w:pPr>
      <w:r>
        <w:t xml:space="preserve">Si consideramos un </w:t>
      </w:r>
      <w:r w:rsidRPr="00B152F3">
        <w:rPr>
          <w:b/>
          <w:bCs/>
        </w:rPr>
        <w:t>modelo unifactorial</w:t>
      </w:r>
      <w:r>
        <w:t xml:space="preserve"> basado en la sensibilidad con respecto al mercado (</w:t>
      </w:r>
      <m:oMath>
        <m:sSub>
          <m:sSubPr>
            <m:ctrlPr>
              <w:rPr>
                <w:rFonts w:ascii="Cambria Math" w:hAnsi="Cambria Math"/>
                <w:i/>
              </w:rPr>
            </m:ctrlPr>
          </m:sSubPr>
          <m:e>
            <m:r>
              <m:rPr>
                <m:nor/>
              </m:rPr>
              <w:rPr>
                <w:i/>
              </w:rPr>
              <m:t>R</m:t>
            </m:r>
          </m:e>
          <m:sub>
            <m:r>
              <m:rPr>
                <m:nor/>
              </m:rPr>
              <w:rPr>
                <w:i/>
              </w:rPr>
              <m:t>M</m:t>
            </m:r>
          </m:sub>
        </m:sSub>
      </m:oMath>
      <w:r>
        <w:t xml:space="preserve">), el rendimiento del título </w:t>
      </w:r>
      <w:r w:rsidRPr="00C15172">
        <w:rPr>
          <w:i/>
          <w:iCs/>
        </w:rPr>
        <w:t>ex</w:t>
      </w:r>
      <w:r>
        <w:rPr>
          <w:i/>
          <w:iCs/>
        </w:rPr>
        <w:t>-</w:t>
      </w:r>
      <w:r w:rsidRPr="00C15172">
        <w:rPr>
          <w:i/>
          <w:iCs/>
        </w:rPr>
        <w:t>post</w:t>
      </w:r>
      <w:r>
        <w:t>, queda definido por tanto de la siguiente manera:</w:t>
      </w:r>
    </w:p>
    <w:p w14:paraId="443A15EF" w14:textId="77777777" w:rsidR="00DF4AC2" w:rsidRDefault="00000000" w:rsidP="00DF4AC2">
      <w:pPr>
        <w:pStyle w:val="Nivel2SM"/>
        <w:keepNext/>
        <w:keepLines/>
        <w:numPr>
          <w:ilvl w:val="0"/>
          <w:numId w:val="0"/>
        </w:numPr>
        <w:spacing w:after="0"/>
        <w:ind w:left="963"/>
        <w:rPr>
          <w:rFonts w:eastAsiaTheme="minorEastAsia"/>
          <w:iCs/>
          <w:lang w:val="en-US"/>
        </w:rPr>
      </w:pPr>
      <m:oMathPara>
        <m:oMath>
          <m:sSub>
            <m:sSubPr>
              <m:ctrlPr>
                <w:rPr>
                  <w:rFonts w:ascii="Cambria Math" w:hAnsi="Cambria Math"/>
                  <w:i/>
                </w:rPr>
              </m:ctrlPr>
            </m:sSubPr>
            <m:e>
              <m:r>
                <m:rPr>
                  <m:nor/>
                </m:rPr>
                <w:rPr>
                  <w:i/>
                  <w:lang w:val="en-US"/>
                </w:rPr>
                <m:t>R</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Cs/>
                </w:rPr>
                <m:t>α</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rPr>
                <m:t>β</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R</m:t>
              </m:r>
            </m:e>
            <m:sub>
              <m:r>
                <m:rPr>
                  <m:nor/>
                </m:rPr>
                <w:rPr>
                  <w:i/>
                  <w:lang w:val="en-US"/>
                </w:rPr>
                <m:t>M</m:t>
              </m:r>
            </m:sub>
          </m:sSub>
          <m:r>
            <w:rPr>
              <w:rFonts w:ascii="Cambria Math" w:hAnsi="Cambria Math"/>
              <w:lang w:val="en-US"/>
            </w:rPr>
            <m:t>+</m:t>
          </m:r>
          <m:sSub>
            <m:sSubPr>
              <m:ctrlPr>
                <w:rPr>
                  <w:rFonts w:ascii="Cambria Math" w:hAnsi="Cambria Math"/>
                  <w:i/>
                </w:rPr>
              </m:ctrlPr>
            </m:sSubPr>
            <m:e>
              <m:r>
                <m:rPr>
                  <m:nor/>
                </m:rPr>
                <w:rPr>
                  <w:i/>
                </w:rPr>
                <m:t>ε</m:t>
              </m:r>
            </m:e>
            <m:sub>
              <m:r>
                <m:rPr>
                  <m:nor/>
                </m:rPr>
                <w:rPr>
                  <w:i/>
                  <w:lang w:val="en-US"/>
                </w:rPr>
                <m:t>i</m:t>
              </m:r>
            </m:sub>
          </m:sSub>
          <m:r>
            <m:rPr>
              <m:sty m:val="p"/>
            </m:rPr>
            <w:rPr>
              <w:rFonts w:ascii="Cambria Math" w:eastAsiaTheme="minorEastAsia" w:hAnsi="Cambria Math"/>
              <w:lang w:val="en-US"/>
            </w:rPr>
            <w:br/>
          </m:r>
        </m:oMath>
      </m:oMathPara>
      <w:r w:rsidR="00DF4AC2" w:rsidRPr="00F670C4">
        <w:rPr>
          <w:rFonts w:eastAsiaTheme="minorEastAsia"/>
          <w:iCs/>
          <w:lang w:val="en-US"/>
        </w:rPr>
        <w:t>d</w:t>
      </w:r>
      <w:proofErr w:type="spellStart"/>
      <w:r w:rsidR="00DF4AC2">
        <w:rPr>
          <w:rFonts w:eastAsiaTheme="minorEastAsia"/>
          <w:iCs/>
          <w:lang w:val="en-US"/>
        </w:rPr>
        <w:t>onde</w:t>
      </w:r>
      <w:proofErr w:type="spellEnd"/>
      <w:r w:rsidR="00DF4AC2">
        <w:rPr>
          <w:rFonts w:eastAsiaTheme="minorEastAsia"/>
          <w:iCs/>
          <w:lang w:val="en-US"/>
        </w:rPr>
        <w:t>:</w:t>
      </w:r>
    </w:p>
    <w:p w14:paraId="03685987" w14:textId="0B28C272" w:rsidR="00DF4AC2" w:rsidRDefault="00000000" w:rsidP="00DF4AC2">
      <w:pPr>
        <w:pStyle w:val="Nivel4"/>
        <w:keepNext/>
        <w:ind w:left="1474"/>
      </w:pPr>
      <m:oMath>
        <m:sSub>
          <m:sSubPr>
            <m:ctrlPr>
              <w:rPr>
                <w:rFonts w:ascii="Cambria Math" w:hAnsi="Cambria Math"/>
                <w:i/>
              </w:rPr>
            </m:ctrlPr>
          </m:sSubPr>
          <m:e>
            <m:r>
              <m:rPr>
                <m:nor/>
              </m:rPr>
              <w:rPr>
                <w:i/>
              </w:rPr>
              <m:t>β</m:t>
            </m:r>
          </m:e>
          <m:sub>
            <m:r>
              <m:rPr>
                <m:nor/>
              </m:rPr>
              <w:rPr>
                <w:i/>
              </w:rPr>
              <m:t>i</m:t>
            </m:r>
          </m:sub>
        </m:sSub>
      </m:oMath>
      <w:r w:rsidR="00DF4AC2">
        <w:t xml:space="preserve"> muestra la sensibilidad de la rentabilidad de la cartera a la rentabilidad del mercado (i.e.</w:t>
      </w:r>
      <w:r w:rsidR="00DF4AC2" w:rsidRPr="00D85BC8">
        <w:t xml:space="preserve"> refleja la intensidad con la que las fluctuaciones de </w:t>
      </w:r>
      <m:oMath>
        <m:sSub>
          <m:sSubPr>
            <m:ctrlPr>
              <w:rPr>
                <w:rFonts w:ascii="Cambria Math" w:hAnsi="Cambria Math"/>
                <w:i/>
              </w:rPr>
            </m:ctrlPr>
          </m:sSubPr>
          <m:e>
            <m:r>
              <m:rPr>
                <m:nor/>
              </m:rPr>
              <w:rPr>
                <w:i/>
              </w:rPr>
              <m:t>R</m:t>
            </m:r>
          </m:e>
          <m:sub>
            <m:r>
              <m:rPr>
                <m:nor/>
              </m:rPr>
              <w:rPr>
                <w:i/>
              </w:rPr>
              <m:t>M</m:t>
            </m:r>
          </m:sub>
        </m:sSub>
      </m:oMath>
      <w:r w:rsidR="00DF4AC2" w:rsidRPr="00D85BC8">
        <w:t xml:space="preserve"> afectan a </w:t>
      </w:r>
      <m:oMath>
        <m:sSub>
          <m:sSubPr>
            <m:ctrlPr>
              <w:rPr>
                <w:rFonts w:ascii="Cambria Math" w:hAnsi="Cambria Math"/>
                <w:i/>
              </w:rPr>
            </m:ctrlPr>
          </m:sSubPr>
          <m:e>
            <m:r>
              <m:rPr>
                <m:nor/>
              </m:rPr>
              <w:rPr>
                <w:i/>
              </w:rPr>
              <m:t>R</m:t>
            </m:r>
          </m:e>
          <m:sub>
            <m:r>
              <m:rPr>
                <m:nor/>
              </m:rPr>
              <w:rPr>
                <w:i/>
              </w:rPr>
              <m:t>i</m:t>
            </m:r>
          </m:sub>
        </m:sSub>
      </m:oMath>
      <w:r w:rsidR="00DF4AC2">
        <w:t>).</w:t>
      </w:r>
    </w:p>
    <w:p w14:paraId="553F5281" w14:textId="77777777" w:rsidR="00DF4AC2" w:rsidRDefault="00DF4AC2" w:rsidP="00DF4AC2">
      <w:pPr>
        <w:pStyle w:val="Nivel5"/>
        <w:keepNext/>
        <w:ind w:left="1871"/>
      </w:pPr>
      <w:r>
        <w:t>L</w:t>
      </w:r>
      <w:r w:rsidRPr="00C81294">
        <w:t xml:space="preserve">a beta </w:t>
      </w:r>
      <w:r>
        <w:t>del activo </w:t>
      </w:r>
      <w:r w:rsidRPr="00C81294">
        <w:rPr>
          <w:i/>
          <w:iCs/>
        </w:rPr>
        <w:t>i</w:t>
      </w:r>
      <w:r>
        <w:t xml:space="preserve"> </w:t>
      </w:r>
      <w:r w:rsidRPr="00C81294">
        <w:t>es el resultado de dividir la covarianza entre la rentabilidad del activo</w:t>
      </w:r>
      <w:r>
        <w:t> </w:t>
      </w:r>
      <w:r>
        <w:rPr>
          <w:i/>
          <w:iCs/>
        </w:rPr>
        <w:t>i</w:t>
      </w:r>
      <w:r w:rsidRPr="00C81294">
        <w:t xml:space="preserve"> y la rentabilidad del mercado entre la varianza de la rentabilidad del mercado</w:t>
      </w:r>
      <w:r>
        <w:t>, es decir, q</w:t>
      </w:r>
      <w:r w:rsidRPr="00C81294">
        <w:t>ueda definida como</w:t>
      </w:r>
      <w:r>
        <w:t>:</w:t>
      </w:r>
    </w:p>
    <w:p w14:paraId="794CFD1F" w14:textId="77777777" w:rsidR="00DF4AC2" w:rsidRPr="00C81294" w:rsidRDefault="00000000" w:rsidP="00DF4AC2">
      <w:pPr>
        <w:pStyle w:val="Nivel4"/>
        <w:numPr>
          <w:ilvl w:val="0"/>
          <w:numId w:val="0"/>
        </w:numPr>
        <w:ind w:left="1871"/>
        <w:rPr>
          <w:rFonts w:eastAsiaTheme="minorEastAsia"/>
          <w:lang w:val="en-US"/>
        </w:rPr>
      </w:pPr>
      <m:oMathPara>
        <m:oMath>
          <m:sSub>
            <m:sSubPr>
              <m:ctrlPr>
                <w:rPr>
                  <w:rFonts w:ascii="Cambria Math" w:hAnsi="Cambria Math"/>
                  <w:i/>
                </w:rPr>
              </m:ctrlPr>
            </m:sSubPr>
            <m:e>
              <m:r>
                <m:rPr>
                  <m:nor/>
                </m:rPr>
                <w:rPr>
                  <w:i/>
                </w:rPr>
                <m:t>β</m:t>
              </m:r>
            </m:e>
            <m:sub>
              <m:r>
                <m:rPr>
                  <m:nor/>
                </m:rPr>
                <w:rPr>
                  <w:i/>
                  <w:lang w:val="en-US"/>
                </w:rPr>
                <m:t>i</m:t>
              </m:r>
            </m:sub>
          </m:sSub>
          <m:r>
            <w:rPr>
              <w:rFonts w:ascii="Cambria Math" w:hAnsi="Cambria Math"/>
              <w:lang w:val="en-US"/>
            </w:rPr>
            <m:t>=</m:t>
          </m:r>
          <m:f>
            <m:fPr>
              <m:ctrlPr>
                <w:rPr>
                  <w:rFonts w:ascii="Cambria Math" w:hAnsi="Cambria Math"/>
                  <w:i/>
                </w:rPr>
              </m:ctrlPr>
            </m:fPr>
            <m:num>
              <m:r>
                <m:rPr>
                  <m:nor/>
                </m:rPr>
                <w:rPr>
                  <w:i/>
                  <w:iCs/>
                  <w:lang w:val="en-US"/>
                </w:rPr>
                <m:t>cov</m:t>
              </m:r>
              <m:d>
                <m:dPr>
                  <m:ctrlPr>
                    <w:rPr>
                      <w:rFonts w:ascii="Cambria Math" w:hAnsi="Cambria Math"/>
                      <w:i/>
                    </w:rPr>
                  </m:ctrlPr>
                </m:dPr>
                <m:e>
                  <m:sSub>
                    <m:sSubPr>
                      <m:ctrlPr>
                        <w:rPr>
                          <w:rFonts w:ascii="Cambria Math" w:hAnsi="Cambria Math"/>
                          <w:i/>
                        </w:rPr>
                      </m:ctrlPr>
                    </m:sSubPr>
                    <m:e>
                      <m:r>
                        <m:rPr>
                          <m:nor/>
                        </m:rPr>
                        <w:rPr>
                          <w:i/>
                          <w:lang w:val="en-US"/>
                        </w:rPr>
                        <m:t>R</m:t>
                      </m:r>
                    </m:e>
                    <m:sub>
                      <m:r>
                        <m:rPr>
                          <m:nor/>
                        </m:rPr>
                        <w:rPr>
                          <w:i/>
                          <w:lang w:val="en-US"/>
                        </w:rPr>
                        <m:t>i</m:t>
                      </m:r>
                    </m:sub>
                  </m:sSub>
                  <m:r>
                    <m:rPr>
                      <m:nor/>
                    </m:rPr>
                    <w:rPr>
                      <w:i/>
                      <w:lang w:val="en-US"/>
                    </w:rPr>
                    <m:t>,</m:t>
                  </m:r>
                  <m:sSub>
                    <m:sSubPr>
                      <m:ctrlPr>
                        <w:rPr>
                          <w:rFonts w:ascii="Cambria Math" w:hAnsi="Cambria Math"/>
                          <w:i/>
                        </w:rPr>
                      </m:ctrlPr>
                    </m:sSubPr>
                    <m:e>
                      <m:r>
                        <m:rPr>
                          <m:nor/>
                        </m:rPr>
                        <w:rPr>
                          <w:i/>
                          <w:lang w:val="en-US"/>
                        </w:rPr>
                        <m:t>R</m:t>
                      </m:r>
                    </m:e>
                    <m:sub>
                      <m:r>
                        <m:rPr>
                          <m:nor/>
                        </m:rPr>
                        <w:rPr>
                          <w:i/>
                          <w:lang w:val="en-US"/>
                        </w:rPr>
                        <m:t>M</m:t>
                      </m:r>
                    </m:sub>
                  </m:sSub>
                </m:e>
              </m:d>
            </m:num>
            <m:den>
              <m:r>
                <m:rPr>
                  <m:nor/>
                </m:rPr>
                <w:rPr>
                  <w:i/>
                  <w:lang w:val="en-US"/>
                </w:rPr>
                <m:t>var</m:t>
              </m:r>
              <m:d>
                <m:dPr>
                  <m:ctrlPr>
                    <w:rPr>
                      <w:rFonts w:ascii="Cambria Math" w:hAnsi="Cambria Math"/>
                      <w:i/>
                    </w:rPr>
                  </m:ctrlPr>
                </m:dPr>
                <m:e>
                  <m:sSub>
                    <m:sSubPr>
                      <m:ctrlPr>
                        <w:rPr>
                          <w:rFonts w:ascii="Cambria Math" w:hAnsi="Cambria Math"/>
                          <w:i/>
                        </w:rPr>
                      </m:ctrlPr>
                    </m:sSubPr>
                    <m:e>
                      <m:r>
                        <m:rPr>
                          <m:nor/>
                        </m:rPr>
                        <w:rPr>
                          <w:i/>
                          <w:lang w:val="en-US"/>
                        </w:rPr>
                        <m:t>R</m:t>
                      </m:r>
                    </m:e>
                    <m:sub>
                      <m:r>
                        <m:rPr>
                          <m:nor/>
                        </m:rPr>
                        <w:rPr>
                          <w:i/>
                          <w:lang w:val="en-US"/>
                        </w:rPr>
                        <m:t>M</m:t>
                      </m:r>
                    </m:sub>
                  </m:sSub>
                </m:e>
              </m:d>
            </m:den>
          </m:f>
          <m:r>
            <w:rPr>
              <w:rFonts w:ascii="Cambria Math" w:hAnsi="Cambria Math"/>
              <w:lang w:val="en-US"/>
            </w:rPr>
            <m:t>=</m:t>
          </m:r>
          <m:f>
            <m:fPr>
              <m:ctrlPr>
                <w:rPr>
                  <w:rFonts w:ascii="Cambria Math" w:hAnsi="Cambria Math"/>
                  <w:i/>
                </w:rPr>
              </m:ctrlPr>
            </m:fPr>
            <m:num>
              <m:sSub>
                <m:sSubPr>
                  <m:ctrlPr>
                    <w:rPr>
                      <w:rFonts w:ascii="Cambria Math" w:hAnsi="Cambria Math"/>
                      <w:i/>
                      <w:iCs/>
                      <w:lang w:val="en-US"/>
                    </w:rPr>
                  </m:ctrlPr>
                </m:sSubPr>
                <m:e>
                  <m:r>
                    <m:rPr>
                      <m:nor/>
                    </m:rPr>
                    <w:rPr>
                      <w:i/>
                      <w:iCs/>
                    </w:rPr>
                    <m:t>σ</m:t>
                  </m:r>
                </m:e>
                <m:sub>
                  <m:r>
                    <m:rPr>
                      <m:nor/>
                    </m:rPr>
                    <w:rPr>
                      <w:i/>
                      <w:lang w:val="en-US"/>
                    </w:rPr>
                    <m:t>i,M</m:t>
                  </m:r>
                </m:sub>
              </m:sSub>
            </m:num>
            <m:den>
              <m:sSubSup>
                <m:sSubSupPr>
                  <m:ctrlPr>
                    <w:rPr>
                      <w:rFonts w:ascii="Cambria Math" w:hAnsi="Cambria Math"/>
                      <w:i/>
                    </w:rPr>
                  </m:ctrlPr>
                </m:sSubSupPr>
                <m:e>
                  <m:r>
                    <m:rPr>
                      <m:nor/>
                    </m:rPr>
                    <w:rPr>
                      <w:i/>
                      <w:iCs/>
                    </w:rPr>
                    <m:t>σ</m:t>
                  </m:r>
                </m:e>
                <m:sub>
                  <m:r>
                    <m:rPr>
                      <m:nor/>
                    </m:rPr>
                    <w:rPr>
                      <w:i/>
                      <w:lang w:val="en-US"/>
                    </w:rPr>
                    <m:t>M</m:t>
                  </m:r>
                </m:sub>
                <m:sup>
                  <m:r>
                    <m:rPr>
                      <m:nor/>
                    </m:rPr>
                    <w:rPr>
                      <w:i/>
                      <w:lang w:val="en-US"/>
                    </w:rPr>
                    <m:t>2</m:t>
                  </m:r>
                </m:sup>
              </m:sSubSup>
            </m:den>
          </m:f>
          <m:r>
            <w:rPr>
              <w:rFonts w:ascii="Cambria Math" w:hAnsi="Cambria Math"/>
              <w:lang w:val="en-US"/>
            </w:rPr>
            <m:t>=</m:t>
          </m:r>
          <m:f>
            <m:fPr>
              <m:ctrlPr>
                <w:rPr>
                  <w:rFonts w:ascii="Cambria Math" w:hAnsi="Cambria Math"/>
                  <w:i/>
                </w:rPr>
              </m:ctrlPr>
            </m:fPr>
            <m:num>
              <m:sSub>
                <m:sSubPr>
                  <m:ctrlPr>
                    <w:rPr>
                      <w:rFonts w:ascii="Cambria Math" w:hAnsi="Cambria Math"/>
                      <w:i/>
                      <w:iCs/>
                      <w:lang w:val="en-US"/>
                    </w:rPr>
                  </m:ctrlPr>
                </m:sSubPr>
                <m:e>
                  <m:r>
                    <m:rPr>
                      <m:nor/>
                    </m:rPr>
                    <w:rPr>
                      <w:i/>
                      <w:iCs/>
                    </w:rPr>
                    <m:t>σ</m:t>
                  </m:r>
                </m:e>
                <m:sub>
                  <m:r>
                    <m:rPr>
                      <m:nor/>
                    </m:rPr>
                    <w:rPr>
                      <w:i/>
                      <w:lang w:val="en-US"/>
                    </w:rPr>
                    <m:t>i</m:t>
                  </m:r>
                </m:sub>
              </m:sSub>
              <m:r>
                <w:rPr>
                  <w:rFonts w:ascii="Cambria Math" w:hAnsi="Cambria Math"/>
                  <w:lang w:val="en-US"/>
                </w:rPr>
                <m:t>∙</m:t>
              </m:r>
              <m:sSub>
                <m:sSubPr>
                  <m:ctrlPr>
                    <w:rPr>
                      <w:rFonts w:ascii="Cambria Math" w:hAnsi="Cambria Math"/>
                      <w:i/>
                      <w:iCs/>
                      <w:lang w:val="en-US"/>
                    </w:rPr>
                  </m:ctrlPr>
                </m:sSubPr>
                <m:e>
                  <m:r>
                    <m:rPr>
                      <m:nor/>
                    </m:rPr>
                    <w:rPr>
                      <w:i/>
                      <w:iCs/>
                    </w:rPr>
                    <m:t>σ</m:t>
                  </m:r>
                </m:e>
                <m:sub>
                  <m:r>
                    <m:rPr>
                      <m:nor/>
                    </m:rPr>
                    <w:rPr>
                      <w:i/>
                      <w:lang w:val="en-US"/>
                    </w:rPr>
                    <m:t>M</m:t>
                  </m:r>
                </m:sub>
              </m:sSub>
              <m:r>
                <w:rPr>
                  <w:rFonts w:ascii="Cambria Math" w:hAnsi="Cambria Math"/>
                  <w:lang w:val="en-US"/>
                </w:rPr>
                <m:t>∙</m:t>
              </m:r>
              <m:sSub>
                <m:sSubPr>
                  <m:ctrlPr>
                    <w:rPr>
                      <w:rFonts w:ascii="Cambria Math" w:hAnsi="Cambria Math"/>
                      <w:i/>
                      <w:iCs/>
                      <w:lang w:val="en-US"/>
                    </w:rPr>
                  </m:ctrlPr>
                </m:sSubPr>
                <m:e>
                  <m:r>
                    <m:rPr>
                      <m:nor/>
                    </m:rPr>
                    <w:rPr>
                      <w:i/>
                    </w:rPr>
                    <m:t>ρ</m:t>
                  </m:r>
                </m:e>
                <m:sub>
                  <m:r>
                    <m:rPr>
                      <m:nor/>
                    </m:rPr>
                    <w:rPr>
                      <w:i/>
                      <w:lang w:val="en-US"/>
                    </w:rPr>
                    <m:t>i,M</m:t>
                  </m:r>
                </m:sub>
              </m:sSub>
            </m:num>
            <m:den>
              <m:sSubSup>
                <m:sSubSupPr>
                  <m:ctrlPr>
                    <w:rPr>
                      <w:rFonts w:ascii="Cambria Math" w:hAnsi="Cambria Math"/>
                      <w:i/>
                    </w:rPr>
                  </m:ctrlPr>
                </m:sSubSupPr>
                <m:e>
                  <m:r>
                    <m:rPr>
                      <m:nor/>
                    </m:rPr>
                    <w:rPr>
                      <w:i/>
                      <w:iCs/>
                    </w:rPr>
                    <m:t>σ</m:t>
                  </m:r>
                </m:e>
                <m:sub>
                  <m:r>
                    <m:rPr>
                      <m:nor/>
                    </m:rPr>
                    <w:rPr>
                      <w:i/>
                      <w:lang w:val="en-US"/>
                    </w:rPr>
                    <m:t>M</m:t>
                  </m:r>
                </m:sub>
                <m:sup>
                  <m:r>
                    <m:rPr>
                      <m:nor/>
                    </m:rPr>
                    <w:rPr>
                      <w:i/>
                      <w:lang w:val="en-US"/>
                    </w:rPr>
                    <m:t>2</m:t>
                  </m:r>
                </m:sup>
              </m:sSubSup>
            </m:den>
          </m:f>
        </m:oMath>
      </m:oMathPara>
    </w:p>
    <w:p w14:paraId="19977B6F" w14:textId="77777777" w:rsidR="00DF4AC2" w:rsidRPr="00C81294" w:rsidRDefault="00DF4AC2" w:rsidP="00DF4AC2">
      <w:pPr>
        <w:pStyle w:val="Nivel5"/>
        <w:keepNext/>
        <w:ind w:left="1871"/>
      </w:pPr>
      <w:r>
        <w:t xml:space="preserve">Es decir, la beta del mercado, </w:t>
      </w:r>
      <m:oMath>
        <m:sSub>
          <m:sSubPr>
            <m:ctrlPr>
              <w:rPr>
                <w:rFonts w:ascii="Cambria Math" w:hAnsi="Cambria Math"/>
                <w:i/>
              </w:rPr>
            </m:ctrlPr>
          </m:sSubPr>
          <m:e>
            <m:r>
              <m:rPr>
                <m:nor/>
              </m:rPr>
              <w:rPr>
                <w:i/>
              </w:rPr>
              <m:t>β</m:t>
            </m:r>
          </m:e>
          <m:sub>
            <m:r>
              <m:rPr>
                <m:nor/>
              </m:rPr>
              <w:rPr>
                <w:i/>
              </w:rPr>
              <m:t>M</m:t>
            </m:r>
          </m:sub>
        </m:sSub>
      </m:oMath>
      <w:r>
        <w:t>, es por definición igual a 1:</w:t>
      </w:r>
    </w:p>
    <w:p w14:paraId="63671DD3" w14:textId="77777777" w:rsidR="00DF4AC2" w:rsidRPr="00EC5603" w:rsidRDefault="00000000" w:rsidP="00DF4AC2">
      <w:pPr>
        <w:pStyle w:val="Nivel4"/>
        <w:numPr>
          <w:ilvl w:val="0"/>
          <w:numId w:val="0"/>
        </w:numPr>
        <w:ind w:left="1871"/>
        <w:rPr>
          <w:rFonts w:eastAsiaTheme="minorEastAsia"/>
        </w:rPr>
      </w:pPr>
      <m:oMathPara>
        <m:oMath>
          <m:sSub>
            <m:sSubPr>
              <m:ctrlPr>
                <w:rPr>
                  <w:rFonts w:ascii="Cambria Math" w:hAnsi="Cambria Math"/>
                  <w:i/>
                </w:rPr>
              </m:ctrlPr>
            </m:sSubPr>
            <m:e>
              <m:r>
                <m:rPr>
                  <m:nor/>
                </m:rPr>
                <w:rPr>
                  <w:i/>
                </w:rPr>
                <m:t>β</m:t>
              </m:r>
            </m:e>
            <m:sub>
              <m:r>
                <m:rPr>
                  <m:nor/>
                </m:rPr>
                <w:rPr>
                  <w:i/>
                </w:rPr>
                <m:t>M</m:t>
              </m:r>
            </m:sub>
          </m:sSub>
          <m:r>
            <w:rPr>
              <w:rFonts w:ascii="Cambria Math" w:hAnsi="Cambria Math"/>
            </w:rPr>
            <m:t>=</m:t>
          </m:r>
          <m:f>
            <m:fPr>
              <m:ctrlPr>
                <w:rPr>
                  <w:rFonts w:ascii="Cambria Math" w:hAnsi="Cambria Math"/>
                  <w:i/>
                </w:rPr>
              </m:ctrlPr>
            </m:fPr>
            <m:num>
              <m:r>
                <m:rPr>
                  <m:nor/>
                </m:rPr>
                <w:rPr>
                  <w:i/>
                  <w:iCs/>
                </w:rPr>
                <m:t>cov</m:t>
              </m:r>
              <m:d>
                <m:dPr>
                  <m:ctrlPr>
                    <w:rPr>
                      <w:rFonts w:ascii="Cambria Math" w:hAnsi="Cambria Math"/>
                      <w:i/>
                    </w:rPr>
                  </m:ctrlPr>
                </m:dPr>
                <m:e>
                  <m:sSub>
                    <m:sSubPr>
                      <m:ctrlPr>
                        <w:rPr>
                          <w:rFonts w:ascii="Cambria Math" w:hAnsi="Cambria Math"/>
                          <w:i/>
                        </w:rPr>
                      </m:ctrlPr>
                    </m:sSubPr>
                    <m:e>
                      <m:r>
                        <m:rPr>
                          <m:nor/>
                        </m:rPr>
                        <w:rPr>
                          <w:i/>
                        </w:rPr>
                        <m:t>R</m:t>
                      </m:r>
                    </m:e>
                    <m:sub>
                      <m:r>
                        <m:rPr>
                          <m:nor/>
                        </m:rPr>
                        <w:rPr>
                          <w:i/>
                        </w:rPr>
                        <m:t>M</m:t>
                      </m:r>
                    </m:sub>
                  </m:sSub>
                  <m:r>
                    <m:rPr>
                      <m:nor/>
                    </m:rPr>
                    <w:rPr>
                      <w:i/>
                    </w:rPr>
                    <m:t>,</m:t>
                  </m:r>
                  <m:sSub>
                    <m:sSubPr>
                      <m:ctrlPr>
                        <w:rPr>
                          <w:rFonts w:ascii="Cambria Math" w:hAnsi="Cambria Math"/>
                          <w:i/>
                        </w:rPr>
                      </m:ctrlPr>
                    </m:sSubPr>
                    <m:e>
                      <m:r>
                        <m:rPr>
                          <m:nor/>
                        </m:rPr>
                        <w:rPr>
                          <w:i/>
                        </w:rPr>
                        <m:t>R</m:t>
                      </m:r>
                    </m:e>
                    <m:sub>
                      <m:r>
                        <m:rPr>
                          <m:nor/>
                        </m:rPr>
                        <w:rPr>
                          <w:i/>
                        </w:rPr>
                        <m:t>M</m:t>
                      </m:r>
                    </m:sub>
                  </m:sSub>
                </m:e>
              </m:d>
            </m:num>
            <m:den>
              <m:r>
                <m:rPr>
                  <m:nor/>
                </m:rPr>
                <w:rPr>
                  <w:i/>
                </w:rPr>
                <m:t>var</m:t>
              </m:r>
              <m:d>
                <m:dPr>
                  <m:ctrlPr>
                    <w:rPr>
                      <w:rFonts w:ascii="Cambria Math" w:hAnsi="Cambria Math"/>
                      <w:i/>
                    </w:rPr>
                  </m:ctrlPr>
                </m:dPr>
                <m:e>
                  <m:sSub>
                    <m:sSubPr>
                      <m:ctrlPr>
                        <w:rPr>
                          <w:rFonts w:ascii="Cambria Math" w:hAnsi="Cambria Math"/>
                          <w:i/>
                        </w:rPr>
                      </m:ctrlPr>
                    </m:sSubPr>
                    <m:e>
                      <m:r>
                        <m:rPr>
                          <m:nor/>
                        </m:rPr>
                        <w:rPr>
                          <w:i/>
                        </w:rPr>
                        <m:t>R</m:t>
                      </m:r>
                    </m:e>
                    <m:sub>
                      <m:r>
                        <m:rPr>
                          <m:nor/>
                        </m:rPr>
                        <w:rPr>
                          <w:i/>
                        </w:rPr>
                        <m:t>M</m:t>
                      </m:r>
                    </m:sub>
                  </m:sSub>
                </m:e>
              </m:d>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m:rPr>
                      <m:nor/>
                    </m:rPr>
                    <w:rPr>
                      <w:i/>
                      <w:iCs/>
                    </w:rPr>
                    <m:t>σ</m:t>
                  </m:r>
                </m:e>
                <m:sub>
                  <m:r>
                    <m:rPr>
                      <m:nor/>
                    </m:rPr>
                    <w:rPr>
                      <w:i/>
                      <w:lang w:val="en-US"/>
                    </w:rPr>
                    <m:t>M</m:t>
                  </m:r>
                </m:sub>
                <m:sup>
                  <m:r>
                    <m:rPr>
                      <m:nor/>
                    </m:rPr>
                    <w:rPr>
                      <w:i/>
                    </w:rPr>
                    <m:t>2</m:t>
                  </m:r>
                </m:sup>
              </m:sSubSup>
            </m:num>
            <m:den>
              <m:sSubSup>
                <m:sSubSupPr>
                  <m:ctrlPr>
                    <w:rPr>
                      <w:rFonts w:ascii="Cambria Math" w:hAnsi="Cambria Math"/>
                      <w:i/>
                    </w:rPr>
                  </m:ctrlPr>
                </m:sSubSupPr>
                <m:e>
                  <m:r>
                    <m:rPr>
                      <m:nor/>
                    </m:rPr>
                    <w:rPr>
                      <w:i/>
                      <w:iCs/>
                    </w:rPr>
                    <m:t>σ</m:t>
                  </m:r>
                </m:e>
                <m:sub>
                  <m:r>
                    <m:rPr>
                      <m:nor/>
                    </m:rPr>
                    <w:rPr>
                      <w:i/>
                      <w:lang w:val="en-US"/>
                    </w:rPr>
                    <m:t>M</m:t>
                  </m:r>
                </m:sub>
                <m:sup>
                  <m:r>
                    <m:rPr>
                      <m:nor/>
                    </m:rPr>
                    <w:rPr>
                      <w:i/>
                    </w:rPr>
                    <m:t>2</m:t>
                  </m:r>
                </m:sup>
              </m:sSubSup>
            </m:den>
          </m:f>
          <m:r>
            <w:rPr>
              <w:rFonts w:ascii="Cambria Math" w:hAnsi="Cambria Math"/>
            </w:rPr>
            <m:t>=</m:t>
          </m:r>
          <m:r>
            <m:rPr>
              <m:nor/>
            </m:rPr>
            <w:rPr>
              <w:i/>
            </w:rPr>
            <m:t>1</m:t>
          </m:r>
        </m:oMath>
      </m:oMathPara>
    </w:p>
    <w:p w14:paraId="05F012F4" w14:textId="77777777" w:rsidR="00DF4AC2" w:rsidRPr="00F670C4" w:rsidRDefault="00000000" w:rsidP="00DF4AC2">
      <w:pPr>
        <w:pStyle w:val="Nivel4"/>
        <w:ind w:left="1474"/>
      </w:pPr>
      <m:oMath>
        <m:sSub>
          <m:sSubPr>
            <m:ctrlPr>
              <w:rPr>
                <w:rFonts w:ascii="Cambria Math" w:hAnsi="Cambria Math"/>
                <w:i/>
              </w:rPr>
            </m:ctrlPr>
          </m:sSubPr>
          <m:e>
            <m:r>
              <m:rPr>
                <m:nor/>
              </m:rPr>
              <w:rPr>
                <w:iCs/>
              </w:rPr>
              <m:t>α</m:t>
            </m:r>
          </m:e>
          <m:sub>
            <m:r>
              <m:rPr>
                <m:nor/>
              </m:rPr>
              <w:rPr>
                <w:i/>
              </w:rPr>
              <m:t>i</m:t>
            </m:r>
          </m:sub>
        </m:sSub>
      </m:oMath>
      <w:r w:rsidR="00DF4AC2">
        <w:t xml:space="preserve"> es una constante que muestra el riesgo de otros factores no específicos (también denominada rentabilidad ortogonal a los factores considerados).</w:t>
      </w:r>
    </w:p>
    <w:p w14:paraId="6613D24F" w14:textId="35B83AA6" w:rsidR="00DF4AC2" w:rsidRPr="005F6235" w:rsidRDefault="00000000" w:rsidP="00DF4AC2">
      <w:pPr>
        <w:pStyle w:val="Nivel4"/>
        <w:ind w:left="1474"/>
      </w:pPr>
      <m:oMath>
        <m:sSub>
          <m:sSubPr>
            <m:ctrlPr>
              <w:rPr>
                <w:rFonts w:ascii="Cambria Math" w:hAnsi="Cambria Math"/>
                <w:i/>
              </w:rPr>
            </m:ctrlPr>
          </m:sSubPr>
          <m:e>
            <m:r>
              <m:rPr>
                <m:nor/>
              </m:rPr>
              <w:rPr>
                <w:i/>
              </w:rPr>
              <m:t>ε</m:t>
            </m:r>
          </m:e>
          <m:sub>
            <m:r>
              <m:rPr>
                <m:nor/>
              </m:rPr>
              <w:rPr>
                <w:i/>
              </w:rPr>
              <m:t>i</m:t>
            </m:r>
          </m:sub>
        </m:sSub>
      </m:oMath>
      <w:r w:rsidR="00DF4AC2" w:rsidRPr="005F6235">
        <w:t xml:space="preserve"> es una variable aleatoria que muestra el riesgo específico del activo.</w:t>
      </w:r>
    </w:p>
    <w:p w14:paraId="77AEC4B9" w14:textId="51FC8081" w:rsidR="00DF4AC2" w:rsidRPr="005F6235" w:rsidRDefault="00DF4AC2" w:rsidP="00DF4AC2">
      <w:pPr>
        <w:pStyle w:val="Nivel2SM"/>
      </w:pPr>
      <w:r w:rsidRPr="005F6235">
        <w:t xml:space="preserve">La correlación entre la rentabilidad del índice de mercado, </w:t>
      </w:r>
      <m:oMath>
        <m:sSub>
          <m:sSubPr>
            <m:ctrlPr>
              <w:rPr>
                <w:rFonts w:ascii="Cambria Math" w:hAnsi="Cambria Math"/>
                <w:i/>
              </w:rPr>
            </m:ctrlPr>
          </m:sSubPr>
          <m:e>
            <m:r>
              <m:rPr>
                <m:nor/>
              </m:rPr>
              <w:rPr>
                <w:i/>
              </w:rPr>
              <m:t>R</m:t>
            </m:r>
          </m:e>
          <m:sub>
            <m:r>
              <m:rPr>
                <m:nor/>
              </m:rPr>
              <w:rPr>
                <w:i/>
              </w:rPr>
              <m:t>M</m:t>
            </m:r>
          </m:sub>
        </m:sSub>
      </m:oMath>
      <w:r w:rsidRPr="005F6235">
        <w:t xml:space="preserve">, y la variable aleatoria, </w:t>
      </w:r>
      <m:oMath>
        <m:sSub>
          <m:sSubPr>
            <m:ctrlPr>
              <w:rPr>
                <w:rFonts w:ascii="Cambria Math" w:hAnsi="Cambria Math"/>
                <w:i/>
              </w:rPr>
            </m:ctrlPr>
          </m:sSubPr>
          <m:e>
            <m:r>
              <m:rPr>
                <m:nor/>
              </m:rPr>
              <w:rPr>
                <w:i/>
              </w:rPr>
              <m:t>ε</m:t>
            </m:r>
          </m:e>
          <m:sub>
            <m:r>
              <m:rPr>
                <m:nor/>
              </m:rPr>
              <w:rPr>
                <w:i/>
              </w:rPr>
              <m:t>i</m:t>
            </m:r>
          </m:sub>
        </m:sSub>
      </m:oMath>
      <w:r w:rsidRPr="005F6235">
        <w:t>, es nula para cualquier activo (i.e.</w:t>
      </w:r>
      <m:oMath>
        <m:r>
          <w:rPr>
            <w:rFonts w:ascii="Cambria Math" w:hAnsi="Cambria Math"/>
          </w:rPr>
          <m:t xml:space="preserve"> </m:t>
        </m:r>
        <m:r>
          <m:rPr>
            <m:nor/>
          </m:rPr>
          <w:rPr>
            <w:i/>
            <w:iCs/>
          </w:rPr>
          <m:t>cov</m:t>
        </m:r>
        <m:d>
          <m:dPr>
            <m:ctrlPr>
              <w:rPr>
                <w:rFonts w:ascii="Cambria Math" w:hAnsi="Cambria Math"/>
                <w:i/>
              </w:rPr>
            </m:ctrlPr>
          </m:dPr>
          <m:e>
            <m:sSub>
              <m:sSubPr>
                <m:ctrlPr>
                  <w:rPr>
                    <w:rFonts w:ascii="Cambria Math" w:hAnsi="Cambria Math"/>
                    <w:i/>
                  </w:rPr>
                </m:ctrlPr>
              </m:sSubPr>
              <m:e>
                <m:r>
                  <m:rPr>
                    <m:nor/>
                  </m:rPr>
                  <w:rPr>
                    <w:i/>
                  </w:rPr>
                  <m:t>ε</m:t>
                </m:r>
              </m:e>
              <m:sub>
                <m:r>
                  <m:rPr>
                    <m:nor/>
                  </m:rPr>
                  <w:rPr>
                    <w:i/>
                  </w:rPr>
                  <m:t>i</m:t>
                </m:r>
              </m:sub>
            </m:sSub>
            <m:r>
              <m:rPr>
                <m:nor/>
              </m:rPr>
              <w:rPr>
                <w:i/>
              </w:rPr>
              <m:t>,</m:t>
            </m:r>
            <m:sSub>
              <m:sSubPr>
                <m:ctrlPr>
                  <w:rPr>
                    <w:rFonts w:ascii="Cambria Math" w:hAnsi="Cambria Math"/>
                    <w:i/>
                  </w:rPr>
                </m:ctrlPr>
              </m:sSubPr>
              <m:e>
                <m:r>
                  <m:rPr>
                    <m:nor/>
                  </m:rPr>
                  <w:rPr>
                    <w:i/>
                  </w:rPr>
                  <m:t>R</m:t>
                </m:r>
              </m:e>
              <m:sub>
                <m:r>
                  <m:rPr>
                    <m:nor/>
                  </m:rPr>
                  <w:rPr>
                    <w:i/>
                  </w:rPr>
                  <m:t>M</m:t>
                </m:r>
              </m:sub>
            </m:sSub>
          </m:e>
        </m:d>
        <m:r>
          <w:rPr>
            <w:rFonts w:ascii="Cambria Math" w:hAnsi="Cambria Math"/>
          </w:rPr>
          <m:t>=</m:t>
        </m:r>
        <m:r>
          <m:rPr>
            <m:nor/>
          </m:rPr>
          <w:rPr>
            <w:i/>
          </w:rPr>
          <m:t>0</m:t>
        </m:r>
      </m:oMath>
      <w:r w:rsidRPr="005F6235">
        <w:rPr>
          <w:rFonts w:eastAsiaTheme="minorEastAsia"/>
        </w:rPr>
        <w:t>) y</w:t>
      </w:r>
      <w:r w:rsidRPr="005F6235">
        <w:t xml:space="preserve"> las rentabilidades de 2 activos cualesquiera están relacionadas sólo a través de su relación común con el índice y, por tanto,</w:t>
      </w:r>
      <m:oMath>
        <m:r>
          <w:rPr>
            <w:rFonts w:ascii="Cambria Math" w:hAnsi="Cambria Math"/>
          </w:rPr>
          <m:t xml:space="preserve"> </m:t>
        </m:r>
        <m:r>
          <m:rPr>
            <m:nor/>
          </m:rPr>
          <w:rPr>
            <w:i/>
            <w:iCs/>
          </w:rPr>
          <m:t>cov</m:t>
        </m:r>
        <m:d>
          <m:dPr>
            <m:ctrlPr>
              <w:rPr>
                <w:rFonts w:ascii="Cambria Math" w:hAnsi="Cambria Math"/>
                <w:i/>
              </w:rPr>
            </m:ctrlPr>
          </m:dPr>
          <m:e>
            <m:sSub>
              <m:sSubPr>
                <m:ctrlPr>
                  <w:rPr>
                    <w:rFonts w:ascii="Cambria Math" w:hAnsi="Cambria Math"/>
                    <w:i/>
                  </w:rPr>
                </m:ctrlPr>
              </m:sSubPr>
              <m:e>
                <m:r>
                  <m:rPr>
                    <m:nor/>
                  </m:rPr>
                  <w:rPr>
                    <w:i/>
                  </w:rPr>
                  <m:t>ε</m:t>
                </m:r>
              </m:e>
              <m:sub>
                <m:r>
                  <m:rPr>
                    <m:nor/>
                  </m:rPr>
                  <w:rPr>
                    <w:i/>
                  </w:rPr>
                  <m:t>i</m:t>
                </m:r>
              </m:sub>
            </m:sSub>
            <m:r>
              <m:rPr>
                <m:nor/>
              </m:rPr>
              <w:rPr>
                <w:i/>
              </w:rPr>
              <m:t>,</m:t>
            </m:r>
            <m:sSub>
              <m:sSubPr>
                <m:ctrlPr>
                  <w:rPr>
                    <w:rFonts w:ascii="Cambria Math" w:hAnsi="Cambria Math"/>
                    <w:i/>
                  </w:rPr>
                </m:ctrlPr>
              </m:sSubPr>
              <m:e>
                <m:r>
                  <m:rPr>
                    <m:nor/>
                  </m:rPr>
                  <w:rPr>
                    <w:i/>
                  </w:rPr>
                  <m:t>ε</m:t>
                </m:r>
              </m:e>
              <m:sub>
                <m:r>
                  <m:rPr>
                    <m:nor/>
                  </m:rPr>
                  <w:rPr>
                    <w:i/>
                  </w:rPr>
                  <m:t>j</m:t>
                </m:r>
              </m:sub>
            </m:sSub>
          </m:e>
        </m:d>
        <m:r>
          <w:rPr>
            <w:rFonts w:ascii="Cambria Math" w:hAnsi="Cambria Math"/>
          </w:rPr>
          <m:t>=</m:t>
        </m:r>
        <m:r>
          <m:rPr>
            <m:nor/>
          </m:rPr>
          <w:rPr>
            <w:i/>
          </w:rPr>
          <m:t>0</m:t>
        </m:r>
      </m:oMath>
      <w:r w:rsidRPr="005F6235">
        <w:t>.</w:t>
      </w:r>
    </w:p>
    <w:p w14:paraId="317B10AE" w14:textId="77777777" w:rsidR="0085199E" w:rsidRPr="005F6235" w:rsidRDefault="0085199E" w:rsidP="00FB33EB">
      <w:pPr>
        <w:pStyle w:val="Ttulo7"/>
      </w:pPr>
      <w:bookmarkStart w:id="53" w:name="_Toc144911961"/>
      <w:r w:rsidRPr="005F6235">
        <w:t>Desarrollo</w:t>
      </w:r>
      <w:bookmarkEnd w:id="53"/>
    </w:p>
    <w:p w14:paraId="79A0EC15" w14:textId="16B049FF" w:rsidR="00DF4AC2" w:rsidRPr="005F6235" w:rsidRDefault="00DF4AC2" w:rsidP="007F6396">
      <w:pPr>
        <w:pStyle w:val="Nivel1SM"/>
        <w:keepNext/>
        <w:spacing w:before="0" w:after="0"/>
      </w:pPr>
      <w:r w:rsidRPr="005F6235">
        <w:t xml:space="preserve">Supongamos una cartera con </w:t>
      </w:r>
      <w:r w:rsidRPr="005F6235">
        <w:rPr>
          <w:i/>
          <w:iCs/>
        </w:rPr>
        <w:t>n</w:t>
      </w:r>
      <w:r w:rsidRPr="005F6235">
        <w:t> activos, en la que el peso del activo </w:t>
      </w:r>
      <w:r w:rsidRPr="005F6235">
        <w:rPr>
          <w:i/>
          <w:iCs/>
        </w:rPr>
        <w:t>i</w:t>
      </w:r>
      <w:r w:rsidRPr="005F6235">
        <w:t xml:space="preserve"> viene dado por </w:t>
      </w:r>
      <m:oMath>
        <m:sSub>
          <m:sSubPr>
            <m:ctrlPr>
              <w:rPr>
                <w:rFonts w:ascii="Cambria Math" w:hAnsi="Cambria Math"/>
                <w:i/>
              </w:rPr>
            </m:ctrlPr>
          </m:sSubPr>
          <m:e>
            <m:r>
              <m:rPr>
                <m:nor/>
              </m:rPr>
              <w:rPr>
                <w:i/>
              </w:rPr>
              <m:t>w</m:t>
            </m:r>
          </m:e>
          <m:sub>
            <m:r>
              <m:rPr>
                <m:nor/>
              </m:rPr>
              <w:rPr>
                <w:i/>
              </w:rPr>
              <m:t>i</m:t>
            </m:r>
          </m:sub>
        </m:sSub>
      </m:oMath>
      <w:r w:rsidRPr="005F6235">
        <w:rPr>
          <w:rFonts w:eastAsiaTheme="minorEastAsia"/>
        </w:rPr>
        <w:t>:</w:t>
      </w:r>
    </w:p>
    <w:p w14:paraId="6C08D597" w14:textId="680F025C" w:rsidR="00631AF8" w:rsidRPr="005F6235" w:rsidRDefault="00DF4AC2" w:rsidP="00E131D7">
      <w:pPr>
        <w:pStyle w:val="Nivel2SM"/>
        <w:keepNext/>
        <w:spacing w:after="0"/>
      </w:pPr>
      <w:r w:rsidRPr="005F6235">
        <w:t>L</w:t>
      </w:r>
      <w:r w:rsidR="00631AF8" w:rsidRPr="005F6235">
        <w:t xml:space="preserve">a rentabilidad de </w:t>
      </w:r>
      <w:r w:rsidRPr="005F6235">
        <w:t>dich</w:t>
      </w:r>
      <w:r w:rsidR="00631AF8" w:rsidRPr="005F6235">
        <w:t>a cartera vendrá dada por:</w:t>
      </w:r>
    </w:p>
    <w:p w14:paraId="1ED693A4" w14:textId="1AAF286E" w:rsidR="00631AF8" w:rsidRPr="001C0F37" w:rsidRDefault="00000000" w:rsidP="00EF7D11">
      <w:pPr>
        <w:pStyle w:val="Nivel2SM"/>
        <w:keepNext/>
        <w:numPr>
          <w:ilvl w:val="0"/>
          <w:numId w:val="0"/>
        </w:numPr>
        <w:spacing w:after="0"/>
        <w:ind w:left="567"/>
        <w:rPr>
          <w:lang w:val="en-US"/>
        </w:rPr>
      </w:pPr>
      <m:oMathPara>
        <m:oMath>
          <m:sSub>
            <m:sSubPr>
              <m:ctrlPr>
                <w:rPr>
                  <w:rFonts w:ascii="Cambria Math" w:hAnsi="Cambria Math"/>
                  <w:i/>
                </w:rPr>
              </m:ctrlPr>
            </m:sSubPr>
            <m:e>
              <m:r>
                <m:rPr>
                  <m:nor/>
                </m:rPr>
                <w:rPr>
                  <w:i/>
                  <w:lang w:val="en-US"/>
                </w:rPr>
                <m:t>R</m:t>
              </m:r>
            </m:e>
            <m:sub>
              <m:r>
                <m:rPr>
                  <m:nor/>
                </m:rPr>
                <w:rPr>
                  <w:i/>
                  <w:lang w:val="en-US"/>
                </w:rPr>
                <m:t>P</m:t>
              </m:r>
            </m:sub>
          </m:sSub>
          <m:r>
            <w:rPr>
              <w:rFonts w:ascii="Cambria Math" w:hAnsi="Cambria Math"/>
              <w:lang w:val="en-US"/>
            </w:rPr>
            <m:t>=</m:t>
          </m:r>
          <m:d>
            <m:dPr>
              <m:ctrlPr>
                <w:rPr>
                  <w:rFonts w:ascii="Cambria Math" w:hAnsi="Cambria Math"/>
                  <w:i/>
                </w:rPr>
              </m:ctrlPr>
            </m:dPr>
            <m:e>
              <m:nary>
                <m:naryPr>
                  <m:chr m:val="∑"/>
                  <m:limLoc m:val="undOvr"/>
                  <m:ctrlPr>
                    <w:rPr>
                      <w:rFonts w:ascii="Cambria Math" w:hAnsi="Cambria Math"/>
                      <w:i/>
                    </w:rPr>
                  </m:ctrlPr>
                </m:naryPr>
                <m:sub>
                  <m:r>
                    <m:rPr>
                      <m:nor/>
                    </m:rPr>
                    <w:rPr>
                      <w:i/>
                      <w:lang w:val="en-US"/>
                    </w:rPr>
                    <m:t>i</m:t>
                  </m:r>
                </m:sub>
                <m:sup>
                  <m:r>
                    <m:rPr>
                      <m:nor/>
                    </m:rPr>
                    <w:rPr>
                      <w:i/>
                      <w:lang w:val="en-US"/>
                    </w:rPr>
                    <m:t>n</m:t>
                  </m:r>
                </m:sup>
                <m:e>
                  <m:sSub>
                    <m:sSubPr>
                      <m:ctrlPr>
                        <w:rPr>
                          <w:rFonts w:ascii="Cambria Math" w:hAnsi="Cambria Math"/>
                          <w:i/>
                        </w:rPr>
                      </m:ctrlPr>
                    </m:sSubPr>
                    <m:e>
                      <m:r>
                        <m:rPr>
                          <m:nor/>
                        </m:rPr>
                        <w:rPr>
                          <w:i/>
                          <w:lang w:val="en-US"/>
                        </w:rPr>
                        <m:t>w</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R</m:t>
                      </m:r>
                    </m:e>
                    <m:sub>
                      <m:r>
                        <m:rPr>
                          <m:nor/>
                        </m:rPr>
                        <w:rPr>
                          <w:i/>
                          <w:lang w:val="en-US"/>
                        </w:rPr>
                        <m:t>i</m:t>
                      </m:r>
                    </m:sub>
                  </m:sSub>
                </m:e>
              </m:nary>
            </m:e>
          </m:d>
          <m:r>
            <w:rPr>
              <w:rFonts w:ascii="Cambria Math" w:hAnsi="Cambria Math"/>
              <w:lang w:val="en-US"/>
            </w:rPr>
            <m:t>=</m:t>
          </m:r>
          <m:d>
            <m:dPr>
              <m:ctrlPr>
                <w:rPr>
                  <w:rFonts w:ascii="Cambria Math" w:hAnsi="Cambria Math"/>
                  <w:i/>
                </w:rPr>
              </m:ctrlPr>
            </m:dPr>
            <m:e>
              <m:nary>
                <m:naryPr>
                  <m:chr m:val="∑"/>
                  <m:limLoc m:val="undOvr"/>
                  <m:ctrlPr>
                    <w:rPr>
                      <w:rFonts w:ascii="Cambria Math" w:hAnsi="Cambria Math"/>
                      <w:i/>
                    </w:rPr>
                  </m:ctrlPr>
                </m:naryPr>
                <m:sub>
                  <m:r>
                    <m:rPr>
                      <m:nor/>
                    </m:rPr>
                    <w:rPr>
                      <w:i/>
                      <w:lang w:val="en-US"/>
                    </w:rPr>
                    <m:t>i</m:t>
                  </m:r>
                </m:sub>
                <m:sup>
                  <m:r>
                    <m:rPr>
                      <m:nor/>
                    </m:rPr>
                    <w:rPr>
                      <w:i/>
                      <w:lang w:val="en-US"/>
                    </w:rPr>
                    <m:t>n</m:t>
                  </m:r>
                </m:sup>
                <m:e>
                  <m:sSub>
                    <m:sSubPr>
                      <m:ctrlPr>
                        <w:rPr>
                          <w:rFonts w:ascii="Cambria Math" w:hAnsi="Cambria Math"/>
                          <w:i/>
                        </w:rPr>
                      </m:ctrlPr>
                    </m:sSubPr>
                    <m:e>
                      <m:r>
                        <m:rPr>
                          <m:nor/>
                        </m:rPr>
                        <w:rPr>
                          <w:i/>
                          <w:lang w:val="en-US"/>
                        </w:rPr>
                        <m:t>w</m:t>
                      </m:r>
                    </m:e>
                    <m:sub>
                      <m:r>
                        <m:rPr>
                          <m:nor/>
                        </m:rPr>
                        <w:rPr>
                          <w:i/>
                          <w:lang w:val="en-US"/>
                        </w:rPr>
                        <m:t>i</m:t>
                      </m:r>
                    </m:sub>
                  </m:sSub>
                  <m:r>
                    <w:rPr>
                      <w:rFonts w:ascii="Cambria Math" w:hAnsi="Cambria Math"/>
                      <w:lang w:val="en-US"/>
                    </w:rPr>
                    <m:t>∙</m:t>
                  </m:r>
                  <m:d>
                    <m:dPr>
                      <m:ctrlPr>
                        <w:rPr>
                          <w:rFonts w:ascii="Cambria Math" w:hAnsi="Cambria Math"/>
                          <w:i/>
                          <w:lang w:val="en-US"/>
                        </w:rPr>
                      </m:ctrlPr>
                    </m:dPr>
                    <m:e>
                      <m:sSub>
                        <m:sSubPr>
                          <m:ctrlPr>
                            <w:rPr>
                              <w:rFonts w:ascii="Cambria Math" w:hAnsi="Cambria Math"/>
                              <w:i/>
                            </w:rPr>
                          </m:ctrlPr>
                        </m:sSubPr>
                        <m:e>
                          <m:r>
                            <m:rPr>
                              <m:nor/>
                            </m:rPr>
                            <w:rPr>
                              <w:iCs/>
                            </w:rPr>
                            <m:t>α</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rPr>
                            <m:t>β</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R</m:t>
                          </m:r>
                        </m:e>
                        <m:sub>
                          <m:r>
                            <m:rPr>
                              <m:nor/>
                            </m:rPr>
                            <w:rPr>
                              <w:i/>
                              <w:lang w:val="en-US"/>
                            </w:rPr>
                            <m:t>M</m:t>
                          </m:r>
                        </m:sub>
                      </m:sSub>
                      <m:r>
                        <w:rPr>
                          <w:rFonts w:ascii="Cambria Math" w:hAnsi="Cambria Math"/>
                          <w:lang w:val="en-US"/>
                        </w:rPr>
                        <m:t>+</m:t>
                      </m:r>
                      <m:sSub>
                        <m:sSubPr>
                          <m:ctrlPr>
                            <w:rPr>
                              <w:rFonts w:ascii="Cambria Math" w:hAnsi="Cambria Math"/>
                              <w:i/>
                            </w:rPr>
                          </m:ctrlPr>
                        </m:sSubPr>
                        <m:e>
                          <m:r>
                            <m:rPr>
                              <m:nor/>
                            </m:rPr>
                            <w:rPr>
                              <w:i/>
                            </w:rPr>
                            <m:t>ε</m:t>
                          </m:r>
                        </m:e>
                        <m:sub>
                          <m:r>
                            <m:rPr>
                              <m:nor/>
                            </m:rPr>
                            <w:rPr>
                              <w:i/>
                              <w:lang w:val="en-US"/>
                            </w:rPr>
                            <m:t>i</m:t>
                          </m:r>
                        </m:sub>
                      </m:sSub>
                    </m:e>
                  </m:d>
                </m:e>
              </m:nary>
            </m:e>
          </m:d>
          <m:r>
            <w:rPr>
              <w:rFonts w:ascii="Cambria Math" w:eastAsiaTheme="minorEastAsia" w:hAnsi="Cambria Math"/>
            </w:rPr>
            <m:t>⟹</m:t>
          </m:r>
          <m:r>
            <m:rPr>
              <m:sty m:val="p"/>
            </m:rPr>
            <w:rPr>
              <w:rFonts w:ascii="Cambria Math" w:eastAsiaTheme="minorEastAsia" w:hAnsi="Cambria Math"/>
              <w:lang w:val="en-US"/>
            </w:rPr>
            <w:br/>
          </m:r>
        </m:oMath>
        <m:oMath>
          <m:r>
            <w:rPr>
              <w:rFonts w:ascii="Cambria Math" w:eastAsiaTheme="minorEastAsia" w:hAnsi="Cambria Math"/>
            </w:rPr>
            <m:t>⟹</m:t>
          </m:r>
          <m:sSub>
            <m:sSubPr>
              <m:ctrlPr>
                <w:rPr>
                  <w:rFonts w:ascii="Cambria Math" w:hAnsi="Cambria Math"/>
                  <w:i/>
                </w:rPr>
              </m:ctrlPr>
            </m:sSubPr>
            <m:e>
              <m:r>
                <m:rPr>
                  <m:nor/>
                </m:rPr>
                <w:rPr>
                  <w:i/>
                  <w:lang w:val="en-US"/>
                </w:rPr>
                <m:t>R</m:t>
              </m:r>
            </m:e>
            <m:sub>
              <m:r>
                <m:rPr>
                  <m:nor/>
                </m:rPr>
                <w:rPr>
                  <w:i/>
                  <w:lang w:val="en-US"/>
                </w:rPr>
                <m:t>P</m:t>
              </m:r>
            </m:sub>
          </m:sSub>
          <m:r>
            <w:rPr>
              <w:rFonts w:ascii="Cambria Math" w:hAnsi="Cambria Math"/>
              <w:lang w:val="en-US"/>
            </w:rPr>
            <m:t>=</m:t>
          </m:r>
          <m:d>
            <m:dPr>
              <m:ctrlPr>
                <w:rPr>
                  <w:rFonts w:ascii="Cambria Math" w:hAnsi="Cambria Math"/>
                  <w:i/>
                </w:rPr>
              </m:ctrlPr>
            </m:dPr>
            <m:e>
              <m:nary>
                <m:naryPr>
                  <m:chr m:val="∑"/>
                  <m:limLoc m:val="undOvr"/>
                  <m:ctrlPr>
                    <w:rPr>
                      <w:rFonts w:ascii="Cambria Math" w:hAnsi="Cambria Math"/>
                      <w:i/>
                    </w:rPr>
                  </m:ctrlPr>
                </m:naryPr>
                <m:sub>
                  <m:r>
                    <m:rPr>
                      <m:nor/>
                    </m:rPr>
                    <w:rPr>
                      <w:i/>
                      <w:lang w:val="en-US"/>
                    </w:rPr>
                    <m:t>i</m:t>
                  </m:r>
                </m:sub>
                <m:sup>
                  <m:r>
                    <m:rPr>
                      <m:nor/>
                    </m:rPr>
                    <w:rPr>
                      <w:i/>
                      <w:lang w:val="en-US"/>
                    </w:rPr>
                    <m:t>n</m:t>
                  </m:r>
                </m:sup>
                <m:e>
                  <m:sSub>
                    <m:sSubPr>
                      <m:ctrlPr>
                        <w:rPr>
                          <w:rFonts w:ascii="Cambria Math" w:hAnsi="Cambria Math"/>
                          <w:i/>
                        </w:rPr>
                      </m:ctrlPr>
                    </m:sSubPr>
                    <m:e>
                      <m:r>
                        <m:rPr>
                          <m:nor/>
                        </m:rPr>
                        <w:rPr>
                          <w:i/>
                          <w:lang w:val="en-US"/>
                        </w:rPr>
                        <m:t>w</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Cs/>
                        </w:rPr>
                        <m:t>α</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rPr>
                        <m:t>β</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R</m:t>
                      </m:r>
                    </m:e>
                    <m:sub>
                      <m:r>
                        <m:rPr>
                          <m:nor/>
                        </m:rPr>
                        <w:rPr>
                          <w:i/>
                          <w:lang w:val="en-US"/>
                        </w:rPr>
                        <m:t>M</m:t>
                      </m:r>
                    </m:sub>
                  </m:sSub>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rPr>
                        <m:t>ε</m:t>
                      </m:r>
                    </m:e>
                    <m:sub>
                      <m:r>
                        <m:rPr>
                          <m:nor/>
                        </m:rPr>
                        <w:rPr>
                          <w:i/>
                          <w:lang w:val="en-US"/>
                        </w:rPr>
                        <m:t>i</m:t>
                      </m:r>
                    </m:sub>
                  </m:sSub>
                </m:e>
              </m:nary>
            </m:e>
          </m:d>
        </m:oMath>
      </m:oMathPara>
    </w:p>
    <w:p w14:paraId="230FC08A" w14:textId="77777777" w:rsidR="002546DF" w:rsidRDefault="002546DF" w:rsidP="00EF7D11">
      <w:pPr>
        <w:pStyle w:val="Nivel3SM"/>
        <w:keepNext/>
      </w:pPr>
      <w:r>
        <w:t>Tenemos en cuenta además que:</w:t>
      </w:r>
    </w:p>
    <w:p w14:paraId="540D00BB" w14:textId="13060266" w:rsidR="002546DF" w:rsidRDefault="002546DF" w:rsidP="00EF7D11">
      <w:pPr>
        <w:pStyle w:val="Nivel4"/>
        <w:ind w:left="1474"/>
      </w:pPr>
      <w:r>
        <w:t>La perturbación aleatoria (</w:t>
      </w:r>
      <m:oMath>
        <m:sSub>
          <m:sSubPr>
            <m:ctrlPr>
              <w:rPr>
                <w:rFonts w:ascii="Cambria Math" w:hAnsi="Cambria Math"/>
                <w:i/>
              </w:rPr>
            </m:ctrlPr>
          </m:sSubPr>
          <m:e>
            <m:r>
              <m:rPr>
                <m:nor/>
              </m:rPr>
              <w:rPr>
                <w:i/>
              </w:rPr>
              <m:t>ε</m:t>
            </m:r>
          </m:e>
          <m:sub>
            <m:r>
              <m:rPr>
                <m:nor/>
              </m:rPr>
              <w:rPr>
                <w:i/>
              </w:rPr>
              <m:t>i</m:t>
            </m:r>
          </m:sub>
        </m:sSub>
      </m:oMath>
      <w:r>
        <w:t>) es un ruido blanco que se comporta siguiendo una distribución normal de media cero (</w:t>
      </w:r>
      <w:r w:rsidRPr="00A34FB9">
        <w:rPr>
          <w:spacing w:val="-3"/>
        </w:rPr>
        <w:t>es cero porque los errores tienden a compensarse por término medio</w:t>
      </w:r>
      <w:r>
        <w:t xml:space="preserve">) y varianza </w:t>
      </w:r>
      <m:oMath>
        <m:sSubSup>
          <m:sSubSupPr>
            <m:ctrlPr>
              <w:rPr>
                <w:rFonts w:ascii="Cambria Math" w:hAnsi="Cambria Math"/>
                <w:i/>
              </w:rPr>
            </m:ctrlPr>
          </m:sSubSupPr>
          <m:e>
            <m:r>
              <m:rPr>
                <m:nor/>
              </m:rPr>
              <w:rPr>
                <w:i/>
              </w:rPr>
              <m:t>σ</m:t>
            </m:r>
          </m:e>
          <m:sub>
            <m:r>
              <m:rPr>
                <m:nor/>
              </m:rPr>
              <w:rPr>
                <w:i/>
              </w:rPr>
              <m:t>i</m:t>
            </m:r>
          </m:sub>
          <m:sup>
            <m:r>
              <m:rPr>
                <m:nor/>
              </m:rPr>
              <w:rPr>
                <w:i/>
              </w:rPr>
              <m:t>2</m:t>
            </m:r>
          </m:sup>
        </m:sSubSup>
      </m:oMath>
      <w:r>
        <w:rPr>
          <w:rFonts w:eastAsiaTheme="minorEastAsia"/>
        </w:rPr>
        <w:t xml:space="preserve"> (</w:t>
      </w:r>
      <w:r>
        <w:t>de modo que la varianza del error toma valor finito y distinto para cada título</w:t>
      </w:r>
      <w:r>
        <w:rPr>
          <w:rFonts w:eastAsiaTheme="minorEastAsia"/>
        </w:rPr>
        <w:t>)</w:t>
      </w:r>
      <w:r>
        <w:t>.</w:t>
      </w:r>
    </w:p>
    <w:p w14:paraId="11E1DA02" w14:textId="77777777" w:rsidR="002546DF" w:rsidRDefault="002546DF" w:rsidP="00EF7D11">
      <w:pPr>
        <w:pStyle w:val="Nivel4"/>
        <w:ind w:left="1474"/>
      </w:pPr>
      <w:r>
        <w:t>No existe correlación entre la perturbación aleatoria y el índice del mercado.</w:t>
      </w:r>
    </w:p>
    <w:p w14:paraId="0777588D" w14:textId="3AFD4EA8" w:rsidR="00F229B0" w:rsidRPr="005F6235" w:rsidRDefault="00F229B0" w:rsidP="00E131D7">
      <w:pPr>
        <w:pStyle w:val="Nivel2SM"/>
        <w:keepNext/>
        <w:spacing w:after="0"/>
      </w:pPr>
      <w:r w:rsidRPr="005F6235">
        <w:lastRenderedPageBreak/>
        <w:t>El riesgo de la cartera se podría expresar como:</w:t>
      </w:r>
    </w:p>
    <w:p w14:paraId="69E09ABC" w14:textId="5C516152" w:rsidR="00F229B0" w:rsidRPr="005F6235" w:rsidRDefault="00F229B0" w:rsidP="00F229B0">
      <w:pPr>
        <w:pStyle w:val="Nivel2SM"/>
        <w:keepNext/>
        <w:numPr>
          <w:ilvl w:val="0"/>
          <w:numId w:val="0"/>
        </w:numPr>
        <w:spacing w:after="0"/>
        <w:ind w:left="567"/>
      </w:pPr>
      <m:oMathPara>
        <m:oMath>
          <m:r>
            <w:rPr>
              <w:rFonts w:ascii="Cambria Math" w:eastAsiaTheme="minorEastAsia" w:hAnsi="Cambria Math"/>
              <w:noProof/>
            </w:rPr>
            <m:t xml:space="preserve"> </m:t>
          </m:r>
          <m:r>
            <m:rPr>
              <m:nor/>
            </m:rPr>
            <w:rPr>
              <w:i/>
            </w:rPr>
            <m:t>var</m:t>
          </m:r>
          <m:d>
            <m:dPr>
              <m:ctrlPr>
                <w:rPr>
                  <w:rFonts w:ascii="Cambria Math" w:hAnsi="Cambria Math"/>
                  <w:i/>
                </w:rPr>
              </m:ctrlPr>
            </m:dPr>
            <m:e>
              <m:sSub>
                <m:sSubPr>
                  <m:ctrlPr>
                    <w:rPr>
                      <w:rFonts w:ascii="Cambria Math" w:hAnsi="Cambria Math"/>
                      <w:i/>
                    </w:rPr>
                  </m:ctrlPr>
                </m:sSubPr>
                <m:e>
                  <m:r>
                    <m:rPr>
                      <m:nor/>
                    </m:rPr>
                    <w:rPr>
                      <w:i/>
                    </w:rPr>
                    <m:t>R</m:t>
                  </m:r>
                </m:e>
                <m:sub>
                  <m:r>
                    <m:rPr>
                      <m:nor/>
                    </m:rPr>
                    <w:rPr>
                      <w:i/>
                    </w:rPr>
                    <m:t>P</m:t>
                  </m:r>
                </m:sub>
              </m:sSub>
            </m:e>
          </m:d>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nary>
                        <m:naryPr>
                          <m:chr m:val="∑"/>
                          <m:limLoc m:val="undOvr"/>
                          <m:ctrlPr>
                            <w:rPr>
                              <w:rFonts w:ascii="Cambria Math" w:hAnsi="Cambria Math"/>
                              <w:i/>
                            </w:rPr>
                          </m:ctrlPr>
                        </m:naryPr>
                        <m:sub>
                          <m:r>
                            <m:rPr>
                              <m:nor/>
                            </m:rPr>
                            <w:rPr>
                              <w:i/>
                            </w:rPr>
                            <m:t>i</m:t>
                          </m:r>
                        </m:sub>
                        <m:sup>
                          <m:r>
                            <m:rPr>
                              <m:nor/>
                            </m:rPr>
                            <w:rPr>
                              <w:i/>
                            </w:rPr>
                            <m:t>n</m:t>
                          </m:r>
                        </m:sup>
                        <m:e>
                          <m:sSup>
                            <m:sSupPr>
                              <m:ctrlPr>
                                <w:rPr>
                                  <w:rFonts w:ascii="Cambria Math" w:hAnsi="Cambria Math"/>
                                  <w:i/>
                                </w:rPr>
                              </m:ctrlPr>
                            </m:sSupPr>
                            <m:e>
                              <m:sSub>
                                <m:sSubPr>
                                  <m:ctrlPr>
                                    <w:rPr>
                                      <w:rFonts w:ascii="Cambria Math" w:hAnsi="Cambria Math"/>
                                      <w:i/>
                                    </w:rPr>
                                  </m:ctrlPr>
                                </m:sSubPr>
                                <m:e>
                                  <m:r>
                                    <m:rPr>
                                      <m:nor/>
                                    </m:rPr>
                                    <w:rPr>
                                      <w:i/>
                                    </w:rPr>
                                    <m:t>w</m:t>
                                  </m:r>
                                </m:e>
                                <m:sub>
                                  <m:r>
                                    <m:rPr>
                                      <m:nor/>
                                    </m:rPr>
                                    <w:rPr>
                                      <w:i/>
                                    </w:rPr>
                                    <m:t>i</m:t>
                                  </m:r>
                                </m:sub>
                              </m:sSub>
                            </m:e>
                            <m:sup>
                              <m:r>
                                <m:rPr>
                                  <m:nor/>
                                </m:rPr>
                                <w:rPr>
                                  <w:i/>
                                </w:rPr>
                                <m:t>2</m:t>
                              </m:r>
                            </m:sup>
                          </m:sSup>
                          <m:r>
                            <w:rPr>
                              <w:rFonts w:ascii="Cambria Math" w:hAnsi="Cambria Math"/>
                            </w:rPr>
                            <m:t>∙</m:t>
                          </m:r>
                          <m:sSup>
                            <m:sSupPr>
                              <m:ctrlPr>
                                <w:rPr>
                                  <w:rFonts w:ascii="Cambria Math" w:hAnsi="Cambria Math"/>
                                  <w:i/>
                                </w:rPr>
                              </m:ctrlPr>
                            </m:sSupPr>
                            <m:e>
                              <m:sSub>
                                <m:sSubPr>
                                  <m:ctrlPr>
                                    <w:rPr>
                                      <w:rFonts w:ascii="Cambria Math" w:hAnsi="Cambria Math"/>
                                      <w:i/>
                                    </w:rPr>
                                  </m:ctrlPr>
                                </m:sSubPr>
                                <m:e>
                                  <m:r>
                                    <m:rPr>
                                      <m:nor/>
                                    </m:rPr>
                                    <w:rPr>
                                      <w:i/>
                                    </w:rPr>
                                    <m:t>β</m:t>
                                  </m:r>
                                </m:e>
                                <m:sub>
                                  <m:r>
                                    <m:rPr>
                                      <m:nor/>
                                    </m:rPr>
                                    <w:rPr>
                                      <w:i/>
                                    </w:rPr>
                                    <m:t>i</m:t>
                                  </m:r>
                                </m:sub>
                              </m:sSub>
                            </m:e>
                            <m:sup>
                              <m:r>
                                <m:rPr>
                                  <m:nor/>
                                </m:rPr>
                                <w:rPr>
                                  <w:i/>
                                </w:rPr>
                                <m:t>2</m:t>
                              </m:r>
                            </m:sup>
                          </m:sSup>
                        </m:e>
                      </m:nary>
                    </m:e>
                  </m:d>
                </m:e>
              </m:groupChr>
            </m:e>
            <m:lim>
              <m:sSup>
                <m:sSupPr>
                  <m:ctrlPr>
                    <w:rPr>
                      <w:rFonts w:ascii="Cambria Math" w:hAnsi="Cambria Math"/>
                      <w:i/>
                    </w:rPr>
                  </m:ctrlPr>
                </m:sSupPr>
                <m:e>
                  <m:sSub>
                    <m:sSubPr>
                      <m:ctrlPr>
                        <w:rPr>
                          <w:rFonts w:ascii="Cambria Math" w:hAnsi="Cambria Math"/>
                          <w:i/>
                        </w:rPr>
                      </m:ctrlPr>
                    </m:sSubPr>
                    <m:e>
                      <m:r>
                        <m:rPr>
                          <m:nor/>
                        </m:rPr>
                        <w:rPr>
                          <w:i/>
                        </w:rPr>
                        <m:t>β</m:t>
                      </m:r>
                    </m:e>
                    <m:sub>
                      <m:r>
                        <m:rPr>
                          <m:nor/>
                        </m:rPr>
                        <w:rPr>
                          <w:i/>
                        </w:rPr>
                        <m:t>P</m:t>
                      </m:r>
                    </m:sub>
                  </m:sSub>
                </m:e>
                <m:sup>
                  <m:r>
                    <m:rPr>
                      <m:nor/>
                    </m:rPr>
                    <w:rPr>
                      <w:i/>
                    </w:rPr>
                    <m:t>2</m:t>
                  </m:r>
                </m:sup>
              </m:sSup>
            </m:lim>
          </m:limLow>
          <m:r>
            <w:rPr>
              <w:rFonts w:ascii="Cambria Math" w:eastAsiaTheme="minorEastAsia" w:hAnsi="Cambria Math"/>
              <w:noProof/>
            </w:rPr>
            <m:t>∙</m:t>
          </m:r>
          <m:sSubSup>
            <m:sSubSupPr>
              <m:ctrlPr>
                <w:rPr>
                  <w:rFonts w:ascii="Cambria Math" w:hAnsi="Cambria Math"/>
                  <w:i/>
                </w:rPr>
              </m:ctrlPr>
            </m:sSubSupPr>
            <m:e>
              <m:r>
                <m:rPr>
                  <m:nor/>
                </m:rPr>
                <w:rPr>
                  <w:i/>
                  <w:iCs/>
                </w:rPr>
                <m:t>σ</m:t>
              </m:r>
            </m:e>
            <m:sub>
              <m:r>
                <m:rPr>
                  <m:nor/>
                </m:rPr>
                <w:rPr>
                  <w:i/>
                </w:rPr>
                <m:t>M</m:t>
              </m:r>
            </m:sub>
            <m:sup>
              <m:r>
                <m:rPr>
                  <m:nor/>
                </m:rPr>
                <w:rPr>
                  <w:i/>
                </w:rPr>
                <m:t>2</m:t>
              </m:r>
            </m:sup>
          </m:sSubSup>
          <m:r>
            <w:rPr>
              <w:rFonts w:ascii="Cambria Math" w:hAnsi="Cambria Math"/>
            </w:rPr>
            <m:t>+</m:t>
          </m:r>
          <m:nary>
            <m:naryPr>
              <m:chr m:val="∑"/>
              <m:limLoc m:val="undOvr"/>
              <m:ctrlPr>
                <w:rPr>
                  <w:rFonts w:ascii="Cambria Math" w:hAnsi="Cambria Math"/>
                  <w:i/>
                </w:rPr>
              </m:ctrlPr>
            </m:naryPr>
            <m:sub>
              <m:r>
                <m:rPr>
                  <m:nor/>
                </m:rPr>
                <w:rPr>
                  <w:i/>
                </w:rPr>
                <m:t>i</m:t>
              </m:r>
            </m:sub>
            <m:sup>
              <m:r>
                <m:rPr>
                  <m:nor/>
                </m:rPr>
                <w:rPr>
                  <w:i/>
                </w:rPr>
                <m:t>n</m:t>
              </m:r>
            </m:sup>
            <m:e>
              <m:sSup>
                <m:sSupPr>
                  <m:ctrlPr>
                    <w:rPr>
                      <w:rFonts w:ascii="Cambria Math" w:hAnsi="Cambria Math"/>
                      <w:i/>
                    </w:rPr>
                  </m:ctrlPr>
                </m:sSupPr>
                <m:e>
                  <m:sSub>
                    <m:sSubPr>
                      <m:ctrlPr>
                        <w:rPr>
                          <w:rFonts w:ascii="Cambria Math" w:hAnsi="Cambria Math"/>
                          <w:i/>
                        </w:rPr>
                      </m:ctrlPr>
                    </m:sSubPr>
                    <m:e>
                      <m:r>
                        <m:rPr>
                          <m:nor/>
                        </m:rPr>
                        <w:rPr>
                          <w:i/>
                        </w:rPr>
                        <m:t>w</m:t>
                      </m:r>
                    </m:e>
                    <m:sub>
                      <m:r>
                        <m:rPr>
                          <m:nor/>
                        </m:rPr>
                        <w:rPr>
                          <w:i/>
                        </w:rPr>
                        <m:t>i</m:t>
                      </m:r>
                    </m:sub>
                  </m:sSub>
                </m:e>
                <m:sup>
                  <m:r>
                    <m:rPr>
                      <m:nor/>
                    </m:rPr>
                    <w:rPr>
                      <w:i/>
                    </w:rPr>
                    <m:t>2</m:t>
                  </m:r>
                </m:sup>
              </m:sSup>
              <m:r>
                <w:rPr>
                  <w:rFonts w:ascii="Cambria Math" w:hAnsi="Cambria Math"/>
                </w:rPr>
                <m:t>∙</m:t>
              </m:r>
              <m:sSubSup>
                <m:sSubSupPr>
                  <m:ctrlPr>
                    <w:rPr>
                      <w:rFonts w:ascii="Cambria Math" w:hAnsi="Cambria Math"/>
                      <w:i/>
                    </w:rPr>
                  </m:ctrlPr>
                </m:sSubSupPr>
                <m:e>
                  <m:r>
                    <m:rPr>
                      <m:nor/>
                    </m:rPr>
                    <w:rPr>
                      <w:i/>
                      <w:iCs/>
                    </w:rPr>
                    <m:t>σ</m:t>
                  </m:r>
                </m:e>
                <m:sub>
                  <m:sSub>
                    <m:sSubPr>
                      <m:ctrlPr>
                        <w:rPr>
                          <w:rFonts w:ascii="Cambria Math" w:hAnsi="Cambria Math"/>
                          <w:i/>
                        </w:rPr>
                      </m:ctrlPr>
                    </m:sSubPr>
                    <m:e>
                      <m:r>
                        <m:rPr>
                          <m:nor/>
                        </m:rPr>
                        <w:rPr>
                          <w:i/>
                        </w:rPr>
                        <m:t>ε</m:t>
                      </m:r>
                    </m:e>
                    <m:sub>
                      <m:r>
                        <m:rPr>
                          <m:nor/>
                        </m:rPr>
                        <w:rPr>
                          <w:i/>
                        </w:rPr>
                        <m:t>i</m:t>
                      </m:r>
                    </m:sub>
                  </m:sSub>
                </m:sub>
                <m:sup>
                  <m:r>
                    <m:rPr>
                      <m:nor/>
                    </m:rPr>
                    <w:rPr>
                      <w:i/>
                    </w:rPr>
                    <m:t>2</m:t>
                  </m:r>
                </m:sup>
              </m:sSubSup>
            </m:e>
          </m:nary>
          <m:r>
            <w:rPr>
              <w:rFonts w:ascii="Cambria Math" w:eastAsiaTheme="minorEastAsia" w:hAnsi="Cambria Math"/>
            </w:rPr>
            <m:t>⟹</m:t>
          </m:r>
          <m:borderBox>
            <m:borderBoxPr>
              <m:ctrlPr>
                <w:rPr>
                  <w:rFonts w:ascii="Cambria Math" w:hAnsi="Cambria Math"/>
                  <w:i/>
                </w:rPr>
              </m:ctrlPr>
            </m:borderBoxPr>
            <m:e>
              <m:sSubSup>
                <m:sSubSupPr>
                  <m:ctrlPr>
                    <w:rPr>
                      <w:rFonts w:ascii="Cambria Math" w:hAnsi="Cambria Math"/>
                      <w:i/>
                    </w:rPr>
                  </m:ctrlPr>
                </m:sSubSupPr>
                <m:e>
                  <m:r>
                    <m:rPr>
                      <m:nor/>
                    </m:rPr>
                    <w:rPr>
                      <w:i/>
                      <w:iCs/>
                    </w:rPr>
                    <m:t>σ</m:t>
                  </m:r>
                </m:e>
                <m:sub>
                  <m:r>
                    <m:rPr>
                      <m:nor/>
                    </m:rPr>
                    <w:rPr>
                      <w:i/>
                    </w:rPr>
                    <m:t>P</m:t>
                  </m:r>
                </m:sub>
                <m:sup>
                  <m:r>
                    <m:rPr>
                      <m:nor/>
                    </m:rPr>
                    <w:rPr>
                      <w:i/>
                    </w:rPr>
                    <m:t>2</m:t>
                  </m:r>
                </m:sup>
              </m:sSubSup>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p>
                        <m:sSupPr>
                          <m:ctrlPr>
                            <w:rPr>
                              <w:rFonts w:ascii="Cambria Math" w:hAnsi="Cambria Math"/>
                              <w:i/>
                            </w:rPr>
                          </m:ctrlPr>
                        </m:sSupPr>
                        <m:e>
                          <m:sSub>
                            <m:sSubPr>
                              <m:ctrlPr>
                                <w:rPr>
                                  <w:rFonts w:ascii="Cambria Math" w:hAnsi="Cambria Math"/>
                                  <w:i/>
                                </w:rPr>
                              </m:ctrlPr>
                            </m:sSubPr>
                            <m:e>
                              <m:r>
                                <m:rPr>
                                  <m:nor/>
                                </m:rPr>
                                <w:rPr>
                                  <w:i/>
                                </w:rPr>
                                <m:t>β</m:t>
                              </m:r>
                            </m:e>
                            <m:sub>
                              <m:r>
                                <m:rPr>
                                  <m:nor/>
                                </m:rPr>
                                <w:rPr>
                                  <w:i/>
                                </w:rPr>
                                <m:t>P</m:t>
                              </m:r>
                            </m:sub>
                          </m:sSub>
                        </m:e>
                        <m:sup>
                          <m:r>
                            <m:rPr>
                              <m:nor/>
                            </m:rPr>
                            <w:rPr>
                              <w:i/>
                            </w:rPr>
                            <m:t>2</m:t>
                          </m:r>
                        </m:sup>
                      </m:sSup>
                      <m:r>
                        <w:rPr>
                          <w:rFonts w:ascii="Cambria Math" w:eastAsiaTheme="minorEastAsia" w:hAnsi="Cambria Math"/>
                          <w:noProof/>
                        </w:rPr>
                        <m:t>∙</m:t>
                      </m:r>
                      <m:sSubSup>
                        <m:sSubSupPr>
                          <m:ctrlPr>
                            <w:rPr>
                              <w:rFonts w:ascii="Cambria Math" w:hAnsi="Cambria Math"/>
                              <w:i/>
                            </w:rPr>
                          </m:ctrlPr>
                        </m:sSubSupPr>
                        <m:e>
                          <m:r>
                            <m:rPr>
                              <m:nor/>
                            </m:rPr>
                            <w:rPr>
                              <w:i/>
                              <w:iCs/>
                            </w:rPr>
                            <m:t>σ</m:t>
                          </m:r>
                        </m:e>
                        <m:sub>
                          <m:r>
                            <m:rPr>
                              <m:nor/>
                            </m:rPr>
                            <w:rPr>
                              <w:i/>
                            </w:rPr>
                            <m:t>M</m:t>
                          </m:r>
                        </m:sub>
                        <m:sup>
                          <m:r>
                            <m:rPr>
                              <m:nor/>
                            </m:rPr>
                            <w:rPr>
                              <w:i/>
                            </w:rPr>
                            <m:t>2</m:t>
                          </m:r>
                        </m:sup>
                      </m:sSubSup>
                    </m:e>
                  </m:groupChr>
                </m:e>
                <m:lim>
                  <m:r>
                    <m:rPr>
                      <m:nor/>
                    </m:rPr>
                    <w:rPr>
                      <w:i/>
                    </w:rPr>
                    <m:t>Riesgo sistemático</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nary>
                        <m:naryPr>
                          <m:chr m:val="∑"/>
                          <m:limLoc m:val="undOvr"/>
                          <m:ctrlPr>
                            <w:rPr>
                              <w:rFonts w:ascii="Cambria Math" w:hAnsi="Cambria Math"/>
                              <w:i/>
                            </w:rPr>
                          </m:ctrlPr>
                        </m:naryPr>
                        <m:sub>
                          <m:r>
                            <m:rPr>
                              <m:nor/>
                            </m:rPr>
                            <w:rPr>
                              <w:i/>
                            </w:rPr>
                            <m:t>i</m:t>
                          </m:r>
                        </m:sub>
                        <m:sup>
                          <m:r>
                            <m:rPr>
                              <m:nor/>
                            </m:rPr>
                            <w:rPr>
                              <w:i/>
                            </w:rPr>
                            <m:t>n</m:t>
                          </m:r>
                        </m:sup>
                        <m:e>
                          <m:sSup>
                            <m:sSupPr>
                              <m:ctrlPr>
                                <w:rPr>
                                  <w:rFonts w:ascii="Cambria Math" w:hAnsi="Cambria Math"/>
                                  <w:i/>
                                </w:rPr>
                              </m:ctrlPr>
                            </m:sSupPr>
                            <m:e>
                              <m:sSub>
                                <m:sSubPr>
                                  <m:ctrlPr>
                                    <w:rPr>
                                      <w:rFonts w:ascii="Cambria Math" w:hAnsi="Cambria Math"/>
                                      <w:i/>
                                    </w:rPr>
                                  </m:ctrlPr>
                                </m:sSubPr>
                                <m:e>
                                  <m:r>
                                    <m:rPr>
                                      <m:nor/>
                                    </m:rPr>
                                    <w:rPr>
                                      <w:i/>
                                    </w:rPr>
                                    <m:t>w</m:t>
                                  </m:r>
                                </m:e>
                                <m:sub>
                                  <m:r>
                                    <m:rPr>
                                      <m:nor/>
                                    </m:rPr>
                                    <w:rPr>
                                      <w:i/>
                                    </w:rPr>
                                    <m:t>i</m:t>
                                  </m:r>
                                </m:sub>
                              </m:sSub>
                            </m:e>
                            <m:sup>
                              <m:r>
                                <m:rPr>
                                  <m:nor/>
                                </m:rPr>
                                <w:rPr>
                                  <w:i/>
                                </w:rPr>
                                <m:t>2</m:t>
                              </m:r>
                            </m:sup>
                          </m:sSup>
                          <m:r>
                            <w:rPr>
                              <w:rFonts w:ascii="Cambria Math" w:hAnsi="Cambria Math"/>
                            </w:rPr>
                            <m:t>∙</m:t>
                          </m:r>
                          <m:sSubSup>
                            <m:sSubSupPr>
                              <m:ctrlPr>
                                <w:rPr>
                                  <w:rFonts w:ascii="Cambria Math" w:hAnsi="Cambria Math"/>
                                  <w:i/>
                                </w:rPr>
                              </m:ctrlPr>
                            </m:sSubSupPr>
                            <m:e>
                              <m:r>
                                <m:rPr>
                                  <m:nor/>
                                </m:rPr>
                                <w:rPr>
                                  <w:i/>
                                  <w:iCs/>
                                </w:rPr>
                                <m:t>σ</m:t>
                              </m:r>
                            </m:e>
                            <m:sub>
                              <m:sSub>
                                <m:sSubPr>
                                  <m:ctrlPr>
                                    <w:rPr>
                                      <w:rFonts w:ascii="Cambria Math" w:hAnsi="Cambria Math"/>
                                      <w:i/>
                                    </w:rPr>
                                  </m:ctrlPr>
                                </m:sSubPr>
                                <m:e>
                                  <m:r>
                                    <m:rPr>
                                      <m:nor/>
                                    </m:rPr>
                                    <w:rPr>
                                      <w:i/>
                                    </w:rPr>
                                    <m:t>ε</m:t>
                                  </m:r>
                                </m:e>
                                <m:sub>
                                  <m:r>
                                    <m:rPr>
                                      <m:nor/>
                                    </m:rPr>
                                    <w:rPr>
                                      <w:i/>
                                    </w:rPr>
                                    <m:t>i</m:t>
                                  </m:r>
                                </m:sub>
                              </m:sSub>
                            </m:sub>
                            <m:sup>
                              <m:r>
                                <m:rPr>
                                  <m:nor/>
                                </m:rPr>
                                <w:rPr>
                                  <w:i/>
                                </w:rPr>
                                <m:t>2</m:t>
                              </m:r>
                            </m:sup>
                          </m:sSubSup>
                        </m:e>
                      </m:nary>
                    </m:e>
                  </m:groupChr>
                </m:e>
                <m:lim>
                  <m:eqArr>
                    <m:eqArrPr>
                      <m:ctrlPr>
                        <w:rPr>
                          <w:rFonts w:ascii="Cambria Math" w:hAnsi="Cambria Math"/>
                          <w:i/>
                          <w:lang w:val="en-US"/>
                        </w:rPr>
                      </m:ctrlPr>
                    </m:eqArrPr>
                    <m:e>
                      <m:r>
                        <m:rPr>
                          <m:nor/>
                        </m:rPr>
                        <w:rPr>
                          <w:i/>
                        </w:rPr>
                        <m:t>Riesgo diversificable</m:t>
                      </m:r>
                    </m:e>
                    <m:e>
                      <m:r>
                        <m:rPr>
                          <m:nor/>
                        </m:rPr>
                        <w:rPr>
                          <w:i/>
                        </w:rPr>
                        <m:t>o riesgo específico</m:t>
                      </m:r>
                    </m:e>
                  </m:eqArr>
                </m:lim>
              </m:limLow>
            </m:e>
          </m:borderBox>
        </m:oMath>
      </m:oMathPara>
    </w:p>
    <w:p w14:paraId="77FA443F" w14:textId="68F5425C" w:rsidR="00F229B0" w:rsidRPr="005F6235" w:rsidRDefault="00F229B0" w:rsidP="00E131D7">
      <w:pPr>
        <w:pStyle w:val="Nivel3SM"/>
      </w:pPr>
      <w:r w:rsidRPr="005F6235">
        <w:t xml:space="preserve">El </w:t>
      </w:r>
      <w:r w:rsidR="005F6235" w:rsidRPr="005F6235">
        <w:t>primer</w:t>
      </w:r>
      <w:r w:rsidRPr="005F6235">
        <w:t xml:space="preserve"> término representa </w:t>
      </w:r>
      <w:r w:rsidR="00704F11" w:rsidRPr="005F6235">
        <w:t xml:space="preserve">el </w:t>
      </w:r>
      <w:r w:rsidR="00704F11" w:rsidRPr="005F6235">
        <w:rPr>
          <w:i/>
          <w:iCs/>
          <w:u w:val="single"/>
        </w:rPr>
        <w:t>riesgo sistemático</w:t>
      </w:r>
      <w:r w:rsidR="00704F11" w:rsidRPr="005F6235">
        <w:t xml:space="preserve"> a través de </w:t>
      </w:r>
      <w:r w:rsidRPr="005F6235">
        <w:t xml:space="preserve">la </w:t>
      </w:r>
      <m:oMath>
        <m:r>
          <m:rPr>
            <m:nor/>
          </m:rPr>
          <w:rPr>
            <w:i/>
          </w:rPr>
          <m:t>β</m:t>
        </m:r>
      </m:oMath>
      <w:r w:rsidRPr="005F6235">
        <w:t xml:space="preserve"> de la cartera (</w:t>
      </w:r>
      <m:oMath>
        <m:sSub>
          <m:sSubPr>
            <m:ctrlPr>
              <w:rPr>
                <w:rFonts w:ascii="Cambria Math" w:hAnsi="Cambria Math"/>
                <w:i/>
              </w:rPr>
            </m:ctrlPr>
          </m:sSubPr>
          <m:e>
            <m:r>
              <m:rPr>
                <m:nor/>
              </m:rPr>
              <w:rPr>
                <w:i/>
              </w:rPr>
              <m:t>β</m:t>
            </m:r>
          </m:e>
          <m:sub>
            <m:r>
              <m:rPr>
                <m:nor/>
              </m:rPr>
              <w:rPr>
                <w:i/>
              </w:rPr>
              <m:t>P</m:t>
            </m:r>
          </m:sub>
        </m:sSub>
      </m:oMath>
      <w:r w:rsidRPr="005F6235">
        <w:t>), que se define como la suma de las betas individuales de cada título ponderadas cada una de ellas por el peso de la acción en la cartera del inversor</w:t>
      </w:r>
      <w:r w:rsidR="005F6235">
        <w:t xml:space="preserve"> e </w:t>
      </w:r>
      <w:r w:rsidR="005F6235" w:rsidRPr="005F6235">
        <w:rPr>
          <w:rFonts w:eastAsiaTheme="minorEastAsia"/>
        </w:rPr>
        <w:t>indica el grado de respuesta de la rentabilidad de la cartera a los cambios en el índice.</w:t>
      </w:r>
    </w:p>
    <w:p w14:paraId="11073C13" w14:textId="0E34C5F3" w:rsidR="005F6235" w:rsidRPr="005F6235" w:rsidRDefault="005F6235" w:rsidP="00E131D7">
      <w:pPr>
        <w:pStyle w:val="Nivel3SM"/>
      </w:pPr>
      <w:r w:rsidRPr="005F6235">
        <w:t xml:space="preserve">El segundo término refleja el </w:t>
      </w:r>
      <w:r w:rsidRPr="005F6235">
        <w:rPr>
          <w:i/>
          <w:iCs/>
          <w:u w:val="single"/>
        </w:rPr>
        <w:t>riesgo diversificable</w:t>
      </w:r>
      <w:r w:rsidRPr="005F6235">
        <w:t xml:space="preserve">. Si por simplicidad suponemos que se invierte en todos los activos por igual (i.e. </w:t>
      </w:r>
      <m:oMath>
        <m:sSub>
          <m:sSubPr>
            <m:ctrlPr>
              <w:rPr>
                <w:rFonts w:ascii="Cambria Math" w:hAnsi="Cambria Math"/>
                <w:i/>
              </w:rPr>
            </m:ctrlPr>
          </m:sSubPr>
          <m:e>
            <m:r>
              <m:rPr>
                <m:nor/>
              </m:rPr>
              <w:rPr>
                <w:i/>
              </w:rPr>
              <m:t>w</m:t>
            </m:r>
          </m:e>
          <m:sub>
            <m:r>
              <m:rPr>
                <m:nor/>
              </m:rPr>
              <w:rPr>
                <w:i/>
              </w:rPr>
              <m:t>i</m:t>
            </m:r>
          </m:sub>
        </m:sSub>
        <m:r>
          <w:rPr>
            <w:rFonts w:ascii="Cambria Math" w:hAnsi="Cambria Math"/>
          </w:rPr>
          <m:t>=</m:t>
        </m:r>
        <m:f>
          <m:fPr>
            <m:type m:val="lin"/>
            <m:ctrlPr>
              <w:rPr>
                <w:rFonts w:ascii="Cambria Math" w:hAnsi="Cambria Math"/>
                <w:i/>
              </w:rPr>
            </m:ctrlPr>
          </m:fPr>
          <m:num>
            <m:r>
              <m:rPr>
                <m:nor/>
              </m:rPr>
              <w:rPr>
                <w:i/>
              </w:rPr>
              <m:t>1</m:t>
            </m:r>
          </m:num>
          <m:den>
            <m:r>
              <m:rPr>
                <m:nor/>
              </m:rPr>
              <w:rPr>
                <w:i/>
              </w:rPr>
              <m:t>n</m:t>
            </m:r>
          </m:den>
        </m:f>
      </m:oMath>
      <w:r w:rsidRPr="005F6235">
        <w:t>)</w:t>
      </w:r>
      <w:r w:rsidRPr="005F6235">
        <w:rPr>
          <w:rFonts w:eastAsiaTheme="minorEastAsia"/>
        </w:rPr>
        <w:t xml:space="preserve">, conforme </w:t>
      </w:r>
      <w:r w:rsidRPr="005F6235">
        <w:rPr>
          <w:rFonts w:eastAsiaTheme="minorEastAsia"/>
          <w:i/>
          <w:iCs/>
        </w:rPr>
        <w:t>n</w:t>
      </w:r>
      <w:r w:rsidRPr="005F6235">
        <w:rPr>
          <w:rFonts w:eastAsiaTheme="minorEastAsia"/>
        </w:rPr>
        <w:t xml:space="preserve"> aumenta, </w:t>
      </w:r>
      <m:oMath>
        <m:sSub>
          <m:sSubPr>
            <m:ctrlPr>
              <w:rPr>
                <w:rFonts w:ascii="Cambria Math" w:hAnsi="Cambria Math"/>
                <w:i/>
              </w:rPr>
            </m:ctrlPr>
          </m:sSubPr>
          <m:e>
            <m:r>
              <m:rPr>
                <m:nor/>
              </m:rPr>
              <w:rPr>
                <w:i/>
              </w:rPr>
              <m:t>w</m:t>
            </m:r>
          </m:e>
          <m:sub>
            <m:r>
              <m:rPr>
                <m:nor/>
              </m:rPr>
              <w:rPr>
                <w:i/>
              </w:rPr>
              <m:t>i</m:t>
            </m:r>
          </m:sub>
        </m:sSub>
      </m:oMath>
      <w:r w:rsidRPr="005F6235">
        <w:rPr>
          <w:rFonts w:eastAsiaTheme="minorEastAsia"/>
        </w:rPr>
        <w:t xml:space="preserve"> disminuye, y esto reduce el </w:t>
      </w:r>
      <w:r>
        <w:rPr>
          <w:rFonts w:eastAsiaTheme="minorEastAsia"/>
        </w:rPr>
        <w:t>segundo</w:t>
      </w:r>
      <w:r w:rsidRPr="005F6235">
        <w:rPr>
          <w:rFonts w:eastAsiaTheme="minorEastAsia"/>
        </w:rPr>
        <w:t xml:space="preserve"> </w:t>
      </w:r>
      <w:r w:rsidRPr="005F6235">
        <w:t>componente del riesgo de la cartera.</w:t>
      </w:r>
      <w:r w:rsidR="00F44649">
        <w:t xml:space="preserve"> Es decir,</w:t>
      </w:r>
      <w:r w:rsidRPr="005F6235">
        <w:t xml:space="preserve"> </w:t>
      </w:r>
      <w:r w:rsidR="00F44649">
        <w:t>s</w:t>
      </w:r>
      <w:r w:rsidRPr="005F6235">
        <w:t xml:space="preserve">i </w:t>
      </w:r>
      <w:r w:rsidRPr="005F6235">
        <w:rPr>
          <w:i/>
          <w:iCs/>
        </w:rPr>
        <w:t>n</w:t>
      </w:r>
      <w:r w:rsidRPr="005F6235">
        <w:t xml:space="preserve"> tiende a infinito, el </w:t>
      </w:r>
      <w:r w:rsidR="00014777">
        <w:t>segundo</w:t>
      </w:r>
      <w:r w:rsidRPr="005F6235">
        <w:t xml:space="preserve"> componente tiende a cero.</w:t>
      </w:r>
    </w:p>
    <w:p w14:paraId="571925FD" w14:textId="4E6A9F2E" w:rsidR="00F229B0" w:rsidRPr="0094148F" w:rsidRDefault="00F229B0" w:rsidP="005F6235">
      <w:pPr>
        <w:pStyle w:val="Nivel4"/>
        <w:keepNext/>
        <w:ind w:left="1474"/>
        <w:rPr>
          <w:highlight w:val="yellow"/>
        </w:rPr>
      </w:pPr>
      <w:r w:rsidRPr="0094148F">
        <w:rPr>
          <w:highlight w:val="yellow"/>
        </w:rPr>
        <w:t xml:space="preserve">NOTA (no cantar): A qué tiende el </w:t>
      </w:r>
      <w:r w:rsidR="005F6235">
        <w:rPr>
          <w:highlight w:val="yellow"/>
        </w:rPr>
        <w:t>primer</w:t>
      </w:r>
      <w:r w:rsidRPr="0094148F">
        <w:rPr>
          <w:highlight w:val="yellow"/>
        </w:rPr>
        <w:t xml:space="preserve"> componente. Explicación para este caso:</w:t>
      </w:r>
    </w:p>
    <w:p w14:paraId="3C58DDEE" w14:textId="04139BDE" w:rsidR="00704F11" w:rsidRPr="0094148F" w:rsidRDefault="00000000" w:rsidP="0094148F">
      <w:pPr>
        <w:spacing w:after="0"/>
        <w:ind w:left="720"/>
        <w:jc w:val="center"/>
        <w:rPr>
          <w:rFonts w:eastAsiaTheme="minorEastAsia"/>
          <w:highlight w:val="yellow"/>
          <w:lang w:val="en-US"/>
        </w:rPr>
      </w:pPr>
      <m:oMathPara>
        <m:oMath>
          <m:func>
            <m:funcPr>
              <m:ctrlPr>
                <w:rPr>
                  <w:rFonts w:ascii="Cambria Math" w:hAnsi="Cambria Math"/>
                  <w:i/>
                  <w:highlight w:val="yellow"/>
                </w:rPr>
              </m:ctrlPr>
            </m:funcPr>
            <m:fName>
              <m:limLow>
                <m:limLowPr>
                  <m:ctrlPr>
                    <w:rPr>
                      <w:rFonts w:ascii="Cambria Math" w:hAnsi="Cambria Math"/>
                      <w:i/>
                      <w:highlight w:val="yellow"/>
                    </w:rPr>
                  </m:ctrlPr>
                </m:limLowPr>
                <m:e>
                  <m:r>
                    <m:rPr>
                      <m:nor/>
                    </m:rPr>
                    <w:rPr>
                      <w:i/>
                      <w:iCs/>
                      <w:highlight w:val="yellow"/>
                      <w:lang w:val="en-US"/>
                    </w:rPr>
                    <m:t>lim</m:t>
                  </m:r>
                </m:e>
                <m:lim>
                  <m:r>
                    <m:rPr>
                      <m:nor/>
                    </m:rPr>
                    <w:rPr>
                      <w:i/>
                      <w:highlight w:val="yellow"/>
                      <w:lang w:val="en-US"/>
                    </w:rPr>
                    <m:t>n</m:t>
                  </m:r>
                  <m:r>
                    <w:rPr>
                      <w:rFonts w:ascii="Cambria Math" w:hAnsi="Cambria Math"/>
                      <w:highlight w:val="yellow"/>
                      <w:lang w:val="en-US"/>
                    </w:rPr>
                    <m:t>→+∞</m:t>
                  </m:r>
                </m:lim>
              </m:limLow>
            </m:fName>
            <m:e>
              <m:d>
                <m:dPr>
                  <m:begChr m:val="["/>
                  <m:endChr m:val="]"/>
                  <m:ctrlPr>
                    <w:rPr>
                      <w:rFonts w:ascii="Cambria Math" w:hAnsi="Cambria Math"/>
                      <w:i/>
                      <w:highlight w:val="yellow"/>
                    </w:rPr>
                  </m:ctrlPr>
                </m:dPr>
                <m:e>
                  <m:limLow>
                    <m:limLowPr>
                      <m:ctrlPr>
                        <w:rPr>
                          <w:rFonts w:ascii="Cambria Math" w:hAnsi="Cambria Math"/>
                          <w:i/>
                          <w:highlight w:val="yellow"/>
                        </w:rPr>
                      </m:ctrlPr>
                    </m:limLowPr>
                    <m:e>
                      <m:groupChr>
                        <m:groupChrPr>
                          <m:ctrlPr>
                            <w:rPr>
                              <w:rFonts w:ascii="Cambria Math" w:hAnsi="Cambria Math"/>
                              <w:i/>
                              <w:highlight w:val="yellow"/>
                            </w:rPr>
                          </m:ctrlPr>
                        </m:groupChrPr>
                        <m:e>
                          <m:d>
                            <m:dPr>
                              <m:ctrlPr>
                                <w:rPr>
                                  <w:rFonts w:ascii="Cambria Math" w:hAnsi="Cambria Math"/>
                                  <w:i/>
                                  <w:highlight w:val="yellow"/>
                                </w:rPr>
                              </m:ctrlPr>
                            </m:dPr>
                            <m:e>
                              <m:nary>
                                <m:naryPr>
                                  <m:chr m:val="∑"/>
                                  <m:limLoc m:val="undOvr"/>
                                  <m:ctrlPr>
                                    <w:rPr>
                                      <w:rFonts w:ascii="Cambria Math" w:hAnsi="Cambria Math"/>
                                      <w:i/>
                                      <w:highlight w:val="yellow"/>
                                    </w:rPr>
                                  </m:ctrlPr>
                                </m:naryPr>
                                <m:sub>
                                  <m:r>
                                    <m:rPr>
                                      <m:nor/>
                                    </m:rPr>
                                    <w:rPr>
                                      <w:i/>
                                      <w:highlight w:val="yellow"/>
                                      <w:lang w:val="en-US"/>
                                    </w:rPr>
                                    <m:t>i</m:t>
                                  </m:r>
                                </m:sub>
                                <m:sup>
                                  <m:r>
                                    <m:rPr>
                                      <m:nor/>
                                    </m:rPr>
                                    <w:rPr>
                                      <w:i/>
                                      <w:highlight w:val="yellow"/>
                                      <w:lang w:val="en-US"/>
                                    </w:rPr>
                                    <m:t>n</m:t>
                                  </m:r>
                                </m:sup>
                                <m:e>
                                  <m:limLow>
                                    <m:limLowPr>
                                      <m:ctrlPr>
                                        <w:rPr>
                                          <w:rFonts w:ascii="Cambria Math" w:hAnsi="Cambria Math"/>
                                          <w:i/>
                                          <w:highlight w:val="yellow"/>
                                        </w:rPr>
                                      </m:ctrlPr>
                                    </m:limLowPr>
                                    <m:e>
                                      <m:groupChr>
                                        <m:groupChrPr>
                                          <m:ctrlPr>
                                            <w:rPr>
                                              <w:rFonts w:ascii="Cambria Math" w:hAnsi="Cambria Math"/>
                                              <w:i/>
                                              <w:highlight w:val="yellow"/>
                                            </w:rPr>
                                          </m:ctrlPr>
                                        </m:groupChrPr>
                                        <m:e>
                                          <m:sSup>
                                            <m:sSupPr>
                                              <m:ctrlPr>
                                                <w:rPr>
                                                  <w:rFonts w:ascii="Cambria Math" w:hAnsi="Cambria Math"/>
                                                  <w:i/>
                                                  <w:highlight w:val="yellow"/>
                                                </w:rPr>
                                              </m:ctrlPr>
                                            </m:sSupPr>
                                            <m:e>
                                              <m:sSub>
                                                <m:sSubPr>
                                                  <m:ctrlPr>
                                                    <w:rPr>
                                                      <w:rFonts w:ascii="Cambria Math" w:hAnsi="Cambria Math"/>
                                                      <w:i/>
                                                      <w:highlight w:val="yellow"/>
                                                    </w:rPr>
                                                  </m:ctrlPr>
                                                </m:sSubPr>
                                                <m:e>
                                                  <m:r>
                                                    <m:rPr>
                                                      <m:nor/>
                                                    </m:rPr>
                                                    <w:rPr>
                                                      <w:i/>
                                                      <w:lang w:val="en-US"/>
                                                    </w:rPr>
                                                    <m:t>w</m:t>
                                                  </m:r>
                                                </m:e>
                                                <m:sub>
                                                  <m:r>
                                                    <m:rPr>
                                                      <m:nor/>
                                                    </m:rPr>
                                                    <w:rPr>
                                                      <w:i/>
                                                      <w:highlight w:val="yellow"/>
                                                      <w:lang w:val="en-US"/>
                                                    </w:rPr>
                                                    <m:t>i</m:t>
                                                  </m:r>
                                                </m:sub>
                                              </m:sSub>
                                            </m:e>
                                            <m:sup>
                                              <m:r>
                                                <m:rPr>
                                                  <m:nor/>
                                                </m:rPr>
                                                <w:rPr>
                                                  <w:i/>
                                                  <w:highlight w:val="yellow"/>
                                                  <w:lang w:val="en-US"/>
                                                </w:rPr>
                                                <m:t>2</m:t>
                                              </m:r>
                                            </m:sup>
                                          </m:sSup>
                                        </m:e>
                                      </m:groupChr>
                                    </m:e>
                                    <m:lim>
                                      <m:sSup>
                                        <m:sSupPr>
                                          <m:ctrlPr>
                                            <w:rPr>
                                              <w:rFonts w:ascii="Cambria Math" w:hAnsi="Cambria Math"/>
                                              <w:i/>
                                              <w:highlight w:val="yellow"/>
                                            </w:rPr>
                                          </m:ctrlPr>
                                        </m:sSupPr>
                                        <m:e>
                                          <m:d>
                                            <m:dPr>
                                              <m:ctrlPr>
                                                <w:rPr>
                                                  <w:rFonts w:ascii="Cambria Math" w:hAnsi="Cambria Math"/>
                                                  <w:i/>
                                                  <w:highlight w:val="yellow"/>
                                                </w:rPr>
                                              </m:ctrlPr>
                                            </m:dPr>
                                            <m:e>
                                              <m:f>
                                                <m:fPr>
                                                  <m:type m:val="lin"/>
                                                  <m:ctrlPr>
                                                    <w:rPr>
                                                      <w:rFonts w:ascii="Cambria Math" w:hAnsi="Cambria Math"/>
                                                      <w:i/>
                                                      <w:highlight w:val="yellow"/>
                                                    </w:rPr>
                                                  </m:ctrlPr>
                                                </m:fPr>
                                                <m:num>
                                                  <m:r>
                                                    <m:rPr>
                                                      <m:nor/>
                                                    </m:rPr>
                                                    <w:rPr>
                                                      <w:i/>
                                                      <w:highlight w:val="yellow"/>
                                                      <w:lang w:val="en-US"/>
                                                    </w:rPr>
                                                    <m:t>1</m:t>
                                                  </m:r>
                                                </m:num>
                                                <m:den>
                                                  <m:r>
                                                    <m:rPr>
                                                      <m:nor/>
                                                    </m:rPr>
                                                    <w:rPr>
                                                      <w:i/>
                                                      <w:highlight w:val="yellow"/>
                                                      <w:lang w:val="en-US"/>
                                                    </w:rPr>
                                                    <m:t>n</m:t>
                                                  </m:r>
                                                </m:den>
                                              </m:f>
                                            </m:e>
                                          </m:d>
                                        </m:e>
                                        <m:sup>
                                          <m:r>
                                            <m:rPr>
                                              <m:nor/>
                                            </m:rPr>
                                            <w:rPr>
                                              <w:i/>
                                              <w:highlight w:val="yellow"/>
                                              <w:lang w:val="en-US"/>
                                            </w:rPr>
                                            <m:t>2</m:t>
                                          </m:r>
                                        </m:sup>
                                      </m:sSup>
                                    </m:lim>
                                  </m:limLow>
                                  <m:r>
                                    <w:rPr>
                                      <w:rFonts w:ascii="Cambria Math" w:hAnsi="Cambria Math"/>
                                      <w:highlight w:val="yellow"/>
                                      <w:lang w:val="en-US"/>
                                    </w:rPr>
                                    <m:t>∙</m:t>
                                  </m:r>
                                  <m:sSup>
                                    <m:sSupPr>
                                      <m:ctrlPr>
                                        <w:rPr>
                                          <w:rFonts w:ascii="Cambria Math" w:hAnsi="Cambria Math"/>
                                          <w:i/>
                                          <w:highlight w:val="yellow"/>
                                        </w:rPr>
                                      </m:ctrlPr>
                                    </m:sSupPr>
                                    <m:e>
                                      <m:sSub>
                                        <m:sSubPr>
                                          <m:ctrlPr>
                                            <w:rPr>
                                              <w:rFonts w:ascii="Cambria Math" w:hAnsi="Cambria Math"/>
                                              <w:i/>
                                              <w:highlight w:val="yellow"/>
                                            </w:rPr>
                                          </m:ctrlPr>
                                        </m:sSubPr>
                                        <m:e>
                                          <m:r>
                                            <m:rPr>
                                              <m:nor/>
                                            </m:rPr>
                                            <w:rPr>
                                              <w:i/>
                                              <w:highlight w:val="yellow"/>
                                            </w:rPr>
                                            <m:t>β</m:t>
                                          </m:r>
                                        </m:e>
                                        <m:sub>
                                          <m:r>
                                            <m:rPr>
                                              <m:nor/>
                                            </m:rPr>
                                            <w:rPr>
                                              <w:i/>
                                              <w:highlight w:val="yellow"/>
                                              <w:lang w:val="en-US"/>
                                            </w:rPr>
                                            <m:t>i</m:t>
                                          </m:r>
                                        </m:sub>
                                      </m:sSub>
                                    </m:e>
                                    <m:sup>
                                      <m:r>
                                        <m:rPr>
                                          <m:nor/>
                                        </m:rPr>
                                        <w:rPr>
                                          <w:i/>
                                          <w:highlight w:val="yellow"/>
                                          <w:lang w:val="en-US"/>
                                        </w:rPr>
                                        <m:t>2</m:t>
                                      </m:r>
                                    </m:sup>
                                  </m:sSup>
                                </m:e>
                              </m:nary>
                            </m:e>
                          </m:d>
                        </m:e>
                      </m:groupChr>
                    </m:e>
                    <m:lim>
                      <m:sSubSup>
                        <m:sSubSupPr>
                          <m:ctrlPr>
                            <w:rPr>
                              <w:rFonts w:ascii="Cambria Math" w:hAnsi="Cambria Math"/>
                              <w:i/>
                              <w:highlight w:val="yellow"/>
                            </w:rPr>
                          </m:ctrlPr>
                        </m:sSubSupPr>
                        <m:e>
                          <m:r>
                            <m:rPr>
                              <m:nor/>
                            </m:rPr>
                            <w:rPr>
                              <w:i/>
                              <w:highlight w:val="yellow"/>
                            </w:rPr>
                            <m:t>β</m:t>
                          </m:r>
                        </m:e>
                        <m:sub>
                          <m:r>
                            <m:rPr>
                              <m:nor/>
                            </m:rPr>
                            <w:rPr>
                              <w:i/>
                              <w:highlight w:val="yellow"/>
                              <w:lang w:val="en-US"/>
                            </w:rPr>
                            <m:t>P</m:t>
                          </m:r>
                        </m:sub>
                        <m:sup>
                          <m:r>
                            <m:rPr>
                              <m:nor/>
                            </m:rPr>
                            <w:rPr>
                              <w:i/>
                              <w:highlight w:val="yellow"/>
                              <w:lang w:val="en-US"/>
                            </w:rPr>
                            <m:t>2</m:t>
                          </m:r>
                        </m:sup>
                      </m:sSubSup>
                    </m:lim>
                  </m:limLow>
                  <m:r>
                    <w:rPr>
                      <w:rFonts w:ascii="Cambria Math" w:eastAsiaTheme="minorEastAsia" w:hAnsi="Cambria Math"/>
                      <w:noProof/>
                      <w:highlight w:val="yellow"/>
                      <w:lang w:val="en-US"/>
                    </w:rPr>
                    <m:t>∙</m:t>
                  </m:r>
                  <m:sSubSup>
                    <m:sSubSupPr>
                      <m:ctrlPr>
                        <w:rPr>
                          <w:rFonts w:ascii="Cambria Math" w:hAnsi="Cambria Math"/>
                          <w:i/>
                          <w:highlight w:val="yellow"/>
                        </w:rPr>
                      </m:ctrlPr>
                    </m:sSubSupPr>
                    <m:e>
                      <m:r>
                        <m:rPr>
                          <m:nor/>
                        </m:rPr>
                        <w:rPr>
                          <w:i/>
                          <w:iCs/>
                          <w:highlight w:val="yellow"/>
                        </w:rPr>
                        <m:t>σ</m:t>
                      </m:r>
                    </m:e>
                    <m:sub>
                      <m:r>
                        <m:rPr>
                          <m:nor/>
                        </m:rPr>
                        <w:rPr>
                          <w:i/>
                          <w:highlight w:val="yellow"/>
                          <w:lang w:val="en-US"/>
                        </w:rPr>
                        <m:t>M</m:t>
                      </m:r>
                    </m:sub>
                    <m:sup>
                      <m:r>
                        <m:rPr>
                          <m:nor/>
                        </m:rPr>
                        <w:rPr>
                          <w:i/>
                          <w:highlight w:val="yellow"/>
                          <w:lang w:val="en-US"/>
                        </w:rPr>
                        <m:t>2</m:t>
                      </m:r>
                    </m:sup>
                  </m:sSubSup>
                </m:e>
              </m:d>
            </m:e>
          </m:func>
          <m:r>
            <w:rPr>
              <w:rFonts w:ascii="Cambria Math" w:eastAsiaTheme="minorEastAsia" w:hAnsi="Cambria Math"/>
              <w:highlight w:val="yellow"/>
              <w:lang w:val="en-US"/>
            </w:rPr>
            <m:t>=</m:t>
          </m:r>
          <m:func>
            <m:funcPr>
              <m:ctrlPr>
                <w:rPr>
                  <w:rFonts w:ascii="Cambria Math" w:hAnsi="Cambria Math"/>
                  <w:i/>
                  <w:highlight w:val="yellow"/>
                </w:rPr>
              </m:ctrlPr>
            </m:funcPr>
            <m:fName>
              <m:limLow>
                <m:limLowPr>
                  <m:ctrlPr>
                    <w:rPr>
                      <w:rFonts w:ascii="Cambria Math" w:hAnsi="Cambria Math"/>
                      <w:i/>
                      <w:highlight w:val="yellow"/>
                    </w:rPr>
                  </m:ctrlPr>
                </m:limLowPr>
                <m:e>
                  <m:r>
                    <m:rPr>
                      <m:nor/>
                    </m:rPr>
                    <w:rPr>
                      <w:i/>
                      <w:iCs/>
                      <w:highlight w:val="yellow"/>
                      <w:lang w:val="en-US"/>
                    </w:rPr>
                    <m:t>lim</m:t>
                  </m:r>
                </m:e>
                <m:lim>
                  <m:r>
                    <m:rPr>
                      <m:nor/>
                    </m:rPr>
                    <w:rPr>
                      <w:i/>
                      <w:highlight w:val="yellow"/>
                      <w:lang w:val="en-US"/>
                    </w:rPr>
                    <m:t>n</m:t>
                  </m:r>
                  <m:r>
                    <w:rPr>
                      <w:rFonts w:ascii="Cambria Math" w:hAnsi="Cambria Math"/>
                      <w:highlight w:val="yellow"/>
                      <w:lang w:val="en-US"/>
                    </w:rPr>
                    <m:t>→+∞</m:t>
                  </m:r>
                </m:lim>
              </m:limLow>
            </m:fName>
            <m:e>
              <m:d>
                <m:dPr>
                  <m:begChr m:val="["/>
                  <m:endChr m:val="]"/>
                  <m:ctrlPr>
                    <w:rPr>
                      <w:rFonts w:ascii="Cambria Math" w:hAnsi="Cambria Math"/>
                      <w:i/>
                      <w:highlight w:val="yellow"/>
                    </w:rPr>
                  </m:ctrlPr>
                </m:dPr>
                <m:e>
                  <m:sSup>
                    <m:sSupPr>
                      <m:ctrlPr>
                        <w:rPr>
                          <w:rFonts w:ascii="Cambria Math" w:hAnsi="Cambria Math"/>
                          <w:i/>
                          <w:highlight w:val="yellow"/>
                        </w:rPr>
                      </m:ctrlPr>
                    </m:sSupPr>
                    <m:e>
                      <m:d>
                        <m:dPr>
                          <m:ctrlPr>
                            <w:rPr>
                              <w:rFonts w:ascii="Cambria Math" w:hAnsi="Cambria Math"/>
                              <w:i/>
                              <w:highlight w:val="yellow"/>
                            </w:rPr>
                          </m:ctrlPr>
                        </m:dPr>
                        <m:e>
                          <m:f>
                            <m:fPr>
                              <m:ctrlPr>
                                <w:rPr>
                                  <w:rFonts w:ascii="Cambria Math" w:hAnsi="Cambria Math"/>
                                  <w:i/>
                                  <w:highlight w:val="yellow"/>
                                </w:rPr>
                              </m:ctrlPr>
                            </m:fPr>
                            <m:num>
                              <m:r>
                                <m:rPr>
                                  <m:nor/>
                                </m:rPr>
                                <w:rPr>
                                  <w:i/>
                                  <w:highlight w:val="yellow"/>
                                  <w:lang w:val="en-US"/>
                                </w:rPr>
                                <m:t>1</m:t>
                              </m:r>
                            </m:num>
                            <m:den>
                              <m:r>
                                <m:rPr>
                                  <m:nor/>
                                </m:rPr>
                                <w:rPr>
                                  <w:i/>
                                  <w:highlight w:val="yellow"/>
                                  <w:lang w:val="en-US"/>
                                </w:rPr>
                                <m:t>n</m:t>
                              </m:r>
                            </m:den>
                          </m:f>
                        </m:e>
                      </m:d>
                    </m:e>
                    <m:sup>
                      <m:r>
                        <m:rPr>
                          <m:nor/>
                        </m:rPr>
                        <w:rPr>
                          <w:i/>
                          <w:highlight w:val="yellow"/>
                          <w:lang w:val="en-US"/>
                        </w:rPr>
                        <m:t>2</m:t>
                      </m:r>
                    </m:sup>
                  </m:sSup>
                  <m:r>
                    <w:rPr>
                      <w:rFonts w:ascii="Cambria Math" w:hAnsi="Cambria Math"/>
                      <w:highlight w:val="yellow"/>
                      <w:lang w:val="en-US"/>
                    </w:rPr>
                    <m:t>∙</m:t>
                  </m:r>
                  <m:nary>
                    <m:naryPr>
                      <m:chr m:val="∑"/>
                      <m:limLoc m:val="undOvr"/>
                      <m:ctrlPr>
                        <w:rPr>
                          <w:rFonts w:ascii="Cambria Math" w:hAnsi="Cambria Math"/>
                          <w:i/>
                          <w:highlight w:val="yellow"/>
                        </w:rPr>
                      </m:ctrlPr>
                    </m:naryPr>
                    <m:sub>
                      <m:r>
                        <m:rPr>
                          <m:nor/>
                        </m:rPr>
                        <w:rPr>
                          <w:i/>
                          <w:highlight w:val="yellow"/>
                          <w:lang w:val="en-US"/>
                        </w:rPr>
                        <m:t>i</m:t>
                      </m:r>
                    </m:sub>
                    <m:sup>
                      <m:r>
                        <m:rPr>
                          <m:nor/>
                        </m:rPr>
                        <w:rPr>
                          <w:i/>
                          <w:highlight w:val="yellow"/>
                          <w:lang w:val="en-US"/>
                        </w:rPr>
                        <m:t>n</m:t>
                      </m:r>
                    </m:sup>
                    <m:e>
                      <m:sSup>
                        <m:sSupPr>
                          <m:ctrlPr>
                            <w:rPr>
                              <w:rFonts w:ascii="Cambria Math" w:hAnsi="Cambria Math"/>
                              <w:i/>
                              <w:highlight w:val="yellow"/>
                            </w:rPr>
                          </m:ctrlPr>
                        </m:sSupPr>
                        <m:e>
                          <m:sSub>
                            <m:sSubPr>
                              <m:ctrlPr>
                                <w:rPr>
                                  <w:rFonts w:ascii="Cambria Math" w:hAnsi="Cambria Math"/>
                                  <w:i/>
                                  <w:highlight w:val="yellow"/>
                                </w:rPr>
                              </m:ctrlPr>
                            </m:sSubPr>
                            <m:e>
                              <m:r>
                                <m:rPr>
                                  <m:nor/>
                                </m:rPr>
                                <w:rPr>
                                  <w:i/>
                                  <w:highlight w:val="yellow"/>
                                </w:rPr>
                                <m:t>β</m:t>
                              </m:r>
                            </m:e>
                            <m:sub>
                              <m:r>
                                <m:rPr>
                                  <m:nor/>
                                </m:rPr>
                                <w:rPr>
                                  <w:i/>
                                  <w:highlight w:val="yellow"/>
                                  <w:lang w:val="en-US"/>
                                </w:rPr>
                                <m:t>i</m:t>
                              </m:r>
                            </m:sub>
                          </m:sSub>
                        </m:e>
                        <m:sup>
                          <m:r>
                            <m:rPr>
                              <m:nor/>
                            </m:rPr>
                            <w:rPr>
                              <w:i/>
                              <w:highlight w:val="yellow"/>
                              <w:lang w:val="en-US"/>
                            </w:rPr>
                            <m:t>2</m:t>
                          </m:r>
                        </m:sup>
                      </m:sSup>
                    </m:e>
                  </m:nary>
                  <m:r>
                    <w:rPr>
                      <w:rFonts w:ascii="Cambria Math" w:eastAsiaTheme="minorEastAsia" w:hAnsi="Cambria Math"/>
                      <w:noProof/>
                      <w:highlight w:val="yellow"/>
                      <w:lang w:val="en-US"/>
                    </w:rPr>
                    <m:t>∙</m:t>
                  </m:r>
                  <m:sSubSup>
                    <m:sSubSupPr>
                      <m:ctrlPr>
                        <w:rPr>
                          <w:rFonts w:ascii="Cambria Math" w:hAnsi="Cambria Math"/>
                          <w:i/>
                          <w:highlight w:val="yellow"/>
                        </w:rPr>
                      </m:ctrlPr>
                    </m:sSubSupPr>
                    <m:e>
                      <m:r>
                        <m:rPr>
                          <m:nor/>
                        </m:rPr>
                        <w:rPr>
                          <w:i/>
                          <w:iCs/>
                          <w:highlight w:val="yellow"/>
                        </w:rPr>
                        <m:t>σ</m:t>
                      </m:r>
                    </m:e>
                    <m:sub>
                      <m:r>
                        <m:rPr>
                          <m:nor/>
                        </m:rPr>
                        <w:rPr>
                          <w:i/>
                          <w:highlight w:val="yellow"/>
                          <w:lang w:val="en-US"/>
                        </w:rPr>
                        <m:t>M</m:t>
                      </m:r>
                    </m:sub>
                    <m:sup>
                      <m:r>
                        <m:rPr>
                          <m:nor/>
                        </m:rPr>
                        <w:rPr>
                          <w:i/>
                          <w:highlight w:val="yellow"/>
                          <w:lang w:val="en-US"/>
                        </w:rPr>
                        <m:t>2</m:t>
                      </m:r>
                    </m:sup>
                  </m:sSubSup>
                </m:e>
              </m:d>
            </m:e>
          </m:func>
          <m:r>
            <w:rPr>
              <w:rFonts w:ascii="Cambria Math" w:hAnsi="Cambria Math"/>
              <w:highlight w:val="yellow"/>
              <w:lang w:val="en-US"/>
            </w:rPr>
            <m:t>=</m:t>
          </m:r>
          <m:limLow>
            <m:limLowPr>
              <m:ctrlPr>
                <w:rPr>
                  <w:rFonts w:ascii="Cambria Math" w:hAnsi="Cambria Math"/>
                  <w:i/>
                  <w:highlight w:val="yellow"/>
                </w:rPr>
              </m:ctrlPr>
            </m:limLowPr>
            <m:e>
              <m:groupChr>
                <m:groupChrPr>
                  <m:ctrlPr>
                    <w:rPr>
                      <w:rFonts w:ascii="Cambria Math" w:hAnsi="Cambria Math"/>
                      <w:i/>
                      <w:highlight w:val="yellow"/>
                    </w:rPr>
                  </m:ctrlPr>
                </m:groupChrPr>
                <m:e>
                  <m:limLow>
                    <m:limLowPr>
                      <m:ctrlPr>
                        <w:rPr>
                          <w:rFonts w:ascii="Cambria Math" w:hAnsi="Cambria Math"/>
                          <w:i/>
                          <w:highlight w:val="yellow"/>
                        </w:rPr>
                      </m:ctrlPr>
                    </m:limLowPr>
                    <m:e>
                      <m:groupChr>
                        <m:groupChrPr>
                          <m:ctrlPr>
                            <w:rPr>
                              <w:rFonts w:ascii="Cambria Math" w:hAnsi="Cambria Math"/>
                              <w:i/>
                              <w:highlight w:val="yellow"/>
                            </w:rPr>
                          </m:ctrlPr>
                        </m:groupChrPr>
                        <m:e>
                          <m:func>
                            <m:funcPr>
                              <m:ctrlPr>
                                <w:rPr>
                                  <w:rFonts w:ascii="Cambria Math" w:hAnsi="Cambria Math"/>
                                  <w:i/>
                                  <w:highlight w:val="yellow"/>
                                </w:rPr>
                              </m:ctrlPr>
                            </m:funcPr>
                            <m:fName>
                              <m:limLow>
                                <m:limLowPr>
                                  <m:ctrlPr>
                                    <w:rPr>
                                      <w:rFonts w:ascii="Cambria Math" w:hAnsi="Cambria Math"/>
                                      <w:i/>
                                      <w:highlight w:val="yellow"/>
                                    </w:rPr>
                                  </m:ctrlPr>
                                </m:limLowPr>
                                <m:e>
                                  <m:r>
                                    <m:rPr>
                                      <m:nor/>
                                    </m:rPr>
                                    <w:rPr>
                                      <w:i/>
                                      <w:iCs/>
                                      <w:highlight w:val="yellow"/>
                                      <w:lang w:val="en-US"/>
                                    </w:rPr>
                                    <m:t>lim</m:t>
                                  </m:r>
                                </m:e>
                                <m:lim>
                                  <m:r>
                                    <m:rPr>
                                      <m:nor/>
                                    </m:rPr>
                                    <w:rPr>
                                      <w:i/>
                                      <w:highlight w:val="yellow"/>
                                      <w:lang w:val="en-US"/>
                                    </w:rPr>
                                    <m:t>n</m:t>
                                  </m:r>
                                  <m:r>
                                    <w:rPr>
                                      <w:rFonts w:ascii="Cambria Math" w:hAnsi="Cambria Math"/>
                                      <w:highlight w:val="yellow"/>
                                      <w:lang w:val="en-US"/>
                                    </w:rPr>
                                    <m:t>→+∞</m:t>
                                  </m:r>
                                </m:lim>
                              </m:limLow>
                            </m:fName>
                            <m:e>
                              <m:sSup>
                                <m:sSupPr>
                                  <m:ctrlPr>
                                    <w:rPr>
                                      <w:rFonts w:ascii="Cambria Math" w:hAnsi="Cambria Math"/>
                                      <w:i/>
                                      <w:highlight w:val="yellow"/>
                                    </w:rPr>
                                  </m:ctrlPr>
                                </m:sSupPr>
                                <m:e>
                                  <m:d>
                                    <m:dPr>
                                      <m:ctrlPr>
                                        <w:rPr>
                                          <w:rFonts w:ascii="Cambria Math" w:hAnsi="Cambria Math"/>
                                          <w:i/>
                                          <w:highlight w:val="yellow"/>
                                        </w:rPr>
                                      </m:ctrlPr>
                                    </m:dPr>
                                    <m:e>
                                      <m:f>
                                        <m:fPr>
                                          <m:ctrlPr>
                                            <w:rPr>
                                              <w:rFonts w:ascii="Cambria Math" w:hAnsi="Cambria Math"/>
                                              <w:i/>
                                              <w:highlight w:val="yellow"/>
                                            </w:rPr>
                                          </m:ctrlPr>
                                        </m:fPr>
                                        <m:num>
                                          <m:r>
                                            <m:rPr>
                                              <m:nor/>
                                            </m:rPr>
                                            <w:rPr>
                                              <w:i/>
                                              <w:highlight w:val="yellow"/>
                                              <w:lang w:val="en-US"/>
                                            </w:rPr>
                                            <m:t>1</m:t>
                                          </m:r>
                                        </m:num>
                                        <m:den>
                                          <m:r>
                                            <m:rPr>
                                              <m:nor/>
                                            </m:rPr>
                                            <w:rPr>
                                              <w:i/>
                                              <w:highlight w:val="yellow"/>
                                              <w:lang w:val="en-US"/>
                                            </w:rPr>
                                            <m:t>n</m:t>
                                          </m:r>
                                        </m:den>
                                      </m:f>
                                    </m:e>
                                  </m:d>
                                </m:e>
                                <m:sup>
                                  <m:r>
                                    <m:rPr>
                                      <m:nor/>
                                    </m:rPr>
                                    <w:rPr>
                                      <w:i/>
                                      <w:highlight w:val="yellow"/>
                                      <w:lang w:val="en-US"/>
                                    </w:rPr>
                                    <m:t>2</m:t>
                                  </m:r>
                                </m:sup>
                              </m:sSup>
                            </m:e>
                          </m:func>
                        </m:e>
                      </m:groupChr>
                    </m:e>
                    <m:lim>
                      <m:r>
                        <w:rPr>
                          <w:rFonts w:ascii="Cambria Math" w:hAnsi="Cambria Math"/>
                          <w:highlight w:val="yellow"/>
                          <w:lang w:val="en-US"/>
                        </w:rPr>
                        <m:t>=</m:t>
                      </m:r>
                      <m:r>
                        <m:rPr>
                          <m:nor/>
                        </m:rPr>
                        <w:rPr>
                          <w:i/>
                          <w:highlight w:val="yellow"/>
                          <w:lang w:val="en-US"/>
                        </w:rPr>
                        <m:t>0</m:t>
                      </m:r>
                    </m:lim>
                  </m:limLow>
                  <m:r>
                    <w:rPr>
                      <w:rFonts w:ascii="Cambria Math" w:eastAsiaTheme="minorEastAsia" w:hAnsi="Cambria Math"/>
                      <w:noProof/>
                      <w:highlight w:val="yellow"/>
                      <w:lang w:val="en-US"/>
                    </w:rPr>
                    <m:t>∙</m:t>
                  </m:r>
                  <m:limLow>
                    <m:limLowPr>
                      <m:ctrlPr>
                        <w:rPr>
                          <w:rFonts w:ascii="Cambria Math" w:hAnsi="Cambria Math"/>
                          <w:i/>
                          <w:highlight w:val="yellow"/>
                        </w:rPr>
                      </m:ctrlPr>
                    </m:limLowPr>
                    <m:e>
                      <m:groupChr>
                        <m:groupChrPr>
                          <m:ctrlPr>
                            <w:rPr>
                              <w:rFonts w:ascii="Cambria Math" w:hAnsi="Cambria Math"/>
                              <w:i/>
                              <w:highlight w:val="yellow"/>
                            </w:rPr>
                          </m:ctrlPr>
                        </m:groupChrPr>
                        <m:e>
                          <m:func>
                            <m:funcPr>
                              <m:ctrlPr>
                                <w:rPr>
                                  <w:rFonts w:ascii="Cambria Math" w:hAnsi="Cambria Math"/>
                                  <w:i/>
                                  <w:highlight w:val="yellow"/>
                                </w:rPr>
                              </m:ctrlPr>
                            </m:funcPr>
                            <m:fName>
                              <m:limLow>
                                <m:limLowPr>
                                  <m:ctrlPr>
                                    <w:rPr>
                                      <w:rFonts w:ascii="Cambria Math" w:hAnsi="Cambria Math"/>
                                      <w:i/>
                                      <w:highlight w:val="yellow"/>
                                    </w:rPr>
                                  </m:ctrlPr>
                                </m:limLowPr>
                                <m:e>
                                  <m:r>
                                    <m:rPr>
                                      <m:nor/>
                                    </m:rPr>
                                    <w:rPr>
                                      <w:i/>
                                      <w:iCs/>
                                      <w:highlight w:val="yellow"/>
                                      <w:lang w:val="en-US"/>
                                    </w:rPr>
                                    <m:t>lim</m:t>
                                  </m:r>
                                </m:e>
                                <m:lim>
                                  <m:r>
                                    <m:rPr>
                                      <m:nor/>
                                    </m:rPr>
                                    <w:rPr>
                                      <w:i/>
                                      <w:highlight w:val="yellow"/>
                                      <w:lang w:val="en-US"/>
                                    </w:rPr>
                                    <m:t>n</m:t>
                                  </m:r>
                                  <m:r>
                                    <w:rPr>
                                      <w:rFonts w:ascii="Cambria Math" w:hAnsi="Cambria Math"/>
                                      <w:highlight w:val="yellow"/>
                                      <w:lang w:val="en-US"/>
                                    </w:rPr>
                                    <m:t>→+∞</m:t>
                                  </m:r>
                                </m:lim>
                              </m:limLow>
                            </m:fName>
                            <m:e>
                              <m:d>
                                <m:dPr>
                                  <m:begChr m:val="["/>
                                  <m:endChr m:val="]"/>
                                  <m:ctrlPr>
                                    <w:rPr>
                                      <w:rFonts w:ascii="Cambria Math" w:hAnsi="Cambria Math"/>
                                      <w:i/>
                                      <w:highlight w:val="yellow"/>
                                    </w:rPr>
                                  </m:ctrlPr>
                                </m:dPr>
                                <m:e>
                                  <m:nary>
                                    <m:naryPr>
                                      <m:chr m:val="∑"/>
                                      <m:limLoc m:val="undOvr"/>
                                      <m:ctrlPr>
                                        <w:rPr>
                                          <w:rFonts w:ascii="Cambria Math" w:hAnsi="Cambria Math"/>
                                          <w:i/>
                                          <w:highlight w:val="yellow"/>
                                        </w:rPr>
                                      </m:ctrlPr>
                                    </m:naryPr>
                                    <m:sub>
                                      <m:r>
                                        <m:rPr>
                                          <m:nor/>
                                        </m:rPr>
                                        <w:rPr>
                                          <w:i/>
                                          <w:highlight w:val="yellow"/>
                                          <w:lang w:val="en-US"/>
                                        </w:rPr>
                                        <m:t>i</m:t>
                                      </m:r>
                                    </m:sub>
                                    <m:sup>
                                      <m:r>
                                        <m:rPr>
                                          <m:nor/>
                                        </m:rPr>
                                        <w:rPr>
                                          <w:i/>
                                          <w:highlight w:val="yellow"/>
                                          <w:lang w:val="en-US"/>
                                        </w:rPr>
                                        <m:t>n</m:t>
                                      </m:r>
                                    </m:sup>
                                    <m:e>
                                      <m:sSup>
                                        <m:sSupPr>
                                          <m:ctrlPr>
                                            <w:rPr>
                                              <w:rFonts w:ascii="Cambria Math" w:hAnsi="Cambria Math"/>
                                              <w:i/>
                                              <w:highlight w:val="yellow"/>
                                            </w:rPr>
                                          </m:ctrlPr>
                                        </m:sSupPr>
                                        <m:e>
                                          <m:sSub>
                                            <m:sSubPr>
                                              <m:ctrlPr>
                                                <w:rPr>
                                                  <w:rFonts w:ascii="Cambria Math" w:hAnsi="Cambria Math"/>
                                                  <w:i/>
                                                  <w:highlight w:val="yellow"/>
                                                </w:rPr>
                                              </m:ctrlPr>
                                            </m:sSubPr>
                                            <m:e>
                                              <m:r>
                                                <m:rPr>
                                                  <m:nor/>
                                                </m:rPr>
                                                <w:rPr>
                                                  <w:i/>
                                                  <w:highlight w:val="yellow"/>
                                                </w:rPr>
                                                <m:t>β</m:t>
                                              </m:r>
                                            </m:e>
                                            <m:sub>
                                              <m:r>
                                                <m:rPr>
                                                  <m:nor/>
                                                </m:rPr>
                                                <w:rPr>
                                                  <w:i/>
                                                  <w:highlight w:val="yellow"/>
                                                  <w:lang w:val="en-US"/>
                                                </w:rPr>
                                                <m:t>i</m:t>
                                              </m:r>
                                            </m:sub>
                                          </m:sSub>
                                        </m:e>
                                        <m:sup>
                                          <m:r>
                                            <m:rPr>
                                              <m:nor/>
                                            </m:rPr>
                                            <w:rPr>
                                              <w:i/>
                                              <w:highlight w:val="yellow"/>
                                              <w:lang w:val="en-US"/>
                                            </w:rPr>
                                            <m:t>2</m:t>
                                          </m:r>
                                        </m:sup>
                                      </m:sSup>
                                    </m:e>
                                  </m:nary>
                                </m:e>
                              </m:d>
                            </m:e>
                          </m:func>
                        </m:e>
                      </m:groupChr>
                    </m:e>
                    <m:lim>
                      <m:r>
                        <w:rPr>
                          <w:rFonts w:ascii="Cambria Math" w:hAnsi="Cambria Math"/>
                          <w:highlight w:val="yellow"/>
                          <w:lang w:val="en-US"/>
                        </w:rPr>
                        <m:t>=+∞</m:t>
                      </m:r>
                    </m:lim>
                  </m:limLow>
                </m:e>
              </m:groupChr>
            </m:e>
            <m:lim>
              <m:sSup>
                <m:sSupPr>
                  <m:ctrlPr>
                    <w:rPr>
                      <w:rFonts w:ascii="Cambria Math" w:hAnsi="Cambria Math"/>
                      <w:i/>
                      <w:highlight w:val="yellow"/>
                    </w:rPr>
                  </m:ctrlPr>
                </m:sSupPr>
                <m:e>
                  <m:r>
                    <m:rPr>
                      <m:scr m:val="double-struck"/>
                    </m:rPr>
                    <w:rPr>
                      <w:rFonts w:ascii="Cambria Math" w:hAnsi="Cambria Math"/>
                      <w:highlight w:val="yellow"/>
                      <w:lang w:val="en-US"/>
                    </w:rPr>
                    <m:t>R</m:t>
                  </m:r>
                </m:e>
                <m:sup>
                  <m:r>
                    <w:rPr>
                      <w:rFonts w:ascii="Cambria Math" w:hAnsi="Cambria Math"/>
                      <w:highlight w:val="yellow"/>
                      <w:lang w:val="en-US"/>
                    </w:rPr>
                    <m:t>+</m:t>
                  </m:r>
                </m:sup>
              </m:sSup>
            </m:lim>
          </m:limLow>
          <m:r>
            <w:rPr>
              <w:rFonts w:ascii="Cambria Math" w:eastAsiaTheme="minorEastAsia" w:hAnsi="Cambria Math"/>
              <w:noProof/>
              <w:highlight w:val="yellow"/>
              <w:lang w:val="en-US"/>
            </w:rPr>
            <m:t>∙</m:t>
          </m:r>
          <m:limLow>
            <m:limLowPr>
              <m:ctrlPr>
                <w:rPr>
                  <w:rFonts w:ascii="Cambria Math" w:hAnsi="Cambria Math"/>
                  <w:i/>
                  <w:highlight w:val="yellow"/>
                </w:rPr>
              </m:ctrlPr>
            </m:limLowPr>
            <m:e>
              <m:groupChr>
                <m:groupChrPr>
                  <m:ctrlPr>
                    <w:rPr>
                      <w:rFonts w:ascii="Cambria Math" w:hAnsi="Cambria Math"/>
                      <w:i/>
                      <w:highlight w:val="yellow"/>
                    </w:rPr>
                  </m:ctrlPr>
                </m:groupChrPr>
                <m:e>
                  <m:func>
                    <m:funcPr>
                      <m:ctrlPr>
                        <w:rPr>
                          <w:rFonts w:ascii="Cambria Math" w:hAnsi="Cambria Math"/>
                          <w:i/>
                          <w:highlight w:val="yellow"/>
                        </w:rPr>
                      </m:ctrlPr>
                    </m:funcPr>
                    <m:fName>
                      <m:limLow>
                        <m:limLowPr>
                          <m:ctrlPr>
                            <w:rPr>
                              <w:rFonts w:ascii="Cambria Math" w:hAnsi="Cambria Math"/>
                              <w:i/>
                              <w:highlight w:val="yellow"/>
                            </w:rPr>
                          </m:ctrlPr>
                        </m:limLowPr>
                        <m:e>
                          <m:r>
                            <m:rPr>
                              <m:nor/>
                            </m:rPr>
                            <w:rPr>
                              <w:i/>
                              <w:iCs/>
                              <w:highlight w:val="yellow"/>
                              <w:lang w:val="en-US"/>
                            </w:rPr>
                            <m:t>lim</m:t>
                          </m:r>
                        </m:e>
                        <m:lim>
                          <m:r>
                            <m:rPr>
                              <m:nor/>
                            </m:rPr>
                            <w:rPr>
                              <w:i/>
                              <w:highlight w:val="yellow"/>
                              <w:lang w:val="en-US"/>
                            </w:rPr>
                            <m:t>n</m:t>
                          </m:r>
                          <m:r>
                            <w:rPr>
                              <w:rFonts w:ascii="Cambria Math" w:hAnsi="Cambria Math"/>
                              <w:highlight w:val="yellow"/>
                              <w:lang w:val="en-US"/>
                            </w:rPr>
                            <m:t>→+∞</m:t>
                          </m:r>
                        </m:lim>
                      </m:limLow>
                    </m:fName>
                    <m:e>
                      <m:sSubSup>
                        <m:sSubSupPr>
                          <m:ctrlPr>
                            <w:rPr>
                              <w:rFonts w:ascii="Cambria Math" w:hAnsi="Cambria Math"/>
                              <w:i/>
                              <w:highlight w:val="yellow"/>
                            </w:rPr>
                          </m:ctrlPr>
                        </m:sSubSupPr>
                        <m:e>
                          <m:r>
                            <m:rPr>
                              <m:nor/>
                            </m:rPr>
                            <w:rPr>
                              <w:i/>
                              <w:iCs/>
                              <w:highlight w:val="yellow"/>
                            </w:rPr>
                            <m:t>σ</m:t>
                          </m:r>
                        </m:e>
                        <m:sub>
                          <m:r>
                            <m:rPr>
                              <m:nor/>
                            </m:rPr>
                            <w:rPr>
                              <w:i/>
                              <w:highlight w:val="yellow"/>
                              <w:lang w:val="en-US"/>
                            </w:rPr>
                            <m:t>M</m:t>
                          </m:r>
                        </m:sub>
                        <m:sup>
                          <m:r>
                            <m:rPr>
                              <m:nor/>
                            </m:rPr>
                            <w:rPr>
                              <w:i/>
                              <w:highlight w:val="yellow"/>
                              <w:lang w:val="en-US"/>
                            </w:rPr>
                            <m:t>2</m:t>
                          </m:r>
                        </m:sup>
                      </m:sSubSup>
                    </m:e>
                  </m:func>
                </m:e>
              </m:groupChr>
            </m:e>
            <m:lim>
              <m:r>
                <w:rPr>
                  <w:rFonts w:ascii="Cambria Math" w:hAnsi="Cambria Math"/>
                  <w:highlight w:val="yellow"/>
                  <w:lang w:val="en-US"/>
                </w:rPr>
                <m:t>=</m:t>
              </m:r>
              <m:sSubSup>
                <m:sSubSupPr>
                  <m:ctrlPr>
                    <w:rPr>
                      <w:rFonts w:ascii="Cambria Math" w:hAnsi="Cambria Math"/>
                      <w:i/>
                      <w:highlight w:val="yellow"/>
                    </w:rPr>
                  </m:ctrlPr>
                </m:sSubSupPr>
                <m:e>
                  <m:r>
                    <m:rPr>
                      <m:nor/>
                    </m:rPr>
                    <w:rPr>
                      <w:i/>
                      <w:iCs/>
                      <w:highlight w:val="yellow"/>
                    </w:rPr>
                    <m:t>σ</m:t>
                  </m:r>
                </m:e>
                <m:sub>
                  <m:r>
                    <m:rPr>
                      <m:nor/>
                    </m:rPr>
                    <w:rPr>
                      <w:i/>
                      <w:highlight w:val="yellow"/>
                      <w:lang w:val="en-US"/>
                    </w:rPr>
                    <m:t>M</m:t>
                  </m:r>
                </m:sub>
                <m:sup>
                  <m:r>
                    <m:rPr>
                      <m:nor/>
                    </m:rPr>
                    <w:rPr>
                      <w:i/>
                      <w:highlight w:val="yellow"/>
                      <w:lang w:val="en-US"/>
                    </w:rPr>
                    <m:t>2</m:t>
                  </m:r>
                </m:sup>
              </m:sSubSup>
            </m:lim>
          </m:limLow>
        </m:oMath>
      </m:oMathPara>
    </w:p>
    <w:p w14:paraId="3CB73B1F" w14:textId="60600EAA" w:rsidR="0094148F" w:rsidRDefault="0094148F" w:rsidP="0094148F">
      <w:pPr>
        <w:pStyle w:val="Nivel4"/>
        <w:ind w:left="1474"/>
        <w:rPr>
          <w:highlight w:val="yellow"/>
        </w:rPr>
      </w:pPr>
      <w:r w:rsidRPr="0094148F">
        <w:rPr>
          <w:highlight w:val="yellow"/>
        </w:rPr>
        <w:t xml:space="preserve">Es decir, el riesgo sistemático tiende a un </w:t>
      </w:r>
      <w:r w:rsidR="005F6235">
        <w:rPr>
          <w:highlight w:val="yellow"/>
        </w:rPr>
        <w:t xml:space="preserve">número </w:t>
      </w:r>
      <w:r w:rsidRPr="0094148F">
        <w:rPr>
          <w:highlight w:val="yellow"/>
        </w:rPr>
        <w:t>real positivo a medida que aumenta la diversificación.</w:t>
      </w:r>
    </w:p>
    <w:p w14:paraId="4A07054B" w14:textId="77777777" w:rsidR="00974F5D" w:rsidRDefault="00974F5D" w:rsidP="00974F5D">
      <w:pPr>
        <w:pStyle w:val="Ttulo7"/>
      </w:pPr>
      <w:bookmarkStart w:id="54" w:name="_Toc144911962"/>
      <w:r>
        <w:t>Implicaciones</w:t>
      </w:r>
      <w:bookmarkEnd w:id="54"/>
    </w:p>
    <w:p w14:paraId="6E6A31BE" w14:textId="10ACA757" w:rsidR="00974F5D" w:rsidRPr="00F670C4" w:rsidRDefault="00974F5D" w:rsidP="00974F5D">
      <w:pPr>
        <w:pStyle w:val="Nivel1SM"/>
        <w:keepNext/>
        <w:spacing w:before="0" w:after="0"/>
      </w:pPr>
      <w:r>
        <w:t>De este modelo se derivan las siguientes implicaciones:</w:t>
      </w:r>
    </w:p>
    <w:p w14:paraId="03079042" w14:textId="4AA3095C" w:rsidR="00DD017D" w:rsidRDefault="00DD017D" w:rsidP="00B152F3">
      <w:pPr>
        <w:pStyle w:val="Nivel2SM"/>
        <w:keepNext/>
        <w:spacing w:after="0"/>
        <w:rPr>
          <w:spacing w:val="-1"/>
        </w:rPr>
      </w:pPr>
      <w:r>
        <w:rPr>
          <w:spacing w:val="-1"/>
        </w:rPr>
        <w:t xml:space="preserve">El </w:t>
      </w:r>
      <w:r>
        <w:t xml:space="preserve">riesgo se puede dividir en </w:t>
      </w:r>
      <w:r w:rsidRPr="00DD017D">
        <w:rPr>
          <w:b/>
          <w:bCs/>
        </w:rPr>
        <w:t>2 tipos</w:t>
      </w:r>
      <w:r>
        <w:t xml:space="preserve">: </w:t>
      </w:r>
      <w:r w:rsidRPr="00DD017D">
        <w:rPr>
          <w:i/>
          <w:iCs/>
        </w:rPr>
        <w:t>riesgo específico</w:t>
      </w:r>
      <w:r>
        <w:t xml:space="preserve"> y </w:t>
      </w:r>
      <w:r w:rsidRPr="00DD017D">
        <w:rPr>
          <w:i/>
          <w:iCs/>
        </w:rPr>
        <w:t>riesgo sistemático</w:t>
      </w:r>
      <w:r>
        <w:t>.</w:t>
      </w:r>
    </w:p>
    <w:p w14:paraId="2C110879" w14:textId="7D56B917" w:rsidR="00B152F3" w:rsidRPr="007A592D" w:rsidRDefault="00B152F3" w:rsidP="00B152F3">
      <w:pPr>
        <w:pStyle w:val="Nivel2SM"/>
        <w:keepNext/>
        <w:spacing w:after="0"/>
        <w:rPr>
          <w:spacing w:val="-1"/>
        </w:rPr>
      </w:pPr>
      <w:r w:rsidRPr="007A592D">
        <w:rPr>
          <w:spacing w:val="-1"/>
        </w:rPr>
        <w:t xml:space="preserve">El riesgo específico se puede eliminar, por lo que entendemos que una cartera bien diversificada </w:t>
      </w:r>
      <w:r w:rsidRPr="007A592D">
        <w:rPr>
          <w:b/>
          <w:bCs/>
          <w:spacing w:val="-1"/>
        </w:rPr>
        <w:t>sólo dependerá del riesgo sistemático</w:t>
      </w:r>
      <w:r w:rsidRPr="007A592D">
        <w:rPr>
          <w:spacing w:val="-1"/>
        </w:rPr>
        <w:t>. Es por ello, que donde tenemos que poner nuestra atención es en el riesgo sistemático, lo que lleva a la necesidad de medir ese riesgo.</w:t>
      </w:r>
    </w:p>
    <w:p w14:paraId="247ED257" w14:textId="37D9C2F0" w:rsidR="00B152F3" w:rsidRPr="00FF676B" w:rsidRDefault="00B152F3" w:rsidP="00B152F3">
      <w:pPr>
        <w:pStyle w:val="Nivel3SM"/>
      </w:pPr>
      <w:r>
        <w:t xml:space="preserve">Lo hacemos mediante </w:t>
      </w:r>
      <m:oMath>
        <m:r>
          <m:rPr>
            <m:nor/>
          </m:rPr>
          <w:rPr>
            <w:i/>
          </w:rPr>
          <m:t>β</m:t>
        </m:r>
      </m:oMath>
      <w:r>
        <w:t xml:space="preserve">, que recoge la sensibilidad del título frente a variaciones del mercado (i.e. llamamos </w:t>
      </w:r>
      <m:oMath>
        <m:r>
          <m:rPr>
            <m:nor/>
          </m:rPr>
          <w:rPr>
            <w:i/>
          </w:rPr>
          <m:t>β</m:t>
        </m:r>
      </m:oMath>
      <w:r>
        <w:t xml:space="preserve"> a la sensibilidad del título frente al mercado), de modo que, cuanto más elevada sea la </w:t>
      </w:r>
      <m:oMath>
        <m:r>
          <m:rPr>
            <m:nor/>
          </m:rPr>
          <w:rPr>
            <w:i/>
          </w:rPr>
          <m:t>β</m:t>
        </m:r>
      </m:oMath>
      <w:r>
        <w:t xml:space="preserve"> de un título, más arriesgado será éste ya que una pequeña </w:t>
      </w:r>
      <w:r w:rsidRPr="00FF676B">
        <w:t>variación del índice bursátil dará lugar a una gran variación del rendimiento del título.</w:t>
      </w:r>
    </w:p>
    <w:p w14:paraId="16F1DDFE" w14:textId="3786CE25" w:rsidR="00631AF8" w:rsidRPr="00FF676B" w:rsidRDefault="00631AF8" w:rsidP="00631AF8">
      <w:pPr>
        <w:pStyle w:val="Nivel3SM"/>
      </w:pPr>
      <w:r w:rsidRPr="00FF676B">
        <w:t xml:space="preserve">Esto implica que el inversor en lo único en lo que se fijará al incorporar una nueva acción a su cartera será en el riesgo sistemático que le aporte a su cartera dicha acción: </w:t>
      </w:r>
      <w:r w:rsidRPr="00FF676B">
        <w:rPr>
          <w:u w:val="single"/>
        </w:rPr>
        <w:t xml:space="preserve">Es decir, se fijará en la </w:t>
      </w:r>
      <m:oMath>
        <m:r>
          <m:rPr>
            <m:nor/>
          </m:rPr>
          <w:rPr>
            <w:i/>
            <w:u w:val="single"/>
          </w:rPr>
          <m:t>β</m:t>
        </m:r>
      </m:oMath>
      <w:r w:rsidRPr="00FF676B">
        <w:rPr>
          <w:u w:val="single"/>
        </w:rPr>
        <w:t xml:space="preserve"> de la acción (</w:t>
      </w:r>
      <m:oMath>
        <m:sSub>
          <m:sSubPr>
            <m:ctrlPr>
              <w:rPr>
                <w:rFonts w:ascii="Cambria Math" w:hAnsi="Cambria Math"/>
                <w:i/>
                <w:u w:val="single"/>
              </w:rPr>
            </m:ctrlPr>
          </m:sSubPr>
          <m:e>
            <m:r>
              <m:rPr>
                <m:nor/>
              </m:rPr>
              <w:rPr>
                <w:i/>
                <w:u w:val="single"/>
              </w:rPr>
              <m:t>β</m:t>
            </m:r>
          </m:e>
          <m:sub>
            <m:r>
              <m:rPr>
                <m:nor/>
              </m:rPr>
              <w:rPr>
                <w:i/>
                <w:u w:val="single"/>
              </w:rPr>
              <m:t>i</m:t>
            </m:r>
          </m:sub>
        </m:sSub>
      </m:oMath>
      <w:r w:rsidRPr="00FF676B">
        <w:rPr>
          <w:u w:val="single"/>
        </w:rPr>
        <w:t xml:space="preserve">) que </w:t>
      </w:r>
      <w:r w:rsidR="00FF676B">
        <w:rPr>
          <w:u w:val="single"/>
        </w:rPr>
        <w:t>afecta a</w:t>
      </w:r>
      <w:r w:rsidRPr="00FF676B">
        <w:rPr>
          <w:u w:val="single"/>
        </w:rPr>
        <w:t xml:space="preserve"> la </w:t>
      </w:r>
      <w:r w:rsidR="00D63FC9" w:rsidRPr="00FF676B">
        <w:rPr>
          <w:u w:val="single"/>
        </w:rPr>
        <w:t>primera</w:t>
      </w:r>
      <w:r w:rsidRPr="00FF676B">
        <w:rPr>
          <w:u w:val="single"/>
        </w:rPr>
        <w:t xml:space="preserve"> parte de la ecuación aumentando así el riesgo no</w:t>
      </w:r>
      <w:r w:rsidR="00FF676B">
        <w:rPr>
          <w:u w:val="single"/>
        </w:rPr>
        <w:t> </w:t>
      </w:r>
      <w:r w:rsidRPr="00FF676B">
        <w:rPr>
          <w:u w:val="single"/>
        </w:rPr>
        <w:t>diversificable de la cartera. No le importará el riesgo diversificable</w:t>
      </w:r>
      <w:r w:rsidRPr="00FF676B">
        <w:t>.</w:t>
      </w:r>
    </w:p>
    <w:p w14:paraId="2ABDF21E" w14:textId="77777777" w:rsidR="00DD017D" w:rsidRDefault="00DD017D" w:rsidP="00DD017D">
      <w:pPr>
        <w:pStyle w:val="Nivel3SM"/>
      </w:pPr>
      <w:r>
        <w:t>En concreto, esta teoría sugiere que el mercado sólo paga por el riesgo sistemático. Por tanto, si los inversores no eliminan el riesgo diversificable, estarán incurriendo en un riesgo innecesario y gratuito.</w:t>
      </w:r>
    </w:p>
    <w:p w14:paraId="360AEADB" w14:textId="0967A0C3" w:rsidR="0085199E" w:rsidRPr="00577330" w:rsidRDefault="0085199E" w:rsidP="0085199E">
      <w:pPr>
        <w:pStyle w:val="Ttuloimagen"/>
        <w:rPr>
          <w:smallCaps w:val="0"/>
        </w:rPr>
      </w:pPr>
      <w:r>
        <w:t>Imagen</w:t>
      </w:r>
      <w:r w:rsidR="001675F6">
        <w:t> </w:t>
      </w:r>
      <w:r>
        <w:fldChar w:fldCharType="begin"/>
      </w:r>
      <w:r>
        <w:instrText xml:space="preserve"> SEQ Ilustración \* ARABIC </w:instrText>
      </w:r>
      <w:r>
        <w:fldChar w:fldCharType="separate"/>
      </w:r>
      <w:r w:rsidR="00561B3A">
        <w:t>7</w:t>
      </w:r>
      <w:r>
        <w:fldChar w:fldCharType="end"/>
      </w:r>
      <w:r>
        <w:rPr>
          <w:smallCaps w:val="0"/>
        </w:rPr>
        <w:t xml:space="preserve">.– </w:t>
      </w:r>
      <w:r>
        <w:rPr>
          <w:i/>
          <w:iCs/>
          <w:smallCaps w:val="0"/>
        </w:rPr>
        <w:t>Riesgo diversificable y riesgo total</w:t>
      </w:r>
    </w:p>
    <w:p w14:paraId="5BE0A1B5" w14:textId="1146244D" w:rsidR="0085199E" w:rsidRDefault="00052301" w:rsidP="0085199E">
      <w:pPr>
        <w:pStyle w:val="Imagen"/>
      </w:pPr>
      <w:r>
        <w:drawing>
          <wp:inline distT="0" distB="0" distL="0" distR="0" wp14:anchorId="4AEB5352" wp14:editId="13BF5E72">
            <wp:extent cx="426720" cy="1439545"/>
            <wp:effectExtent l="0" t="0" r="0" b="8255"/>
            <wp:docPr id="1725226959" name="Imagen 1725226959" descr="Riesgo sistemático - Qué es, definición y concepto | 2021 | Econom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esgo sistemático - Qué es, definición y concepto | 2021 | Economipedia"/>
                    <pic:cNvPicPr>
                      <a:picLocks noChangeAspect="1" noChangeArrowheads="1"/>
                    </pic:cNvPicPr>
                  </pic:nvPicPr>
                  <pic:blipFill rotWithShape="1">
                    <a:blip r:embed="rId20">
                      <a:extLst>
                        <a:ext uri="{28A0092B-C50C-407E-A947-70E740481C1C}">
                          <a14:useLocalDpi xmlns:a14="http://schemas.microsoft.com/office/drawing/2010/main" val="0"/>
                        </a:ext>
                      </a:extLst>
                    </a:blip>
                    <a:srcRect t="12176" r="81235"/>
                    <a:stretch/>
                  </pic:blipFill>
                  <pic:spPr bwMode="auto">
                    <a:xfrm>
                      <a:off x="0" y="0"/>
                      <a:ext cx="426855" cy="1440000"/>
                    </a:xfrm>
                    <a:prstGeom prst="rect">
                      <a:avLst/>
                    </a:prstGeom>
                    <a:noFill/>
                    <a:ln>
                      <a:noFill/>
                    </a:ln>
                    <a:extLst>
                      <a:ext uri="{53640926-AAD7-44D8-BBD7-CCE9431645EC}">
                        <a14:shadowObscured xmlns:a14="http://schemas.microsoft.com/office/drawing/2010/main"/>
                      </a:ext>
                    </a:extLst>
                  </pic:spPr>
                </pic:pic>
              </a:graphicData>
            </a:graphic>
          </wp:inline>
        </w:drawing>
      </w:r>
      <w:r w:rsidR="0085199E">
        <w:drawing>
          <wp:inline distT="0" distB="0" distL="0" distR="0" wp14:anchorId="59996EF6" wp14:editId="43A669B2">
            <wp:extent cx="1625574" cy="1439545"/>
            <wp:effectExtent l="0" t="0" r="0" b="8255"/>
            <wp:docPr id="8" name="Imagen 8" descr="Riesgo sistemático - Qué es, definición y concepto | 2021 | Econom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esgo sistemático - Qué es, definición y concepto | 2021 | Economipedia"/>
                    <pic:cNvPicPr>
                      <a:picLocks noChangeAspect="1" noChangeArrowheads="1"/>
                    </pic:cNvPicPr>
                  </pic:nvPicPr>
                  <pic:blipFill rotWithShape="1">
                    <a:blip r:embed="rId20">
                      <a:extLst>
                        <a:ext uri="{28A0092B-C50C-407E-A947-70E740481C1C}">
                          <a14:useLocalDpi xmlns:a14="http://schemas.microsoft.com/office/drawing/2010/main" val="0"/>
                        </a:ext>
                      </a:extLst>
                    </a:blip>
                    <a:srcRect l="26472" t="12176" r="2043"/>
                    <a:stretch/>
                  </pic:blipFill>
                  <pic:spPr bwMode="auto">
                    <a:xfrm>
                      <a:off x="0" y="0"/>
                      <a:ext cx="1626088" cy="1440000"/>
                    </a:xfrm>
                    <a:prstGeom prst="rect">
                      <a:avLst/>
                    </a:prstGeom>
                    <a:noFill/>
                    <a:ln>
                      <a:noFill/>
                    </a:ln>
                    <a:extLst>
                      <a:ext uri="{53640926-AAD7-44D8-BBD7-CCE9431645EC}">
                        <a14:shadowObscured xmlns:a14="http://schemas.microsoft.com/office/drawing/2010/main"/>
                      </a:ext>
                    </a:extLst>
                  </pic:spPr>
                </pic:pic>
              </a:graphicData>
            </a:graphic>
          </wp:inline>
        </w:drawing>
      </w:r>
      <w:r w:rsidR="0085199E">
        <w:drawing>
          <wp:inline distT="0" distB="0" distL="0" distR="0" wp14:anchorId="0EB69F08" wp14:editId="6FB56081">
            <wp:extent cx="2377697" cy="1440000"/>
            <wp:effectExtent l="0" t="0" r="3810" b="8255"/>
            <wp:docPr id="10" name="Imagen 1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Diagrama&#10;&#10;Descripción generada automáticamente"/>
                    <pic:cNvPicPr/>
                  </pic:nvPicPr>
                  <pic:blipFill rotWithShape="1">
                    <a:blip r:embed="rId21"/>
                    <a:srcRect l="1250" t="3343" b="3311"/>
                    <a:stretch/>
                  </pic:blipFill>
                  <pic:spPr bwMode="auto">
                    <a:xfrm>
                      <a:off x="0" y="0"/>
                      <a:ext cx="2377697" cy="1440000"/>
                    </a:xfrm>
                    <a:prstGeom prst="rect">
                      <a:avLst/>
                    </a:prstGeom>
                    <a:ln>
                      <a:noFill/>
                    </a:ln>
                    <a:extLst>
                      <a:ext uri="{53640926-AAD7-44D8-BBD7-CCE9431645EC}">
                        <a14:shadowObscured xmlns:a14="http://schemas.microsoft.com/office/drawing/2010/main"/>
                      </a:ext>
                    </a:extLst>
                  </pic:spPr>
                </pic:pic>
              </a:graphicData>
            </a:graphic>
          </wp:inline>
        </w:drawing>
      </w:r>
    </w:p>
    <w:p w14:paraId="75A780F3" w14:textId="26E993A4" w:rsidR="0085199E" w:rsidRDefault="0085199E" w:rsidP="0085199E">
      <w:pPr>
        <w:pStyle w:val="PiedeImagen"/>
        <w:rPr>
          <w:i w:val="0"/>
          <w:iCs/>
        </w:rPr>
      </w:pPr>
      <w:r w:rsidRPr="00BE165E">
        <w:t>Fuentes</w:t>
      </w:r>
      <w:r w:rsidRPr="00BE165E">
        <w:rPr>
          <w:i w:val="0"/>
          <w:iCs/>
        </w:rPr>
        <w:t>: Peiro Ucha, A. (</w:t>
      </w:r>
      <w:r>
        <w:rPr>
          <w:i w:val="0"/>
          <w:iCs/>
        </w:rPr>
        <w:t>2015</w:t>
      </w:r>
      <w:r w:rsidRPr="00BE165E">
        <w:rPr>
          <w:i w:val="0"/>
          <w:iCs/>
        </w:rPr>
        <w:t>)</w:t>
      </w:r>
      <w:r>
        <w:rPr>
          <w:i w:val="0"/>
          <w:iCs/>
        </w:rPr>
        <w:t xml:space="preserve"> </w:t>
      </w:r>
      <w:r>
        <w:t>Riesgo sistemático</w:t>
      </w:r>
      <w:r>
        <w:rPr>
          <w:i w:val="0"/>
          <w:iCs/>
        </w:rPr>
        <w:t xml:space="preserve">. </w:t>
      </w:r>
      <w:r w:rsidRPr="0085199E">
        <w:rPr>
          <w:i w:val="0"/>
          <w:iCs/>
          <w:lang w:val="en-US"/>
        </w:rPr>
        <w:t xml:space="preserve">Economipedia.com. </w:t>
      </w:r>
      <w:r w:rsidR="00000000">
        <w:fldChar w:fldCharType="begin"/>
      </w:r>
      <w:r w:rsidR="00000000" w:rsidRPr="00561B3A">
        <w:rPr>
          <w:lang w:val="en-US"/>
        </w:rPr>
        <w:instrText>HYPERLINK "https://economipedia.com/definiciones/riesgo-sistematico.html"</w:instrText>
      </w:r>
      <w:r w:rsidR="00000000">
        <w:fldChar w:fldCharType="separate"/>
      </w:r>
      <w:r w:rsidRPr="0085199E">
        <w:rPr>
          <w:rStyle w:val="Hipervnculo"/>
          <w:i w:val="0"/>
          <w:iCs/>
          <w:lang w:val="en-US"/>
        </w:rPr>
        <w:t>https://economipedia.com/definiciones/riesgo-sistematico.html</w:t>
      </w:r>
      <w:r w:rsidR="00000000">
        <w:rPr>
          <w:rStyle w:val="Hipervnculo"/>
          <w:i w:val="0"/>
          <w:iCs/>
          <w:lang w:val="en-US"/>
        </w:rPr>
        <w:fldChar w:fldCharType="end"/>
      </w:r>
      <w:r w:rsidRPr="00453B21">
        <w:rPr>
          <w:i w:val="0"/>
          <w:iCs/>
          <w:lang w:val="en-US"/>
        </w:rPr>
        <w:t xml:space="preserve">; </w:t>
      </w:r>
      <w:r>
        <w:rPr>
          <w:i w:val="0"/>
          <w:iCs/>
          <w:lang w:val="en-US"/>
        </w:rPr>
        <w:t>y</w:t>
      </w:r>
      <w:r>
        <w:rPr>
          <w:i w:val="0"/>
          <w:iCs/>
          <w:lang w:val="en-US"/>
        </w:rPr>
        <w:br/>
      </w:r>
      <w:r w:rsidRPr="0085199E">
        <w:rPr>
          <w:i w:val="0"/>
          <w:iCs/>
          <w:lang w:val="en-US"/>
        </w:rPr>
        <w:t xml:space="preserve">Bodie, Z., Kane, A. &amp; Marcus, A. J. (2021). </w:t>
      </w:r>
      <w:r w:rsidRPr="0085199E">
        <w:rPr>
          <w:lang w:val="en-US"/>
        </w:rPr>
        <w:t>Investments</w:t>
      </w:r>
      <w:r w:rsidRPr="0085199E">
        <w:rPr>
          <w:i w:val="0"/>
          <w:iCs/>
          <w:lang w:val="en-US"/>
        </w:rPr>
        <w:t xml:space="preserve"> (Twelfth edition, International student edition). </w:t>
      </w:r>
      <w:r w:rsidRPr="0085199E">
        <w:rPr>
          <w:i w:val="0"/>
          <w:iCs/>
        </w:rPr>
        <w:t>McGraw-Hill.</w:t>
      </w:r>
    </w:p>
    <w:p w14:paraId="4430F2C8" w14:textId="77777777" w:rsidR="00631AF8" w:rsidRPr="002546DF" w:rsidRDefault="00631AF8" w:rsidP="00631AF8">
      <w:pPr>
        <w:pStyle w:val="Nivel2SM"/>
        <w:keepNext/>
        <w:spacing w:after="0"/>
        <w:rPr>
          <w:highlight w:val="yellow"/>
        </w:rPr>
      </w:pPr>
      <w:r w:rsidRPr="002546DF">
        <w:rPr>
          <w:highlight w:val="yellow"/>
        </w:rPr>
        <w:lastRenderedPageBreak/>
        <w:t xml:space="preserve">El riesgo sistemático también puede reducirse hasta cierto punto, invirtiendo en acciones de empresas de </w:t>
      </w:r>
      <w:r w:rsidRPr="002546DF">
        <w:rPr>
          <w:highlight w:val="yellow"/>
          <w:u w:val="single"/>
        </w:rPr>
        <w:t>otros países</w:t>
      </w:r>
      <w:r w:rsidRPr="002546DF">
        <w:rPr>
          <w:highlight w:val="yellow"/>
        </w:rPr>
        <w:t>.</w:t>
      </w:r>
    </w:p>
    <w:p w14:paraId="24DEBB86" w14:textId="77777777" w:rsidR="00631AF8" w:rsidRPr="002546DF" w:rsidRDefault="00631AF8" w:rsidP="00631AF8">
      <w:pPr>
        <w:spacing w:after="0"/>
        <w:ind w:left="567"/>
        <w:jc w:val="center"/>
        <w:rPr>
          <w:highlight w:val="yellow"/>
          <w:u w:val="single"/>
        </w:rPr>
      </w:pPr>
      <w:r w:rsidRPr="002546DF">
        <w:rPr>
          <w:noProof/>
          <w:highlight w:val="yellow"/>
        </w:rPr>
        <w:drawing>
          <wp:inline distT="0" distB="0" distL="0" distR="0" wp14:anchorId="3E0DEF03" wp14:editId="0022DF9F">
            <wp:extent cx="1991926" cy="1491343"/>
            <wp:effectExtent l="0" t="0" r="8890" b="0"/>
            <wp:docPr id="8988505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94838" cy="1493523"/>
                    </a:xfrm>
                    <a:prstGeom prst="rect">
                      <a:avLst/>
                    </a:prstGeom>
                    <a:noFill/>
                    <a:ln>
                      <a:noFill/>
                    </a:ln>
                  </pic:spPr>
                </pic:pic>
              </a:graphicData>
            </a:graphic>
          </wp:inline>
        </w:drawing>
      </w:r>
    </w:p>
    <w:p w14:paraId="0FCCC77E" w14:textId="77777777" w:rsidR="00631AF8" w:rsidRPr="002546DF" w:rsidRDefault="00631AF8" w:rsidP="00631AF8">
      <w:pPr>
        <w:pStyle w:val="Nivel3SM"/>
        <w:rPr>
          <w:highlight w:val="yellow"/>
        </w:rPr>
      </w:pPr>
      <w:r w:rsidRPr="002546DF">
        <w:rPr>
          <w:highlight w:val="yellow"/>
        </w:rPr>
        <w:t>La idea es que, si el rendimiento de cada título está correlacionado con el rendimiento de su propio mercado, al invertir en activos extranjeros se podría reducir el nivel de riesgo considerado sistemático a nivel nacional hasta un cierto nivel de riesgo sistemático a nivel internacional por debajo del cual ya no se podría reducir el riesgo de la cartera.</w:t>
      </w:r>
    </w:p>
    <w:p w14:paraId="1BF6223B" w14:textId="38888682" w:rsidR="007A592D" w:rsidRDefault="007A592D" w:rsidP="007A592D">
      <w:pPr>
        <w:pStyle w:val="Ttulo6"/>
      </w:pPr>
      <w:bookmarkStart w:id="55" w:name="_Toc144911963"/>
      <w:r>
        <w:t>Valoración</w:t>
      </w:r>
      <w:bookmarkEnd w:id="55"/>
    </w:p>
    <w:p w14:paraId="1145DC88" w14:textId="6F523CB5" w:rsidR="00A921F8" w:rsidRDefault="00A921F8" w:rsidP="001675F6">
      <w:pPr>
        <w:pStyle w:val="Nivel1SM"/>
        <w:keepNext/>
        <w:spacing w:before="0" w:after="0"/>
      </w:pPr>
      <w:r>
        <w:t xml:space="preserve">El modelo de la diagonal de </w:t>
      </w:r>
      <w:r>
        <w:rPr>
          <w:smallCaps/>
        </w:rPr>
        <w:t>Sharpe</w:t>
      </w:r>
      <w:r>
        <w:t xml:space="preserve"> </w:t>
      </w:r>
      <w:r w:rsidRPr="00643E36">
        <w:t>supone una</w:t>
      </w:r>
      <w:r w:rsidRPr="00F5317F">
        <w:t xml:space="preserve"> </w:t>
      </w:r>
      <w:r w:rsidRPr="00A921F8">
        <w:rPr>
          <w:b/>
          <w:bCs/>
        </w:rPr>
        <w:t>simplificación</w:t>
      </w:r>
      <w:r>
        <w:t xml:space="preserve"> que nos permite resolver la limitación práctica del modelo de </w:t>
      </w:r>
      <w:r>
        <w:rPr>
          <w:smallCaps/>
        </w:rPr>
        <w:t>Markowitz</w:t>
      </w:r>
      <w:r>
        <w:t xml:space="preserve">. Ya </w:t>
      </w:r>
      <w:r w:rsidRPr="00643E36">
        <w:rPr>
          <w:i/>
          <w:iCs/>
          <w:u w:val="single"/>
        </w:rPr>
        <w:t>no será necesario estimar un enorme número de parámetro</w:t>
      </w:r>
      <w:r w:rsidRPr="00A60488">
        <w:rPr>
          <w:i/>
          <w:iCs/>
          <w:u w:val="single"/>
        </w:rPr>
        <w:t>s</w:t>
      </w:r>
      <w:r>
        <w:t>. En cualquier caso, nos faltaría a</w:t>
      </w:r>
      <w:r w:rsidR="00564B8B">
        <w:t>ú</w:t>
      </w:r>
      <w:r>
        <w:t xml:space="preserve">n </w:t>
      </w:r>
      <w:r w:rsidR="001675F6" w:rsidRPr="001675F6">
        <w:rPr>
          <w:b/>
          <w:bCs/>
        </w:rPr>
        <w:t>1 </w:t>
      </w:r>
      <w:r w:rsidRPr="00643E36">
        <w:rPr>
          <w:b/>
          <w:bCs/>
        </w:rPr>
        <w:t>problema</w:t>
      </w:r>
      <w:r>
        <w:t xml:space="preserve"> por resolver:</w:t>
      </w:r>
    </w:p>
    <w:p w14:paraId="41CEE03C" w14:textId="55F99A07" w:rsidR="00A921F8" w:rsidRDefault="00272CFC">
      <w:pPr>
        <w:pStyle w:val="Prrafodelista"/>
        <w:keepNext/>
        <w:numPr>
          <w:ilvl w:val="0"/>
          <w:numId w:val="22"/>
        </w:numPr>
        <w:spacing w:after="0"/>
        <w:ind w:left="567" w:hanging="113"/>
      </w:pPr>
      <w:r w:rsidRPr="00B02613">
        <w:rPr>
          <w:i/>
          <w:iCs/>
          <w:u w:val="single"/>
        </w:rPr>
        <w:t>No p</w:t>
      </w:r>
      <w:r w:rsidR="00A921F8" w:rsidRPr="00B02613">
        <w:rPr>
          <w:i/>
          <w:iCs/>
          <w:u w:val="single"/>
        </w:rPr>
        <w:t>ermite analizar carteras y títulos no eficientes</w:t>
      </w:r>
      <w:r w:rsidR="00A921F8">
        <w:t>.</w:t>
      </w:r>
    </w:p>
    <w:p w14:paraId="76017517" w14:textId="77777777" w:rsidR="00A60488" w:rsidRDefault="00A921F8" w:rsidP="00E131D7">
      <w:pPr>
        <w:pStyle w:val="Nivel3SM"/>
      </w:pPr>
      <w:r>
        <w:t>Para resolver esta cuestión se desarrolla el modelo de valoración de activos de capital (CAPM).</w:t>
      </w:r>
    </w:p>
    <w:p w14:paraId="09ED4091" w14:textId="444DC167" w:rsidR="007350CB" w:rsidRPr="007C0241" w:rsidRDefault="006F342D" w:rsidP="00E131D7">
      <w:pPr>
        <w:pStyle w:val="Nivel3SM"/>
      </w:pPr>
      <w:r>
        <w:t>En cualquier caso</w:t>
      </w:r>
      <w:r w:rsidR="00A921F8">
        <w:t>, e</w:t>
      </w:r>
      <w:r w:rsidR="007350CB">
        <w:t xml:space="preserve">sta simplificación </w:t>
      </w:r>
      <w:r w:rsidR="00A921F8">
        <w:t xml:space="preserve">propuesta por </w:t>
      </w:r>
      <w:r w:rsidR="00A921F8" w:rsidRPr="00A60488">
        <w:rPr>
          <w:smallCaps/>
        </w:rPr>
        <w:t>Sharpe</w:t>
      </w:r>
      <w:r w:rsidR="00A921F8">
        <w:t xml:space="preserve"> </w:t>
      </w:r>
      <w:r w:rsidR="007350CB" w:rsidRPr="00A921F8">
        <w:t>nos</w:t>
      </w:r>
      <w:r w:rsidR="007350CB">
        <w:t xml:space="preserve"> será útil para desarrollar los modelos de valoración CAPM y APT</w:t>
      </w:r>
      <w:r w:rsidR="00A921F8">
        <w:t xml:space="preserve"> que veremos a continuación</w:t>
      </w:r>
      <w:r w:rsidR="007350CB">
        <w:t>.</w:t>
      </w:r>
    </w:p>
    <w:p w14:paraId="4069A5BA" w14:textId="5AB0276B" w:rsidR="007A421F" w:rsidRDefault="007A421F" w:rsidP="007350CB">
      <w:pPr>
        <w:pStyle w:val="Ttulo2"/>
      </w:pPr>
      <w:bookmarkStart w:id="56" w:name="_Toc144911964"/>
      <w:r>
        <w:t xml:space="preserve">Modelos de valoración basados en la teoría de </w:t>
      </w:r>
      <w:r w:rsidR="00A576BE">
        <w:t xml:space="preserve">la </w:t>
      </w:r>
      <w:r>
        <w:t>elección de cartera</w:t>
      </w:r>
      <w:bookmarkEnd w:id="56"/>
    </w:p>
    <w:p w14:paraId="2DFA3506" w14:textId="72479D47" w:rsidR="007350CB" w:rsidRDefault="007350CB" w:rsidP="001675F6">
      <w:pPr>
        <w:pStyle w:val="Ttulo3"/>
        <w:spacing w:before="0"/>
      </w:pPr>
      <w:bookmarkStart w:id="57" w:name="_Toc144911965"/>
      <w:r>
        <w:t xml:space="preserve">Modelo de valoración de activos de capital (Capital </w:t>
      </w:r>
      <w:proofErr w:type="spellStart"/>
      <w:r>
        <w:t>Asset</w:t>
      </w:r>
      <w:proofErr w:type="spellEnd"/>
      <w:r>
        <w:t xml:space="preserve"> </w:t>
      </w:r>
      <w:proofErr w:type="spellStart"/>
      <w:r>
        <w:t>Pricing</w:t>
      </w:r>
      <w:proofErr w:type="spellEnd"/>
      <w:r>
        <w:t xml:space="preserve"> </w:t>
      </w:r>
      <w:proofErr w:type="spellStart"/>
      <w:r>
        <w:t>Model</w:t>
      </w:r>
      <w:proofErr w:type="spellEnd"/>
      <w:r>
        <w:t xml:space="preserve"> (CAPM) </w:t>
      </w:r>
      <w:r w:rsidR="001C4F41">
        <w:t>–</w:t>
      </w:r>
      <w:r w:rsidRPr="00D17623">
        <w:rPr>
          <w:smallCaps/>
        </w:rPr>
        <w:t>Sharpe</w:t>
      </w:r>
      <w:r>
        <w:t xml:space="preserve">, </w:t>
      </w:r>
      <w:r>
        <w:rPr>
          <w:smallCaps/>
        </w:rPr>
        <w:t xml:space="preserve">Lintner </w:t>
      </w:r>
      <w:r>
        <w:t xml:space="preserve">y </w:t>
      </w:r>
      <w:r>
        <w:rPr>
          <w:smallCaps/>
        </w:rPr>
        <w:t>Mossin</w:t>
      </w:r>
      <w:r>
        <w:t xml:space="preserve">, </w:t>
      </w:r>
      <w:r w:rsidRPr="00421B38">
        <w:t>1960s</w:t>
      </w:r>
      <w:r w:rsidR="001C4F41">
        <w:t>–</w:t>
      </w:r>
      <w:r w:rsidRPr="00A60488">
        <w:rPr>
          <w:rStyle w:val="Refdenotaalpie"/>
          <w:i w:val="0"/>
          <w:iCs w:val="0"/>
        </w:rPr>
        <w:footnoteReference w:id="16"/>
      </w:r>
      <w:r>
        <w:t>)</w:t>
      </w:r>
      <w:bookmarkEnd w:id="57"/>
    </w:p>
    <w:p w14:paraId="72D0E7EA" w14:textId="77777777" w:rsidR="007350CB" w:rsidRPr="00784095" w:rsidRDefault="007350CB" w:rsidP="007350CB">
      <w:pPr>
        <w:pStyle w:val="Notaalopositor"/>
        <w:rPr>
          <w:lang w:val="en-US"/>
        </w:rPr>
      </w:pPr>
      <w:r w:rsidRPr="00784095">
        <w:rPr>
          <w:lang w:val="en-US"/>
        </w:rPr>
        <w:t xml:space="preserve">Ver </w:t>
      </w:r>
      <w:r w:rsidRPr="00784095">
        <w:rPr>
          <w:smallCaps/>
          <w:lang w:val="en-US"/>
        </w:rPr>
        <w:t>Sharpe</w:t>
      </w:r>
      <w:r w:rsidRPr="00784095">
        <w:rPr>
          <w:lang w:val="en-US"/>
        </w:rPr>
        <w:t xml:space="preserve"> Ch. 9</w:t>
      </w:r>
    </w:p>
    <w:p w14:paraId="535DF9D0" w14:textId="2F311CAD" w:rsidR="007350CB" w:rsidRPr="00891557" w:rsidRDefault="00000000" w:rsidP="00A576BE">
      <w:pPr>
        <w:pStyle w:val="Cajadeanotaciones"/>
        <w:keepNext/>
        <w:spacing w:after="0"/>
        <w:rPr>
          <w:sz w:val="19"/>
          <w:szCs w:val="19"/>
          <w:lang w:val="en-US"/>
        </w:rPr>
      </w:pPr>
      <w:r>
        <w:fldChar w:fldCharType="begin"/>
      </w:r>
      <w:r w:rsidRPr="00561B3A">
        <w:rPr>
          <w:lang w:val="en-US"/>
        </w:rPr>
        <w:instrText>HYPERLINK "https://www.youtube.com/watch?v=UiLKoRKppY8&amp;list=PLIYnk9FMYcksCoVznFEJArmFVR-R5KP0i&amp;index=4"</w:instrText>
      </w:r>
      <w:r>
        <w:fldChar w:fldCharType="separate"/>
      </w:r>
      <w:r w:rsidR="007350CB" w:rsidRPr="00891557">
        <w:rPr>
          <w:rStyle w:val="Hipervnculo"/>
          <w:sz w:val="19"/>
          <w:szCs w:val="19"/>
          <w:lang w:val="en-US"/>
        </w:rPr>
        <w:t>https://www.youtube.com/watch?v=UiLKoRKppY8&amp;list=PLIYnk9FMYcksCoVznFEJArmFVR-R5KP0i&amp;index=4</w:t>
      </w:r>
      <w:r>
        <w:rPr>
          <w:rStyle w:val="Hipervnculo"/>
          <w:sz w:val="19"/>
          <w:szCs w:val="19"/>
          <w:lang w:val="en-US"/>
        </w:rPr>
        <w:fldChar w:fldCharType="end"/>
      </w:r>
    </w:p>
    <w:p w14:paraId="57457980" w14:textId="6CF5FA71" w:rsidR="007350CB" w:rsidRPr="00891557" w:rsidRDefault="00000000" w:rsidP="00A60488">
      <w:pPr>
        <w:pStyle w:val="Cajadeanotaciones"/>
        <w:keepNext/>
        <w:rPr>
          <w:sz w:val="19"/>
          <w:szCs w:val="19"/>
          <w:lang w:val="en-US"/>
        </w:rPr>
      </w:pPr>
      <w:r>
        <w:fldChar w:fldCharType="begin"/>
      </w:r>
      <w:r w:rsidRPr="00561B3A">
        <w:rPr>
          <w:lang w:val="en-US"/>
        </w:rPr>
        <w:instrText>HYPERLINK "https://www.youtube.com/watch?v=aNbai2BE5Dg"</w:instrText>
      </w:r>
      <w:r>
        <w:fldChar w:fldCharType="separate"/>
      </w:r>
      <w:r w:rsidR="007350CB" w:rsidRPr="00891557">
        <w:rPr>
          <w:rStyle w:val="Hipervnculo"/>
          <w:sz w:val="19"/>
          <w:szCs w:val="19"/>
          <w:lang w:val="en-US"/>
        </w:rPr>
        <w:t>https://www.youtube.com/watch?v=aNbai2BE5Dg</w:t>
      </w:r>
      <w:r>
        <w:rPr>
          <w:rStyle w:val="Hipervnculo"/>
          <w:sz w:val="19"/>
          <w:szCs w:val="19"/>
          <w:lang w:val="en-US"/>
        </w:rPr>
        <w:fldChar w:fldCharType="end"/>
      </w:r>
    </w:p>
    <w:p w14:paraId="1F5314A5" w14:textId="77777777" w:rsidR="007350CB" w:rsidRDefault="007350CB" w:rsidP="00A576BE">
      <w:pPr>
        <w:pStyle w:val="Ttulo6"/>
        <w:spacing w:before="0"/>
      </w:pPr>
      <w:bookmarkStart w:id="58" w:name="_Toc144911966"/>
      <w:r>
        <w:t>Idea</w:t>
      </w:r>
      <w:bookmarkEnd w:id="58"/>
    </w:p>
    <w:p w14:paraId="514BBC0E" w14:textId="2721C131" w:rsidR="007350CB" w:rsidRPr="005F6235" w:rsidRDefault="007350CB" w:rsidP="00A576BE">
      <w:pPr>
        <w:pStyle w:val="Nivel1SM"/>
        <w:spacing w:before="0"/>
      </w:pPr>
      <w:r w:rsidRPr="005F6235">
        <w:t>Hasta ahora hemos visto la elección del inversor en cuanto a la composición de su cartera. A continuación vamos a pasar a estudiar la valoración de estos instrumentos.</w:t>
      </w:r>
    </w:p>
    <w:p w14:paraId="3B7C8763" w14:textId="12B672A9" w:rsidR="00E85D6A" w:rsidRPr="007A421F" w:rsidRDefault="00E85D6A" w:rsidP="00522853">
      <w:pPr>
        <w:pStyle w:val="Nivel1SM"/>
        <w:keepNext/>
        <w:spacing w:after="0"/>
      </w:pPr>
      <w:r w:rsidRPr="007A421F">
        <w:t xml:space="preserve">El CAPM </w:t>
      </w:r>
      <w:r w:rsidR="00522853" w:rsidRPr="007A421F">
        <w:t>(</w:t>
      </w:r>
      <w:r w:rsidR="00522853" w:rsidRPr="007A421F">
        <w:rPr>
          <w:i/>
          <w:iCs/>
        </w:rPr>
        <w:t xml:space="preserve">Capital </w:t>
      </w:r>
      <w:proofErr w:type="spellStart"/>
      <w:r w:rsidR="00522853" w:rsidRPr="007A421F">
        <w:rPr>
          <w:i/>
          <w:iCs/>
        </w:rPr>
        <w:t>Asset</w:t>
      </w:r>
      <w:proofErr w:type="spellEnd"/>
      <w:r w:rsidR="00522853" w:rsidRPr="007A421F">
        <w:rPr>
          <w:i/>
          <w:iCs/>
        </w:rPr>
        <w:t xml:space="preserve"> </w:t>
      </w:r>
      <w:proofErr w:type="spellStart"/>
      <w:r w:rsidR="00522853" w:rsidRPr="007A421F">
        <w:rPr>
          <w:i/>
          <w:iCs/>
        </w:rPr>
        <w:t>Pricing</w:t>
      </w:r>
      <w:proofErr w:type="spellEnd"/>
      <w:r w:rsidR="00522853" w:rsidRPr="007A421F">
        <w:rPr>
          <w:i/>
          <w:iCs/>
        </w:rPr>
        <w:t xml:space="preserve"> </w:t>
      </w:r>
      <w:proofErr w:type="spellStart"/>
      <w:r w:rsidR="00522853" w:rsidRPr="007A421F">
        <w:rPr>
          <w:i/>
          <w:iCs/>
        </w:rPr>
        <w:t>Model</w:t>
      </w:r>
      <w:proofErr w:type="spellEnd"/>
      <w:r w:rsidR="00522853" w:rsidRPr="007A421F">
        <w:t xml:space="preserve">) </w:t>
      </w:r>
      <w:r w:rsidRPr="007A421F">
        <w:t xml:space="preserve">parte de la teoría de la elección de carteras. Mientras la teoría de elección de carteras determina la elección de una cartera, el objetivo del CAPM es predecir </w:t>
      </w:r>
      <w:r w:rsidR="005F6235" w:rsidRPr="007A421F">
        <w:t>cuáles</w:t>
      </w:r>
      <w:r w:rsidRPr="007A421F">
        <w:t xml:space="preserve"> serán los rendimientos esperados de los activos de riesgo en equilibrio.</w:t>
      </w:r>
    </w:p>
    <w:p w14:paraId="302F8302" w14:textId="77777777" w:rsidR="00522853" w:rsidRDefault="007350CB" w:rsidP="00522853">
      <w:pPr>
        <w:pStyle w:val="Nivel2SM"/>
      </w:pPr>
      <w:r>
        <w:t xml:space="preserve">El modelo de carteras mixtas especifica una </w:t>
      </w:r>
      <w:r w:rsidRPr="00BF244E">
        <w:rPr>
          <w:b/>
          <w:bCs/>
        </w:rPr>
        <w:t>relación lineal</w:t>
      </w:r>
      <w:r>
        <w:t xml:space="preserve"> entre riesgo y rentabilidad para cualquier </w:t>
      </w:r>
      <w:r>
        <w:rPr>
          <w:u w:val="single"/>
        </w:rPr>
        <w:t>cartera eficiente</w:t>
      </w:r>
      <w:r>
        <w:t>.</w:t>
      </w:r>
    </w:p>
    <w:p w14:paraId="61096FA8" w14:textId="77777777" w:rsidR="00522853" w:rsidRDefault="007350CB" w:rsidP="00522853">
      <w:pPr>
        <w:pStyle w:val="Nivel2SM"/>
        <w:keepNext/>
        <w:spacing w:after="0"/>
      </w:pPr>
      <w:r>
        <w:t>El CAPM (</w:t>
      </w:r>
      <w:r>
        <w:rPr>
          <w:i/>
          <w:iCs/>
        </w:rPr>
        <w:t xml:space="preserve">Capital </w:t>
      </w:r>
      <w:proofErr w:type="spellStart"/>
      <w:r>
        <w:rPr>
          <w:i/>
          <w:iCs/>
        </w:rPr>
        <w:t>Asset</w:t>
      </w:r>
      <w:proofErr w:type="spellEnd"/>
      <w:r>
        <w:rPr>
          <w:i/>
          <w:iCs/>
        </w:rPr>
        <w:t xml:space="preserve"> </w:t>
      </w:r>
      <w:proofErr w:type="spellStart"/>
      <w:r>
        <w:rPr>
          <w:i/>
          <w:iCs/>
        </w:rPr>
        <w:t>Pricing</w:t>
      </w:r>
      <w:proofErr w:type="spellEnd"/>
      <w:r>
        <w:rPr>
          <w:i/>
          <w:iCs/>
        </w:rPr>
        <w:t xml:space="preserve"> </w:t>
      </w:r>
      <w:proofErr w:type="spellStart"/>
      <w:r>
        <w:rPr>
          <w:i/>
          <w:iCs/>
        </w:rPr>
        <w:t>Model</w:t>
      </w:r>
      <w:proofErr w:type="spellEnd"/>
      <w:r>
        <w:t xml:space="preserve">) trata de ir más allá y </w:t>
      </w:r>
      <w:r>
        <w:rPr>
          <w:b/>
          <w:bCs/>
        </w:rPr>
        <w:t>generalizar</w:t>
      </w:r>
      <w:r>
        <w:t xml:space="preserve"> dicha relación lineal para </w:t>
      </w:r>
      <w:r>
        <w:rPr>
          <w:b/>
          <w:bCs/>
          <w:u w:val="single"/>
        </w:rPr>
        <w:t>cualquier</w:t>
      </w:r>
      <w:r>
        <w:rPr>
          <w:b/>
          <w:bCs/>
        </w:rPr>
        <w:t xml:space="preserve"> activo financiero</w:t>
      </w:r>
      <w:r>
        <w:t xml:space="preserve"> (ya sea individual o cartera, eficiente o no).</w:t>
      </w:r>
    </w:p>
    <w:p w14:paraId="617A552D" w14:textId="1EC000CF" w:rsidR="007350CB" w:rsidRDefault="007350CB" w:rsidP="005A67E9">
      <w:pPr>
        <w:pStyle w:val="Nivel3SM"/>
        <w:spacing w:after="100"/>
      </w:pPr>
      <w:r>
        <w:t xml:space="preserve">Esto significa que el CAPM nos va a permitir </w:t>
      </w:r>
      <w:r w:rsidRPr="001C4F41">
        <w:rPr>
          <w:b/>
          <w:bCs/>
        </w:rPr>
        <w:t>valorar</w:t>
      </w:r>
      <w:r>
        <w:t xml:space="preserve"> cualquier tipo de activo</w:t>
      </w:r>
      <w:r w:rsidR="002602EC">
        <w:rPr>
          <w:rStyle w:val="Refdenotaalpie"/>
        </w:rPr>
        <w:footnoteReference w:id="17"/>
      </w:r>
      <w:r>
        <w:t>.</w:t>
      </w:r>
    </w:p>
    <w:p w14:paraId="46EBCB08" w14:textId="770B56DB" w:rsidR="005A67E9" w:rsidRDefault="005A67E9" w:rsidP="005A67E9">
      <w:pPr>
        <w:pStyle w:val="Nivel1SM"/>
        <w:keepNext/>
        <w:spacing w:after="0"/>
      </w:pPr>
      <w:r>
        <w:t>Por lo tanto, el CAPM es un modelo de equilibrio de determinación de rendimientos.</w:t>
      </w:r>
    </w:p>
    <w:p w14:paraId="091008DF" w14:textId="3A629187" w:rsidR="005A67E9" w:rsidRDefault="005A67E9" w:rsidP="005A67E9">
      <w:pPr>
        <w:pStyle w:val="Nivel2SM"/>
      </w:pPr>
      <w:r>
        <w:t xml:space="preserve">A pesar de la rigidez de algunos de sus supuestos, provee un análisis </w:t>
      </w:r>
      <w:proofErr w:type="spellStart"/>
      <w:r w:rsidRPr="00A60488">
        <w:rPr>
          <w:i/>
          <w:iCs/>
        </w:rPr>
        <w:t>benchmark</w:t>
      </w:r>
      <w:proofErr w:type="spellEnd"/>
      <w:r>
        <w:t xml:space="preserve"> para predecir la rentabilidad de inversiones.</w:t>
      </w:r>
    </w:p>
    <w:p w14:paraId="0F7ABADA" w14:textId="2A69109A" w:rsidR="005A67E9" w:rsidRPr="005A67E9" w:rsidRDefault="005A67E9" w:rsidP="00E131D7">
      <w:pPr>
        <w:pStyle w:val="Nivel2SM"/>
      </w:pPr>
      <w:r w:rsidRPr="005A67E9">
        <w:rPr>
          <w:lang w:val="es"/>
        </w:rPr>
        <w:lastRenderedPageBreak/>
        <w:t xml:space="preserve">El </w:t>
      </w:r>
      <w:r>
        <w:rPr>
          <w:lang w:val="es"/>
        </w:rPr>
        <w:t>modelo nos ayuda a</w:t>
      </w:r>
      <w:r w:rsidRPr="005A67E9">
        <w:rPr>
          <w:lang w:val="es"/>
        </w:rPr>
        <w:t xml:space="preserve"> hacer conjetura</w:t>
      </w:r>
      <w:r>
        <w:rPr>
          <w:lang w:val="es"/>
        </w:rPr>
        <w:t>s</w:t>
      </w:r>
      <w:r w:rsidRPr="005A67E9">
        <w:rPr>
          <w:lang w:val="es"/>
        </w:rPr>
        <w:t xml:space="preserve"> sobre </w:t>
      </w:r>
      <w:r>
        <w:rPr>
          <w:lang w:val="es"/>
        </w:rPr>
        <w:t>la rentabilidad</w:t>
      </w:r>
      <w:r w:rsidRPr="005A67E9">
        <w:rPr>
          <w:lang w:val="es"/>
        </w:rPr>
        <w:t xml:space="preserve"> esperad</w:t>
      </w:r>
      <w:r>
        <w:rPr>
          <w:lang w:val="es"/>
        </w:rPr>
        <w:t>a</w:t>
      </w:r>
      <w:r w:rsidRPr="005A67E9">
        <w:rPr>
          <w:lang w:val="es"/>
        </w:rPr>
        <w:t xml:space="preserve"> de los activos que aún no se han negociado en el </w:t>
      </w:r>
      <w:r>
        <w:rPr>
          <w:lang w:val="es"/>
        </w:rPr>
        <w:t>m</w:t>
      </w:r>
      <w:r w:rsidRPr="005A67E9">
        <w:rPr>
          <w:lang w:val="es"/>
        </w:rPr>
        <w:t xml:space="preserve">ercado. Por ejemplo, ¿cómo </w:t>
      </w:r>
      <w:r>
        <w:rPr>
          <w:lang w:val="es"/>
        </w:rPr>
        <w:t xml:space="preserve">se </w:t>
      </w:r>
      <w:r w:rsidR="00655F7F">
        <w:rPr>
          <w:lang w:val="es"/>
        </w:rPr>
        <w:t>determina</w:t>
      </w:r>
      <w:r>
        <w:rPr>
          <w:lang w:val="es"/>
        </w:rPr>
        <w:t xml:space="preserve"> el precio en</w:t>
      </w:r>
      <w:r w:rsidRPr="005A67E9">
        <w:rPr>
          <w:lang w:val="es"/>
        </w:rPr>
        <w:t xml:space="preserve"> una</w:t>
      </w:r>
      <w:r>
        <w:rPr>
          <w:lang w:val="es"/>
        </w:rPr>
        <w:t xml:space="preserve"> </w:t>
      </w:r>
      <w:r w:rsidR="00655F7F">
        <w:rPr>
          <w:lang w:val="es"/>
        </w:rPr>
        <w:t>Oferta Pública de Venta (</w:t>
      </w:r>
      <w:r>
        <w:rPr>
          <w:lang w:val="es"/>
        </w:rPr>
        <w:t>OPV</w:t>
      </w:r>
      <w:r w:rsidR="00655F7F">
        <w:rPr>
          <w:lang w:val="es"/>
        </w:rPr>
        <w:t>)</w:t>
      </w:r>
      <w:r w:rsidRPr="005A67E9">
        <w:rPr>
          <w:lang w:val="es"/>
        </w:rPr>
        <w:t>?</w:t>
      </w:r>
    </w:p>
    <w:p w14:paraId="2D22955C" w14:textId="77777777" w:rsidR="007350CB" w:rsidRDefault="007350CB" w:rsidP="007350CB">
      <w:pPr>
        <w:pStyle w:val="Ttulo6"/>
      </w:pPr>
      <w:bookmarkStart w:id="59" w:name="_Toc144911967"/>
      <w:r>
        <w:t>Modelo</w:t>
      </w:r>
      <w:bookmarkEnd w:id="59"/>
    </w:p>
    <w:p w14:paraId="22C8C77C" w14:textId="77777777" w:rsidR="007350CB" w:rsidRDefault="007350CB" w:rsidP="001675F6">
      <w:pPr>
        <w:pStyle w:val="Ttulo7"/>
        <w:spacing w:before="0"/>
      </w:pPr>
      <w:bookmarkStart w:id="60" w:name="_Toc144911968"/>
      <w:r>
        <w:t>Supuestos</w:t>
      </w:r>
      <w:bookmarkEnd w:id="60"/>
    </w:p>
    <w:p w14:paraId="4A8B9BE8" w14:textId="772B6921" w:rsidR="00891557" w:rsidRDefault="00891557" w:rsidP="001675F6">
      <w:pPr>
        <w:pStyle w:val="Nivel1SM"/>
        <w:keepNext/>
        <w:spacing w:before="0" w:after="0"/>
      </w:pPr>
      <w:r>
        <w:t xml:space="preserve">Partiremos de los siguientes </w:t>
      </w:r>
      <w:r w:rsidRPr="00891557">
        <w:rPr>
          <w:b/>
          <w:bCs/>
        </w:rPr>
        <w:t>supuestos</w:t>
      </w:r>
      <w:r>
        <w:t>:</w:t>
      </w:r>
    </w:p>
    <w:p w14:paraId="17D1E674" w14:textId="77777777" w:rsidR="00147B73" w:rsidRDefault="00147B73">
      <w:pPr>
        <w:pStyle w:val="Prrafodelista"/>
        <w:numPr>
          <w:ilvl w:val="0"/>
          <w:numId w:val="33"/>
        </w:numPr>
        <w:spacing w:after="100"/>
        <w:ind w:left="568" w:hanging="284"/>
      </w:pPr>
      <w:r>
        <w:t xml:space="preserve">Es un </w:t>
      </w:r>
      <w:r w:rsidRPr="00147B73">
        <w:rPr>
          <w:i/>
          <w:iCs/>
          <w:u w:val="single"/>
        </w:rPr>
        <w:t>modelo estático</w:t>
      </w:r>
      <w:r>
        <w:t>, ya que los agentes sólo miran al próximo periodo.</w:t>
      </w:r>
    </w:p>
    <w:p w14:paraId="6A82A736" w14:textId="77777777" w:rsidR="00147B73" w:rsidRDefault="00147B73">
      <w:pPr>
        <w:pStyle w:val="Prrafodelista"/>
        <w:keepNext/>
        <w:numPr>
          <w:ilvl w:val="0"/>
          <w:numId w:val="33"/>
        </w:numPr>
        <w:spacing w:after="0"/>
        <w:ind w:left="568" w:hanging="284"/>
      </w:pPr>
      <w:r w:rsidRPr="00147B73">
        <w:rPr>
          <w:i/>
          <w:iCs/>
          <w:u w:val="single"/>
        </w:rPr>
        <w:t>Mercado perfectamente competitivo</w:t>
      </w:r>
      <w:r>
        <w:t>. Esto lo podemos resumir en los siguientes puntos:</w:t>
      </w:r>
    </w:p>
    <w:p w14:paraId="3155AFDD" w14:textId="77777777" w:rsidR="00147B73" w:rsidRDefault="00147B73" w:rsidP="00147B73">
      <w:pPr>
        <w:pStyle w:val="Nivel3SM"/>
      </w:pPr>
      <w:r w:rsidRPr="00891557">
        <w:rPr>
          <w:i/>
          <w:iCs/>
        </w:rPr>
        <w:t>Existe una gran cantidad de inversores</w:t>
      </w:r>
      <w:r>
        <w:t xml:space="preserve"> (cada uno con una función de utilidad y una dotación de riqueza inicial).</w:t>
      </w:r>
    </w:p>
    <w:p w14:paraId="3F4884AE" w14:textId="77777777" w:rsidR="00147B73" w:rsidRDefault="00147B73" w:rsidP="00147B73">
      <w:pPr>
        <w:pStyle w:val="Nivel3SM"/>
      </w:pPr>
      <w:r w:rsidRPr="005E7CF9">
        <w:rPr>
          <w:i/>
          <w:iCs/>
        </w:rPr>
        <w:t>L</w:t>
      </w:r>
      <w:r w:rsidRPr="00891557">
        <w:rPr>
          <w:i/>
          <w:iCs/>
        </w:rPr>
        <w:t>os inversores son precio-aceptantes</w:t>
      </w:r>
      <w:r>
        <w:t>.</w:t>
      </w:r>
    </w:p>
    <w:p w14:paraId="5C16E76B" w14:textId="77777777" w:rsidR="00147B73" w:rsidRDefault="00147B73" w:rsidP="00147B73">
      <w:pPr>
        <w:pStyle w:val="Nivel3SM"/>
      </w:pPr>
      <w:r w:rsidRPr="00891557">
        <w:rPr>
          <w:i/>
          <w:iCs/>
        </w:rPr>
        <w:t>No existen costes de transacción, ni impuestos</w:t>
      </w:r>
      <w:r>
        <w:t>.</w:t>
      </w:r>
    </w:p>
    <w:p w14:paraId="75B8D666" w14:textId="77777777" w:rsidR="00147B73" w:rsidRDefault="00147B73">
      <w:pPr>
        <w:pStyle w:val="Prrafodelista"/>
        <w:numPr>
          <w:ilvl w:val="0"/>
          <w:numId w:val="33"/>
        </w:numPr>
        <w:spacing w:after="100"/>
        <w:ind w:left="568" w:hanging="284"/>
      </w:pPr>
      <w:r>
        <w:t>Todos los inversores conocen y aplican el modelo media-varianza (</w:t>
      </w:r>
      <w:r w:rsidRPr="00147B73">
        <w:rPr>
          <w:i/>
          <w:iCs/>
          <w:u w:val="single"/>
        </w:rPr>
        <w:t>optimizadores en sentido de Markowitz</w:t>
      </w:r>
      <w:r>
        <w:t xml:space="preserve">). Como consecuencia, los </w:t>
      </w:r>
      <w:r w:rsidRPr="00AD0F6D">
        <w:rPr>
          <w:i/>
          <w:iCs/>
        </w:rPr>
        <w:t>inversores siempre prefieren más rentabilidad si ello no requiere más riesgo</w:t>
      </w:r>
      <w:r>
        <w:t>.</w:t>
      </w:r>
    </w:p>
    <w:p w14:paraId="4F0601C9" w14:textId="77777777" w:rsidR="00147B73" w:rsidRPr="00147B73" w:rsidRDefault="00147B73">
      <w:pPr>
        <w:pStyle w:val="Prrafodelista"/>
        <w:numPr>
          <w:ilvl w:val="0"/>
          <w:numId w:val="33"/>
        </w:numPr>
        <w:spacing w:after="100"/>
        <w:ind w:left="568" w:hanging="284"/>
        <w:rPr>
          <w:spacing w:val="-2"/>
        </w:rPr>
      </w:pPr>
      <w:r w:rsidRPr="00147B73">
        <w:rPr>
          <w:spacing w:val="-2"/>
        </w:rPr>
        <w:t xml:space="preserve">El </w:t>
      </w:r>
      <w:r w:rsidRPr="00147B73">
        <w:rPr>
          <w:i/>
          <w:iCs/>
          <w:spacing w:val="-2"/>
          <w:u w:val="single"/>
        </w:rPr>
        <w:t>tipo de interés al que se remuneran los fondos es igual que el que se paga por disponer capitales ajenos</w:t>
      </w:r>
      <w:r w:rsidRPr="00147B73">
        <w:rPr>
          <w:spacing w:val="-2"/>
        </w:rPr>
        <w:t>. Es decir, se puede prestar y pedir prestado al tipo de interés libre de riesgo.</w:t>
      </w:r>
    </w:p>
    <w:p w14:paraId="347F6A3D" w14:textId="77777777" w:rsidR="00147B73" w:rsidRPr="00147B73" w:rsidRDefault="00147B73">
      <w:pPr>
        <w:pStyle w:val="Prrafodelista"/>
        <w:numPr>
          <w:ilvl w:val="0"/>
          <w:numId w:val="33"/>
        </w:numPr>
        <w:spacing w:after="100"/>
        <w:ind w:left="568" w:hanging="284"/>
      </w:pPr>
      <w:r w:rsidRPr="00147B73">
        <w:t xml:space="preserve">Existe un gran número de activos individuales de forma que </w:t>
      </w:r>
      <w:r w:rsidRPr="00147B73">
        <w:rPr>
          <w:i/>
          <w:iCs/>
          <w:u w:val="single"/>
        </w:rPr>
        <w:t>la diversificación permite eliminar el riesgo idiosincrático (riesgo diversificable) en su totalidad</w:t>
      </w:r>
      <w:r w:rsidRPr="00147B73">
        <w:t>.</w:t>
      </w:r>
    </w:p>
    <w:p w14:paraId="171B876B" w14:textId="77777777" w:rsidR="00147B73" w:rsidRDefault="00147B73">
      <w:pPr>
        <w:pStyle w:val="Prrafodelista"/>
        <w:numPr>
          <w:ilvl w:val="0"/>
          <w:numId w:val="33"/>
        </w:numPr>
        <w:spacing w:after="100"/>
        <w:ind w:left="568" w:hanging="284"/>
      </w:pPr>
      <w:r>
        <w:t xml:space="preserve">La oferta de los activos financieros con riesgo está dada exógenamente, y estos son </w:t>
      </w:r>
      <w:r w:rsidRPr="00147B73">
        <w:rPr>
          <w:i/>
          <w:iCs/>
          <w:u w:val="single"/>
        </w:rPr>
        <w:t>perfectamente divisibles</w:t>
      </w:r>
      <w:r>
        <w:t>.</w:t>
      </w:r>
    </w:p>
    <w:p w14:paraId="1626E4DF" w14:textId="77777777" w:rsidR="00147B73" w:rsidRDefault="00147B73">
      <w:pPr>
        <w:pStyle w:val="Prrafodelista"/>
        <w:numPr>
          <w:ilvl w:val="0"/>
          <w:numId w:val="33"/>
        </w:numPr>
        <w:spacing w:after="100"/>
        <w:ind w:left="568" w:hanging="284"/>
      </w:pPr>
      <w:r w:rsidRPr="00147B73">
        <w:rPr>
          <w:i/>
          <w:iCs/>
          <w:u w:val="single"/>
        </w:rPr>
        <w:t>Todo inversor posee igual información e iguales datos</w:t>
      </w:r>
      <w:r>
        <w:t>, y por tanto, sus expectativas de rentabilidad y riesgo para cada activo son idénticas.</w:t>
      </w:r>
    </w:p>
    <w:p w14:paraId="211AFF99" w14:textId="77777777" w:rsidR="007350CB" w:rsidRDefault="007350CB" w:rsidP="007350CB">
      <w:pPr>
        <w:pStyle w:val="Ttulo7"/>
      </w:pPr>
      <w:bookmarkStart w:id="61" w:name="_Toc144911969"/>
      <w:r>
        <w:t>Desarrollo</w:t>
      </w:r>
      <w:bookmarkEnd w:id="61"/>
    </w:p>
    <w:p w14:paraId="06F9B311" w14:textId="78CBC4A2" w:rsidR="00655F7F" w:rsidRDefault="00655F7F" w:rsidP="001675F6">
      <w:pPr>
        <w:pStyle w:val="Nivel1SM"/>
        <w:keepNext/>
        <w:spacing w:before="0" w:after="0"/>
      </w:pPr>
      <w:r>
        <w:t xml:space="preserve">El CAPM parte de la base de que los individuos son </w:t>
      </w:r>
      <w:r w:rsidRPr="00655F7F">
        <w:rPr>
          <w:i/>
          <w:iCs/>
        </w:rPr>
        <w:t>diversificadores eficientes</w:t>
      </w:r>
      <w:r>
        <w:t xml:space="preserve"> y, por lo tanto, en la valoración del título s</w:t>
      </w:r>
      <w:r w:rsidR="005F6235">
        <w:t>ó</w:t>
      </w:r>
      <w:r>
        <w:t>lo importa el riesgo sistemático.</w:t>
      </w:r>
    </w:p>
    <w:p w14:paraId="23CC53DF" w14:textId="3D9E8FA6" w:rsidR="007350CB" w:rsidRDefault="007350CB" w:rsidP="00655F7F">
      <w:pPr>
        <w:pStyle w:val="Nivel2SM"/>
      </w:pPr>
      <w:r>
        <w:t>El CAPM se basa en la percepción de que el gap de rendimiento que requiere un activo depende de su contribución al riesgo de la cartera (</w:t>
      </w:r>
      <w:r w:rsidRPr="00655F7F">
        <w:rPr>
          <w:i/>
          <w:iCs/>
        </w:rPr>
        <w:t>riesgo sistemático</w:t>
      </w:r>
      <w:r>
        <w:t>). El riesgo que añade a una cartera viene dado por la volatilidad del activo (cómo varía el rendimiento del mercado, i.e. nos da la sensibilidad del título frente a variaciones del mercado).</w:t>
      </w:r>
    </w:p>
    <w:p w14:paraId="70BA49D5" w14:textId="0EF79EEF" w:rsidR="007350CB" w:rsidRDefault="007350CB" w:rsidP="00655F7F">
      <w:pPr>
        <w:pStyle w:val="Nivel2SM"/>
      </w:pPr>
      <w:r>
        <w:t>El riesgo sistemático por consiguiente no puede ser eliminado por diversificación dado que está vinculado a la evolución de la economía y, por tanto, nunca va a desaparecer por mucho que se incorpore a una cartera diversificada.</w:t>
      </w:r>
    </w:p>
    <w:p w14:paraId="4C98DDA3" w14:textId="4D55B608" w:rsidR="00655F7F" w:rsidRPr="00655F7F" w:rsidRDefault="00655F7F" w:rsidP="00655F7F">
      <w:pPr>
        <w:pStyle w:val="Nivel2SM"/>
        <w:keepNext/>
        <w:spacing w:after="0"/>
      </w:pPr>
      <w:r>
        <w:t xml:space="preserve">En concreto, el riesgo sistemático se mide con la </w:t>
      </w:r>
      <w:r w:rsidRPr="006175AE">
        <w:rPr>
          <w:rFonts w:cs="Times New Roman"/>
          <w:i/>
          <w:iCs/>
        </w:rPr>
        <w:t>β</w:t>
      </w:r>
      <w:r>
        <w:rPr>
          <w:rFonts w:cs="Times New Roman"/>
        </w:rPr>
        <w:t xml:space="preserve"> (beta) del título, que mide la volatilidad del título relativo a la volatilidad del mercado:</w:t>
      </w:r>
    </w:p>
    <w:p w14:paraId="12BF1689" w14:textId="3743AF9D" w:rsidR="00655F7F" w:rsidRPr="00176E76" w:rsidRDefault="00000000" w:rsidP="00655F7F">
      <w:pPr>
        <w:pStyle w:val="Nivel2SM"/>
        <w:numPr>
          <w:ilvl w:val="0"/>
          <w:numId w:val="0"/>
        </w:numPr>
        <w:ind w:left="567"/>
      </w:pPr>
      <m:oMathPara>
        <m:oMath>
          <m:sSub>
            <m:sSubPr>
              <m:ctrlPr>
                <w:rPr>
                  <w:rFonts w:ascii="Cambria Math" w:hAnsi="Cambria Math"/>
                  <w:i/>
                </w:rPr>
              </m:ctrlPr>
            </m:sSubPr>
            <m:e>
              <m:r>
                <m:rPr>
                  <m:nor/>
                </m:rPr>
                <w:rPr>
                  <w:i/>
                </w:rPr>
                <m:t>β</m:t>
              </m:r>
            </m:e>
            <m:sub>
              <m:r>
                <m:rPr>
                  <m:nor/>
                </m:rPr>
                <w:rPr>
                  <w:i/>
                  <w:lang w:val="en-US"/>
                </w:rPr>
                <m:t>i</m:t>
              </m:r>
            </m:sub>
          </m:sSub>
          <m:r>
            <w:rPr>
              <w:rFonts w:ascii="Cambria Math" w:hAnsi="Cambria Math"/>
              <w:lang w:val="en-US"/>
            </w:rPr>
            <m:t>=</m:t>
          </m:r>
          <m:f>
            <m:fPr>
              <m:ctrlPr>
                <w:rPr>
                  <w:rFonts w:ascii="Cambria Math" w:hAnsi="Cambria Math"/>
                  <w:i/>
                  <w:iCs/>
                </w:rPr>
              </m:ctrlPr>
            </m:fPr>
            <m:num>
              <m:r>
                <m:rPr>
                  <m:nor/>
                </m:rPr>
                <w:rPr>
                  <w:i/>
                  <w:iCs/>
                </w:rPr>
                <m:t>Cov</m:t>
              </m:r>
              <m:d>
                <m:dPr>
                  <m:ctrlPr>
                    <w:rPr>
                      <w:rFonts w:ascii="Cambria Math" w:hAnsi="Cambria Math"/>
                      <w:i/>
                      <w:iCs/>
                    </w:rPr>
                  </m:ctrlPr>
                </m:dPr>
                <m:e>
                  <m:r>
                    <m:rPr>
                      <m:nor/>
                    </m:rPr>
                    <w:rPr>
                      <w:i/>
                      <w:iCs/>
                    </w:rPr>
                    <m:t>E</m:t>
                  </m:r>
                  <m:d>
                    <m:dPr>
                      <m:begChr m:val="["/>
                      <m:endChr m:val="]"/>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i</m:t>
                          </m:r>
                        </m:sub>
                      </m:sSub>
                    </m:e>
                  </m:d>
                  <m:r>
                    <m:rPr>
                      <m:nor/>
                    </m:rPr>
                    <w:rPr>
                      <w:i/>
                      <w:iCs/>
                    </w:rPr>
                    <m:t>,</m:t>
                  </m:r>
                  <m:r>
                    <m:rPr>
                      <m:nor/>
                    </m:rPr>
                    <w:rPr>
                      <w:rFonts w:ascii="Cambria Math"/>
                      <w:i/>
                      <w:iCs/>
                    </w:rPr>
                    <m:t xml:space="preserve"> </m:t>
                  </m:r>
                  <m:r>
                    <m:rPr>
                      <m:nor/>
                    </m:rPr>
                    <w:rPr>
                      <w:i/>
                      <w:iCs/>
                    </w:rPr>
                    <m:t>E</m:t>
                  </m:r>
                  <m:d>
                    <m:dPr>
                      <m:begChr m:val="["/>
                      <m:endChr m:val="]"/>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e>
                  </m:d>
                </m:e>
              </m:d>
            </m:num>
            <m:den>
              <m:r>
                <m:rPr>
                  <m:nor/>
                </m:rPr>
                <w:rPr>
                  <w:i/>
                  <w:iCs/>
                </w:rPr>
                <m:t>Var</m:t>
              </m:r>
              <m:d>
                <m:dPr>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e>
              </m:d>
            </m:den>
          </m:f>
        </m:oMath>
      </m:oMathPara>
    </w:p>
    <w:p w14:paraId="35AF5695" w14:textId="1CAD53FA" w:rsidR="007350CB" w:rsidRPr="00D4078B" w:rsidRDefault="007350CB" w:rsidP="006175AE">
      <w:pPr>
        <w:pStyle w:val="Nivel1SM"/>
        <w:keepNext/>
        <w:spacing w:after="0"/>
      </w:pPr>
      <w:r>
        <w:t xml:space="preserve">Derivación en </w:t>
      </w:r>
      <w:r w:rsidR="001675F6">
        <w:rPr>
          <w:b/>
          <w:bCs/>
        </w:rPr>
        <w:t>3 </w:t>
      </w:r>
      <w:r w:rsidRPr="00D4078B">
        <w:rPr>
          <w:b/>
          <w:bCs/>
        </w:rPr>
        <w:t>pasos</w:t>
      </w:r>
      <w:r>
        <w:t>:</w:t>
      </w:r>
    </w:p>
    <w:p w14:paraId="2B39C7EB" w14:textId="6272947A" w:rsidR="006175AE" w:rsidRPr="006175AE" w:rsidRDefault="007350CB">
      <w:pPr>
        <w:pStyle w:val="Prrafodelista"/>
        <w:numPr>
          <w:ilvl w:val="0"/>
          <w:numId w:val="19"/>
        </w:numPr>
        <w:spacing w:after="100"/>
        <w:ind w:left="568" w:hanging="284"/>
      </w:pPr>
      <w:r>
        <w:t xml:space="preserve">Las rentabilidades de los activos se distribuyen como una normal, y el único riesgo relevante es el sistémico o de mercado. Esto implica que los inversores </w:t>
      </w:r>
      <w:r w:rsidRPr="006175AE">
        <w:rPr>
          <w:b/>
          <w:bCs/>
        </w:rPr>
        <w:t>s</w:t>
      </w:r>
      <w:r w:rsidR="00147B73">
        <w:rPr>
          <w:b/>
          <w:bCs/>
        </w:rPr>
        <w:t>ó</w:t>
      </w:r>
      <w:r w:rsidRPr="006175AE">
        <w:rPr>
          <w:b/>
          <w:bCs/>
        </w:rPr>
        <w:t>lo son compensados por afrontar riesgo sistemático</w:t>
      </w:r>
      <w:r>
        <w:t xml:space="preserve">, es decir, el riesgo específico que puede ser diversificado no será remunerado. Además, </w:t>
      </w:r>
      <w:r w:rsidRPr="006175AE">
        <w:rPr>
          <w:rFonts w:cs="Times New Roman"/>
          <w:i/>
          <w:iCs/>
        </w:rPr>
        <w:t>β</w:t>
      </w:r>
      <w:r w:rsidRPr="006175AE">
        <w:rPr>
          <w:rFonts w:cs="Times New Roman"/>
        </w:rPr>
        <w:t xml:space="preserve"> será una medida apropiada del riesgo sistemático.</w:t>
      </w:r>
    </w:p>
    <w:p w14:paraId="30BB2A43" w14:textId="19A01BDB" w:rsidR="006D1659" w:rsidRDefault="007350CB">
      <w:pPr>
        <w:pStyle w:val="Prrafodelista"/>
        <w:keepNext/>
        <w:keepLines/>
        <w:numPr>
          <w:ilvl w:val="0"/>
          <w:numId w:val="19"/>
        </w:numPr>
        <w:spacing w:after="0"/>
        <w:ind w:left="568" w:hanging="284"/>
      </w:pPr>
      <w:r>
        <w:lastRenderedPageBreak/>
        <w:t xml:space="preserve">Si reconocemos que la </w:t>
      </w:r>
      <w:r w:rsidRPr="006D1659">
        <w:rPr>
          <w:b/>
          <w:bCs/>
        </w:rPr>
        <w:t>rentabilidad esperada de la cartera</w:t>
      </w:r>
      <w:r>
        <w:t xml:space="preserve"> es la </w:t>
      </w:r>
      <w:r w:rsidRPr="006175AE">
        <w:rPr>
          <w:b/>
          <w:bCs/>
        </w:rPr>
        <w:t>media ponderada</w:t>
      </w:r>
      <w:r>
        <w:t xml:space="preserve"> de las rentabilidades esperadas individuales de cada uno de los activos, y que la </w:t>
      </w:r>
      <w:r w:rsidRPr="006175AE">
        <w:rPr>
          <w:i/>
          <w:iCs/>
        </w:rPr>
        <w:t>β</w:t>
      </w:r>
      <w:r>
        <w:t xml:space="preserve"> de una cartera (</w:t>
      </w:r>
      <m:oMath>
        <m:sSub>
          <m:sSubPr>
            <m:ctrlPr>
              <w:rPr>
                <w:rFonts w:ascii="Cambria Math" w:hAnsi="Cambria Math" w:cs="Times New Roman"/>
                <w:i/>
              </w:rPr>
            </m:ctrlPr>
          </m:sSubPr>
          <m:e>
            <m:r>
              <m:rPr>
                <m:nor/>
              </m:rPr>
              <w:rPr>
                <w:rFonts w:cs="Times New Roman"/>
                <w:i/>
              </w:rPr>
              <m:t>β</m:t>
            </m:r>
          </m:e>
          <m:sub>
            <m:r>
              <m:rPr>
                <m:nor/>
              </m:rPr>
              <w:rPr>
                <w:rFonts w:cs="Times New Roman"/>
                <w:i/>
              </w:rPr>
              <m:t>p</m:t>
            </m:r>
          </m:sub>
        </m:sSub>
      </m:oMath>
      <w:r>
        <w:t xml:space="preserve">) es la </w:t>
      </w:r>
      <w:r w:rsidR="00974159">
        <w:t>media</w:t>
      </w:r>
      <w:r>
        <w:t xml:space="preserve"> ponderada de las </w:t>
      </w:r>
      <w:r w:rsidRPr="006175AE">
        <w:rPr>
          <w:i/>
          <w:iCs/>
        </w:rPr>
        <w:t>β</w:t>
      </w:r>
      <w:r>
        <w:t xml:space="preserve"> individuales de cada activo (</w:t>
      </w:r>
      <m:oMath>
        <m:sSub>
          <m:sSubPr>
            <m:ctrlPr>
              <w:rPr>
                <w:rFonts w:ascii="Cambria Math" w:hAnsi="Cambria Math" w:cs="Times New Roman"/>
                <w:i/>
              </w:rPr>
            </m:ctrlPr>
          </m:sSubPr>
          <m:e>
            <m:r>
              <m:rPr>
                <m:nor/>
              </m:rPr>
              <w:rPr>
                <w:rFonts w:cs="Times New Roman"/>
                <w:i/>
              </w:rPr>
              <m:t>β</m:t>
            </m:r>
          </m:e>
          <m:sub>
            <m:r>
              <m:rPr>
                <m:nor/>
              </m:rPr>
              <w:rPr>
                <w:rFonts w:cs="Times New Roman"/>
                <w:i/>
              </w:rPr>
              <m:t>i</m:t>
            </m:r>
          </m:sub>
        </m:sSub>
      </m:oMath>
      <w:r>
        <w:t xml:space="preserve">), podemos demostrar que la </w:t>
      </w:r>
      <w:r w:rsidRPr="006D1659">
        <w:rPr>
          <w:b/>
          <w:bCs/>
        </w:rPr>
        <w:t>rentabilidad esperada de la cartera</w:t>
      </w:r>
      <w:r>
        <w:t xml:space="preserve"> es una </w:t>
      </w:r>
      <w:r w:rsidRPr="006175AE">
        <w:rPr>
          <w:b/>
          <w:bCs/>
        </w:rPr>
        <w:t>función linear</w:t>
      </w:r>
      <w:r>
        <w:t xml:space="preserve"> de la </w:t>
      </w:r>
      <w:r w:rsidRPr="006175AE">
        <w:rPr>
          <w:i/>
          <w:iCs/>
        </w:rPr>
        <w:t>β</w:t>
      </w:r>
      <w:r>
        <w:t xml:space="preserve"> de la cartera (</w:t>
      </w:r>
      <m:oMath>
        <m:sSub>
          <m:sSubPr>
            <m:ctrlPr>
              <w:rPr>
                <w:rFonts w:ascii="Cambria Math" w:hAnsi="Cambria Math" w:cs="Times New Roman"/>
                <w:i/>
              </w:rPr>
            </m:ctrlPr>
          </m:sSubPr>
          <m:e>
            <m:r>
              <m:rPr>
                <m:nor/>
              </m:rPr>
              <w:rPr>
                <w:rFonts w:cs="Times New Roman"/>
                <w:i/>
              </w:rPr>
              <m:t>β</m:t>
            </m:r>
          </m:e>
          <m:sub>
            <m:r>
              <m:rPr>
                <m:nor/>
              </m:rPr>
              <w:rPr>
                <w:rFonts w:cs="Times New Roman"/>
                <w:i/>
              </w:rPr>
              <m:t>p</m:t>
            </m:r>
          </m:sub>
        </m:sSub>
      </m:oMath>
      <w:r>
        <w:t>).</w:t>
      </w:r>
    </w:p>
    <w:p w14:paraId="3416A4C3" w14:textId="5E3E111B" w:rsidR="006175AE" w:rsidRPr="006175AE" w:rsidRDefault="007350CB" w:rsidP="006D1659">
      <w:pPr>
        <w:pStyle w:val="Nivel3SM"/>
      </w:pPr>
      <w:r>
        <w:t>Además, para evitar arbitraje es necesario que cada acción tenga el precio correcto en relación al riesgo sistemático,</w:t>
      </w:r>
      <w:r w:rsidR="006D1659">
        <w:t xml:space="preserve"> por lo que</w:t>
      </w:r>
      <w:r>
        <w:t xml:space="preserve"> la rentabilidad esperada de un activo individual es una función linear de su </w:t>
      </w:r>
      <w:r w:rsidRPr="006175AE">
        <w:rPr>
          <w:rFonts w:cs="Times New Roman"/>
          <w:i/>
          <w:iCs/>
        </w:rPr>
        <w:t>β</w:t>
      </w:r>
      <w:r w:rsidRPr="006175AE">
        <w:rPr>
          <w:rFonts w:cs="Times New Roman"/>
        </w:rPr>
        <w:t>.</w:t>
      </w:r>
    </w:p>
    <w:p w14:paraId="40ED2027" w14:textId="58536495" w:rsidR="007350CB" w:rsidRPr="00D4078B" w:rsidRDefault="007350CB">
      <w:pPr>
        <w:pStyle w:val="Prrafodelista"/>
        <w:numPr>
          <w:ilvl w:val="0"/>
          <w:numId w:val="19"/>
        </w:numPr>
        <w:spacing w:after="100"/>
        <w:ind w:left="568" w:hanging="284"/>
      </w:pPr>
      <w:r>
        <w:t xml:space="preserve">Por último, podemos usar el </w:t>
      </w:r>
      <w:r w:rsidRPr="006175AE">
        <w:rPr>
          <w:b/>
          <w:bCs/>
        </w:rPr>
        <w:t>activo libre de riesgo</w:t>
      </w:r>
      <w:r>
        <w:t xml:space="preserve"> y la </w:t>
      </w:r>
      <w:r w:rsidRPr="006175AE">
        <w:rPr>
          <w:b/>
          <w:bCs/>
        </w:rPr>
        <w:t>cartera de mercado</w:t>
      </w:r>
      <w:r w:rsidRPr="007A1412">
        <w:t xml:space="preserve"> (</w:t>
      </w:r>
      <m:oMath>
        <m:sSub>
          <m:sSubPr>
            <m:ctrlPr>
              <w:rPr>
                <w:rFonts w:ascii="Cambria Math" w:hAnsi="Cambria Math" w:cs="Times New Roman"/>
                <w:i/>
              </w:rPr>
            </m:ctrlPr>
          </m:sSubPr>
          <m:e>
            <m:r>
              <m:rPr>
                <m:nor/>
              </m:rPr>
              <w:rPr>
                <w:rFonts w:cs="Times New Roman"/>
                <w:i/>
              </w:rPr>
              <m:t>β</m:t>
            </m:r>
          </m:e>
          <m:sub>
            <m:r>
              <m:rPr>
                <m:nor/>
              </m:rPr>
              <w:rPr>
                <w:rFonts w:cs="Times New Roman"/>
                <w:i/>
              </w:rPr>
              <m:t>M</m:t>
            </m:r>
          </m:sub>
        </m:sSub>
        <m:r>
          <w:rPr>
            <w:rFonts w:ascii="Cambria Math" w:hAnsi="Cambria Math" w:cs="Times New Roman"/>
          </w:rPr>
          <m:t>=</m:t>
        </m:r>
        <m:r>
          <m:rPr>
            <m:nor/>
          </m:rPr>
          <w:rPr>
            <w:rFonts w:cs="Times New Roman"/>
            <w:i/>
          </w:rPr>
          <m:t>1</m:t>
        </m:r>
      </m:oMath>
      <w:r>
        <w:t xml:space="preserve"> por definición</w:t>
      </w:r>
      <w:r w:rsidR="00091792">
        <w:rPr>
          <w:rStyle w:val="Refdenotaalpie"/>
        </w:rPr>
        <w:footnoteReference w:id="18"/>
      </w:r>
      <w:r w:rsidRPr="007A1412">
        <w:t>)</w:t>
      </w:r>
      <w:r>
        <w:t xml:space="preserve"> para hallar el intercepto y la pendiente de la </w:t>
      </w:r>
      <w:proofErr w:type="spellStart"/>
      <w:r w:rsidR="006D1659">
        <w:rPr>
          <w:i/>
          <w:iCs/>
        </w:rPr>
        <w:t>Securities</w:t>
      </w:r>
      <w:proofErr w:type="spellEnd"/>
      <w:r w:rsidR="006D1659">
        <w:rPr>
          <w:i/>
          <w:iCs/>
        </w:rPr>
        <w:t xml:space="preserve"> </w:t>
      </w:r>
      <w:proofErr w:type="spellStart"/>
      <w:r w:rsidR="006D1659">
        <w:rPr>
          <w:i/>
          <w:iCs/>
        </w:rPr>
        <w:t>Maket</w:t>
      </w:r>
      <w:proofErr w:type="spellEnd"/>
      <w:r w:rsidR="006D1659">
        <w:rPr>
          <w:i/>
          <w:iCs/>
        </w:rPr>
        <w:t xml:space="preserve"> Line</w:t>
      </w:r>
      <w:r w:rsidR="006D1659">
        <w:t xml:space="preserve"> (</w:t>
      </w:r>
      <w:r>
        <w:t>SML</w:t>
      </w:r>
      <w:r w:rsidR="006D1659">
        <w:t>)</w:t>
      </w:r>
      <w:r>
        <w:t>.</w:t>
      </w:r>
    </w:p>
    <w:p w14:paraId="5ABADB07" w14:textId="00F26753" w:rsidR="007A421F" w:rsidRPr="000F6413" w:rsidRDefault="007A421F" w:rsidP="007A421F">
      <w:pPr>
        <w:pStyle w:val="Ttuloimagen"/>
        <w:rPr>
          <w:smallCaps w:val="0"/>
          <w:lang w:val="en-US"/>
        </w:rPr>
      </w:pPr>
      <w:r w:rsidRPr="000F6413">
        <w:rPr>
          <w:lang w:val="en-US"/>
        </w:rPr>
        <w:t>Imagen</w:t>
      </w:r>
      <w:r w:rsidR="001675F6">
        <w:rPr>
          <w:lang w:val="en-US"/>
        </w:rPr>
        <w:t> </w:t>
      </w:r>
      <w:r>
        <w:fldChar w:fldCharType="begin"/>
      </w:r>
      <w:r w:rsidRPr="000F6413">
        <w:rPr>
          <w:lang w:val="en-US"/>
        </w:rPr>
        <w:instrText xml:space="preserve"> SEQ Ilustración \* ARABIC </w:instrText>
      </w:r>
      <w:r>
        <w:fldChar w:fldCharType="separate"/>
      </w:r>
      <w:r w:rsidR="00561B3A">
        <w:rPr>
          <w:lang w:val="en-US"/>
        </w:rPr>
        <w:t>8</w:t>
      </w:r>
      <w:r>
        <w:fldChar w:fldCharType="end"/>
      </w:r>
      <w:r w:rsidRPr="000F6413">
        <w:rPr>
          <w:smallCaps w:val="0"/>
          <w:lang w:val="en-US"/>
        </w:rPr>
        <w:t xml:space="preserve">.– </w:t>
      </w:r>
      <w:r w:rsidRPr="000F6413">
        <w:rPr>
          <w:i/>
          <w:iCs/>
          <w:smallCaps w:val="0"/>
          <w:lang w:val="en-US"/>
        </w:rPr>
        <w:t>Securities Market Line</w:t>
      </w:r>
      <w:r w:rsidR="00D44DA3" w:rsidRPr="000F6413">
        <w:rPr>
          <w:i/>
          <w:iCs/>
          <w:smallCaps w:val="0"/>
          <w:lang w:val="en-US"/>
        </w:rPr>
        <w:t xml:space="preserve"> (SML)</w:t>
      </w:r>
    </w:p>
    <w:tbl>
      <w:tblPr>
        <w:tblStyle w:val="Tablaconcuadrcula"/>
        <w:tblW w:w="0" w:type="auto"/>
        <w:tblLook w:val="04A0" w:firstRow="1" w:lastRow="0" w:firstColumn="1" w:lastColumn="0" w:noHBand="0" w:noVBand="1"/>
      </w:tblPr>
      <w:tblGrid>
        <w:gridCol w:w="4814"/>
        <w:gridCol w:w="4814"/>
      </w:tblGrid>
      <w:tr w:rsidR="000F6413" w14:paraId="6CE6683A" w14:textId="77777777" w:rsidTr="000F6413">
        <w:tc>
          <w:tcPr>
            <w:tcW w:w="4814" w:type="dxa"/>
            <w:tcBorders>
              <w:top w:val="nil"/>
              <w:left w:val="nil"/>
              <w:bottom w:val="nil"/>
              <w:right w:val="nil"/>
            </w:tcBorders>
            <w:vAlign w:val="center"/>
          </w:tcPr>
          <w:p w14:paraId="441F32A8" w14:textId="022958AA" w:rsidR="000F6413" w:rsidRDefault="000F6413" w:rsidP="000F6413">
            <w:pPr>
              <w:jc w:val="center"/>
            </w:pPr>
            <m:oMathPara>
              <m:oMath>
                <m:r>
                  <w:rPr>
                    <w:rFonts w:ascii="Cambria Math" w:eastAsiaTheme="minorEastAsia" w:hAnsi="Cambria Math"/>
                    <w:noProof/>
                    <w:color w:val="5F2987"/>
                  </w:rPr>
                  <m:t xml:space="preserve"> </m:t>
                </m:r>
                <m:r>
                  <m:rPr>
                    <m:nor/>
                  </m:rPr>
                  <w:rPr>
                    <w:i/>
                    <w:iCs/>
                    <w:color w:val="5F2987"/>
                  </w:rPr>
                  <m:t>E</m:t>
                </m:r>
                <m:d>
                  <m:dPr>
                    <m:begChr m:val="["/>
                    <m:endChr m:val="]"/>
                    <m:ctrlPr>
                      <w:rPr>
                        <w:rFonts w:ascii="Cambria Math" w:hAnsi="Cambria Math"/>
                        <w:i/>
                        <w:iCs/>
                        <w:color w:val="5F2987"/>
                      </w:rPr>
                    </m:ctrlPr>
                  </m:dPr>
                  <m:e>
                    <m:sSub>
                      <m:sSubPr>
                        <m:ctrlPr>
                          <w:rPr>
                            <w:rFonts w:ascii="Cambria Math" w:hAnsi="Cambria Math"/>
                            <w:i/>
                            <w:iCs/>
                            <w:color w:val="5F2987"/>
                          </w:rPr>
                        </m:ctrlPr>
                      </m:sSubPr>
                      <m:e>
                        <m:r>
                          <m:rPr>
                            <m:nor/>
                          </m:rPr>
                          <w:rPr>
                            <w:i/>
                            <w:iCs/>
                            <w:color w:val="5F2987"/>
                          </w:rPr>
                          <m:t>R</m:t>
                        </m:r>
                      </m:e>
                      <m:sub>
                        <m:r>
                          <m:rPr>
                            <m:nor/>
                          </m:rPr>
                          <w:rPr>
                            <w:i/>
                            <w:iCs/>
                            <w:color w:val="5F2987"/>
                          </w:rPr>
                          <m:t>i</m:t>
                        </m:r>
                      </m:sub>
                    </m:sSub>
                  </m:e>
                </m:d>
                <m:r>
                  <w:rPr>
                    <w:rFonts w:ascii="Cambria Math" w:hAnsi="Cambria Math"/>
                  </w:rPr>
                  <m:t>=</m:t>
                </m:r>
                <m:sSub>
                  <m:sSubPr>
                    <m:ctrlPr>
                      <w:rPr>
                        <w:rFonts w:ascii="Cambria Math" w:hAnsi="Cambria Math"/>
                        <w:i/>
                        <w:iCs/>
                        <w:color w:val="0070C0"/>
                      </w:rPr>
                    </m:ctrlPr>
                  </m:sSubPr>
                  <m:e>
                    <m:r>
                      <m:rPr>
                        <m:nor/>
                      </m:rPr>
                      <w:rPr>
                        <w:i/>
                        <w:iCs/>
                        <w:color w:val="0070C0"/>
                      </w:rPr>
                      <m:t>R</m:t>
                    </m:r>
                  </m:e>
                  <m:sub>
                    <m:r>
                      <m:rPr>
                        <m:nor/>
                      </m:rPr>
                      <w:rPr>
                        <w:i/>
                        <w:iCs/>
                        <w:color w:val="0070C0"/>
                      </w:rPr>
                      <m:t>f</m:t>
                    </m:r>
                  </m:sub>
                </m:sSub>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limUpp>
                          <m:limUppPr>
                            <m:ctrlPr>
                              <w:rPr>
                                <w:rFonts w:ascii="Cambria Math" w:hAnsi="Cambria Math"/>
                                <w:i/>
                                <w:iCs/>
                              </w:rPr>
                            </m:ctrlPr>
                          </m:limUppPr>
                          <m:e>
                            <m:groupChr>
                              <m:groupChrPr>
                                <m:chr m:val="⏞"/>
                                <m:pos m:val="top"/>
                                <m:vertJc m:val="bot"/>
                                <m:ctrlPr>
                                  <w:rPr>
                                    <w:rFonts w:ascii="Cambria Math" w:hAnsi="Cambria Math"/>
                                    <w:i/>
                                    <w:iCs/>
                                  </w:rPr>
                                </m:ctrlPr>
                              </m:groupChrPr>
                              <m:e>
                                <m:f>
                                  <m:fPr>
                                    <m:ctrlPr>
                                      <w:rPr>
                                        <w:rFonts w:ascii="Cambria Math" w:hAnsi="Cambria Math"/>
                                        <w:i/>
                                        <w:iCs/>
                                        <w:color w:val="C00000"/>
                                      </w:rPr>
                                    </m:ctrlPr>
                                  </m:fPr>
                                  <m:num>
                                    <m:r>
                                      <m:rPr>
                                        <m:nor/>
                                      </m:rPr>
                                      <w:rPr>
                                        <w:i/>
                                        <w:iCs/>
                                        <w:color w:val="C00000"/>
                                      </w:rPr>
                                      <m:t>Cov</m:t>
                                    </m:r>
                                    <m:d>
                                      <m:dPr>
                                        <m:ctrlPr>
                                          <w:rPr>
                                            <w:rFonts w:ascii="Cambria Math" w:hAnsi="Cambria Math"/>
                                            <w:i/>
                                            <w:iCs/>
                                            <w:color w:val="C00000"/>
                                          </w:rPr>
                                        </m:ctrlPr>
                                      </m:dPr>
                                      <m:e>
                                        <m:r>
                                          <m:rPr>
                                            <m:nor/>
                                          </m:rPr>
                                          <w:rPr>
                                            <w:i/>
                                            <w:iCs/>
                                            <w:color w:val="C00000"/>
                                          </w:rPr>
                                          <m:t>E</m:t>
                                        </m:r>
                                        <m:d>
                                          <m:dPr>
                                            <m:begChr m:val="["/>
                                            <m:endChr m:val="]"/>
                                            <m:ctrlPr>
                                              <w:rPr>
                                                <w:rFonts w:ascii="Cambria Math" w:hAnsi="Cambria Math"/>
                                                <w:i/>
                                                <w:iCs/>
                                                <w:color w:val="C00000"/>
                                              </w:rPr>
                                            </m:ctrlPr>
                                          </m:dPr>
                                          <m:e>
                                            <m:sSub>
                                              <m:sSubPr>
                                                <m:ctrlPr>
                                                  <w:rPr>
                                                    <w:rFonts w:ascii="Cambria Math" w:hAnsi="Cambria Math"/>
                                                    <w:i/>
                                                    <w:iCs/>
                                                    <w:color w:val="C00000"/>
                                                  </w:rPr>
                                                </m:ctrlPr>
                                              </m:sSubPr>
                                              <m:e>
                                                <m:r>
                                                  <m:rPr>
                                                    <m:nor/>
                                                  </m:rPr>
                                                  <w:rPr>
                                                    <w:i/>
                                                    <w:iCs/>
                                                    <w:color w:val="C00000"/>
                                                  </w:rPr>
                                                  <m:t>R</m:t>
                                                </m:r>
                                              </m:e>
                                              <m:sub>
                                                <m:r>
                                                  <m:rPr>
                                                    <m:nor/>
                                                  </m:rPr>
                                                  <w:rPr>
                                                    <w:i/>
                                                    <w:iCs/>
                                                    <w:color w:val="C00000"/>
                                                  </w:rPr>
                                                  <m:t>i</m:t>
                                                </m:r>
                                              </m:sub>
                                            </m:sSub>
                                          </m:e>
                                        </m:d>
                                        <m:r>
                                          <m:rPr>
                                            <m:nor/>
                                          </m:rPr>
                                          <w:rPr>
                                            <w:i/>
                                            <w:iCs/>
                                            <w:color w:val="C00000"/>
                                          </w:rPr>
                                          <m:t>,</m:t>
                                        </m:r>
                                        <m:r>
                                          <m:rPr>
                                            <m:nor/>
                                          </m:rPr>
                                          <w:rPr>
                                            <w:rFonts w:ascii="Cambria Math"/>
                                            <w:i/>
                                            <w:iCs/>
                                            <w:color w:val="C00000"/>
                                          </w:rPr>
                                          <m:t xml:space="preserve"> </m:t>
                                        </m:r>
                                        <m:r>
                                          <m:rPr>
                                            <m:nor/>
                                          </m:rPr>
                                          <w:rPr>
                                            <w:i/>
                                            <w:iCs/>
                                            <w:color w:val="C00000"/>
                                          </w:rPr>
                                          <m:t>E</m:t>
                                        </m:r>
                                        <m:d>
                                          <m:dPr>
                                            <m:begChr m:val="["/>
                                            <m:endChr m:val="]"/>
                                            <m:ctrlPr>
                                              <w:rPr>
                                                <w:rFonts w:ascii="Cambria Math" w:hAnsi="Cambria Math"/>
                                                <w:i/>
                                                <w:iCs/>
                                                <w:color w:val="C00000"/>
                                              </w:rPr>
                                            </m:ctrlPr>
                                          </m:dPr>
                                          <m:e>
                                            <m:sSub>
                                              <m:sSubPr>
                                                <m:ctrlPr>
                                                  <w:rPr>
                                                    <w:rFonts w:ascii="Cambria Math" w:hAnsi="Cambria Math"/>
                                                    <w:i/>
                                                    <w:iCs/>
                                                    <w:color w:val="C00000"/>
                                                  </w:rPr>
                                                </m:ctrlPr>
                                              </m:sSubPr>
                                              <m:e>
                                                <m:r>
                                                  <m:rPr>
                                                    <m:nor/>
                                                  </m:rPr>
                                                  <w:rPr>
                                                    <w:i/>
                                                    <w:iCs/>
                                                    <w:color w:val="C00000"/>
                                                  </w:rPr>
                                                  <m:t>R</m:t>
                                                </m:r>
                                              </m:e>
                                              <m:sub>
                                                <m:r>
                                                  <m:rPr>
                                                    <m:nor/>
                                                  </m:rPr>
                                                  <w:rPr>
                                                    <w:i/>
                                                    <w:iCs/>
                                                    <w:color w:val="C00000"/>
                                                  </w:rPr>
                                                  <m:t>M</m:t>
                                                </m:r>
                                              </m:sub>
                                            </m:sSub>
                                          </m:e>
                                        </m:d>
                                      </m:e>
                                    </m:d>
                                  </m:num>
                                  <m:den>
                                    <m:r>
                                      <m:rPr>
                                        <m:nor/>
                                      </m:rPr>
                                      <w:rPr>
                                        <w:i/>
                                        <w:iCs/>
                                        <w:color w:val="C00000"/>
                                      </w:rPr>
                                      <m:t>Var</m:t>
                                    </m:r>
                                    <m:d>
                                      <m:dPr>
                                        <m:ctrlPr>
                                          <w:rPr>
                                            <w:rFonts w:ascii="Cambria Math" w:hAnsi="Cambria Math"/>
                                            <w:i/>
                                            <w:iCs/>
                                            <w:color w:val="C00000"/>
                                          </w:rPr>
                                        </m:ctrlPr>
                                      </m:dPr>
                                      <m:e>
                                        <m:sSub>
                                          <m:sSubPr>
                                            <m:ctrlPr>
                                              <w:rPr>
                                                <w:rFonts w:ascii="Cambria Math" w:hAnsi="Cambria Math"/>
                                                <w:i/>
                                                <w:iCs/>
                                                <w:color w:val="C00000"/>
                                              </w:rPr>
                                            </m:ctrlPr>
                                          </m:sSubPr>
                                          <m:e>
                                            <m:r>
                                              <m:rPr>
                                                <m:nor/>
                                              </m:rPr>
                                              <w:rPr>
                                                <w:i/>
                                                <w:iCs/>
                                                <w:color w:val="C00000"/>
                                              </w:rPr>
                                              <m:t>R</m:t>
                                            </m:r>
                                          </m:e>
                                          <m:sub>
                                            <m:r>
                                              <m:rPr>
                                                <m:nor/>
                                              </m:rPr>
                                              <w:rPr>
                                                <w:i/>
                                                <w:iCs/>
                                                <w:color w:val="C00000"/>
                                              </w:rPr>
                                              <m:t>M</m:t>
                                            </m:r>
                                          </m:sub>
                                        </m:sSub>
                                      </m:e>
                                    </m:d>
                                  </m:den>
                                </m:f>
                              </m:e>
                            </m:groupChr>
                          </m:e>
                          <m:lim>
                            <m:sSub>
                              <m:sSubPr>
                                <m:ctrlPr>
                                  <w:rPr>
                                    <w:rFonts w:ascii="Cambria Math" w:hAnsi="Cambria Math"/>
                                    <w:i/>
                                    <w:iCs/>
                                    <w:color w:val="C00000"/>
                                  </w:rPr>
                                </m:ctrlPr>
                              </m:sSubPr>
                              <m:e>
                                <m:r>
                                  <m:rPr>
                                    <m:nor/>
                                  </m:rPr>
                                  <w:rPr>
                                    <w:i/>
                                    <w:iCs/>
                                    <w:color w:val="C00000"/>
                                  </w:rPr>
                                  <m:t>β</m:t>
                                </m:r>
                              </m:e>
                              <m:sub>
                                <m:r>
                                  <m:rPr>
                                    <m:nor/>
                                  </m:rPr>
                                  <w:rPr>
                                    <w:i/>
                                    <w:iCs/>
                                    <w:color w:val="C00000"/>
                                  </w:rPr>
                                  <m:t>i</m:t>
                                </m:r>
                              </m:sub>
                            </m:sSub>
                          </m:lim>
                        </m:limUpp>
                      </m:e>
                    </m:groupChr>
                  </m:e>
                  <m:lim>
                    <m:eqArr>
                      <m:eqArrPr>
                        <m:ctrlPr>
                          <w:rPr>
                            <w:rFonts w:ascii="Cambria Math" w:hAnsi="Cambria Math"/>
                            <w:i/>
                            <w:iCs/>
                          </w:rPr>
                        </m:ctrlPr>
                      </m:eqArrPr>
                      <m:e>
                        <m:r>
                          <m:rPr>
                            <m:nor/>
                          </m:rPr>
                          <w:rPr>
                            <w:i/>
                            <w:iCs/>
                          </w:rPr>
                          <m:t>Número de unidades</m:t>
                        </m:r>
                      </m:e>
                      <m:e>
                        <m:r>
                          <m:rPr>
                            <m:nor/>
                          </m:rPr>
                          <w:rPr>
                            <w:i/>
                            <w:iCs/>
                          </w:rPr>
                          <m:t>de riesgo sistemático</m:t>
                        </m:r>
                      </m:e>
                    </m:eqAr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limUpp>
                          <m:limUppPr>
                            <m:ctrlPr>
                              <w:rPr>
                                <w:rFonts w:ascii="Cambria Math" w:hAnsi="Cambria Math"/>
                                <w:i/>
                                <w:iCs/>
                                <w:sz w:val="16"/>
                                <w:szCs w:val="20"/>
                              </w:rPr>
                            </m:ctrlPr>
                          </m:limUppPr>
                          <m:e>
                            <m:groupChr>
                              <m:groupChrPr>
                                <m:chr m:val="⏞"/>
                                <m:pos m:val="top"/>
                                <m:vertJc m:val="bot"/>
                                <m:ctrlPr>
                                  <w:rPr>
                                    <w:rFonts w:ascii="Cambria Math" w:hAnsi="Cambria Math"/>
                                    <w:i/>
                                    <w:iCs/>
                                    <w:sz w:val="16"/>
                                    <w:szCs w:val="20"/>
                                  </w:rPr>
                                </m:ctrlPr>
                              </m:groupChrPr>
                              <m:e>
                                <m:d>
                                  <m:dPr>
                                    <m:ctrlPr>
                                      <w:rPr>
                                        <w:rFonts w:ascii="Cambria Math" w:hAnsi="Cambria Math"/>
                                        <w:i/>
                                        <w:iCs/>
                                      </w:rPr>
                                    </m:ctrlPr>
                                  </m:dPr>
                                  <m:e>
                                    <m:r>
                                      <m:rPr>
                                        <m:nor/>
                                      </m:rPr>
                                      <w:rPr>
                                        <w:i/>
                                        <w:iCs/>
                                        <w:color w:val="FC9204"/>
                                      </w:rPr>
                                      <m:t>E</m:t>
                                    </m:r>
                                    <m:d>
                                      <m:dPr>
                                        <m:begChr m:val="["/>
                                        <m:endChr m:val="]"/>
                                        <m:ctrlPr>
                                          <w:rPr>
                                            <w:rFonts w:ascii="Cambria Math" w:hAnsi="Cambria Math"/>
                                            <w:i/>
                                            <w:iCs/>
                                            <w:color w:val="FC9204"/>
                                          </w:rPr>
                                        </m:ctrlPr>
                                      </m:dPr>
                                      <m:e>
                                        <m:sSub>
                                          <m:sSubPr>
                                            <m:ctrlPr>
                                              <w:rPr>
                                                <w:rFonts w:ascii="Cambria Math" w:hAnsi="Cambria Math"/>
                                                <w:i/>
                                                <w:iCs/>
                                                <w:color w:val="FC9204"/>
                                              </w:rPr>
                                            </m:ctrlPr>
                                          </m:sSubPr>
                                          <m:e>
                                            <m:r>
                                              <m:rPr>
                                                <m:nor/>
                                              </m:rPr>
                                              <w:rPr>
                                                <w:i/>
                                                <w:iCs/>
                                                <w:color w:val="FC9204"/>
                                              </w:rPr>
                                              <m:t>R</m:t>
                                            </m:r>
                                          </m:e>
                                          <m:sub>
                                            <m:r>
                                              <m:rPr>
                                                <m:nor/>
                                              </m:rPr>
                                              <w:rPr>
                                                <w:i/>
                                                <w:iCs/>
                                                <w:color w:val="FC9204"/>
                                              </w:rPr>
                                              <m:t>M</m:t>
                                            </m:r>
                                          </m:sub>
                                        </m:sSub>
                                      </m:e>
                                    </m:d>
                                    <m:r>
                                      <w:rPr>
                                        <w:rFonts w:ascii="Cambria Math" w:hAnsi="Cambria Math"/>
                                      </w:rPr>
                                      <m:t>-</m:t>
                                    </m:r>
                                    <m:sSub>
                                      <m:sSubPr>
                                        <m:ctrlPr>
                                          <w:rPr>
                                            <w:rFonts w:ascii="Cambria Math" w:hAnsi="Cambria Math"/>
                                            <w:i/>
                                            <w:iCs/>
                                            <w:color w:val="0070C0"/>
                                          </w:rPr>
                                        </m:ctrlPr>
                                      </m:sSubPr>
                                      <m:e>
                                        <m:r>
                                          <m:rPr>
                                            <m:nor/>
                                          </m:rPr>
                                          <w:rPr>
                                            <w:i/>
                                            <w:iCs/>
                                            <w:color w:val="0070C0"/>
                                          </w:rPr>
                                          <m:t>R</m:t>
                                        </m:r>
                                      </m:e>
                                      <m:sub>
                                        <m:r>
                                          <m:rPr>
                                            <m:nor/>
                                          </m:rPr>
                                          <w:rPr>
                                            <w:i/>
                                            <w:iCs/>
                                            <w:color w:val="0070C0"/>
                                          </w:rPr>
                                          <m:t>f</m:t>
                                        </m:r>
                                      </m:sub>
                                    </m:sSub>
                                  </m:e>
                                </m:d>
                              </m:e>
                            </m:groupChr>
                          </m:e>
                          <m:lim>
                            <m:sSub>
                              <m:sSubPr>
                                <m:ctrlPr>
                                  <w:rPr>
                                    <w:rFonts w:ascii="Cambria Math" w:hAnsi="Cambria Math"/>
                                    <w:i/>
                                    <w:iCs/>
                                  </w:rPr>
                                </m:ctrlPr>
                              </m:sSubPr>
                              <m:e>
                                <m:r>
                                  <m:rPr>
                                    <m:nor/>
                                  </m:rPr>
                                  <w:rPr>
                                    <w:i/>
                                  </w:rPr>
                                  <m:t>λ</m:t>
                                </m:r>
                              </m:e>
                              <m:sub>
                                <m:r>
                                  <m:rPr>
                                    <m:nor/>
                                  </m:rPr>
                                  <w:rPr>
                                    <w:i/>
                                    <w:iCs/>
                                  </w:rPr>
                                  <m:t>M</m:t>
                                </m:r>
                              </m:sub>
                            </m:sSub>
                          </m:lim>
                        </m:limUpp>
                      </m:e>
                    </m:groupChr>
                  </m:e>
                  <m:lim>
                    <m:eqArr>
                      <m:eqArrPr>
                        <m:ctrlPr>
                          <w:rPr>
                            <w:rFonts w:ascii="Cambria Math" w:hAnsi="Cambria Math"/>
                            <w:i/>
                            <w:iCs/>
                          </w:rPr>
                        </m:ctrlPr>
                      </m:eqArrPr>
                      <m:e>
                        <m:r>
                          <m:rPr>
                            <m:nor/>
                          </m:rPr>
                          <w:rPr>
                            <w:i/>
                            <w:iCs/>
                          </w:rPr>
                          <m:t>Prima de riesgo</m:t>
                        </m:r>
                      </m:e>
                      <m:e>
                        <m:r>
                          <m:rPr>
                            <m:nor/>
                          </m:rPr>
                          <w:rPr>
                            <w:i/>
                            <w:iCs/>
                          </w:rPr>
                          <m:t>de mercado</m:t>
                        </m:r>
                      </m:e>
                    </m:eqArr>
                  </m:lim>
                </m:limLow>
              </m:oMath>
            </m:oMathPara>
          </w:p>
        </w:tc>
        <w:tc>
          <w:tcPr>
            <w:tcW w:w="4814" w:type="dxa"/>
            <w:tcBorders>
              <w:top w:val="nil"/>
              <w:left w:val="nil"/>
              <w:bottom w:val="nil"/>
              <w:right w:val="nil"/>
            </w:tcBorders>
          </w:tcPr>
          <w:p w14:paraId="7BE720E8" w14:textId="6F18B40C" w:rsidR="000F6413" w:rsidRDefault="000F6413" w:rsidP="000F6413">
            <w:pPr>
              <w:pStyle w:val="Imagen"/>
            </w:pPr>
            <w:r>
              <w:drawing>
                <wp:inline distT="0" distB="0" distL="0" distR="0" wp14:anchorId="21C01909" wp14:editId="0B0CFB7A">
                  <wp:extent cx="2651760" cy="1763395"/>
                  <wp:effectExtent l="0" t="0" r="0" b="825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rotWithShape="1">
                          <a:blip r:embed="rId23"/>
                          <a:srcRect l="13102" r="2310"/>
                          <a:stretch/>
                        </pic:blipFill>
                        <pic:spPr bwMode="auto">
                          <a:xfrm>
                            <a:off x="0" y="0"/>
                            <a:ext cx="2652670" cy="1764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3C8C1504" w14:textId="1DBF4FD0" w:rsidR="000F6413" w:rsidRDefault="002602EC" w:rsidP="000F6413">
      <w:pPr>
        <w:pStyle w:val="PiedeImagen"/>
        <w:rPr>
          <w:i w:val="0"/>
          <w:iCs/>
        </w:rPr>
      </w:pPr>
      <w:r>
        <w:t>Fuente</w:t>
      </w:r>
      <w:r>
        <w:rPr>
          <w:i w:val="0"/>
          <w:iCs/>
        </w:rPr>
        <w:t xml:space="preserve">: </w:t>
      </w:r>
      <w:r w:rsidR="000F6413">
        <w:rPr>
          <w:i w:val="0"/>
          <w:iCs/>
        </w:rPr>
        <w:t>Elaboración propia</w:t>
      </w:r>
    </w:p>
    <w:tbl>
      <w:tblPr>
        <w:tblStyle w:val="Tablaconcuadrcula"/>
        <w:tblW w:w="9638" w:type="dxa"/>
        <w:jc w:val="center"/>
        <w:tblLook w:val="04A0" w:firstRow="1" w:lastRow="0" w:firstColumn="1" w:lastColumn="0" w:noHBand="0" w:noVBand="1"/>
      </w:tblPr>
      <w:tblGrid>
        <w:gridCol w:w="9638"/>
      </w:tblGrid>
      <w:tr w:rsidR="00091792" w14:paraId="020D1E6E" w14:textId="77777777" w:rsidTr="00091792">
        <w:trPr>
          <w:cantSplit/>
          <w:trHeight w:val="7654"/>
          <w:jc w:val="center"/>
        </w:trPr>
        <w:tc>
          <w:tcPr>
            <w:tcW w:w="9638" w:type="dxa"/>
            <w:vAlign w:val="center"/>
          </w:tcPr>
          <w:p w14:paraId="5C85F965" w14:textId="77777777" w:rsidR="00091792" w:rsidRPr="0022778F" w:rsidRDefault="00091792" w:rsidP="001675F6">
            <w:pPr>
              <w:spacing w:after="60"/>
              <w:jc w:val="center"/>
              <w:rPr>
                <w:color w:val="C00000"/>
                <w:u w:val="single"/>
              </w:rPr>
            </w:pPr>
            <w:r w:rsidRPr="0022778F">
              <w:rPr>
                <w:color w:val="C00000"/>
                <w:u w:val="single"/>
              </w:rPr>
              <w:lastRenderedPageBreak/>
              <w:t xml:space="preserve">“La </w:t>
            </w:r>
            <w:r w:rsidRPr="0022778F">
              <w:rPr>
                <w:b/>
                <w:bCs/>
                <w:color w:val="C00000"/>
                <w:u w:val="single"/>
              </w:rPr>
              <w:t>BETA</w:t>
            </w:r>
            <w:r w:rsidRPr="0022778F">
              <w:rPr>
                <w:color w:val="C00000"/>
                <w:u w:val="single"/>
              </w:rPr>
              <w:t>” (</w:t>
            </w:r>
            <w:r w:rsidRPr="0022778F">
              <w:rPr>
                <w:rFonts w:cs="Times New Roman"/>
                <w:i/>
                <w:iCs/>
                <w:color w:val="C00000"/>
                <w:u w:val="single"/>
              </w:rPr>
              <w:t>β</w:t>
            </w:r>
            <w:r w:rsidRPr="0022778F">
              <w:rPr>
                <w:color w:val="C00000"/>
                <w:u w:val="single"/>
              </w:rPr>
              <w:t>)</w:t>
            </w:r>
          </w:p>
          <w:p w14:paraId="1ABD84B7" w14:textId="77777777" w:rsidR="00091792" w:rsidRDefault="00091792" w:rsidP="00091792">
            <w:pPr>
              <w:keepNext/>
              <w:spacing w:after="0"/>
            </w:pPr>
            <w:r>
              <w:t>Mide la relación entre la rentabilidad del mercado, medida por un índice de referencia, y la rentabilidad del activo o cartera que queramos valorar.</w:t>
            </w:r>
          </w:p>
          <w:p w14:paraId="73991EF8" w14:textId="7425AE5D" w:rsidR="00091792" w:rsidRPr="004D196A" w:rsidRDefault="00000000" w:rsidP="00091792">
            <w:pPr>
              <w:keepNext/>
              <w:spacing w:after="0"/>
              <w:rPr>
                <w:rFonts w:eastAsiaTheme="minorEastAsia"/>
                <w:i/>
                <w:lang w:val="en-US"/>
              </w:rPr>
            </w:pPr>
            <m:oMathPara>
              <m:oMath>
                <m:sSub>
                  <m:sSubPr>
                    <m:ctrlPr>
                      <w:rPr>
                        <w:rFonts w:ascii="Cambria Math" w:hAnsi="Cambria Math"/>
                        <w:i/>
                      </w:rPr>
                    </m:ctrlPr>
                  </m:sSubPr>
                  <m:e>
                    <m:r>
                      <m:rPr>
                        <m:nor/>
                      </m:rPr>
                      <w:rPr>
                        <w:i/>
                      </w:rPr>
                      <m:t>β</m:t>
                    </m:r>
                  </m:e>
                  <m:sub>
                    <m:r>
                      <m:rPr>
                        <m:nor/>
                      </m:rPr>
                      <w:rPr>
                        <w:i/>
                        <w:lang w:val="en-US"/>
                      </w:rPr>
                      <m:t>i</m:t>
                    </m:r>
                  </m:sub>
                </m:sSub>
                <m:r>
                  <w:rPr>
                    <w:rFonts w:ascii="Cambria Math" w:hAnsi="Cambria Math"/>
                    <w:lang w:val="en-US"/>
                  </w:rPr>
                  <m:t>=</m:t>
                </m:r>
                <m:f>
                  <m:fPr>
                    <m:ctrlPr>
                      <w:rPr>
                        <w:rFonts w:ascii="Cambria Math" w:hAnsi="Cambria Math"/>
                        <w:i/>
                        <w:iCs/>
                      </w:rPr>
                    </m:ctrlPr>
                  </m:fPr>
                  <m:num>
                    <m:r>
                      <m:rPr>
                        <m:nor/>
                      </m:rPr>
                      <w:rPr>
                        <w:i/>
                        <w:iCs/>
                      </w:rPr>
                      <m:t>Cov</m:t>
                    </m:r>
                    <m:d>
                      <m:dPr>
                        <m:ctrlPr>
                          <w:rPr>
                            <w:rFonts w:ascii="Cambria Math" w:hAnsi="Cambria Math"/>
                            <w:i/>
                            <w:iCs/>
                          </w:rPr>
                        </m:ctrlPr>
                      </m:dPr>
                      <m:e>
                        <m:r>
                          <m:rPr>
                            <m:nor/>
                          </m:rPr>
                          <w:rPr>
                            <w:i/>
                            <w:iCs/>
                          </w:rPr>
                          <m:t>E</m:t>
                        </m:r>
                        <m:d>
                          <m:dPr>
                            <m:begChr m:val="["/>
                            <m:endChr m:val="]"/>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i</m:t>
                                </m:r>
                              </m:sub>
                            </m:sSub>
                          </m:e>
                        </m:d>
                        <m:r>
                          <m:rPr>
                            <m:nor/>
                          </m:rPr>
                          <w:rPr>
                            <w:i/>
                            <w:iCs/>
                          </w:rPr>
                          <m:t>,</m:t>
                        </m:r>
                        <m:r>
                          <m:rPr>
                            <m:nor/>
                          </m:rPr>
                          <w:rPr>
                            <w:rFonts w:ascii="Cambria Math"/>
                            <w:i/>
                            <w:iCs/>
                          </w:rPr>
                          <m:t xml:space="preserve"> </m:t>
                        </m:r>
                        <m:r>
                          <m:rPr>
                            <m:nor/>
                          </m:rPr>
                          <w:rPr>
                            <w:i/>
                            <w:iCs/>
                          </w:rPr>
                          <m:t>E</m:t>
                        </m:r>
                        <m:d>
                          <m:dPr>
                            <m:begChr m:val="["/>
                            <m:endChr m:val="]"/>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e>
                        </m:d>
                      </m:e>
                    </m:d>
                  </m:num>
                  <m:den>
                    <m:r>
                      <m:rPr>
                        <m:nor/>
                      </m:rPr>
                      <w:rPr>
                        <w:i/>
                        <w:iCs/>
                      </w:rPr>
                      <m:t>Var</m:t>
                    </m:r>
                    <m:d>
                      <m:dPr>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e>
                    </m:d>
                  </m:den>
                </m:f>
              </m:oMath>
            </m:oMathPara>
          </w:p>
          <w:p w14:paraId="5445FCAA" w14:textId="77777777" w:rsidR="00091792" w:rsidRPr="00FE0544" w:rsidRDefault="00091792" w:rsidP="00A15750">
            <w:pPr>
              <w:pStyle w:val="Nivel1"/>
              <w:spacing w:before="60" w:after="40"/>
              <w:ind w:left="567"/>
            </w:pPr>
            <m:oMath>
              <m:r>
                <m:rPr>
                  <m:nor/>
                </m:rPr>
                <w:rPr>
                  <w:i/>
                </w:rPr>
                <m:t>β</m:t>
              </m:r>
              <m:r>
                <w:rPr>
                  <w:rFonts w:ascii="Cambria Math" w:hAnsi="Cambria Math"/>
                </w:rPr>
                <m:t>&gt;</m:t>
              </m:r>
              <m:r>
                <m:rPr>
                  <m:nor/>
                </m:rPr>
                <w:rPr>
                  <w:i/>
                </w:rPr>
                <m:t>1</m:t>
              </m:r>
            </m:oMath>
            <w:r>
              <w:rPr>
                <w:rFonts w:eastAsiaTheme="minorEastAsia"/>
              </w:rPr>
              <w:t xml:space="preserve"> : El activo o cartera tiene más riesgo y rentabilidad que la cartera de mercado. Se denominan activos o inversiones </w:t>
            </w:r>
            <w:r>
              <w:rPr>
                <w:rFonts w:eastAsiaTheme="minorEastAsia"/>
                <w:b/>
                <w:bCs/>
              </w:rPr>
              <w:t>agresivas</w:t>
            </w:r>
            <w:r>
              <w:rPr>
                <w:rFonts w:eastAsiaTheme="minorEastAsia"/>
              </w:rPr>
              <w:t xml:space="preserve"> y ofrecen oportunidad de especulación.</w:t>
            </w:r>
          </w:p>
          <w:p w14:paraId="1BFAE73E" w14:textId="77777777" w:rsidR="00091792" w:rsidRPr="000F6413" w:rsidRDefault="00091792" w:rsidP="00A15750">
            <w:pPr>
              <w:pStyle w:val="Nivel1"/>
              <w:spacing w:before="60" w:after="40"/>
              <w:ind w:left="567"/>
              <w:rPr>
                <w:spacing w:val="-2"/>
              </w:rPr>
            </w:pPr>
            <m:oMath>
              <m:r>
                <m:rPr>
                  <m:nor/>
                </m:rPr>
                <w:rPr>
                  <w:i/>
                  <w:spacing w:val="-2"/>
                </w:rPr>
                <m:t>β</m:t>
              </m:r>
              <m:r>
                <w:rPr>
                  <w:rFonts w:ascii="Cambria Math" w:hAnsi="Cambria Math"/>
                  <w:spacing w:val="-2"/>
                </w:rPr>
                <m:t>=</m:t>
              </m:r>
              <m:r>
                <m:rPr>
                  <m:nor/>
                </m:rPr>
                <w:rPr>
                  <w:i/>
                  <w:spacing w:val="-2"/>
                </w:rPr>
                <m:t>1</m:t>
              </m:r>
            </m:oMath>
            <w:r w:rsidRPr="000F6413">
              <w:rPr>
                <w:rFonts w:eastAsiaTheme="minorEastAsia"/>
                <w:spacing w:val="-2"/>
              </w:rPr>
              <w:t xml:space="preserve"> : El activo o cartera son una réplica del mercado. Tienen la misma rentabilidad y riesgo que el mercado o son el propio mercado. Se denominan activos o inversiones </w:t>
            </w:r>
            <w:r w:rsidRPr="000F6413">
              <w:rPr>
                <w:rFonts w:eastAsiaTheme="minorEastAsia"/>
                <w:b/>
                <w:bCs/>
                <w:spacing w:val="-2"/>
              </w:rPr>
              <w:t>neutras</w:t>
            </w:r>
            <w:r w:rsidRPr="000F6413">
              <w:rPr>
                <w:rFonts w:eastAsiaTheme="minorEastAsia"/>
                <w:spacing w:val="-2"/>
              </w:rPr>
              <w:t>.</w:t>
            </w:r>
          </w:p>
          <w:p w14:paraId="0385F511" w14:textId="77777777" w:rsidR="00091792" w:rsidRPr="00FE0544" w:rsidRDefault="00091792" w:rsidP="00A15750">
            <w:pPr>
              <w:pStyle w:val="Nivel1"/>
              <w:spacing w:before="60" w:after="40"/>
              <w:ind w:left="567"/>
            </w:pPr>
            <m:oMath>
              <m:r>
                <m:rPr>
                  <m:nor/>
                </m:rPr>
                <w:rPr>
                  <w:i/>
                </w:rPr>
                <m:t>0</m:t>
              </m:r>
              <m:r>
                <w:rPr>
                  <w:rFonts w:ascii="Cambria Math" w:hAnsi="Cambria Math"/>
                </w:rPr>
                <m:t>&lt;</m:t>
              </m:r>
              <m:r>
                <m:rPr>
                  <m:nor/>
                </m:rPr>
                <w:rPr>
                  <w:i/>
                </w:rPr>
                <m:t>β</m:t>
              </m:r>
              <m:r>
                <w:rPr>
                  <w:rFonts w:ascii="Cambria Math" w:hAnsi="Cambria Math"/>
                </w:rPr>
                <m:t>&lt;</m:t>
              </m:r>
              <m:r>
                <m:rPr>
                  <m:nor/>
                </m:rPr>
                <w:rPr>
                  <w:i/>
                </w:rPr>
                <m:t>1</m:t>
              </m:r>
            </m:oMath>
            <w:r>
              <w:rPr>
                <w:rFonts w:eastAsiaTheme="minorEastAsia"/>
              </w:rPr>
              <w:t xml:space="preserve"> : El activo o cartera tiene menos riesgo y rentabilidad que la cartera de mercado. Se denominan activos o inversiones </w:t>
            </w:r>
            <w:r>
              <w:rPr>
                <w:rFonts w:eastAsiaTheme="minorEastAsia"/>
                <w:b/>
                <w:bCs/>
              </w:rPr>
              <w:t>defensivas</w:t>
            </w:r>
            <w:r>
              <w:rPr>
                <w:rFonts w:eastAsiaTheme="minorEastAsia"/>
              </w:rPr>
              <w:t>. Ofrecen la oportunidad de reducir el riesgo de la cartera.</w:t>
            </w:r>
          </w:p>
          <w:p w14:paraId="451741DA" w14:textId="77777777" w:rsidR="00091792" w:rsidRPr="00FE0544" w:rsidRDefault="00091792" w:rsidP="00A15750">
            <w:pPr>
              <w:pStyle w:val="Nivel1"/>
              <w:spacing w:before="60" w:after="40"/>
              <w:ind w:left="567"/>
            </w:pPr>
            <m:oMath>
              <m:r>
                <m:rPr>
                  <m:nor/>
                </m:rPr>
                <w:rPr>
                  <w:i/>
                </w:rPr>
                <m:t>β</m:t>
              </m:r>
              <m:r>
                <w:rPr>
                  <w:rFonts w:ascii="Cambria Math" w:hAnsi="Cambria Math"/>
                </w:rPr>
                <m:t>=</m:t>
              </m:r>
              <m:r>
                <m:rPr>
                  <m:nor/>
                </m:rPr>
                <w:rPr>
                  <w:i/>
                </w:rPr>
                <m:t>0</m:t>
              </m:r>
            </m:oMath>
            <w:r>
              <w:rPr>
                <w:rFonts w:eastAsiaTheme="minorEastAsia"/>
              </w:rPr>
              <w:t xml:space="preserve"> : El activo no tiene relación con el mercado. Es característico del </w:t>
            </w:r>
            <w:r w:rsidRPr="00C662E3">
              <w:rPr>
                <w:rFonts w:eastAsiaTheme="minorEastAsia"/>
                <w:b/>
                <w:bCs/>
              </w:rPr>
              <w:t>activo libre de riesgo</w:t>
            </w:r>
            <w:r>
              <w:rPr>
                <w:rFonts w:eastAsiaTheme="minorEastAsia"/>
              </w:rPr>
              <w:t xml:space="preserve"> y del </w:t>
            </w:r>
            <w:r w:rsidRPr="00C662E3">
              <w:rPr>
                <w:rFonts w:eastAsiaTheme="minorEastAsia"/>
                <w:b/>
                <w:bCs/>
              </w:rPr>
              <w:t>dinero en efectivo</w:t>
            </w:r>
            <w:r>
              <w:rPr>
                <w:rFonts w:eastAsiaTheme="minorEastAsia"/>
              </w:rPr>
              <w:t>.</w:t>
            </w:r>
          </w:p>
          <w:p w14:paraId="28461646" w14:textId="77777777" w:rsidR="00091792" w:rsidRPr="00C662E3" w:rsidRDefault="00091792" w:rsidP="00A15750">
            <w:pPr>
              <w:pStyle w:val="Nivel1"/>
              <w:spacing w:before="60" w:after="40"/>
              <w:ind w:left="567"/>
            </w:pPr>
            <m:oMath>
              <m:r>
                <m:rPr>
                  <m:nor/>
                </m:rPr>
                <w:rPr>
                  <w:i/>
                </w:rPr>
                <m:t>β</m:t>
              </m:r>
              <m:r>
                <w:rPr>
                  <w:rFonts w:ascii="Cambria Math" w:hAnsi="Cambria Math"/>
                </w:rPr>
                <m:t>&lt;</m:t>
              </m:r>
              <m:r>
                <m:rPr>
                  <m:nor/>
                </m:rPr>
                <w:rPr>
                  <w:i/>
                </w:rPr>
                <m:t>0</m:t>
              </m:r>
            </m:oMath>
            <w:r>
              <w:rPr>
                <w:rFonts w:eastAsiaTheme="minorEastAsia"/>
              </w:rPr>
              <w:t xml:space="preserve"> : El activo está negativamente relacionado con el mercado, es decir, es </w:t>
            </w:r>
            <w:r>
              <w:rPr>
                <w:rFonts w:eastAsiaTheme="minorEastAsia"/>
                <w:b/>
                <w:bCs/>
              </w:rPr>
              <w:t>contracíclico</w:t>
            </w:r>
            <w:r>
              <w:rPr>
                <w:rFonts w:eastAsiaTheme="minorEastAsia"/>
              </w:rPr>
              <w:t>. Si el mercado sube, este activo tenderá a bajar y viceversa. Por lo tanto, su inclusión en la cartera se puede explicar por el efecto diversificador.</w:t>
            </w:r>
          </w:p>
          <w:p w14:paraId="23D1393F" w14:textId="77777777" w:rsidR="00091792" w:rsidRDefault="00091792" w:rsidP="00091792">
            <w:pPr>
              <w:pStyle w:val="Nivel1"/>
              <w:keepNext/>
              <w:numPr>
                <w:ilvl w:val="0"/>
                <w:numId w:val="0"/>
              </w:numPr>
              <w:spacing w:after="0"/>
              <w:rPr>
                <w:rFonts w:cs="Times New Roman"/>
              </w:rPr>
            </w:pPr>
            <w:r w:rsidRPr="00C662E3">
              <w:rPr>
                <w:u w:val="single"/>
              </w:rPr>
              <w:t xml:space="preserve">Relación de </w:t>
            </w:r>
            <w:r w:rsidRPr="00C662E3">
              <w:rPr>
                <w:rFonts w:cs="Times New Roman"/>
                <w:i/>
                <w:iCs/>
                <w:u w:val="single"/>
              </w:rPr>
              <w:t xml:space="preserve">β </w:t>
            </w:r>
            <w:r w:rsidRPr="00C662E3">
              <w:rPr>
                <w:rFonts w:cs="Times New Roman"/>
                <w:u w:val="single"/>
              </w:rPr>
              <w:t>con el riesgo</w:t>
            </w:r>
            <w:r>
              <w:rPr>
                <w:rFonts w:cs="Times New Roman"/>
              </w:rPr>
              <w:t>:</w:t>
            </w:r>
          </w:p>
          <w:p w14:paraId="2C8DFA1C" w14:textId="69A08E33" w:rsidR="00091792" w:rsidRPr="000F6413" w:rsidRDefault="00091792">
            <w:pPr>
              <w:pStyle w:val="Nivel2"/>
              <w:keepNext/>
              <w:numPr>
                <w:ilvl w:val="1"/>
                <w:numId w:val="23"/>
              </w:numPr>
              <w:spacing w:after="0"/>
              <w:ind w:left="567" w:hanging="198"/>
              <w:rPr>
                <w:spacing w:val="-3"/>
              </w:rPr>
            </w:pPr>
            <w:r w:rsidRPr="000F6413">
              <w:rPr>
                <w:rFonts w:cs="Times New Roman"/>
                <w:i/>
                <w:iCs/>
                <w:spacing w:val="-3"/>
              </w:rPr>
              <w:t>β</w:t>
            </w:r>
            <w:r w:rsidRPr="000F6413">
              <w:rPr>
                <w:rFonts w:cs="Times New Roman"/>
                <w:spacing w:val="-3"/>
              </w:rPr>
              <w:t xml:space="preserve"> únicamente mide el </w:t>
            </w:r>
            <w:r w:rsidRPr="000F6413">
              <w:rPr>
                <w:rFonts w:cs="Times New Roman"/>
                <w:b/>
                <w:bCs/>
                <w:spacing w:val="-3"/>
              </w:rPr>
              <w:t>riesgo sistemático</w:t>
            </w:r>
            <w:r w:rsidRPr="000F6413">
              <w:rPr>
                <w:rFonts w:cs="Times New Roman"/>
                <w:spacing w:val="-3"/>
              </w:rPr>
              <w:t xml:space="preserve"> del</w:t>
            </w:r>
            <w:r w:rsidR="003D7A6B">
              <w:rPr>
                <w:rFonts w:cs="Times New Roman"/>
                <w:spacing w:val="-3"/>
              </w:rPr>
              <w:t xml:space="preserve"> activo</w:t>
            </w:r>
            <w:r w:rsidRPr="000F6413">
              <w:rPr>
                <w:rFonts w:cs="Times New Roman"/>
                <w:spacing w:val="-3"/>
              </w:rPr>
              <w:t>. No tiene relación con el riesgo específico.</w:t>
            </w:r>
          </w:p>
          <w:p w14:paraId="5DC0BDF1" w14:textId="2903844C" w:rsidR="00091792" w:rsidRPr="003D7A6B" w:rsidRDefault="00000000" w:rsidP="00091792">
            <w:pPr>
              <w:pStyle w:val="Nivel1"/>
              <w:keepNext/>
              <w:numPr>
                <w:ilvl w:val="0"/>
                <w:numId w:val="0"/>
              </w:numPr>
              <w:spacing w:after="0"/>
              <w:ind w:left="709"/>
              <w:rPr>
                <w:rFonts w:eastAsiaTheme="minorEastAsia"/>
                <w:i/>
                <w:iCs/>
              </w:rPr>
            </w:pPr>
            <m:oMathPara>
              <m:oMath>
                <m:sSup>
                  <m:sSupPr>
                    <m:ctrlPr>
                      <w:rPr>
                        <w:rFonts w:ascii="Cambria Math" w:hAnsi="Cambria Math"/>
                        <w:i/>
                        <w:iCs/>
                      </w:rPr>
                    </m:ctrlPr>
                  </m:sSupPr>
                  <m:e>
                    <m:sSub>
                      <m:sSubPr>
                        <m:ctrlPr>
                          <w:rPr>
                            <w:rFonts w:ascii="Cambria Math" w:hAnsi="Cambria Math"/>
                            <w:i/>
                            <w:iCs/>
                          </w:rPr>
                        </m:ctrlPr>
                      </m:sSubPr>
                      <m:e>
                        <m:r>
                          <m:rPr>
                            <m:nor/>
                          </m:rPr>
                          <w:rPr>
                            <w:i/>
                            <w:iCs/>
                          </w:rPr>
                          <m:t>σ</m:t>
                        </m:r>
                      </m:e>
                      <m:sub>
                        <m:r>
                          <m:rPr>
                            <m:nor/>
                          </m:rPr>
                          <w:rPr>
                            <w:i/>
                            <w:iCs/>
                          </w:rPr>
                          <m:t>i</m:t>
                        </m:r>
                      </m:sub>
                    </m:sSub>
                  </m:e>
                  <m:sup>
                    <m:r>
                      <m:rPr>
                        <m:nor/>
                      </m:rPr>
                      <w:rPr>
                        <w:i/>
                        <w:iCs/>
                      </w:rPr>
                      <m:t>2</m:t>
                    </m:r>
                  </m:sup>
                </m:sSup>
                <m:r>
                  <w:rPr>
                    <w:rFonts w:ascii="Cambria Math" w:hAnsi="Cambria Math"/>
                  </w:rPr>
                  <m:t>=</m:t>
                </m:r>
                <m:sSup>
                  <m:sSupPr>
                    <m:ctrlPr>
                      <w:rPr>
                        <w:rFonts w:ascii="Cambria Math" w:hAnsi="Cambria Math"/>
                        <w:i/>
                        <w:iCs/>
                      </w:rPr>
                    </m:ctrlPr>
                  </m:sSupPr>
                  <m:e>
                    <m:sSub>
                      <m:sSubPr>
                        <m:ctrlPr>
                          <w:rPr>
                            <w:rFonts w:ascii="Cambria Math" w:hAnsi="Cambria Math"/>
                            <w:i/>
                            <w:iCs/>
                          </w:rPr>
                        </m:ctrlPr>
                      </m:sSubPr>
                      <m:e>
                        <m:r>
                          <m:rPr>
                            <m:nor/>
                          </m:rPr>
                          <w:rPr>
                            <w:i/>
                            <w:iCs/>
                          </w:rPr>
                          <m:t>β</m:t>
                        </m:r>
                      </m:e>
                      <m:sub>
                        <m:r>
                          <m:rPr>
                            <m:nor/>
                          </m:rPr>
                          <w:rPr>
                            <w:i/>
                            <w:iCs/>
                          </w:rPr>
                          <m:t>i</m:t>
                        </m:r>
                      </m:sub>
                    </m:sSub>
                  </m:e>
                  <m:sup>
                    <m:r>
                      <m:rPr>
                        <m:nor/>
                      </m:rPr>
                      <w:rPr>
                        <w:i/>
                        <w:iCs/>
                      </w:rPr>
                      <m:t>2</m:t>
                    </m:r>
                  </m:sup>
                </m:sSup>
                <m:r>
                  <w:rPr>
                    <w:rFonts w:ascii="Cambria Math" w:hAnsi="Cambria Math"/>
                  </w:rPr>
                  <m:t>∙</m:t>
                </m:r>
                <m:sSup>
                  <m:sSupPr>
                    <m:ctrlPr>
                      <w:rPr>
                        <w:rFonts w:ascii="Cambria Math" w:hAnsi="Cambria Math"/>
                        <w:i/>
                        <w:iCs/>
                      </w:rPr>
                    </m:ctrlPr>
                  </m:sSupPr>
                  <m:e>
                    <m:sSub>
                      <m:sSubPr>
                        <m:ctrlPr>
                          <w:rPr>
                            <w:rFonts w:ascii="Cambria Math" w:hAnsi="Cambria Math"/>
                            <w:i/>
                            <w:iCs/>
                          </w:rPr>
                        </m:ctrlPr>
                      </m:sSubPr>
                      <m:e>
                        <m:r>
                          <m:rPr>
                            <m:nor/>
                          </m:rPr>
                          <w:rPr>
                            <w:i/>
                            <w:iCs/>
                          </w:rPr>
                          <m:t>σ</m:t>
                        </m:r>
                      </m:e>
                      <m:sub>
                        <m:r>
                          <m:rPr>
                            <m:nor/>
                          </m:rPr>
                          <w:rPr>
                            <w:i/>
                            <w:iCs/>
                          </w:rPr>
                          <m:t>M</m:t>
                        </m:r>
                      </m:sub>
                    </m:sSub>
                  </m:e>
                  <m:sup>
                    <m:r>
                      <m:rPr>
                        <m:nor/>
                      </m:rPr>
                      <w:rPr>
                        <w:i/>
                        <w:iCs/>
                      </w:rPr>
                      <m:t>2</m:t>
                    </m:r>
                  </m:sup>
                </m:sSup>
                <m:r>
                  <w:rPr>
                    <w:rFonts w:ascii="Cambria Math" w:hAnsi="Cambria Math"/>
                  </w:rPr>
                  <m:t>+</m:t>
                </m:r>
                <m:sSup>
                  <m:sSupPr>
                    <m:ctrlPr>
                      <w:rPr>
                        <w:rFonts w:ascii="Cambria Math" w:hAnsi="Cambria Math"/>
                        <w:i/>
                        <w:iCs/>
                      </w:rPr>
                    </m:ctrlPr>
                  </m:sSupPr>
                  <m:e>
                    <m:sSub>
                      <m:sSubPr>
                        <m:ctrlPr>
                          <w:rPr>
                            <w:rFonts w:ascii="Cambria Math" w:hAnsi="Cambria Math"/>
                            <w:i/>
                            <w:iCs/>
                          </w:rPr>
                        </m:ctrlPr>
                      </m:sSubPr>
                      <m:e>
                        <m:r>
                          <m:rPr>
                            <m:nor/>
                          </m:rPr>
                          <w:rPr>
                            <w:i/>
                            <w:iCs/>
                          </w:rPr>
                          <m:t>σ</m:t>
                        </m:r>
                      </m:e>
                      <m:sub>
                        <m:sSub>
                          <m:sSubPr>
                            <m:ctrlPr>
                              <w:rPr>
                                <w:rFonts w:ascii="Cambria Math" w:hAnsi="Cambria Math"/>
                                <w:i/>
                                <w:iCs/>
                              </w:rPr>
                            </m:ctrlPr>
                          </m:sSubPr>
                          <m:e>
                            <m:r>
                              <m:rPr>
                                <m:nor/>
                              </m:rPr>
                              <w:rPr>
                                <w:i/>
                              </w:rPr>
                              <m:t>ε</m:t>
                            </m:r>
                          </m:e>
                          <m:sub>
                            <m:r>
                              <m:rPr>
                                <m:nor/>
                              </m:rPr>
                              <w:rPr>
                                <w:i/>
                                <w:iCs/>
                              </w:rPr>
                              <m:t>i</m:t>
                            </m:r>
                          </m:sub>
                        </m:sSub>
                      </m:sub>
                    </m:sSub>
                  </m:e>
                  <m:sup>
                    <m:r>
                      <m:rPr>
                        <m:nor/>
                      </m:rPr>
                      <w:rPr>
                        <w:i/>
                        <w:iCs/>
                      </w:rPr>
                      <m:t>2</m:t>
                    </m:r>
                  </m:sup>
                </m:sSup>
              </m:oMath>
            </m:oMathPara>
          </w:p>
          <w:p w14:paraId="4643A21D" w14:textId="6E75DB63" w:rsidR="00091792" w:rsidRDefault="00091792" w:rsidP="00091792">
            <w:pPr>
              <w:pStyle w:val="Nivel1"/>
              <w:numPr>
                <w:ilvl w:val="0"/>
                <w:numId w:val="0"/>
              </w:numPr>
              <w:spacing w:after="0"/>
              <w:ind w:left="709"/>
              <w:jc w:val="center"/>
              <w:rPr>
                <w:rFonts w:eastAsiaTheme="minorEastAsia"/>
                <w:color w:val="3B3838" w:themeColor="background2" w:themeShade="40"/>
                <w:sz w:val="16"/>
                <w:szCs w:val="16"/>
              </w:rPr>
            </w:pPr>
            <w:r w:rsidRPr="00C06FF7">
              <w:rPr>
                <w:rFonts w:eastAsiaTheme="minorEastAsia"/>
                <w:color w:val="3B3838" w:themeColor="background2" w:themeShade="40"/>
                <w:sz w:val="16"/>
                <w:szCs w:val="16"/>
              </w:rPr>
              <w:t xml:space="preserve">Según esta ecuación, el riesgo total de la </w:t>
            </w:r>
            <w:r w:rsidR="003D7A6B" w:rsidRPr="003D7A6B">
              <w:rPr>
                <w:rFonts w:eastAsiaTheme="minorEastAsia"/>
                <w:color w:val="3B3838" w:themeColor="background2" w:themeShade="40"/>
                <w:sz w:val="16"/>
                <w:szCs w:val="16"/>
              </w:rPr>
              <w:t>activo</w:t>
            </w:r>
            <w:r w:rsidRPr="003D7A6B">
              <w:rPr>
                <w:rFonts w:eastAsiaTheme="minorEastAsia"/>
                <w:color w:val="3B3838" w:themeColor="background2" w:themeShade="40"/>
                <w:sz w:val="16"/>
                <w:szCs w:val="16"/>
              </w:rPr>
              <w:t xml:space="preserve"> (</w:t>
            </w:r>
            <m:oMath>
              <m:sSup>
                <m:sSupPr>
                  <m:ctrlPr>
                    <w:rPr>
                      <w:rFonts w:ascii="Cambria Math" w:hAnsi="Cambria Math"/>
                      <w:i/>
                      <w:iCs/>
                      <w:color w:val="3B3838" w:themeColor="background2" w:themeShade="40"/>
                      <w:sz w:val="16"/>
                      <w:szCs w:val="16"/>
                    </w:rPr>
                  </m:ctrlPr>
                </m:sSupPr>
                <m:e>
                  <m:sSub>
                    <m:sSubPr>
                      <m:ctrlPr>
                        <w:rPr>
                          <w:rFonts w:ascii="Cambria Math" w:hAnsi="Cambria Math"/>
                          <w:i/>
                          <w:iCs/>
                          <w:color w:val="3B3838" w:themeColor="background2" w:themeShade="40"/>
                          <w:sz w:val="16"/>
                          <w:szCs w:val="16"/>
                        </w:rPr>
                      </m:ctrlPr>
                    </m:sSubPr>
                    <m:e>
                      <m:r>
                        <m:rPr>
                          <m:nor/>
                        </m:rPr>
                        <w:rPr>
                          <w:i/>
                          <w:iCs/>
                          <w:color w:val="3B3838" w:themeColor="background2" w:themeShade="40"/>
                          <w:sz w:val="16"/>
                          <w:szCs w:val="16"/>
                        </w:rPr>
                        <m:t>σ</m:t>
                      </m:r>
                    </m:e>
                    <m:sub>
                      <m:r>
                        <m:rPr>
                          <m:nor/>
                        </m:rPr>
                        <w:rPr>
                          <w:i/>
                          <w:iCs/>
                          <w:color w:val="3B3838" w:themeColor="background2" w:themeShade="40"/>
                          <w:sz w:val="16"/>
                          <w:szCs w:val="16"/>
                        </w:rPr>
                        <m:t>i</m:t>
                      </m:r>
                    </m:sub>
                  </m:sSub>
                </m:e>
                <m:sup>
                  <m:r>
                    <m:rPr>
                      <m:nor/>
                    </m:rPr>
                    <w:rPr>
                      <w:i/>
                      <w:iCs/>
                      <w:color w:val="3B3838" w:themeColor="background2" w:themeShade="40"/>
                      <w:sz w:val="16"/>
                      <w:szCs w:val="16"/>
                    </w:rPr>
                    <m:t>2</m:t>
                  </m:r>
                </m:sup>
              </m:sSup>
            </m:oMath>
            <w:r w:rsidRPr="003D7A6B">
              <w:rPr>
                <w:rFonts w:eastAsiaTheme="minorEastAsia"/>
                <w:color w:val="3B3838" w:themeColor="background2" w:themeShade="40"/>
                <w:sz w:val="16"/>
                <w:szCs w:val="16"/>
              </w:rPr>
              <w:t xml:space="preserve">) es la </w:t>
            </w:r>
            <w:r w:rsidRPr="00C06FF7">
              <w:rPr>
                <w:rFonts w:eastAsiaTheme="minorEastAsia"/>
                <w:color w:val="3B3838" w:themeColor="background2" w:themeShade="40"/>
                <w:sz w:val="16"/>
                <w:szCs w:val="16"/>
              </w:rPr>
              <w:t>suma del riesgo sistemático (</w:t>
            </w:r>
            <m:oMath>
              <m:sSup>
                <m:sSupPr>
                  <m:ctrlPr>
                    <w:rPr>
                      <w:rFonts w:ascii="Cambria Math" w:hAnsi="Cambria Math"/>
                      <w:i/>
                      <w:iCs/>
                      <w:color w:val="3B3838" w:themeColor="background2" w:themeShade="40"/>
                      <w:sz w:val="16"/>
                      <w:szCs w:val="16"/>
                    </w:rPr>
                  </m:ctrlPr>
                </m:sSupPr>
                <m:e>
                  <m:sSub>
                    <m:sSubPr>
                      <m:ctrlPr>
                        <w:rPr>
                          <w:rFonts w:ascii="Cambria Math" w:hAnsi="Cambria Math"/>
                          <w:i/>
                          <w:iCs/>
                          <w:color w:val="3B3838" w:themeColor="background2" w:themeShade="40"/>
                          <w:sz w:val="16"/>
                          <w:szCs w:val="16"/>
                        </w:rPr>
                      </m:ctrlPr>
                    </m:sSubPr>
                    <m:e>
                      <m:r>
                        <m:rPr>
                          <m:nor/>
                        </m:rPr>
                        <w:rPr>
                          <w:i/>
                          <w:iCs/>
                          <w:color w:val="3B3838" w:themeColor="background2" w:themeShade="40"/>
                          <w:sz w:val="16"/>
                          <w:szCs w:val="16"/>
                        </w:rPr>
                        <m:t>β</m:t>
                      </m:r>
                    </m:e>
                    <m:sub>
                      <m:r>
                        <m:rPr>
                          <m:nor/>
                        </m:rPr>
                        <w:rPr>
                          <w:i/>
                          <w:iCs/>
                          <w:color w:val="3B3838" w:themeColor="background2" w:themeShade="40"/>
                          <w:sz w:val="16"/>
                          <w:szCs w:val="16"/>
                        </w:rPr>
                        <m:t>i</m:t>
                      </m:r>
                    </m:sub>
                  </m:sSub>
                </m:e>
                <m:sup>
                  <m:r>
                    <m:rPr>
                      <m:nor/>
                    </m:rPr>
                    <w:rPr>
                      <w:i/>
                      <w:iCs/>
                      <w:color w:val="3B3838" w:themeColor="background2" w:themeShade="40"/>
                      <w:sz w:val="16"/>
                      <w:szCs w:val="16"/>
                    </w:rPr>
                    <m:t>2</m:t>
                  </m:r>
                </m:sup>
              </m:sSup>
              <m:r>
                <w:rPr>
                  <w:rFonts w:ascii="Cambria Math" w:hAnsi="Cambria Math"/>
                  <w:color w:val="3B3838" w:themeColor="background2" w:themeShade="40"/>
                  <w:sz w:val="16"/>
                  <w:szCs w:val="16"/>
                </w:rPr>
                <m:t>∙</m:t>
              </m:r>
              <m:sSup>
                <m:sSupPr>
                  <m:ctrlPr>
                    <w:rPr>
                      <w:rFonts w:ascii="Cambria Math" w:hAnsi="Cambria Math"/>
                      <w:i/>
                      <w:iCs/>
                      <w:color w:val="3B3838" w:themeColor="background2" w:themeShade="40"/>
                      <w:sz w:val="16"/>
                      <w:szCs w:val="16"/>
                    </w:rPr>
                  </m:ctrlPr>
                </m:sSupPr>
                <m:e>
                  <m:sSub>
                    <m:sSubPr>
                      <m:ctrlPr>
                        <w:rPr>
                          <w:rFonts w:ascii="Cambria Math" w:hAnsi="Cambria Math"/>
                          <w:i/>
                          <w:iCs/>
                          <w:color w:val="3B3838" w:themeColor="background2" w:themeShade="40"/>
                          <w:sz w:val="16"/>
                          <w:szCs w:val="16"/>
                        </w:rPr>
                      </m:ctrlPr>
                    </m:sSubPr>
                    <m:e>
                      <m:r>
                        <m:rPr>
                          <m:nor/>
                        </m:rPr>
                        <w:rPr>
                          <w:i/>
                          <w:iCs/>
                          <w:color w:val="3B3838" w:themeColor="background2" w:themeShade="40"/>
                          <w:sz w:val="16"/>
                          <w:szCs w:val="16"/>
                        </w:rPr>
                        <m:t>σ</m:t>
                      </m:r>
                    </m:e>
                    <m:sub>
                      <m:r>
                        <m:rPr>
                          <m:nor/>
                        </m:rPr>
                        <w:rPr>
                          <w:i/>
                          <w:iCs/>
                          <w:color w:val="3B3838" w:themeColor="background2" w:themeShade="40"/>
                          <w:sz w:val="16"/>
                          <w:szCs w:val="16"/>
                        </w:rPr>
                        <m:t>M</m:t>
                      </m:r>
                    </m:sub>
                  </m:sSub>
                </m:e>
                <m:sup>
                  <m:r>
                    <m:rPr>
                      <m:nor/>
                    </m:rPr>
                    <w:rPr>
                      <w:i/>
                      <w:iCs/>
                      <w:color w:val="3B3838" w:themeColor="background2" w:themeShade="40"/>
                      <w:sz w:val="16"/>
                      <w:szCs w:val="16"/>
                    </w:rPr>
                    <m:t>2</m:t>
                  </m:r>
                </m:sup>
              </m:sSup>
            </m:oMath>
            <w:r w:rsidRPr="00C06FF7">
              <w:rPr>
                <w:rFonts w:eastAsiaTheme="minorEastAsia"/>
                <w:color w:val="3B3838" w:themeColor="background2" w:themeShade="40"/>
                <w:sz w:val="16"/>
                <w:szCs w:val="16"/>
              </w:rPr>
              <w:t>) y del riesgo propio (</w:t>
            </w:r>
            <m:oMath>
              <m:sSup>
                <m:sSupPr>
                  <m:ctrlPr>
                    <w:rPr>
                      <w:rFonts w:ascii="Cambria Math" w:hAnsi="Cambria Math"/>
                      <w:i/>
                      <w:iCs/>
                      <w:color w:val="3B3838" w:themeColor="background2" w:themeShade="40"/>
                      <w:sz w:val="16"/>
                      <w:szCs w:val="16"/>
                    </w:rPr>
                  </m:ctrlPr>
                </m:sSupPr>
                <m:e>
                  <m:sSub>
                    <m:sSubPr>
                      <m:ctrlPr>
                        <w:rPr>
                          <w:rFonts w:ascii="Cambria Math" w:hAnsi="Cambria Math"/>
                          <w:i/>
                          <w:iCs/>
                          <w:color w:val="3B3838" w:themeColor="background2" w:themeShade="40"/>
                          <w:sz w:val="16"/>
                          <w:szCs w:val="16"/>
                        </w:rPr>
                      </m:ctrlPr>
                    </m:sSubPr>
                    <m:e>
                      <m:r>
                        <m:rPr>
                          <m:nor/>
                        </m:rPr>
                        <w:rPr>
                          <w:i/>
                          <w:iCs/>
                          <w:color w:val="3B3838" w:themeColor="background2" w:themeShade="40"/>
                          <w:sz w:val="16"/>
                          <w:szCs w:val="16"/>
                        </w:rPr>
                        <m:t>σ</m:t>
                      </m:r>
                    </m:e>
                    <m:sub>
                      <m:sSub>
                        <m:sSubPr>
                          <m:ctrlPr>
                            <w:rPr>
                              <w:rFonts w:ascii="Cambria Math" w:hAnsi="Cambria Math"/>
                              <w:i/>
                              <w:iCs/>
                              <w:color w:val="3B3838" w:themeColor="background2" w:themeShade="40"/>
                              <w:sz w:val="16"/>
                              <w:szCs w:val="16"/>
                            </w:rPr>
                          </m:ctrlPr>
                        </m:sSubPr>
                        <m:e>
                          <m:r>
                            <m:rPr>
                              <m:nor/>
                            </m:rPr>
                            <w:rPr>
                              <w:i/>
                              <w:color w:val="3B3838" w:themeColor="background2" w:themeShade="40"/>
                              <w:sz w:val="16"/>
                              <w:szCs w:val="16"/>
                            </w:rPr>
                            <m:t>ε</m:t>
                          </m:r>
                        </m:e>
                        <m:sub>
                          <m:r>
                            <m:rPr>
                              <m:nor/>
                            </m:rPr>
                            <w:rPr>
                              <w:i/>
                              <w:iCs/>
                              <w:color w:val="3B3838" w:themeColor="background2" w:themeShade="40"/>
                              <w:sz w:val="16"/>
                              <w:szCs w:val="16"/>
                            </w:rPr>
                            <m:t>i</m:t>
                          </m:r>
                        </m:sub>
                      </m:sSub>
                    </m:sub>
                  </m:sSub>
                </m:e>
                <m:sup>
                  <m:r>
                    <m:rPr>
                      <m:nor/>
                    </m:rPr>
                    <w:rPr>
                      <w:i/>
                      <w:iCs/>
                      <w:color w:val="3B3838" w:themeColor="background2" w:themeShade="40"/>
                      <w:sz w:val="16"/>
                      <w:szCs w:val="16"/>
                    </w:rPr>
                    <m:t>2</m:t>
                  </m:r>
                </m:sup>
              </m:sSup>
            </m:oMath>
            <w:r w:rsidRPr="00C06FF7">
              <w:rPr>
                <w:rFonts w:eastAsiaTheme="minorEastAsia"/>
                <w:color w:val="3B3838" w:themeColor="background2" w:themeShade="40"/>
                <w:sz w:val="16"/>
                <w:szCs w:val="16"/>
              </w:rPr>
              <w:t>)</w:t>
            </w:r>
            <w:r>
              <w:rPr>
                <w:rFonts w:eastAsiaTheme="minorEastAsia"/>
                <w:color w:val="3B3838" w:themeColor="background2" w:themeShade="40"/>
                <w:sz w:val="16"/>
                <w:szCs w:val="16"/>
              </w:rPr>
              <w:t>.</w:t>
            </w:r>
          </w:p>
          <w:p w14:paraId="2ED9587A" w14:textId="36A6F6A9" w:rsidR="00F830FD" w:rsidRPr="00C06FF7" w:rsidRDefault="00F830FD" w:rsidP="001675F6">
            <w:pPr>
              <w:pStyle w:val="Nivel1"/>
              <w:numPr>
                <w:ilvl w:val="0"/>
                <w:numId w:val="0"/>
              </w:numPr>
              <w:spacing w:before="0" w:after="0"/>
              <w:ind w:left="709"/>
              <w:jc w:val="center"/>
              <w:rPr>
                <w:rFonts w:eastAsiaTheme="minorEastAsia"/>
                <w:color w:val="3B3838" w:themeColor="background2" w:themeShade="40"/>
                <w:sz w:val="16"/>
                <w:szCs w:val="16"/>
              </w:rPr>
            </w:pPr>
            <w:r w:rsidRPr="00F830FD">
              <w:rPr>
                <w:rFonts w:eastAsiaTheme="minorEastAsia"/>
                <w:noProof/>
                <w:color w:val="3B3838" w:themeColor="background2" w:themeShade="40"/>
                <w:sz w:val="16"/>
                <w:szCs w:val="16"/>
              </w:rPr>
              <w:drawing>
                <wp:inline distT="0" distB="0" distL="0" distR="0" wp14:anchorId="3E5183E4" wp14:editId="53B7010A">
                  <wp:extent cx="2219831" cy="632460"/>
                  <wp:effectExtent l="0" t="0" r="9525"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222066" cy="633097"/>
                          </a:xfrm>
                          <a:prstGeom prst="rect">
                            <a:avLst/>
                          </a:prstGeom>
                        </pic:spPr>
                      </pic:pic>
                    </a:graphicData>
                  </a:graphic>
                </wp:inline>
              </w:drawing>
            </w:r>
          </w:p>
          <w:p w14:paraId="2BAF0B07" w14:textId="77777777" w:rsidR="00091792" w:rsidRPr="00C662E3" w:rsidRDefault="00091792">
            <w:pPr>
              <w:pStyle w:val="Nivel2"/>
              <w:keepNext/>
              <w:numPr>
                <w:ilvl w:val="1"/>
                <w:numId w:val="23"/>
              </w:numPr>
              <w:spacing w:after="0"/>
              <w:ind w:left="567" w:hanging="198"/>
            </w:pPr>
            <w:r>
              <w:t xml:space="preserve">La </w:t>
            </w:r>
            <w:r w:rsidRPr="00C662E3">
              <w:rPr>
                <w:rFonts w:cs="Times New Roman"/>
                <w:i/>
                <w:iCs/>
              </w:rPr>
              <w:t>β</w:t>
            </w:r>
            <w:r>
              <w:rPr>
                <w:rFonts w:cs="Times New Roman"/>
              </w:rPr>
              <w:t xml:space="preserve"> de una cartera (</w:t>
            </w:r>
            <m:oMath>
              <m:sSub>
                <m:sSubPr>
                  <m:ctrlPr>
                    <w:rPr>
                      <w:rFonts w:ascii="Cambria Math" w:eastAsiaTheme="minorEastAsia" w:hAnsi="Cambria Math"/>
                      <w:iCs/>
                    </w:rPr>
                  </m:ctrlPr>
                </m:sSubPr>
                <m:e>
                  <m:r>
                    <m:rPr>
                      <m:nor/>
                    </m:rPr>
                    <w:rPr>
                      <w:i/>
                    </w:rPr>
                    <m:t>β</m:t>
                  </m:r>
                </m:e>
                <m:sub>
                  <m:r>
                    <m:rPr>
                      <m:nor/>
                    </m:rPr>
                    <w:rPr>
                      <w:i/>
                    </w:rPr>
                    <m:t>p</m:t>
                  </m:r>
                </m:sub>
              </m:sSub>
            </m:oMath>
            <w:r>
              <w:rPr>
                <w:rFonts w:cs="Times New Roman"/>
              </w:rPr>
              <w:t xml:space="preserve">) es la suma ponderada de las </w:t>
            </w:r>
            <w:r w:rsidRPr="00C662E3">
              <w:rPr>
                <w:rFonts w:cs="Times New Roman"/>
                <w:i/>
                <w:iCs/>
              </w:rPr>
              <w:t>β</w:t>
            </w:r>
            <w:r>
              <w:rPr>
                <w:rFonts w:cs="Times New Roman"/>
                <w:i/>
                <w:iCs/>
              </w:rPr>
              <w:t xml:space="preserve"> </w:t>
            </w:r>
            <w:r>
              <w:rPr>
                <w:rFonts w:cs="Times New Roman"/>
              </w:rPr>
              <w:t>individuales de cada activo (</w:t>
            </w:r>
            <m:oMath>
              <m:sSub>
                <m:sSubPr>
                  <m:ctrlPr>
                    <w:rPr>
                      <w:rFonts w:ascii="Cambria Math" w:hAnsi="Cambria Math"/>
                      <w:i/>
                      <w:iCs/>
                    </w:rPr>
                  </m:ctrlPr>
                </m:sSubPr>
                <m:e>
                  <m:r>
                    <m:rPr>
                      <m:nor/>
                    </m:rPr>
                    <w:rPr>
                      <w:i/>
                    </w:rPr>
                    <m:t>β</m:t>
                  </m:r>
                </m:e>
                <m:sub>
                  <m:r>
                    <m:rPr>
                      <m:nor/>
                    </m:rPr>
                    <w:rPr>
                      <w:i/>
                    </w:rPr>
                    <m:t>i</m:t>
                  </m:r>
                </m:sub>
              </m:sSub>
            </m:oMath>
            <w:r>
              <w:rPr>
                <w:rFonts w:cs="Times New Roman"/>
              </w:rPr>
              <w:t>):</w:t>
            </w:r>
          </w:p>
          <w:p w14:paraId="75F2E376" w14:textId="1B828981" w:rsidR="00091792" w:rsidRDefault="00000000" w:rsidP="001675F6">
            <w:pPr>
              <w:pStyle w:val="Nivel2"/>
              <w:numPr>
                <w:ilvl w:val="0"/>
                <w:numId w:val="0"/>
              </w:numPr>
              <w:ind w:left="709"/>
            </w:pPr>
            <m:oMathPara>
              <m:oMath>
                <m:sSub>
                  <m:sSubPr>
                    <m:ctrlPr>
                      <w:rPr>
                        <w:rFonts w:ascii="Cambria Math" w:eastAsiaTheme="minorEastAsia" w:hAnsi="Cambria Math"/>
                        <w:iCs/>
                      </w:rPr>
                    </m:ctrlPr>
                  </m:sSubPr>
                  <m:e>
                    <m:r>
                      <m:rPr>
                        <m:nor/>
                      </m:rPr>
                      <w:rPr>
                        <w:i/>
                      </w:rPr>
                      <m:t>β</m:t>
                    </m:r>
                  </m:e>
                  <m:sub>
                    <m:r>
                      <m:rPr>
                        <m:nor/>
                      </m:rPr>
                      <w:rPr>
                        <w:i/>
                      </w:rPr>
                      <m:t>p</m:t>
                    </m:r>
                  </m:sub>
                </m:sSub>
                <m:r>
                  <w:rPr>
                    <w:rFonts w:ascii="Cambria Math" w:hAnsi="Cambria Math"/>
                  </w:rPr>
                  <m:t>=</m:t>
                </m:r>
                <m:nary>
                  <m:naryPr>
                    <m:chr m:val="∑"/>
                    <m:limLoc m:val="undOvr"/>
                    <m:ctrlPr>
                      <w:rPr>
                        <w:rFonts w:ascii="Cambria Math" w:hAnsi="Cambria Math"/>
                        <w:i/>
                        <w:iCs/>
                      </w:rPr>
                    </m:ctrlPr>
                  </m:naryPr>
                  <m:sub>
                    <m:r>
                      <m:rPr>
                        <m:nor/>
                      </m:rPr>
                      <w:rPr>
                        <w:i/>
                      </w:rPr>
                      <m:t>i</m:t>
                    </m:r>
                    <m:r>
                      <w:rPr>
                        <w:rFonts w:ascii="Cambria Math" w:hAnsi="Cambria Math"/>
                      </w:rPr>
                      <m:t>=</m:t>
                    </m:r>
                    <m:r>
                      <m:rPr>
                        <m:nor/>
                      </m:rPr>
                      <w:rPr>
                        <w:i/>
                      </w:rPr>
                      <m:t>1</m:t>
                    </m:r>
                  </m:sub>
                  <m:sup>
                    <m:r>
                      <m:rPr>
                        <m:nor/>
                      </m:rPr>
                      <w:rPr>
                        <w:i/>
                      </w:rPr>
                      <m:t>n</m:t>
                    </m:r>
                  </m:sup>
                  <m:e>
                    <m:sSub>
                      <m:sSubPr>
                        <m:ctrlPr>
                          <w:rPr>
                            <w:rFonts w:ascii="Cambria Math" w:hAnsi="Cambria Math"/>
                            <w:i/>
                            <w:iCs/>
                          </w:rPr>
                        </m:ctrlPr>
                      </m:sSubPr>
                      <m:e>
                        <m:r>
                          <m:rPr>
                            <m:nor/>
                          </m:rPr>
                          <w:rPr>
                            <w:i/>
                          </w:rPr>
                          <m:t>w</m:t>
                        </m:r>
                      </m:e>
                      <m:sub>
                        <m:r>
                          <m:rPr>
                            <m:nor/>
                          </m:rPr>
                          <w:rPr>
                            <w:i/>
                          </w:rPr>
                          <m:t>i</m:t>
                        </m:r>
                      </m:sub>
                    </m:sSub>
                    <m:r>
                      <w:rPr>
                        <w:rFonts w:ascii="Cambria Math" w:hAnsi="Cambria Math"/>
                      </w:rPr>
                      <m:t>∙</m:t>
                    </m:r>
                    <m:sSub>
                      <m:sSubPr>
                        <m:ctrlPr>
                          <w:rPr>
                            <w:rFonts w:ascii="Cambria Math" w:hAnsi="Cambria Math"/>
                            <w:i/>
                            <w:iCs/>
                          </w:rPr>
                        </m:ctrlPr>
                      </m:sSubPr>
                      <m:e>
                        <m:r>
                          <m:rPr>
                            <m:nor/>
                          </m:rPr>
                          <w:rPr>
                            <w:i/>
                          </w:rPr>
                          <m:t>β</m:t>
                        </m:r>
                      </m:e>
                      <m:sub>
                        <m:r>
                          <m:rPr>
                            <m:nor/>
                          </m:rPr>
                          <w:rPr>
                            <w:i/>
                          </w:rPr>
                          <m:t>i</m:t>
                        </m:r>
                      </m:sub>
                    </m:sSub>
                  </m:e>
                </m:nary>
              </m:oMath>
            </m:oMathPara>
          </w:p>
        </w:tc>
      </w:tr>
    </w:tbl>
    <w:p w14:paraId="74D056AC" w14:textId="77777777" w:rsidR="00F045ED" w:rsidRDefault="007350CB" w:rsidP="00091792">
      <w:pPr>
        <w:pStyle w:val="Nivel1SM"/>
        <w:keepNext/>
        <w:spacing w:after="0"/>
      </w:pPr>
      <w:r>
        <w:t xml:space="preserve">La SML ofrece una </w:t>
      </w:r>
      <w:r w:rsidRPr="00F045ED">
        <w:rPr>
          <w:b/>
          <w:bCs/>
        </w:rPr>
        <w:t>relación de equilibrio</w:t>
      </w:r>
      <w:r>
        <w:t xml:space="preserve"> entre el </w:t>
      </w:r>
      <w:r w:rsidRPr="00F045ED">
        <w:rPr>
          <w:b/>
          <w:bCs/>
        </w:rPr>
        <w:t>rendimiento esperado de un activo</w:t>
      </w:r>
      <w:r>
        <w:t xml:space="preserve"> y su </w:t>
      </w:r>
      <w:r w:rsidRPr="00F045ED">
        <w:rPr>
          <w:b/>
          <w:bCs/>
        </w:rPr>
        <w:t>exceso de riesgo sistemático relativo al mercado</w:t>
      </w:r>
      <w:r>
        <w:t>.</w:t>
      </w:r>
    </w:p>
    <w:p w14:paraId="519F5083" w14:textId="698D8265" w:rsidR="007350CB" w:rsidRDefault="007350CB" w:rsidP="00F045ED">
      <w:pPr>
        <w:pStyle w:val="Nivel2SM"/>
      </w:pPr>
      <w:r>
        <w:t>En concreto, un activo estará correctamente valorado si su rendimiento esperado compensa a los inversores por el riesgo sistemático en el que incurren al incorporarlo en su cartera</w:t>
      </w:r>
      <w:r>
        <w:rPr>
          <w:rStyle w:val="Refdenotaalpie"/>
        </w:rPr>
        <w:footnoteReference w:id="19"/>
      </w:r>
      <w:r>
        <w:t xml:space="preserve"> (i.e. si se encuentra sobre la SML).</w:t>
      </w:r>
    </w:p>
    <w:p w14:paraId="67E0A5A7" w14:textId="70977148" w:rsidR="007350CB" w:rsidRDefault="00F045ED" w:rsidP="00F045ED">
      <w:pPr>
        <w:pStyle w:val="Nivel2SM"/>
      </w:pPr>
      <w:r>
        <w:t>Así, e</w:t>
      </w:r>
      <w:r w:rsidR="007350CB">
        <w:t>l rendimiento esperado de equilibrio de un título (medido como exceso de rendimiento sobre el</w:t>
      </w:r>
      <w:r w:rsidR="007350CB" w:rsidRPr="00CD65FC">
        <w:t xml:space="preserve"> </w:t>
      </w:r>
      <m:oMath>
        <m:sSub>
          <m:sSubPr>
            <m:ctrlPr>
              <w:rPr>
                <w:rFonts w:ascii="Cambria Math" w:hAnsi="Cambria Math"/>
                <w:i/>
              </w:rPr>
            </m:ctrlPr>
          </m:sSubPr>
          <m:e>
            <m:r>
              <m:rPr>
                <m:nor/>
              </m:rPr>
              <w:rPr>
                <w:i/>
              </w:rPr>
              <m:t>R</m:t>
            </m:r>
          </m:e>
          <m:sub>
            <m:r>
              <m:rPr>
                <m:nor/>
              </m:rPr>
              <w:rPr>
                <w:i/>
              </w:rPr>
              <m:t>f</m:t>
            </m:r>
          </m:sub>
        </m:sSub>
      </m:oMath>
      <w:r w:rsidR="007350CB" w:rsidRPr="00CD65FC">
        <w:t>)</w:t>
      </w:r>
      <w:r w:rsidR="007350CB">
        <w:t xml:space="preserve"> relativo al rendimiento de la cartera de mercado será igual a la volatilidad del título frente al mercado (medido por la varianza) relativa a la volatilidad del mercado (medida por la varianza de la cartera de mercado).</w:t>
      </w:r>
    </w:p>
    <w:p w14:paraId="784C4970" w14:textId="3E1F546B" w:rsidR="00F045ED" w:rsidRPr="00F045ED" w:rsidRDefault="00F045ED" w:rsidP="00F045ED">
      <w:pPr>
        <w:pStyle w:val="Nivel1SM"/>
        <w:keepNext/>
        <w:spacing w:after="0"/>
      </w:pPr>
      <w:r>
        <w:rPr>
          <w:rFonts w:eastAsiaTheme="minorEastAsia"/>
          <w:iCs/>
        </w:rPr>
        <w:t>Como l</w:t>
      </w:r>
      <w:r w:rsidR="007350CB">
        <w:rPr>
          <w:rFonts w:eastAsiaTheme="minorEastAsia"/>
          <w:iCs/>
        </w:rPr>
        <w:t xml:space="preserve">a SML es una relación de equilibrio </w:t>
      </w:r>
      <w:r>
        <w:rPr>
          <w:rFonts w:eastAsiaTheme="minorEastAsia"/>
          <w:iCs/>
        </w:rPr>
        <w:t>se pueden dar 3</w:t>
      </w:r>
      <w:r w:rsidR="007B72A4">
        <w:rPr>
          <w:rFonts w:eastAsiaTheme="minorEastAsia"/>
          <w:iCs/>
        </w:rPr>
        <w:t> </w:t>
      </w:r>
      <w:r>
        <w:rPr>
          <w:rFonts w:eastAsiaTheme="minorEastAsia"/>
          <w:iCs/>
        </w:rPr>
        <w:t>escenarios para un título:</w:t>
      </w:r>
    </w:p>
    <w:p w14:paraId="7035FFED" w14:textId="77777777" w:rsidR="00F045ED" w:rsidRDefault="00F045ED">
      <w:pPr>
        <w:pStyle w:val="Prrafodelista"/>
        <w:numPr>
          <w:ilvl w:val="0"/>
          <w:numId w:val="36"/>
        </w:numPr>
        <w:spacing w:after="100"/>
        <w:ind w:left="567" w:hanging="113"/>
      </w:pPr>
      <w:r>
        <w:t xml:space="preserve">Un activo estará correctamente valorado si se encuentra sobre la SML </w:t>
      </w:r>
      <w:r w:rsidR="007350CB">
        <w:t>(i.e. el hecho de que un activo se encuentre sobre la SML es una situación estable).</w:t>
      </w:r>
    </w:p>
    <w:p w14:paraId="0EFBDFCD" w14:textId="1C6CF617" w:rsidR="00F045ED" w:rsidRDefault="007350CB">
      <w:pPr>
        <w:pStyle w:val="Prrafodelista"/>
        <w:numPr>
          <w:ilvl w:val="0"/>
          <w:numId w:val="36"/>
        </w:numPr>
        <w:spacing w:after="100"/>
        <w:ind w:left="567" w:hanging="113"/>
      </w:pPr>
      <w:r>
        <w:t xml:space="preserve">Si un activo se encuentra por encima de la SML, entonces ofrecerá una rentabilidad mayor que la exigida por su riesgo sistemático (la diferencia entre la rentabilidad de este activo y la </w:t>
      </w:r>
      <w:r>
        <w:lastRenderedPageBreak/>
        <w:t xml:space="preserve">rentabilidad que debería tener según la SML se conoce como </w:t>
      </w:r>
      <w:bookmarkStart w:id="62" w:name="_Hlk100744108"/>
      <w:r w:rsidRPr="000451D8">
        <w:rPr>
          <w:i/>
        </w:rPr>
        <w:t>α</w:t>
      </w:r>
      <w:r>
        <w:t xml:space="preserve"> de </w:t>
      </w:r>
      <w:r w:rsidRPr="009A6743">
        <w:t>Jensen</w:t>
      </w:r>
      <w:bookmarkEnd w:id="62"/>
      <w:r w:rsidRPr="009A6743">
        <w:rPr>
          <w:rStyle w:val="Refdenotaalpie"/>
          <w:rFonts w:eastAsiaTheme="minorEastAsia"/>
          <w:iCs/>
        </w:rPr>
        <w:footnoteReference w:id="20"/>
      </w:r>
      <w:r>
        <w:t>), por lo que estará infravalorado, los inversores lo comprarán (</w:t>
      </w:r>
      <w:r w:rsidRPr="000451D8">
        <w:rPr>
          <w:i/>
        </w:rPr>
        <w:t>comportamiento α-</w:t>
      </w:r>
      <w:proofErr w:type="spellStart"/>
      <w:r w:rsidRPr="000451D8">
        <w:rPr>
          <w:i/>
        </w:rPr>
        <w:t>seeker</w:t>
      </w:r>
      <w:proofErr w:type="spellEnd"/>
      <w:r>
        <w:t>), el precio subirá y su rentabilidad bajará hasta que el activo se sitúe de nuevo sobre la SML.</w:t>
      </w:r>
    </w:p>
    <w:p w14:paraId="1B29906C" w14:textId="24C874DB" w:rsidR="00F045ED" w:rsidRDefault="00F045ED">
      <w:pPr>
        <w:pStyle w:val="Prrafodelista"/>
        <w:keepNext/>
        <w:numPr>
          <w:ilvl w:val="0"/>
          <w:numId w:val="36"/>
        </w:numPr>
        <w:spacing w:after="0"/>
        <w:ind w:left="567" w:hanging="113"/>
      </w:pPr>
      <w:r>
        <w:t xml:space="preserve">Lo contrario sucederá en caso de un activo que se sitúe por debajo de la SML (i.e. que esté sobrevalorado o con un </w:t>
      </w:r>
      <w:r w:rsidRPr="000451D8">
        <w:rPr>
          <w:i/>
        </w:rPr>
        <w:t>α</w:t>
      </w:r>
      <w:r>
        <w:t xml:space="preserve"> de </w:t>
      </w:r>
      <w:r w:rsidRPr="009A6743">
        <w:t>Jensen</w:t>
      </w:r>
      <w:r>
        <w:t xml:space="preserve"> negativa).</w:t>
      </w:r>
    </w:p>
    <w:p w14:paraId="303FDF5F" w14:textId="5BE9DDD4" w:rsidR="007350CB" w:rsidRPr="00A769CD" w:rsidRDefault="007350CB" w:rsidP="00290E36">
      <w:pPr>
        <w:pStyle w:val="Nivel3SM"/>
        <w:spacing w:after="100"/>
      </w:pPr>
      <w:r>
        <w:t>Por lo tanto, la SML es una relación de equilibrio de mercado</w:t>
      </w:r>
      <w:r w:rsidR="00FF164B">
        <w:t>: se garantiza que todos los activos se situarán en la SML debido a que en caso contrario los inversores tendrían incentivos en reorganizar su cartera en función de sus preferencias</w:t>
      </w:r>
      <w:r w:rsidR="003B1839">
        <w:rPr>
          <w:rStyle w:val="Refdenotaalpie"/>
          <w:rFonts w:eastAsiaTheme="minorEastAsia"/>
          <w:iCs/>
        </w:rPr>
        <w:footnoteReference w:id="21"/>
      </w:r>
      <w:r w:rsidR="00FF164B">
        <w:t>.</w:t>
      </w:r>
    </w:p>
    <w:p w14:paraId="1D6901FA" w14:textId="77777777" w:rsidR="007350CB" w:rsidRPr="00081EC4" w:rsidRDefault="007350CB" w:rsidP="007350CB">
      <w:pPr>
        <w:pStyle w:val="Ttulo7"/>
      </w:pPr>
      <w:bookmarkStart w:id="63" w:name="_Toc144911970"/>
      <w:r>
        <w:t>Implicaciones</w:t>
      </w:r>
      <w:bookmarkEnd w:id="63"/>
    </w:p>
    <w:p w14:paraId="607D8BB7" w14:textId="1A25BD91" w:rsidR="007350CB" w:rsidRDefault="007350CB" w:rsidP="001675F6">
      <w:pPr>
        <w:pStyle w:val="Nivel1SM"/>
        <w:spacing w:before="0"/>
        <w:rPr>
          <w:rFonts w:cs="Times New Roman"/>
        </w:rPr>
      </w:pPr>
      <w:r>
        <w:t xml:space="preserve">El CAPM es un modelo de equilibrio que describe por qué diferentes activos tienen diferentes rentabilidades esperadas. En concreto, señala que los distintos activos tienen distinta rentabilidad esperada porque tienen </w:t>
      </w:r>
      <w:r w:rsidRPr="0056160F">
        <w:t xml:space="preserve">distintas </w:t>
      </w:r>
      <w:r w:rsidRPr="0056160F">
        <w:rPr>
          <w:rFonts w:cs="Times New Roman"/>
          <w:i/>
          <w:iCs/>
        </w:rPr>
        <w:t>β</w:t>
      </w:r>
      <w:r w:rsidRPr="00533E58">
        <w:rPr>
          <w:rFonts w:cs="Times New Roman"/>
        </w:rPr>
        <w:t>’</w:t>
      </w:r>
      <w:r w:rsidRPr="0056160F">
        <w:rPr>
          <w:rFonts w:cs="Times New Roman"/>
        </w:rPr>
        <w:t>s</w:t>
      </w:r>
      <w:r>
        <w:rPr>
          <w:rFonts w:cs="Times New Roman"/>
        </w:rPr>
        <w:t>.</w:t>
      </w:r>
    </w:p>
    <w:p w14:paraId="0B165E34" w14:textId="33748C97" w:rsidR="00BF0F65" w:rsidRDefault="00BF0F65" w:rsidP="003E4AB4">
      <w:pPr>
        <w:pStyle w:val="Nivel1SM"/>
        <w:keepNext/>
        <w:spacing w:after="0"/>
      </w:pPr>
      <w:r>
        <w:lastRenderedPageBreak/>
        <w:t>Podemos demostrar que las carter</w:t>
      </w:r>
      <w:r w:rsidR="00F64148">
        <w:t>a</w:t>
      </w:r>
      <w:r>
        <w:t xml:space="preserve">s eficientes se situarán tanto en la </w:t>
      </w:r>
      <w:r w:rsidRPr="00236C90">
        <w:rPr>
          <w:i/>
          <w:iCs/>
        </w:rPr>
        <w:t>Capital Market Line</w:t>
      </w:r>
      <w:r>
        <w:t xml:space="preserve"> (C</w:t>
      </w:r>
      <w:r w:rsidRPr="003B0A43">
        <w:t>ML</w:t>
      </w:r>
      <w:r>
        <w:t>)</w:t>
      </w:r>
      <w:r w:rsidRPr="003B0A43">
        <w:t xml:space="preserve"> </w:t>
      </w:r>
      <w:r>
        <w:t xml:space="preserve">como en la </w:t>
      </w:r>
      <w:proofErr w:type="spellStart"/>
      <w:r w:rsidRPr="003E4AB4">
        <w:rPr>
          <w:i/>
          <w:iCs/>
        </w:rPr>
        <w:t>Securities</w:t>
      </w:r>
      <w:proofErr w:type="spellEnd"/>
      <w:r w:rsidRPr="003E4AB4">
        <w:rPr>
          <w:i/>
          <w:iCs/>
        </w:rPr>
        <w:t xml:space="preserve"> </w:t>
      </w:r>
      <w:proofErr w:type="spellStart"/>
      <w:r w:rsidRPr="003E4AB4">
        <w:rPr>
          <w:i/>
          <w:iCs/>
        </w:rPr>
        <w:t>Market</w:t>
      </w:r>
      <w:proofErr w:type="spellEnd"/>
      <w:r w:rsidRPr="003E4AB4">
        <w:rPr>
          <w:i/>
          <w:iCs/>
        </w:rPr>
        <w:t xml:space="preserve"> Line</w:t>
      </w:r>
      <w:r w:rsidRPr="003B0A43">
        <w:t xml:space="preserve"> </w:t>
      </w:r>
      <w:r>
        <w:t>(S</w:t>
      </w:r>
      <w:r w:rsidRPr="003B0A43">
        <w:t>ML</w:t>
      </w:r>
      <w:r>
        <w:t>)</w:t>
      </w:r>
      <w:r w:rsidR="003E4AB4">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BF0F65" w:rsidRPr="00561B3A" w14:paraId="2922EF3A" w14:textId="77777777" w:rsidTr="003E4AB4">
        <w:tc>
          <w:tcPr>
            <w:tcW w:w="4814" w:type="dxa"/>
            <w:tcBorders>
              <w:top w:val="single" w:sz="12" w:space="0" w:color="auto"/>
              <w:bottom w:val="single" w:sz="12" w:space="0" w:color="auto"/>
              <w:right w:val="single" w:sz="2" w:space="0" w:color="auto"/>
            </w:tcBorders>
            <w:vAlign w:val="center"/>
          </w:tcPr>
          <w:p w14:paraId="6EF8FD04" w14:textId="158CEBB1" w:rsidR="00BF0F65" w:rsidRPr="00BF0F65" w:rsidRDefault="00BF0F65" w:rsidP="00BF0F65">
            <w:pPr>
              <w:pStyle w:val="Nivel1SM"/>
              <w:keepNext/>
              <w:numPr>
                <w:ilvl w:val="0"/>
                <w:numId w:val="0"/>
              </w:numPr>
              <w:spacing w:before="0" w:after="0"/>
              <w:jc w:val="center"/>
              <w:rPr>
                <w:i/>
                <w:iCs/>
                <w:spacing w:val="-2"/>
              </w:rPr>
            </w:pPr>
            <w:r w:rsidRPr="00BF0F65">
              <w:rPr>
                <w:i/>
                <w:iCs/>
                <w:spacing w:val="-2"/>
              </w:rPr>
              <w:t>Capital Market Line (CML)</w:t>
            </w:r>
            <w:r w:rsidRPr="00BF0F65">
              <w:rPr>
                <w:i/>
                <w:iCs/>
                <w:spacing w:val="-2"/>
                <w:sz w:val="19"/>
                <w:szCs w:val="19"/>
              </w:rPr>
              <w:t xml:space="preserve"> – Modelo de carteras mixtas</w:t>
            </w:r>
          </w:p>
        </w:tc>
        <w:tc>
          <w:tcPr>
            <w:tcW w:w="4814" w:type="dxa"/>
            <w:tcBorders>
              <w:top w:val="single" w:sz="12" w:space="0" w:color="auto"/>
              <w:left w:val="single" w:sz="2" w:space="0" w:color="auto"/>
              <w:bottom w:val="single" w:sz="12" w:space="0" w:color="auto"/>
            </w:tcBorders>
            <w:vAlign w:val="center"/>
          </w:tcPr>
          <w:p w14:paraId="610F75B1" w14:textId="5F818BDE" w:rsidR="00BF0F65" w:rsidRPr="00BF0F65" w:rsidRDefault="00BF0F65" w:rsidP="00BF0F65">
            <w:pPr>
              <w:pStyle w:val="Nivel1SM"/>
              <w:keepNext/>
              <w:numPr>
                <w:ilvl w:val="0"/>
                <w:numId w:val="0"/>
              </w:numPr>
              <w:spacing w:before="0" w:after="0"/>
              <w:jc w:val="center"/>
              <w:rPr>
                <w:spacing w:val="-2"/>
                <w:lang w:val="en-US"/>
              </w:rPr>
            </w:pPr>
            <w:r w:rsidRPr="00BF0F65">
              <w:rPr>
                <w:i/>
                <w:iCs/>
                <w:spacing w:val="-2"/>
                <w:lang w:val="en-US"/>
              </w:rPr>
              <w:t>Securities Market Line (SML)</w:t>
            </w:r>
            <w:r w:rsidRPr="00BF0F65">
              <w:rPr>
                <w:i/>
                <w:iCs/>
                <w:spacing w:val="-2"/>
                <w:sz w:val="19"/>
                <w:szCs w:val="19"/>
                <w:lang w:val="en-US"/>
              </w:rPr>
              <w:t xml:space="preserve"> – CAPM</w:t>
            </w:r>
          </w:p>
        </w:tc>
      </w:tr>
      <w:tr w:rsidR="00BF0F65" w:rsidRPr="00BF0F65" w14:paraId="1076A76D" w14:textId="77777777" w:rsidTr="003E4AB4">
        <w:tc>
          <w:tcPr>
            <w:tcW w:w="4814" w:type="dxa"/>
            <w:tcBorders>
              <w:top w:val="single" w:sz="12" w:space="0" w:color="auto"/>
              <w:bottom w:val="single" w:sz="12" w:space="0" w:color="auto"/>
              <w:right w:val="single" w:sz="2" w:space="0" w:color="auto"/>
            </w:tcBorders>
            <w:vAlign w:val="center"/>
          </w:tcPr>
          <w:p w14:paraId="428406CA" w14:textId="503C8E5E" w:rsidR="00F64148" w:rsidRPr="00F64148" w:rsidRDefault="00F64148" w:rsidP="00F62702">
            <w:pPr>
              <w:pStyle w:val="Nivel1SM"/>
              <w:keepNext/>
              <w:numPr>
                <w:ilvl w:val="0"/>
                <w:numId w:val="0"/>
              </w:numPr>
              <w:spacing w:before="0" w:after="0"/>
              <w:jc w:val="center"/>
              <w:rPr>
                <w:rFonts w:eastAsiaTheme="minorEastAsia"/>
              </w:rPr>
            </w:pPr>
            <m:oMathPara>
              <m:oMath>
                <m:r>
                  <w:rPr>
                    <w:rFonts w:ascii="Cambria Math" w:eastAsiaTheme="minorEastAsia" w:hAnsi="Cambria Math"/>
                  </w:rPr>
                  <m:t xml:space="preserve"> </m:t>
                </m:r>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p</m:t>
                        </m:r>
                      </m:sub>
                    </m:sSub>
                  </m:e>
                </m:d>
                <m:r>
                  <w:rPr>
                    <w:rFonts w:ascii="Cambria Math" w:hAnsi="Cambria Math"/>
                  </w:rPr>
                  <m:t>=</m:t>
                </m:r>
                <m:limLow>
                  <m:limLowPr>
                    <m:ctrlPr>
                      <w:rPr>
                        <w:rFonts w:ascii="Cambria Math" w:eastAsia="Calibri" w:hAnsi="Cambria Math" w:cs="Times New Roman"/>
                        <w:i/>
                      </w:rPr>
                    </m:ctrlPr>
                  </m:limLowPr>
                  <m:e>
                    <m:groupChr>
                      <m:groupChrPr>
                        <m:ctrlPr>
                          <w:rPr>
                            <w:rFonts w:ascii="Cambria Math" w:eastAsia="Calibri" w:hAnsi="Cambria Math" w:cs="Times New Roman"/>
                            <w:i/>
                          </w:rPr>
                        </m:ctrlPr>
                      </m:groupChr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f</m:t>
                            </m:r>
                          </m:sub>
                        </m:sSub>
                      </m:e>
                    </m:groupChr>
                  </m:e>
                  <m:lim>
                    <m:r>
                      <m:rPr>
                        <m:nor/>
                      </m:rPr>
                      <w:rPr>
                        <w:rFonts w:eastAsia="Calibri" w:cs="Times New Roman"/>
                        <w:i/>
                        <w:iCs/>
                      </w:rPr>
                      <m:t>Ordenada</m:t>
                    </m:r>
                  </m:lim>
                </m:limLow>
                <m:r>
                  <w:rPr>
                    <w:rFonts w:ascii="Cambria Math" w:eastAsia="Calibri" w:hAnsi="Cambria Math" w:cs="Times New Roman"/>
                  </w:rPr>
                  <m:t>+</m:t>
                </m:r>
                <m:limLow>
                  <m:limLowPr>
                    <m:ctrlPr>
                      <w:rPr>
                        <w:rFonts w:ascii="Cambria Math" w:eastAsia="Calibri" w:hAnsi="Cambria Math" w:cs="Times New Roman"/>
                        <w:i/>
                      </w:rPr>
                    </m:ctrlPr>
                  </m:limLowPr>
                  <m:e>
                    <m:groupChr>
                      <m:groupChrPr>
                        <m:ctrlPr>
                          <w:rPr>
                            <w:rFonts w:ascii="Cambria Math" w:eastAsia="Calibri" w:hAnsi="Cambria Math" w:cs="Times New Roman"/>
                            <w:i/>
                          </w:rPr>
                        </m:ctrlPr>
                      </m:groupChrPr>
                      <m:e>
                        <m:f>
                          <m:fPr>
                            <m:ctrlPr>
                              <w:rPr>
                                <w:rFonts w:ascii="Cambria Math" w:eastAsia="Calibri" w:hAnsi="Cambria Math" w:cs="Times New Roman"/>
                                <w:i/>
                              </w:rPr>
                            </m:ctrlPr>
                          </m:fPr>
                          <m:num>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M</m:t>
                                    </m:r>
                                  </m:sub>
                                </m:sSub>
                              </m:e>
                            </m:d>
                            <m:r>
                              <w:rPr>
                                <w:rFonts w:ascii="Cambria Math" w:eastAsia="Calibri" w:hAnsi="Cambria Math" w:cs="Times New Roman"/>
                              </w:rPr>
                              <m:t>-</m:t>
                            </m:r>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f</m:t>
                                </m:r>
                              </m:sub>
                            </m:sSub>
                          </m:num>
                          <m:den>
                            <m:sSub>
                              <m:sSubPr>
                                <m:ctrlPr>
                                  <w:rPr>
                                    <w:rFonts w:ascii="Cambria Math" w:hAnsi="Cambria Math"/>
                                    <w:i/>
                                    <w:iCs/>
                                  </w:rPr>
                                </m:ctrlPr>
                              </m:sSubPr>
                              <m:e>
                                <m:r>
                                  <m:rPr>
                                    <m:nor/>
                                  </m:rPr>
                                  <w:rPr>
                                    <w:i/>
                                  </w:rPr>
                                  <m:t>σ</m:t>
                                </m:r>
                              </m:e>
                              <m:sub>
                                <m:r>
                                  <m:rPr>
                                    <m:nor/>
                                  </m:rPr>
                                  <w:rPr>
                                    <w:i/>
                                  </w:rPr>
                                  <m:t>M</m:t>
                                </m:r>
                              </m:sub>
                            </m:sSub>
                          </m:den>
                        </m:f>
                      </m:e>
                    </m:groupChr>
                  </m:e>
                  <m:lim>
                    <m:eqArr>
                      <m:eqArrPr>
                        <m:ctrlPr>
                          <w:rPr>
                            <w:rFonts w:ascii="Cambria Math" w:eastAsia="Calibri" w:hAnsi="Cambria Math" w:cs="Times New Roman"/>
                            <w:i/>
                          </w:rPr>
                        </m:ctrlPr>
                      </m:eqArrPr>
                      <m:e>
                        <m:r>
                          <m:rPr>
                            <m:nor/>
                          </m:rPr>
                          <w:rPr>
                            <w:rFonts w:eastAsia="Calibri" w:cs="Times New Roman"/>
                            <w:i/>
                          </w:rPr>
                          <m:t>Pendiente</m:t>
                        </m:r>
                      </m:e>
                      <m:e>
                        <m:r>
                          <m:rPr>
                            <m:nor/>
                          </m:rPr>
                          <w:rPr>
                            <w:rFonts w:eastAsia="Calibri" w:cs="Times New Roman"/>
                            <w:i/>
                          </w:rPr>
                          <m:t>Ratio de Sharpe</m:t>
                        </m:r>
                        <m:ctrlPr>
                          <w:rPr>
                            <w:rFonts w:ascii="Cambria Math" w:eastAsia="Cambria Math" w:hAnsi="Cambria Math" w:cs="Cambria Math"/>
                            <w:i/>
                          </w:rPr>
                        </m:ctrlPr>
                      </m:e>
                      <m:e>
                        <m:r>
                          <m:rPr>
                            <m:nor/>
                          </m:rPr>
                          <w:rPr>
                            <w:rFonts w:eastAsia="Cambria Math" w:cs="Cambria Math"/>
                            <w:i/>
                          </w:rPr>
                          <m:t>(Precio del riesgo)</m:t>
                        </m:r>
                      </m:e>
                    </m:eqArr>
                  </m:lim>
                </m:limLow>
                <m:r>
                  <w:rPr>
                    <w:rFonts w:ascii="Cambria Math" w:eastAsia="Calibri" w:hAnsi="Cambria Math" w:cs="Times New Roman"/>
                  </w:rPr>
                  <m:t>∙</m:t>
                </m:r>
                <m:sSub>
                  <m:sSubPr>
                    <m:ctrlPr>
                      <w:rPr>
                        <w:rFonts w:ascii="Cambria Math" w:hAnsi="Cambria Math"/>
                        <w:i/>
                        <w:iCs/>
                      </w:rPr>
                    </m:ctrlPr>
                  </m:sSubPr>
                  <m:e>
                    <m:r>
                      <m:rPr>
                        <m:nor/>
                      </m:rPr>
                      <w:rPr>
                        <w:i/>
                      </w:rPr>
                      <m:t>σ</m:t>
                    </m:r>
                  </m:e>
                  <m:sub>
                    <m:r>
                      <m:rPr>
                        <m:nor/>
                      </m:rPr>
                      <w:rPr>
                        <w:i/>
                      </w:rPr>
                      <m:t>p</m:t>
                    </m:r>
                  </m:sub>
                </m:sSub>
              </m:oMath>
            </m:oMathPara>
          </w:p>
          <w:p w14:paraId="703BAA23" w14:textId="77777777" w:rsidR="00F64148" w:rsidRDefault="00F64148" w:rsidP="00F62702">
            <w:pPr>
              <w:pStyle w:val="Nivel1SM"/>
              <w:keepNext/>
              <w:numPr>
                <w:ilvl w:val="0"/>
                <w:numId w:val="0"/>
              </w:numPr>
              <w:spacing w:before="0" w:after="0"/>
              <w:jc w:val="center"/>
              <w:rPr>
                <w:rFonts w:eastAsiaTheme="minorEastAsia"/>
              </w:rPr>
            </w:pPr>
          </w:p>
          <w:p w14:paraId="62F5AEBC" w14:textId="77777777" w:rsidR="00F64148" w:rsidRPr="00F64148" w:rsidRDefault="00F64148" w:rsidP="00F64148">
            <w:pPr>
              <w:pStyle w:val="Nivel1SM"/>
              <w:keepNext/>
              <w:numPr>
                <w:ilvl w:val="0"/>
                <w:numId w:val="0"/>
              </w:numPr>
              <w:spacing w:before="0" w:after="0"/>
              <w:rPr>
                <w:rFonts w:eastAsiaTheme="minorEastAsia"/>
              </w:rPr>
            </w:pPr>
          </w:p>
          <w:p w14:paraId="53B13E67" w14:textId="1822203E" w:rsidR="00F64148" w:rsidRPr="00F64148" w:rsidRDefault="00F64148" w:rsidP="00F62702">
            <w:pPr>
              <w:pStyle w:val="Nivel1SM"/>
              <w:keepNext/>
              <w:numPr>
                <w:ilvl w:val="0"/>
                <w:numId w:val="0"/>
              </w:numPr>
              <w:spacing w:before="0" w:after="0"/>
              <w:jc w:val="center"/>
              <w:rPr>
                <w:rFonts w:eastAsiaTheme="minorEastAsia"/>
              </w:rPr>
            </w:pPr>
            <m:oMathPara>
              <m:oMath>
                <m:r>
                  <w:rPr>
                    <w:rFonts w:ascii="Cambria Math" w:hAnsi="Cambria Math"/>
                  </w:rPr>
                  <m:t>⇓</m:t>
                </m:r>
              </m:oMath>
            </m:oMathPara>
          </w:p>
          <w:p w14:paraId="2CEEDDE0" w14:textId="77777777" w:rsidR="00F64148" w:rsidRPr="00F64148" w:rsidRDefault="00F64148" w:rsidP="00F64148">
            <w:pPr>
              <w:pStyle w:val="Nivel1SM"/>
              <w:keepNext/>
              <w:numPr>
                <w:ilvl w:val="0"/>
                <w:numId w:val="0"/>
              </w:numPr>
              <w:spacing w:before="0" w:after="0"/>
              <w:rPr>
                <w:rFonts w:eastAsiaTheme="minorEastAsia"/>
              </w:rPr>
            </w:pPr>
          </w:p>
          <w:p w14:paraId="22D89D2A" w14:textId="77777777" w:rsidR="00F64148" w:rsidRPr="00F64148" w:rsidRDefault="00F64148" w:rsidP="00F62702">
            <w:pPr>
              <w:pStyle w:val="Nivel1SM"/>
              <w:keepNext/>
              <w:numPr>
                <w:ilvl w:val="0"/>
                <w:numId w:val="0"/>
              </w:numPr>
              <w:spacing w:before="0" w:after="0"/>
              <w:jc w:val="center"/>
              <w:rPr>
                <w:rFonts w:eastAsiaTheme="minorEastAsia"/>
              </w:rPr>
            </w:pPr>
          </w:p>
          <w:p w14:paraId="3C405B70" w14:textId="40BEA467" w:rsidR="003E4AB4" w:rsidRPr="003E4AB4" w:rsidRDefault="00F64148" w:rsidP="00F62702">
            <w:pPr>
              <w:pStyle w:val="Nivel1SM"/>
              <w:keepNext/>
              <w:numPr>
                <w:ilvl w:val="0"/>
                <w:numId w:val="0"/>
              </w:numPr>
              <w:spacing w:before="0" w:after="0"/>
              <w:jc w:val="center"/>
              <w:rPr>
                <w:rFonts w:eastAsiaTheme="minorEastAsia"/>
              </w:rPr>
            </w:pPr>
            <m:oMathPara>
              <m:oMath>
                <m:r>
                  <w:rPr>
                    <w:rFonts w:ascii="Cambria Math" w:eastAsiaTheme="minorEastAsia" w:hAnsi="Cambria Math"/>
                  </w:rPr>
                  <m:t xml:space="preserve"> </m:t>
                </m:r>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p</m:t>
                        </m:r>
                      </m:sub>
                    </m:sSub>
                  </m:e>
                </m:d>
                <m:r>
                  <w:rPr>
                    <w:rFonts w:ascii="Cambria Math" w:hAnsi="Cambria Math"/>
                  </w:rPr>
                  <m:t>=</m:t>
                </m:r>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f</m:t>
                    </m:r>
                  </m:sub>
                </m:sSub>
                <m:r>
                  <w:rPr>
                    <w:rFonts w:ascii="Cambria Math" w:eastAsia="Calibri" w:hAnsi="Cambria Math" w:cs="Times New Roman"/>
                  </w:rPr>
                  <m:t>+</m:t>
                </m:r>
                <m:f>
                  <m:fPr>
                    <m:ctrlPr>
                      <w:rPr>
                        <w:rFonts w:ascii="Cambria Math" w:hAnsi="Cambria Math"/>
                        <w:i/>
                        <w:iCs/>
                      </w:rPr>
                    </m:ctrlPr>
                  </m:fPr>
                  <m:num>
                    <m:sSub>
                      <m:sSubPr>
                        <m:ctrlPr>
                          <w:rPr>
                            <w:rFonts w:ascii="Cambria Math" w:hAnsi="Cambria Math"/>
                            <w:i/>
                            <w:iCs/>
                          </w:rPr>
                        </m:ctrlPr>
                      </m:sSubPr>
                      <m:e>
                        <m:r>
                          <m:rPr>
                            <m:nor/>
                          </m:rPr>
                          <w:rPr>
                            <w:i/>
                          </w:rPr>
                          <m:t>σ</m:t>
                        </m:r>
                      </m:e>
                      <m:sub>
                        <m:r>
                          <m:rPr>
                            <m:nor/>
                          </m:rPr>
                          <w:rPr>
                            <w:i/>
                          </w:rPr>
                          <m:t>p</m:t>
                        </m:r>
                      </m:sub>
                    </m:sSub>
                  </m:num>
                  <m:den>
                    <m:sSub>
                      <m:sSubPr>
                        <m:ctrlPr>
                          <w:rPr>
                            <w:rFonts w:ascii="Cambria Math" w:hAnsi="Cambria Math"/>
                            <w:i/>
                            <w:iCs/>
                          </w:rPr>
                        </m:ctrlPr>
                      </m:sSubPr>
                      <m:e>
                        <m:r>
                          <m:rPr>
                            <m:nor/>
                          </m:rPr>
                          <w:rPr>
                            <w:i/>
                          </w:rPr>
                          <m:t>σ</m:t>
                        </m:r>
                      </m:e>
                      <m:sub>
                        <m:r>
                          <m:rPr>
                            <m:nor/>
                          </m:rPr>
                          <w:rPr>
                            <w:i/>
                            <w:iCs/>
                          </w:rPr>
                          <m:t>M</m:t>
                        </m:r>
                      </m:sub>
                    </m:sSub>
                  </m:den>
                </m:f>
                <m:r>
                  <w:rPr>
                    <w:rFonts w:ascii="Cambria Math" w:hAnsi="Cambria Math"/>
                  </w:rPr>
                  <m:t>∙</m:t>
                </m:r>
                <m:d>
                  <m:dPr>
                    <m:ctrlPr>
                      <w:rPr>
                        <w:rFonts w:ascii="Cambria Math" w:hAnsi="Cambria Math"/>
                        <w:i/>
                        <w:iCs/>
                      </w:rPr>
                    </m:ctrlPr>
                  </m:dPr>
                  <m:e>
                    <m:r>
                      <m:rPr>
                        <m:nor/>
                      </m:rPr>
                      <w:rPr>
                        <w:i/>
                        <w:iCs/>
                      </w:rPr>
                      <m:t>E</m:t>
                    </m:r>
                    <m:d>
                      <m:dPr>
                        <m:begChr m:val="["/>
                        <m:endChr m:val="]"/>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e>
                    </m:d>
                    <m:r>
                      <w:rPr>
                        <w:rFonts w:ascii="Cambria Math" w:hAnsi="Cambria Math"/>
                      </w:rPr>
                      <m:t>-</m:t>
                    </m:r>
                    <m:sSub>
                      <m:sSubPr>
                        <m:ctrlPr>
                          <w:rPr>
                            <w:rFonts w:ascii="Cambria Math" w:hAnsi="Cambria Math"/>
                            <w:i/>
                            <w:iCs/>
                          </w:rPr>
                        </m:ctrlPr>
                      </m:sSubPr>
                      <m:e>
                        <m:r>
                          <m:rPr>
                            <m:nor/>
                          </m:rPr>
                          <w:rPr>
                            <w:i/>
                            <w:iCs/>
                          </w:rPr>
                          <m:t>R</m:t>
                        </m:r>
                      </m:e>
                      <m:sub>
                        <m:r>
                          <m:rPr>
                            <m:nor/>
                          </m:rPr>
                          <w:rPr>
                            <w:i/>
                            <w:iCs/>
                          </w:rPr>
                          <m:t>f</m:t>
                        </m:r>
                      </m:sub>
                    </m:sSub>
                  </m:e>
                </m:d>
              </m:oMath>
            </m:oMathPara>
          </w:p>
        </w:tc>
        <w:tc>
          <w:tcPr>
            <w:tcW w:w="4814" w:type="dxa"/>
            <w:tcBorders>
              <w:top w:val="single" w:sz="12" w:space="0" w:color="auto"/>
              <w:left w:val="single" w:sz="2" w:space="0" w:color="auto"/>
              <w:bottom w:val="single" w:sz="12" w:space="0" w:color="auto"/>
            </w:tcBorders>
            <w:vAlign w:val="center"/>
          </w:tcPr>
          <w:p w14:paraId="0C00A996" w14:textId="39CDD977" w:rsidR="00BF0F65" w:rsidRPr="00BF0F65" w:rsidRDefault="00BF0F65" w:rsidP="00F62702">
            <w:pPr>
              <w:pStyle w:val="Nivel1SM"/>
              <w:keepNext/>
              <w:numPr>
                <w:ilvl w:val="0"/>
                <w:numId w:val="0"/>
              </w:numPr>
              <w:spacing w:before="0" w:after="0"/>
              <w:jc w:val="center"/>
            </w:pPr>
            <m:oMathPara>
              <m:oMath>
                <m:r>
                  <w:rPr>
                    <w:rFonts w:ascii="Cambria Math" w:eastAsiaTheme="minorEastAsia" w:hAnsi="Cambria Math"/>
                  </w:rPr>
                  <m:t xml:space="preserve"> </m:t>
                </m:r>
                <m:m>
                  <m:mPr>
                    <m:mcs>
                      <m:mc>
                        <m:mcPr>
                          <m:count m:val="1"/>
                          <m:mcJc m:val="center"/>
                        </m:mcPr>
                      </m:mc>
                    </m:mcs>
                    <m:ctrlPr>
                      <w:rPr>
                        <w:rFonts w:ascii="Cambria Math" w:hAnsi="Cambria Math"/>
                        <w:i/>
                        <w:iCs/>
                      </w:rPr>
                    </m:ctrlPr>
                  </m:mPr>
                  <m:mr>
                    <m:e>
                      <m:r>
                        <m:rPr>
                          <m:nor/>
                        </m:rPr>
                        <w:rPr>
                          <w:i/>
                          <w:iCs/>
                        </w:rPr>
                        <m:t>E</m:t>
                      </m:r>
                      <m:d>
                        <m:dPr>
                          <m:begChr m:val="["/>
                          <m:endChr m:val="]"/>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i</m:t>
                              </m:r>
                            </m:sub>
                          </m:sSub>
                        </m:e>
                      </m:d>
                      <m:r>
                        <w:rPr>
                          <w:rFonts w:ascii="Cambria Math" w:hAnsi="Cambria Math"/>
                        </w:rPr>
                        <m:t>=</m:t>
                      </m:r>
                      <m:sSub>
                        <m:sSubPr>
                          <m:ctrlPr>
                            <w:rPr>
                              <w:rFonts w:ascii="Cambria Math" w:hAnsi="Cambria Math"/>
                              <w:i/>
                              <w:iCs/>
                            </w:rPr>
                          </m:ctrlPr>
                        </m:sSubPr>
                        <m:e>
                          <m:r>
                            <m:rPr>
                              <m:nor/>
                            </m:rPr>
                            <w:rPr>
                              <w:i/>
                              <w:iCs/>
                            </w:rPr>
                            <m:t>R</m:t>
                          </m:r>
                        </m:e>
                        <m:sub>
                          <m:r>
                            <m:rPr>
                              <m:nor/>
                            </m:rPr>
                            <w:rPr>
                              <w:i/>
                              <w:iCs/>
                            </w:rPr>
                            <m:t>f</m:t>
                          </m:r>
                        </m:sub>
                      </m:sSub>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limUpp>
                                <m:limUppPr>
                                  <m:ctrlPr>
                                    <w:rPr>
                                      <w:rFonts w:ascii="Cambria Math" w:hAnsi="Cambria Math"/>
                                      <w:i/>
                                      <w:iCs/>
                                    </w:rPr>
                                  </m:ctrlPr>
                                </m:limUppPr>
                                <m:e>
                                  <m:groupChr>
                                    <m:groupChrPr>
                                      <m:chr m:val="⏞"/>
                                      <m:pos m:val="top"/>
                                      <m:vertJc m:val="bot"/>
                                      <m:ctrlPr>
                                        <w:rPr>
                                          <w:rFonts w:ascii="Cambria Math" w:hAnsi="Cambria Math"/>
                                          <w:i/>
                                          <w:iCs/>
                                        </w:rPr>
                                      </m:ctrlPr>
                                    </m:groupChrPr>
                                    <m:e>
                                      <m:f>
                                        <m:fPr>
                                          <m:ctrlPr>
                                            <w:rPr>
                                              <w:rFonts w:ascii="Cambria Math" w:hAnsi="Cambria Math"/>
                                              <w:i/>
                                              <w:iCs/>
                                            </w:rPr>
                                          </m:ctrlPr>
                                        </m:fPr>
                                        <m:num>
                                          <m:r>
                                            <m:rPr>
                                              <m:nor/>
                                            </m:rPr>
                                            <w:rPr>
                                              <w:i/>
                                              <w:iCs/>
                                            </w:rPr>
                                            <m:t>Cov</m:t>
                                          </m:r>
                                          <m:d>
                                            <m:dPr>
                                              <m:ctrlPr>
                                                <w:rPr>
                                                  <w:rFonts w:ascii="Cambria Math" w:hAnsi="Cambria Math"/>
                                                  <w:i/>
                                                  <w:iCs/>
                                                </w:rPr>
                                              </m:ctrlPr>
                                            </m:dPr>
                                            <m:e>
                                              <m:r>
                                                <m:rPr>
                                                  <m:nor/>
                                                </m:rPr>
                                                <w:rPr>
                                                  <w:i/>
                                                  <w:iCs/>
                                                </w:rPr>
                                                <m:t>E</m:t>
                                              </m:r>
                                              <m:d>
                                                <m:dPr>
                                                  <m:begChr m:val="["/>
                                                  <m:endChr m:val="]"/>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i</m:t>
                                                      </m:r>
                                                    </m:sub>
                                                  </m:sSub>
                                                </m:e>
                                              </m:d>
                                              <m:r>
                                                <m:rPr>
                                                  <m:nor/>
                                                </m:rPr>
                                                <w:rPr>
                                                  <w:i/>
                                                  <w:iCs/>
                                                </w:rPr>
                                                <m:t>,</m:t>
                                              </m:r>
                                              <m:r>
                                                <m:rPr>
                                                  <m:nor/>
                                                </m:rPr>
                                                <w:rPr>
                                                  <w:rFonts w:ascii="Cambria Math"/>
                                                  <w:i/>
                                                  <w:iCs/>
                                                </w:rPr>
                                                <m:t xml:space="preserve"> </m:t>
                                              </m:r>
                                              <m:r>
                                                <m:rPr>
                                                  <m:nor/>
                                                </m:rPr>
                                                <w:rPr>
                                                  <w:i/>
                                                  <w:iCs/>
                                                </w:rPr>
                                                <m:t>E</m:t>
                                              </m:r>
                                              <m:d>
                                                <m:dPr>
                                                  <m:begChr m:val="["/>
                                                  <m:endChr m:val="]"/>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e>
                                              </m:d>
                                            </m:e>
                                          </m:d>
                                        </m:num>
                                        <m:den>
                                          <m:r>
                                            <m:rPr>
                                              <m:nor/>
                                            </m:rPr>
                                            <w:rPr>
                                              <w:i/>
                                              <w:iCs/>
                                            </w:rPr>
                                            <m:t>Var</m:t>
                                          </m:r>
                                          <m:d>
                                            <m:dPr>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e>
                                          </m:d>
                                        </m:den>
                                      </m:f>
                                    </m:e>
                                  </m:groupChr>
                                </m:e>
                                <m:lim>
                                  <m:sSub>
                                    <m:sSubPr>
                                      <m:ctrlPr>
                                        <w:rPr>
                                          <w:rFonts w:ascii="Cambria Math" w:hAnsi="Cambria Math"/>
                                          <w:i/>
                                          <w:iCs/>
                                        </w:rPr>
                                      </m:ctrlPr>
                                    </m:sSubPr>
                                    <m:e>
                                      <m:r>
                                        <m:rPr>
                                          <m:nor/>
                                        </m:rPr>
                                        <w:rPr>
                                          <w:i/>
                                          <w:iCs/>
                                        </w:rPr>
                                        <m:t>β</m:t>
                                      </m:r>
                                    </m:e>
                                    <m:sub>
                                      <m:r>
                                        <m:rPr>
                                          <m:nor/>
                                        </m:rPr>
                                        <w:rPr>
                                          <w:i/>
                                          <w:iCs/>
                                        </w:rPr>
                                        <m:t>i</m:t>
                                      </m:r>
                                    </m:sub>
                                  </m:sSub>
                                </m:lim>
                              </m:limUpp>
                            </m:e>
                          </m:groupChr>
                        </m:e>
                        <m:lim>
                          <m:eqArr>
                            <m:eqArrPr>
                              <m:ctrlPr>
                                <w:rPr>
                                  <w:rFonts w:ascii="Cambria Math" w:hAnsi="Cambria Math"/>
                                  <w:i/>
                                  <w:iCs/>
                                </w:rPr>
                              </m:ctrlPr>
                            </m:eqArrPr>
                            <m:e>
                              <m:r>
                                <m:rPr>
                                  <m:nor/>
                                </m:rPr>
                                <w:rPr>
                                  <w:i/>
                                  <w:iCs/>
                                </w:rPr>
                                <m:t>Número de unidades</m:t>
                              </m:r>
                            </m:e>
                            <m:e>
                              <m:r>
                                <m:rPr>
                                  <m:nor/>
                                </m:rPr>
                                <w:rPr>
                                  <w:i/>
                                  <w:iCs/>
                                </w:rPr>
                                <m:t>de riesgo sistemático</m:t>
                              </m:r>
                            </m:e>
                          </m:eqAr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limUpp>
                                <m:limUppPr>
                                  <m:ctrlPr>
                                    <w:rPr>
                                      <w:rFonts w:ascii="Cambria Math" w:hAnsi="Cambria Math"/>
                                      <w:i/>
                                      <w:iCs/>
                                      <w:sz w:val="16"/>
                                      <w:szCs w:val="20"/>
                                    </w:rPr>
                                  </m:ctrlPr>
                                </m:limUppPr>
                                <m:e>
                                  <m:groupChr>
                                    <m:groupChrPr>
                                      <m:chr m:val="⏞"/>
                                      <m:pos m:val="top"/>
                                      <m:vertJc m:val="bot"/>
                                      <m:ctrlPr>
                                        <w:rPr>
                                          <w:rFonts w:ascii="Cambria Math" w:hAnsi="Cambria Math"/>
                                          <w:i/>
                                          <w:iCs/>
                                          <w:sz w:val="16"/>
                                          <w:szCs w:val="20"/>
                                        </w:rPr>
                                      </m:ctrlPr>
                                    </m:groupChrPr>
                                    <m:e>
                                      <m:d>
                                        <m:dPr>
                                          <m:ctrlPr>
                                            <w:rPr>
                                              <w:rFonts w:ascii="Cambria Math" w:hAnsi="Cambria Math"/>
                                              <w:i/>
                                              <w:iCs/>
                                            </w:rPr>
                                          </m:ctrlPr>
                                        </m:dPr>
                                        <m:e>
                                          <m:r>
                                            <m:rPr>
                                              <m:nor/>
                                            </m:rPr>
                                            <w:rPr>
                                              <w:i/>
                                              <w:iCs/>
                                            </w:rPr>
                                            <m:t>E</m:t>
                                          </m:r>
                                          <m:d>
                                            <m:dPr>
                                              <m:begChr m:val="["/>
                                              <m:endChr m:val="]"/>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e>
                                          </m:d>
                                          <m:r>
                                            <w:rPr>
                                              <w:rFonts w:ascii="Cambria Math" w:hAnsi="Cambria Math"/>
                                            </w:rPr>
                                            <m:t>-</m:t>
                                          </m:r>
                                          <m:sSub>
                                            <m:sSubPr>
                                              <m:ctrlPr>
                                                <w:rPr>
                                                  <w:rFonts w:ascii="Cambria Math" w:hAnsi="Cambria Math"/>
                                                  <w:i/>
                                                  <w:iCs/>
                                                </w:rPr>
                                              </m:ctrlPr>
                                            </m:sSubPr>
                                            <m:e>
                                              <m:r>
                                                <m:rPr>
                                                  <m:nor/>
                                                </m:rPr>
                                                <w:rPr>
                                                  <w:i/>
                                                  <w:iCs/>
                                                </w:rPr>
                                                <m:t>R</m:t>
                                              </m:r>
                                            </m:e>
                                            <m:sub>
                                              <m:r>
                                                <m:rPr>
                                                  <m:nor/>
                                                </m:rPr>
                                                <w:rPr>
                                                  <w:i/>
                                                  <w:iCs/>
                                                </w:rPr>
                                                <m:t>f</m:t>
                                              </m:r>
                                            </m:sub>
                                          </m:sSub>
                                        </m:e>
                                      </m:d>
                                    </m:e>
                                  </m:groupChr>
                                </m:e>
                                <m:lim>
                                  <m:sSub>
                                    <m:sSubPr>
                                      <m:ctrlPr>
                                        <w:rPr>
                                          <w:rFonts w:ascii="Cambria Math" w:hAnsi="Cambria Math"/>
                                          <w:i/>
                                          <w:iCs/>
                                        </w:rPr>
                                      </m:ctrlPr>
                                    </m:sSubPr>
                                    <m:e>
                                      <m:r>
                                        <m:rPr>
                                          <m:nor/>
                                        </m:rPr>
                                        <w:rPr>
                                          <w:i/>
                                        </w:rPr>
                                        <m:t>λ</m:t>
                                      </m:r>
                                    </m:e>
                                    <m:sub>
                                      <m:r>
                                        <m:rPr>
                                          <m:nor/>
                                        </m:rPr>
                                        <w:rPr>
                                          <w:i/>
                                          <w:iCs/>
                                        </w:rPr>
                                        <m:t>M</m:t>
                                      </m:r>
                                    </m:sub>
                                  </m:sSub>
                                </m:lim>
                              </m:limUpp>
                            </m:e>
                          </m:groupChr>
                        </m:e>
                        <m:lim>
                          <m:eqArr>
                            <m:eqArrPr>
                              <m:ctrlPr>
                                <w:rPr>
                                  <w:rFonts w:ascii="Cambria Math" w:hAnsi="Cambria Math"/>
                                  <w:i/>
                                  <w:iCs/>
                                </w:rPr>
                              </m:ctrlPr>
                            </m:eqArrPr>
                            <m:e>
                              <m:r>
                                <m:rPr>
                                  <m:nor/>
                                </m:rPr>
                                <w:rPr>
                                  <w:i/>
                                  <w:iCs/>
                                </w:rPr>
                                <m:t>Prima de riesgo</m:t>
                              </m:r>
                            </m:e>
                            <m:e>
                              <m:r>
                                <m:rPr>
                                  <m:nor/>
                                </m:rPr>
                                <w:rPr>
                                  <w:i/>
                                  <w:iCs/>
                                </w:rPr>
                                <m:t>de mercado</m:t>
                              </m:r>
                            </m:e>
                          </m:eqArr>
                        </m:lim>
                      </m:limLow>
                    </m:e>
                  </m:mr>
                  <m:mr>
                    <m:e>
                      <m:r>
                        <w:rPr>
                          <w:rFonts w:ascii="Cambria Math" w:hAnsi="Cambria Math"/>
                        </w:rPr>
                        <m:t>⇓</m:t>
                      </m:r>
                    </m:e>
                  </m:mr>
                  <m:mr>
                    <m:e>
                      <m:m>
                        <m:mPr>
                          <m:mcs>
                            <m:mc>
                              <m:mcPr>
                                <m:count m:val="1"/>
                                <m:mcJc m:val="center"/>
                              </m:mcPr>
                            </m:mc>
                          </m:mcs>
                          <m:ctrlPr>
                            <w:rPr>
                              <w:rFonts w:ascii="Cambria Math" w:hAnsi="Cambria Math"/>
                              <w:i/>
                              <w:iCs/>
                            </w:rPr>
                          </m:ctrlPr>
                        </m:mPr>
                        <m:mr>
                          <m:e>
                            <m:r>
                              <m:rPr>
                                <m:nor/>
                              </m:rPr>
                              <w:rPr>
                                <w:i/>
                                <w:iCs/>
                              </w:rPr>
                              <m:t>E</m:t>
                            </m:r>
                            <m:d>
                              <m:dPr>
                                <m:begChr m:val="["/>
                                <m:endChr m:val="]"/>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p</m:t>
                                    </m:r>
                                  </m:sub>
                                </m:sSub>
                              </m:e>
                            </m:d>
                            <m:r>
                              <w:rPr>
                                <w:rFonts w:ascii="Cambria Math" w:hAnsi="Cambria Math"/>
                              </w:rPr>
                              <m:t>=</m:t>
                            </m:r>
                            <m:sSub>
                              <m:sSubPr>
                                <m:ctrlPr>
                                  <w:rPr>
                                    <w:rFonts w:ascii="Cambria Math" w:hAnsi="Cambria Math"/>
                                    <w:i/>
                                    <w:iCs/>
                                  </w:rPr>
                                </m:ctrlPr>
                              </m:sSubPr>
                              <m:e>
                                <m:r>
                                  <m:rPr>
                                    <m:nor/>
                                  </m:rPr>
                                  <w:rPr>
                                    <w:i/>
                                    <w:iCs/>
                                  </w:rPr>
                                  <m:t>R</m:t>
                                </m:r>
                              </m:e>
                              <m:sub>
                                <m:r>
                                  <m:rPr>
                                    <m:nor/>
                                  </m:rPr>
                                  <w:rPr>
                                    <w:i/>
                                    <w:iCs/>
                                  </w:rPr>
                                  <m:t>f</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rPr>
                                      <m:t>σ</m:t>
                                    </m:r>
                                  </m:e>
                                  <m:sub>
                                    <m:r>
                                      <m:rPr>
                                        <m:nor/>
                                      </m:rPr>
                                      <w:rPr>
                                        <w:i/>
                                      </w:rPr>
                                      <m:t>p</m:t>
                                    </m:r>
                                  </m:sub>
                                </m:sSub>
                                <m:r>
                                  <w:rPr>
                                    <w:rFonts w:ascii="Cambria Math" w:hAnsi="Cambria Math"/>
                                  </w:rPr>
                                  <m:t>∙</m:t>
                                </m:r>
                                <m:sSub>
                                  <m:sSubPr>
                                    <m:ctrlPr>
                                      <w:rPr>
                                        <w:rFonts w:ascii="Cambria Math" w:hAnsi="Cambria Math"/>
                                        <w:i/>
                                        <w:iCs/>
                                      </w:rPr>
                                    </m:ctrlPr>
                                  </m:sSubPr>
                                  <m:e>
                                    <m:r>
                                      <m:rPr>
                                        <m:nor/>
                                      </m:rPr>
                                      <w:rPr>
                                        <w:i/>
                                      </w:rPr>
                                      <m:t>σ</m:t>
                                    </m:r>
                                  </m:e>
                                  <m:sub>
                                    <m:r>
                                      <m:rPr>
                                        <m:nor/>
                                      </m:rPr>
                                      <w:rPr>
                                        <w:i/>
                                        <w:iCs/>
                                      </w:rPr>
                                      <m:t>M</m:t>
                                    </m:r>
                                  </m:sub>
                                </m:sSub>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rPr>
                                              <m:t>ρ</m:t>
                                            </m:r>
                                          </m:e>
                                          <m:sub>
                                            <m:r>
                                              <m:rPr>
                                                <m:nor/>
                                              </m:rPr>
                                              <w:rPr>
                                                <w:i/>
                                              </w:rPr>
                                              <m:t>p,</m:t>
                                            </m:r>
                                            <m:r>
                                              <m:rPr>
                                                <m:nor/>
                                              </m:rPr>
                                              <w:rPr>
                                                <w:i/>
                                                <w:iCs/>
                                              </w:rPr>
                                              <m:t>M</m:t>
                                            </m:r>
                                          </m:sub>
                                        </m:sSub>
                                      </m:e>
                                    </m:groupChr>
                                  </m:e>
                                  <m:lim>
                                    <m:r>
                                      <w:rPr>
                                        <w:rFonts w:ascii="Cambria Math" w:hAnsi="Cambria Math"/>
                                      </w:rPr>
                                      <m:t>=</m:t>
                                    </m:r>
                                    <m:r>
                                      <m:rPr>
                                        <m:nor/>
                                      </m:rPr>
                                      <w:rPr>
                                        <w:i/>
                                      </w:rPr>
                                      <m:t>1</m:t>
                                    </m:r>
                                  </m:lim>
                                </m:limUpp>
                              </m:num>
                              <m:den>
                                <m:sSubSup>
                                  <m:sSubSupPr>
                                    <m:ctrlPr>
                                      <w:rPr>
                                        <w:rFonts w:ascii="Cambria Math" w:hAnsi="Cambria Math"/>
                                        <w:i/>
                                        <w:iCs/>
                                      </w:rPr>
                                    </m:ctrlPr>
                                  </m:sSubSupPr>
                                  <m:e>
                                    <m:r>
                                      <m:rPr>
                                        <m:nor/>
                                      </m:rPr>
                                      <w:rPr>
                                        <w:i/>
                                      </w:rPr>
                                      <m:t>σ</m:t>
                                    </m:r>
                                  </m:e>
                                  <m:sub>
                                    <m:r>
                                      <m:rPr>
                                        <m:nor/>
                                      </m:rPr>
                                      <w:rPr>
                                        <w:i/>
                                        <w:iCs/>
                                      </w:rPr>
                                      <m:t>M</m:t>
                                    </m:r>
                                  </m:sub>
                                  <m:sup>
                                    <m:r>
                                      <m:rPr>
                                        <m:nor/>
                                      </m:rPr>
                                      <w:rPr>
                                        <w:i/>
                                      </w:rPr>
                                      <m:t>2</m:t>
                                    </m:r>
                                  </m:sup>
                                </m:sSubSup>
                              </m:den>
                            </m:f>
                            <m:r>
                              <w:rPr>
                                <w:rFonts w:ascii="Cambria Math" w:hAnsi="Cambria Math"/>
                              </w:rPr>
                              <m:t>∙</m:t>
                            </m:r>
                            <m:d>
                              <m:dPr>
                                <m:ctrlPr>
                                  <w:rPr>
                                    <w:rFonts w:ascii="Cambria Math" w:hAnsi="Cambria Math"/>
                                    <w:i/>
                                    <w:iCs/>
                                  </w:rPr>
                                </m:ctrlPr>
                              </m:dPr>
                              <m:e>
                                <m:r>
                                  <m:rPr>
                                    <m:nor/>
                                  </m:rPr>
                                  <w:rPr>
                                    <w:i/>
                                    <w:iCs/>
                                  </w:rPr>
                                  <m:t>E</m:t>
                                </m:r>
                                <m:d>
                                  <m:dPr>
                                    <m:begChr m:val="["/>
                                    <m:endChr m:val="]"/>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e>
                                </m:d>
                                <m:r>
                                  <w:rPr>
                                    <w:rFonts w:ascii="Cambria Math" w:hAnsi="Cambria Math"/>
                                  </w:rPr>
                                  <m:t>-</m:t>
                                </m:r>
                                <m:sSub>
                                  <m:sSubPr>
                                    <m:ctrlPr>
                                      <w:rPr>
                                        <w:rFonts w:ascii="Cambria Math" w:hAnsi="Cambria Math"/>
                                        <w:i/>
                                        <w:iCs/>
                                      </w:rPr>
                                    </m:ctrlPr>
                                  </m:sSubPr>
                                  <m:e>
                                    <m:r>
                                      <m:rPr>
                                        <m:nor/>
                                      </m:rPr>
                                      <w:rPr>
                                        <w:i/>
                                        <w:iCs/>
                                      </w:rPr>
                                      <m:t>R</m:t>
                                    </m:r>
                                  </m:e>
                                  <m:sub>
                                    <m:r>
                                      <m:rPr>
                                        <m:nor/>
                                      </m:rPr>
                                      <w:rPr>
                                        <w:i/>
                                        <w:iCs/>
                                      </w:rPr>
                                      <m:t>f</m:t>
                                    </m:r>
                                  </m:sub>
                                </m:sSub>
                              </m:e>
                            </m:d>
                          </m:e>
                        </m:mr>
                        <m:mr>
                          <m:e>
                            <m:r>
                              <w:rPr>
                                <w:rFonts w:ascii="Cambria Math" w:hAnsi="Cambria Math"/>
                              </w:rPr>
                              <m:t>⇓</m:t>
                            </m:r>
                          </m:e>
                        </m:mr>
                        <m:mr>
                          <m:e>
                            <m:r>
                              <m:rPr>
                                <m:nor/>
                              </m:rPr>
                              <w:rPr>
                                <w:i/>
                                <w:iCs/>
                              </w:rPr>
                              <m:t>E</m:t>
                            </m:r>
                            <m:d>
                              <m:dPr>
                                <m:begChr m:val="["/>
                                <m:endChr m:val="]"/>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p</m:t>
                                    </m:r>
                                  </m:sub>
                                </m:sSub>
                              </m:e>
                            </m:d>
                            <m:r>
                              <w:rPr>
                                <w:rFonts w:ascii="Cambria Math" w:hAnsi="Cambria Math"/>
                              </w:rPr>
                              <m:t>=</m:t>
                            </m:r>
                            <m:sSub>
                              <m:sSubPr>
                                <m:ctrlPr>
                                  <w:rPr>
                                    <w:rFonts w:ascii="Cambria Math" w:hAnsi="Cambria Math"/>
                                    <w:i/>
                                    <w:iCs/>
                                  </w:rPr>
                                </m:ctrlPr>
                              </m:sSubPr>
                              <m:e>
                                <m:r>
                                  <m:rPr>
                                    <m:nor/>
                                  </m:rPr>
                                  <w:rPr>
                                    <w:i/>
                                    <w:iCs/>
                                  </w:rPr>
                                  <m:t>R</m:t>
                                </m:r>
                              </m:e>
                              <m:sub>
                                <m:r>
                                  <m:rPr>
                                    <m:nor/>
                                  </m:rPr>
                                  <w:rPr>
                                    <w:i/>
                                    <w:iCs/>
                                  </w:rPr>
                                  <m:t>f</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rPr>
                                      <m:t>σ</m:t>
                                    </m:r>
                                  </m:e>
                                  <m:sub>
                                    <m:r>
                                      <m:rPr>
                                        <m:nor/>
                                      </m:rPr>
                                      <w:rPr>
                                        <w:i/>
                                      </w:rPr>
                                      <m:t>p</m:t>
                                    </m:r>
                                  </m:sub>
                                </m:sSub>
                              </m:num>
                              <m:den>
                                <m:sSub>
                                  <m:sSubPr>
                                    <m:ctrlPr>
                                      <w:rPr>
                                        <w:rFonts w:ascii="Cambria Math" w:hAnsi="Cambria Math"/>
                                        <w:i/>
                                        <w:iCs/>
                                      </w:rPr>
                                    </m:ctrlPr>
                                  </m:sSubPr>
                                  <m:e>
                                    <m:r>
                                      <m:rPr>
                                        <m:nor/>
                                      </m:rPr>
                                      <w:rPr>
                                        <w:i/>
                                      </w:rPr>
                                      <m:t>σ</m:t>
                                    </m:r>
                                  </m:e>
                                  <m:sub>
                                    <m:r>
                                      <m:rPr>
                                        <m:nor/>
                                      </m:rPr>
                                      <w:rPr>
                                        <w:i/>
                                        <w:iCs/>
                                      </w:rPr>
                                      <m:t>M</m:t>
                                    </m:r>
                                  </m:sub>
                                </m:sSub>
                              </m:den>
                            </m:f>
                            <m:r>
                              <w:rPr>
                                <w:rFonts w:ascii="Cambria Math" w:hAnsi="Cambria Math"/>
                              </w:rPr>
                              <m:t>∙</m:t>
                            </m:r>
                            <m:d>
                              <m:dPr>
                                <m:ctrlPr>
                                  <w:rPr>
                                    <w:rFonts w:ascii="Cambria Math" w:hAnsi="Cambria Math"/>
                                    <w:i/>
                                    <w:iCs/>
                                  </w:rPr>
                                </m:ctrlPr>
                              </m:dPr>
                              <m:e>
                                <m:r>
                                  <m:rPr>
                                    <m:nor/>
                                  </m:rPr>
                                  <w:rPr>
                                    <w:i/>
                                    <w:iCs/>
                                  </w:rPr>
                                  <m:t>E</m:t>
                                </m:r>
                                <m:d>
                                  <m:dPr>
                                    <m:begChr m:val="["/>
                                    <m:endChr m:val="]"/>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e>
                                </m:d>
                                <m:r>
                                  <w:rPr>
                                    <w:rFonts w:ascii="Cambria Math" w:hAnsi="Cambria Math"/>
                                  </w:rPr>
                                  <m:t>-</m:t>
                                </m:r>
                                <m:sSub>
                                  <m:sSubPr>
                                    <m:ctrlPr>
                                      <w:rPr>
                                        <w:rFonts w:ascii="Cambria Math" w:hAnsi="Cambria Math"/>
                                        <w:i/>
                                        <w:iCs/>
                                      </w:rPr>
                                    </m:ctrlPr>
                                  </m:sSubPr>
                                  <m:e>
                                    <m:r>
                                      <m:rPr>
                                        <m:nor/>
                                      </m:rPr>
                                      <w:rPr>
                                        <w:i/>
                                        <w:iCs/>
                                      </w:rPr>
                                      <m:t>R</m:t>
                                    </m:r>
                                  </m:e>
                                  <m:sub>
                                    <m:r>
                                      <m:rPr>
                                        <m:nor/>
                                      </m:rPr>
                                      <w:rPr>
                                        <w:i/>
                                        <w:iCs/>
                                      </w:rPr>
                                      <m:t>f</m:t>
                                    </m:r>
                                  </m:sub>
                                </m:sSub>
                              </m:e>
                            </m:d>
                          </m:e>
                        </m:mr>
                      </m:m>
                    </m:e>
                  </m:mr>
                </m:m>
              </m:oMath>
            </m:oMathPara>
          </w:p>
        </w:tc>
      </w:tr>
      <w:tr w:rsidR="00F62702" w:rsidRPr="00BF0F65" w14:paraId="72004939" w14:textId="77777777" w:rsidTr="00E82D79">
        <w:tc>
          <w:tcPr>
            <w:tcW w:w="9628" w:type="dxa"/>
            <w:gridSpan w:val="2"/>
            <w:tcBorders>
              <w:top w:val="single" w:sz="12" w:space="0" w:color="auto"/>
              <w:bottom w:val="single" w:sz="12" w:space="0" w:color="auto"/>
            </w:tcBorders>
            <w:vAlign w:val="center"/>
          </w:tcPr>
          <w:p w14:paraId="3B84D586" w14:textId="4B558406" w:rsidR="00F62702" w:rsidRDefault="00F62702" w:rsidP="00BF0F65">
            <w:pPr>
              <w:pStyle w:val="Nivel1SM"/>
              <w:keepNext/>
              <w:numPr>
                <w:ilvl w:val="0"/>
                <w:numId w:val="0"/>
              </w:numPr>
              <w:spacing w:before="0" w:after="0"/>
              <w:jc w:val="center"/>
              <w:rPr>
                <w:rFonts w:eastAsia="Times New Roman" w:cs="Arial"/>
              </w:rPr>
            </w:pPr>
            <w:r>
              <w:rPr>
                <w:noProof/>
              </w:rPr>
              <w:drawing>
                <wp:inline distT="0" distB="0" distL="0" distR="0" wp14:anchorId="0D078B08" wp14:editId="5F72CE34">
                  <wp:extent cx="1621661" cy="1440000"/>
                  <wp:effectExtent l="0" t="0" r="0" b="8255"/>
                  <wp:docPr id="1763909628" name="Imagen 1" descr="The Capital Asset Pricing Model (Chapter 8) - ppt video onlin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apital Asset Pricing Model (Chapter 8) - ppt video online download"/>
                          <pic:cNvPicPr>
                            <a:picLocks noChangeAspect="1" noChangeArrowheads="1"/>
                          </pic:cNvPicPr>
                        </pic:nvPicPr>
                        <pic:blipFill rotWithShape="1">
                          <a:blip r:embed="rId25">
                            <a:extLst>
                              <a:ext uri="{28A0092B-C50C-407E-A947-70E740481C1C}">
                                <a14:useLocalDpi xmlns:a14="http://schemas.microsoft.com/office/drawing/2010/main" val="0"/>
                              </a:ext>
                            </a:extLst>
                          </a:blip>
                          <a:srcRect t="27390" r="49523" b="12851"/>
                          <a:stretch/>
                        </pic:blipFill>
                        <pic:spPr bwMode="auto">
                          <a:xfrm>
                            <a:off x="0" y="0"/>
                            <a:ext cx="1621661" cy="1440000"/>
                          </a:xfrm>
                          <a:prstGeom prst="rect">
                            <a:avLst/>
                          </a:prstGeom>
                          <a:noFill/>
                          <a:ln>
                            <a:noFill/>
                          </a:ln>
                          <a:extLst>
                            <a:ext uri="{53640926-AAD7-44D8-BBD7-CCE9431645EC}">
                              <a14:shadowObscured xmlns:a14="http://schemas.microsoft.com/office/drawing/2010/main"/>
                            </a:ext>
                          </a:extLst>
                        </pic:spPr>
                      </pic:pic>
                    </a:graphicData>
                  </a:graphic>
                </wp:inline>
              </w:drawing>
            </w:r>
            <w:r w:rsidR="00A15750">
              <w:rPr>
                <w:rFonts w:eastAsia="Times New Roman" w:cs="Arial"/>
              </w:rPr>
              <w:t xml:space="preserve">                                         </w:t>
            </w:r>
            <w:r w:rsidR="00A15750" w:rsidRPr="00A15750">
              <w:rPr>
                <w:rFonts w:eastAsia="Times New Roman" w:cs="Arial"/>
                <w:noProof/>
              </w:rPr>
              <w:drawing>
                <wp:inline distT="0" distB="0" distL="0" distR="0" wp14:anchorId="21D32C13" wp14:editId="1CC6BA9A">
                  <wp:extent cx="1669478" cy="1440000"/>
                  <wp:effectExtent l="0" t="0" r="6985" b="8255"/>
                  <wp:docPr id="1567387977" name="Imagen 1567387977" descr="The Capital Asset Pricing Model (Chapter 8) - ppt video onlin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apital Asset Pricing Model (Chapter 8) - ppt video online download"/>
                          <pic:cNvPicPr>
                            <a:picLocks noChangeAspect="1" noChangeArrowheads="1"/>
                          </pic:cNvPicPr>
                        </pic:nvPicPr>
                        <pic:blipFill rotWithShape="1">
                          <a:blip r:embed="rId25">
                            <a:extLst>
                              <a:ext uri="{28A0092B-C50C-407E-A947-70E740481C1C}">
                                <a14:useLocalDpi xmlns:a14="http://schemas.microsoft.com/office/drawing/2010/main" val="0"/>
                              </a:ext>
                            </a:extLst>
                          </a:blip>
                          <a:srcRect l="48035" t="27390" b="12851"/>
                          <a:stretch/>
                        </pic:blipFill>
                        <pic:spPr bwMode="auto">
                          <a:xfrm>
                            <a:off x="0" y="0"/>
                            <a:ext cx="1669478" cy="1440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64CEE3" w14:textId="1BDB93A2" w:rsidR="00F830FD" w:rsidRDefault="00F830FD" w:rsidP="007350CB">
      <w:pPr>
        <w:pStyle w:val="Ttulo6"/>
      </w:pPr>
      <w:bookmarkStart w:id="64" w:name="_Toc144911971"/>
      <w:r>
        <w:t>Evidencia empírica</w:t>
      </w:r>
      <w:bookmarkEnd w:id="64"/>
    </w:p>
    <w:p w14:paraId="268CF553" w14:textId="77777777" w:rsidR="00F830FD" w:rsidRDefault="00F830FD" w:rsidP="001675F6">
      <w:pPr>
        <w:pStyle w:val="Nivel1SM"/>
        <w:keepNext/>
        <w:spacing w:before="0" w:after="0"/>
      </w:pPr>
      <w:r>
        <w:t>Existen numerosísimos trabajos que tratan de evaluar si las predicciones del CAPM se cumplen en realidad. Hay mucha controversia al respecto y las posiciones son extremas:</w:t>
      </w:r>
    </w:p>
    <w:p w14:paraId="5181814E" w14:textId="776B5CED" w:rsidR="00F830FD" w:rsidRDefault="00F830FD" w:rsidP="00F830FD">
      <w:pPr>
        <w:pStyle w:val="Nivel2SM"/>
      </w:pPr>
      <w:r>
        <w:t>Un grupo de autores (cada vez menos numeroso)</w:t>
      </w:r>
      <w:r w:rsidR="00A779CA">
        <w:t>,</w:t>
      </w:r>
      <w:r>
        <w:t xml:space="preserve"> como </w:t>
      </w:r>
      <w:proofErr w:type="spellStart"/>
      <w:r w:rsidRPr="00F830FD">
        <w:rPr>
          <w:smallCaps/>
        </w:rPr>
        <w:t>Jagannathan</w:t>
      </w:r>
      <w:proofErr w:type="spellEnd"/>
      <w:r>
        <w:t xml:space="preserve"> y </w:t>
      </w:r>
      <w:r w:rsidRPr="00F830FD">
        <w:rPr>
          <w:smallCaps/>
        </w:rPr>
        <w:t>Wang</w:t>
      </w:r>
      <w:r>
        <w:t xml:space="preserve"> (1999),</w:t>
      </w:r>
      <w:r w:rsidR="00A779CA">
        <w:t xml:space="preserve"> mantiene</w:t>
      </w:r>
      <w:r>
        <w:t xml:space="preserve"> que </w:t>
      </w:r>
      <w:r w:rsidRPr="00F830FD">
        <w:rPr>
          <w:i/>
          <w:iCs/>
        </w:rPr>
        <w:t>“el CAPM está vivo y bien”</w:t>
      </w:r>
      <w:r>
        <w:t>.</w:t>
      </w:r>
    </w:p>
    <w:p w14:paraId="5DC1D783" w14:textId="78F7B256" w:rsidR="00F830FD" w:rsidRDefault="00F830FD" w:rsidP="00F830FD">
      <w:pPr>
        <w:pStyle w:val="Nivel2SM"/>
        <w:keepNext/>
        <w:spacing w:after="0"/>
      </w:pPr>
      <w:r>
        <w:t xml:space="preserve">Por otro lado, otros autores como </w:t>
      </w:r>
      <w:r w:rsidRPr="00F830FD">
        <w:rPr>
          <w:smallCaps/>
        </w:rPr>
        <w:t>Fama</w:t>
      </w:r>
      <w:r>
        <w:t xml:space="preserve"> y </w:t>
      </w:r>
      <w:r w:rsidRPr="00F830FD">
        <w:rPr>
          <w:smallCaps/>
        </w:rPr>
        <w:t>French</w:t>
      </w:r>
      <w:r>
        <w:t xml:space="preserve"> (2003) dicen que </w:t>
      </w:r>
      <w:r w:rsidRPr="00F830FD">
        <w:rPr>
          <w:i/>
          <w:iCs/>
        </w:rPr>
        <w:t>“los problemas empíricos del CAPM probablemente invalidan su utilización en aplicaciones prácticas”</w:t>
      </w:r>
      <w:r>
        <w:t>.</w:t>
      </w:r>
    </w:p>
    <w:p w14:paraId="34A6A21E" w14:textId="77777777" w:rsidR="00CC0871" w:rsidRDefault="00F830FD" w:rsidP="00CC0871">
      <w:pPr>
        <w:pStyle w:val="Nivel3SM"/>
        <w:keepNext/>
      </w:pPr>
      <w:r>
        <w:rPr>
          <w:smallCaps/>
        </w:rPr>
        <w:t>Pablo Fernández</w:t>
      </w:r>
      <w:r>
        <w:t xml:space="preserve"> está con el segundo grupo, ya que</w:t>
      </w:r>
      <w:r w:rsidR="00CC0871">
        <w:t>:</w:t>
      </w:r>
    </w:p>
    <w:p w14:paraId="74F18EAC" w14:textId="77777777" w:rsidR="00CC0871" w:rsidRDefault="00CC0871" w:rsidP="00CC0871">
      <w:pPr>
        <w:pStyle w:val="Nivel4"/>
        <w:ind w:left="1474"/>
      </w:pPr>
      <w:r>
        <w:t>C</w:t>
      </w:r>
      <w:r w:rsidR="00F830FD">
        <w:t>onsidera que se pueden cometer errores enormes al utilizar betas calculadas con datos históricos.</w:t>
      </w:r>
    </w:p>
    <w:p w14:paraId="57D8B0D7" w14:textId="2309CC49" w:rsidR="00F830FD" w:rsidRDefault="00F830FD" w:rsidP="00CC0871">
      <w:pPr>
        <w:pStyle w:val="Nivel4"/>
        <w:ind w:left="1474"/>
      </w:pPr>
      <w:r>
        <w:t>Tampoco tiene sentido considerar</w:t>
      </w:r>
      <m:oMath>
        <m:r>
          <m:rPr>
            <m:nor/>
          </m:rPr>
          <w:rPr>
            <w:rFonts w:ascii="Cambria Math"/>
          </w:rPr>
          <m:t xml:space="preserve"> </m:t>
        </m:r>
        <m:r>
          <m:rPr>
            <m:nor/>
          </m:rPr>
          <w:rPr>
            <w:i/>
            <w:iCs/>
          </w:rPr>
          <m:t>E</m:t>
        </m:r>
        <m:d>
          <m:dPr>
            <m:begChr m:val="["/>
            <m:endChr m:val="]"/>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e>
        </m:d>
        <m:r>
          <w:rPr>
            <w:rFonts w:ascii="Cambria Math" w:hAnsi="Cambria Math"/>
          </w:rPr>
          <m:t>-</m:t>
        </m:r>
        <m:sSub>
          <m:sSubPr>
            <m:ctrlPr>
              <w:rPr>
                <w:rFonts w:ascii="Cambria Math" w:hAnsi="Cambria Math"/>
                <w:i/>
                <w:iCs/>
              </w:rPr>
            </m:ctrlPr>
          </m:sSubPr>
          <m:e>
            <m:r>
              <m:rPr>
                <m:nor/>
              </m:rPr>
              <w:rPr>
                <w:i/>
                <w:iCs/>
              </w:rPr>
              <m:t>R</m:t>
            </m:r>
          </m:e>
          <m:sub>
            <m:r>
              <m:rPr>
                <m:nor/>
              </m:rPr>
              <w:rPr>
                <w:i/>
                <w:iCs/>
              </w:rPr>
              <m:t>f</m:t>
            </m:r>
          </m:sub>
        </m:sSub>
      </m:oMath>
      <w:r>
        <w:t xml:space="preserve"> (y mucho menos a la diferencia histórica entre la rentabilidad del mercado y la de la renta fija) como la prima de riesgo del mercado.</w:t>
      </w:r>
    </w:p>
    <w:p w14:paraId="51BB6094" w14:textId="1E3AFBC0" w:rsidR="00F830FD" w:rsidRPr="00F830FD" w:rsidRDefault="00F830FD" w:rsidP="00F830FD">
      <w:pPr>
        <w:pStyle w:val="Nivel3SM"/>
      </w:pPr>
      <w:proofErr w:type="spellStart"/>
      <w:r w:rsidRPr="00F830FD">
        <w:rPr>
          <w:smallCaps/>
        </w:rPr>
        <w:t>Bartholdy</w:t>
      </w:r>
      <w:proofErr w:type="spellEnd"/>
      <w:r>
        <w:t xml:space="preserve"> y </w:t>
      </w:r>
      <w:proofErr w:type="spellStart"/>
      <w:r w:rsidRPr="00F830FD">
        <w:rPr>
          <w:smallCaps/>
        </w:rPr>
        <w:t>Peare</w:t>
      </w:r>
      <w:proofErr w:type="spellEnd"/>
      <w:r>
        <w:t xml:space="preserve"> (2002) dicen que </w:t>
      </w:r>
      <w:r w:rsidRPr="00F830FD">
        <w:rPr>
          <w:i/>
          <w:iCs/>
        </w:rPr>
        <w:t>“puede ser apropiado declarar muerta a la beta”</w:t>
      </w:r>
      <w:r>
        <w:t>.</w:t>
      </w:r>
    </w:p>
    <w:p w14:paraId="4B65D8A7" w14:textId="3D4DEC08" w:rsidR="007350CB" w:rsidRDefault="007350CB" w:rsidP="007350CB">
      <w:pPr>
        <w:pStyle w:val="Ttulo6"/>
      </w:pPr>
      <w:bookmarkStart w:id="65" w:name="_Toc144911972"/>
      <w:r>
        <w:t>Valoración</w:t>
      </w:r>
      <w:bookmarkEnd w:id="65"/>
    </w:p>
    <w:p w14:paraId="1D354B19" w14:textId="77777777" w:rsidR="007350CB" w:rsidRDefault="007350CB" w:rsidP="001675F6">
      <w:pPr>
        <w:pStyle w:val="Nivel1SM"/>
        <w:keepNext/>
        <w:spacing w:before="0" w:after="0"/>
      </w:pPr>
      <w:r>
        <w:t xml:space="preserve">Las </w:t>
      </w:r>
      <w:r w:rsidRPr="00081EC4">
        <w:rPr>
          <w:b/>
          <w:bCs/>
        </w:rPr>
        <w:t>aplicaciones</w:t>
      </w:r>
      <w:r>
        <w:t xml:space="preserve"> del método de valoración de activos son numerosas:</w:t>
      </w:r>
    </w:p>
    <w:p w14:paraId="208EBC0D" w14:textId="77777777" w:rsidR="007350CB" w:rsidRPr="005C632B" w:rsidRDefault="007350CB" w:rsidP="007A421F">
      <w:pPr>
        <w:pStyle w:val="Nivel2SM"/>
        <w:rPr>
          <w:spacing w:val="-2"/>
        </w:rPr>
      </w:pPr>
      <w:r w:rsidRPr="005C632B">
        <w:rPr>
          <w:spacing w:val="-2"/>
        </w:rPr>
        <w:t xml:space="preserve">A través de la SML podemos calcular la rentabilidad que debería prometer un activo en función de su riesgo sistemático (esto es, en función de su </w:t>
      </w:r>
      <w:r w:rsidRPr="005C632B">
        <w:rPr>
          <w:i/>
          <w:iCs/>
          <w:spacing w:val="-2"/>
        </w:rPr>
        <w:t>β</w:t>
      </w:r>
      <w:r w:rsidRPr="005C632B">
        <w:rPr>
          <w:spacing w:val="-2"/>
        </w:rPr>
        <w:t>). Una vez calculado, podemos utilizar para descontar flujos y dividendos y así calcular el precio teórico de las acciones o el proyecto.</w:t>
      </w:r>
    </w:p>
    <w:p w14:paraId="7B4E1337" w14:textId="1F9ADBA2" w:rsidR="00290E36" w:rsidRDefault="007350CB" w:rsidP="007A421F">
      <w:pPr>
        <w:pStyle w:val="Nivel1SM"/>
        <w:keepNext/>
        <w:spacing w:after="0"/>
      </w:pPr>
      <w:r>
        <w:lastRenderedPageBreak/>
        <w:t xml:space="preserve">Sin embargo, el modelo también presenta importantes </w:t>
      </w:r>
      <w:r w:rsidRPr="00081EC4">
        <w:rPr>
          <w:b/>
          <w:bCs/>
        </w:rPr>
        <w:t>limitaciones</w:t>
      </w:r>
      <w:r w:rsidR="00290E36">
        <w:t>:</w:t>
      </w:r>
    </w:p>
    <w:p w14:paraId="0B375AB4" w14:textId="07A06EAE" w:rsidR="00986799" w:rsidRDefault="00986799" w:rsidP="00986799">
      <w:pPr>
        <w:pStyle w:val="Nivel2SM"/>
        <w:keepNext/>
        <w:spacing w:after="0"/>
      </w:pPr>
      <w:r>
        <w:t xml:space="preserve">Una de las principales limitaciones del modelo CAPM es la </w:t>
      </w:r>
      <w:r w:rsidRPr="00A779CA">
        <w:rPr>
          <w:i/>
          <w:iCs/>
          <w:u w:val="single"/>
        </w:rPr>
        <w:t>dificultad de estimar las betas y la cartera de mercado</w:t>
      </w:r>
      <w:r>
        <w:t>. Algunas de las dificultades de estimación del modelo CAPM son:</w:t>
      </w:r>
    </w:p>
    <w:p w14:paraId="659F7318" w14:textId="12F1D012" w:rsidR="00986799" w:rsidRDefault="00986799" w:rsidP="00986799">
      <w:pPr>
        <w:pStyle w:val="Nivel3SM"/>
      </w:pPr>
      <w:r w:rsidRPr="00A779CA">
        <w:rPr>
          <w:i/>
          <w:iCs/>
        </w:rPr>
        <w:t>Betas</w:t>
      </w:r>
      <w:r>
        <w:t>: Las betas no son observables. Pese a que pueden ser estimadas utilizando diversos métodos como la regresión lineal o el uso de datos históricos</w:t>
      </w:r>
      <w:r>
        <w:rPr>
          <w:rStyle w:val="Refdenotaalpie"/>
        </w:rPr>
        <w:footnoteReference w:id="22"/>
      </w:r>
      <w:r>
        <w:t>, éstos pueden ser inexactos y dar lugar a estimaciones imprecisas de la beta.</w:t>
      </w:r>
    </w:p>
    <w:p w14:paraId="310F5967" w14:textId="77777777" w:rsidR="00986799" w:rsidRDefault="00986799" w:rsidP="00986799">
      <w:pPr>
        <w:pStyle w:val="Nivel3SM"/>
      </w:pPr>
      <w:r w:rsidRPr="00A779CA">
        <w:rPr>
          <w:i/>
          <w:iCs/>
        </w:rPr>
        <w:t>Cartera de mercado</w:t>
      </w:r>
      <w:r>
        <w:t>: La cartera de mercado es el conjunto de todos los activos financieros disponibles en el mercado. Esta cartera es difícil de estimar ya que incluye todos los activos financieros, incluyendo acciones, bonos, instrumentos derivados y más. Además, la composición de la cartera de mercado puede cambiar constantemente con el tiempo.</w:t>
      </w:r>
    </w:p>
    <w:p w14:paraId="2E6C20F5" w14:textId="77777777" w:rsidR="00CC0871" w:rsidRDefault="00CC0871" w:rsidP="00CB6104">
      <w:pPr>
        <w:pStyle w:val="Notaalopositor"/>
        <w:spacing w:after="40"/>
        <w:rPr>
          <w:i/>
          <w:iCs/>
        </w:rPr>
      </w:pPr>
      <w:r w:rsidRPr="00177863">
        <w:rPr>
          <w:i/>
          <w:iCs/>
        </w:rPr>
        <w:t>La crítica de Roll es una idea económica que sugiere que es imposible crear u observar una cartera de mercado verdaderamente diversificada. Esta es una idea importante, porque una cartera verdaderamente diversificada es una de las variables clave del Modelo de Precios de Activos de Capital (CAPM), que es una herramienta muy utilizada entre los analistas de mercado.</w:t>
      </w:r>
    </w:p>
    <w:p w14:paraId="05391546" w14:textId="77777777" w:rsidR="00CC0871" w:rsidRDefault="00CC0871" w:rsidP="00CB6104">
      <w:pPr>
        <w:pStyle w:val="Notaalopositor"/>
        <w:spacing w:after="40"/>
        <w:rPr>
          <w:i/>
          <w:iCs/>
        </w:rPr>
      </w:pPr>
      <w:r>
        <w:rPr>
          <w:i/>
          <w:iCs/>
        </w:rPr>
        <w:t xml:space="preserve">Durante muchos años fue imposible contrastar empíricamente modelos de valoración de activos. Tal como señalaba </w:t>
      </w:r>
      <w:r>
        <w:rPr>
          <w:i/>
          <w:iCs/>
          <w:smallCaps/>
        </w:rPr>
        <w:t>Roll</w:t>
      </w:r>
      <w:r>
        <w:rPr>
          <w:i/>
          <w:iCs/>
        </w:rPr>
        <w:t xml:space="preserve"> (1977), la única conclusión a la que se podía llegar cuando se intentaba efectuar contrastes de esas características era que los índices de mercado utilizados fuesen eficientes. Dada la imposibilidad de observarla variable agregada teórica que viene impuesta en los modelos de equilibrio, otro tipo de conclusiones resultaban imposibles.</w:t>
      </w:r>
    </w:p>
    <w:p w14:paraId="79F1CFBB" w14:textId="77777777" w:rsidR="00CC0871" w:rsidRPr="00873620" w:rsidRDefault="00CC0871" w:rsidP="00CB6104">
      <w:pPr>
        <w:pStyle w:val="Notaalopositor"/>
        <w:spacing w:after="40"/>
        <w:rPr>
          <w:i/>
          <w:iCs/>
          <w:lang w:val="en-US"/>
        </w:rPr>
      </w:pPr>
      <w:r w:rsidRPr="00873620">
        <w:rPr>
          <w:i/>
          <w:iCs/>
          <w:lang w:val="en-US"/>
        </w:rPr>
        <w:t xml:space="preserve">Roll's critique is a reminder of the fact that one can only diversify a portfolio so much, and that investors' attempts to understand and know the market </w:t>
      </w:r>
      <w:proofErr w:type="gramStart"/>
      <w:r w:rsidRPr="00873620">
        <w:rPr>
          <w:i/>
          <w:iCs/>
          <w:lang w:val="en-US"/>
        </w:rPr>
        <w:t>as a whole are</w:t>
      </w:r>
      <w:proofErr w:type="gramEnd"/>
      <w:r w:rsidRPr="00873620">
        <w:rPr>
          <w:i/>
          <w:iCs/>
          <w:lang w:val="en-US"/>
        </w:rPr>
        <w:t xml:space="preserve"> just attempts.</w:t>
      </w:r>
    </w:p>
    <w:p w14:paraId="4CBB26B4" w14:textId="77777777" w:rsidR="00CC0871" w:rsidRDefault="00CC0871" w:rsidP="00CB6104">
      <w:pPr>
        <w:pStyle w:val="Notaalopositor"/>
        <w:spacing w:after="40"/>
        <w:rPr>
          <w:i/>
          <w:iCs/>
        </w:rPr>
      </w:pPr>
      <w:proofErr w:type="spellStart"/>
      <w:r>
        <w:rPr>
          <w:i/>
          <w:iCs/>
          <w:smallCaps/>
        </w:rPr>
        <w:t>Shanken</w:t>
      </w:r>
      <w:proofErr w:type="spellEnd"/>
      <w:r>
        <w:rPr>
          <w:i/>
          <w:iCs/>
        </w:rPr>
        <w:t xml:space="preserve"> (1985) propone una metodología que supera, en gran medida, las dificultades que los económetras encontraban anteriormente. Lo único que tenemos que imponer es el coeficiente de correlación entre la verdadera variable teórica y el índice utilizado en la práctica. Como reconoce </w:t>
      </w:r>
      <w:r>
        <w:rPr>
          <w:i/>
          <w:iCs/>
          <w:smallCaps/>
        </w:rPr>
        <w:t>Roll</w:t>
      </w:r>
      <w:r>
        <w:rPr>
          <w:i/>
          <w:iCs/>
        </w:rPr>
        <w:t xml:space="preserve"> (1977), es lógico suponer que dichos índices de mercado están altamente correlacionados con la variable teórica.</w:t>
      </w:r>
    </w:p>
    <w:p w14:paraId="42C8A547" w14:textId="77777777" w:rsidR="00CC0871" w:rsidRPr="00177863" w:rsidRDefault="00CC0871" w:rsidP="00CB6104">
      <w:pPr>
        <w:pStyle w:val="Notaalopositor"/>
        <w:spacing w:after="0"/>
      </w:pPr>
      <w:r>
        <w:rPr>
          <w:i/>
          <w:iCs/>
        </w:rPr>
        <w:t xml:space="preserve">Una aplicación de la metodología de </w:t>
      </w:r>
      <w:proofErr w:type="spellStart"/>
      <w:r>
        <w:rPr>
          <w:i/>
          <w:iCs/>
          <w:smallCaps/>
        </w:rPr>
        <w:t>Shanken</w:t>
      </w:r>
      <w:proofErr w:type="spellEnd"/>
      <w:r>
        <w:rPr>
          <w:i/>
          <w:iCs/>
        </w:rPr>
        <w:t xml:space="preserve"> al caso español exige solamente un coeficiente de correlación de 0,50 para rechazar el modelo de equilibrio de </w:t>
      </w:r>
      <w:r>
        <w:rPr>
          <w:i/>
          <w:iCs/>
          <w:smallCaps/>
        </w:rPr>
        <w:t>Sharpe</w:t>
      </w:r>
      <w:r>
        <w:rPr>
          <w:i/>
          <w:iCs/>
        </w:rPr>
        <w:t xml:space="preserve"> y </w:t>
      </w:r>
      <w:r>
        <w:rPr>
          <w:i/>
          <w:iCs/>
          <w:smallCaps/>
        </w:rPr>
        <w:t>Lintner</w:t>
      </w:r>
      <w:r>
        <w:rPr>
          <w:i/>
          <w:iCs/>
        </w:rPr>
        <w:t>. Este resultado implica que, en España, podemos rechazar dicho modelo con un alto grado de confianza, al menos durante los 20</w:t>
      </w:r>
      <w:r w:rsidRPr="00177863">
        <w:rPr>
          <w:i/>
          <w:iCs/>
        </w:rPr>
        <w:t> a</w:t>
      </w:r>
      <w:r>
        <w:rPr>
          <w:i/>
          <w:iCs/>
        </w:rPr>
        <w:t>ñ</w:t>
      </w:r>
      <w:r w:rsidRPr="00177863">
        <w:rPr>
          <w:i/>
          <w:iCs/>
        </w:rPr>
        <w:t>os</w:t>
      </w:r>
      <w:r>
        <w:rPr>
          <w:i/>
          <w:iCs/>
        </w:rPr>
        <w:t xml:space="preserve"> comprendidos entre 1963 y 1982.</w:t>
      </w:r>
    </w:p>
    <w:p w14:paraId="34E59DA9" w14:textId="0BE8FE32" w:rsidR="00986799" w:rsidRDefault="00986799" w:rsidP="00A779CA">
      <w:pPr>
        <w:pStyle w:val="Nivel2SM"/>
      </w:pPr>
      <w:r w:rsidRPr="00986799">
        <w:rPr>
          <w:i/>
          <w:iCs/>
          <w:u w:val="single"/>
        </w:rPr>
        <w:t>Supuestos</w:t>
      </w:r>
      <w:r>
        <w:t>: El modelo CAPM se basa en ciertos supuestos, como la existencia de mercados perfectamente competitivos y la capacidad de los inversores para obtener préstamos a cualquier tasa de interés.</w:t>
      </w:r>
      <w:r w:rsidR="005C632B">
        <w:t xml:space="preserve"> Además, se supone que las inversiones se realizan a un per</w:t>
      </w:r>
      <w:r w:rsidR="00D46625">
        <w:t>i</w:t>
      </w:r>
      <w:r w:rsidR="005C632B">
        <w:t>odo único de igual duración, mientras que en la práctica se realizan inversiones con distintos plazos.</w:t>
      </w:r>
      <w:r>
        <w:t xml:space="preserve"> </w:t>
      </w:r>
      <w:r w:rsidR="00FB1BAD">
        <w:t>Por lo tanto, e</w:t>
      </w:r>
      <w:r>
        <w:t>stos supuestos no siempre son válidos en la realidad y pueden dar lugar a estimaciones imprecisas del rendimiento esperado de una inversión</w:t>
      </w:r>
      <w:r w:rsidR="00825AB3">
        <w:rPr>
          <w:rStyle w:val="Refdenotaalpie"/>
        </w:rPr>
        <w:footnoteReference w:id="23"/>
      </w:r>
      <w:r>
        <w:t>.</w:t>
      </w:r>
    </w:p>
    <w:p w14:paraId="67DE1CAE" w14:textId="404B69EC" w:rsidR="00986799" w:rsidRDefault="00986799" w:rsidP="00A779CA">
      <w:pPr>
        <w:pStyle w:val="Nivel2SM"/>
        <w:rPr>
          <w:spacing w:val="-3"/>
        </w:rPr>
      </w:pPr>
      <w:r w:rsidRPr="00D17090">
        <w:rPr>
          <w:i/>
          <w:iCs/>
          <w:spacing w:val="-3"/>
          <w:u w:val="single"/>
        </w:rPr>
        <w:t>Falta de consideración de factores no financieros</w:t>
      </w:r>
      <w:r w:rsidRPr="00D17090">
        <w:rPr>
          <w:spacing w:val="-3"/>
        </w:rPr>
        <w:t>: El modelo CAPM no tiene en cuenta factores no financieros que pueden afectar el rendimiento de una inversión, como eventos políticos o cambios en la demanda de un producto. Estos factores pueden tener un impacto significativo en el rendimiento de una inversión y no se tienen en cuenta en el modelo CAPM.</w:t>
      </w:r>
    </w:p>
    <w:p w14:paraId="72C05701" w14:textId="77777777" w:rsidR="006479D1" w:rsidRDefault="006479D1" w:rsidP="006479D1">
      <w:pPr>
        <w:pStyle w:val="Nivel1SM"/>
        <w:keepNext/>
        <w:spacing w:after="0"/>
      </w:pPr>
      <w:r>
        <w:t xml:space="preserve">El modelo CAPM es útil para la </w:t>
      </w:r>
      <w:r w:rsidRPr="006479D1">
        <w:rPr>
          <w:b/>
          <w:bCs/>
        </w:rPr>
        <w:t>valoración de proyectos de inversión</w:t>
      </w:r>
      <w:r>
        <w:t>.</w:t>
      </w:r>
    </w:p>
    <w:p w14:paraId="18ED9F94" w14:textId="106B553E" w:rsidR="006479D1" w:rsidRDefault="006479D1" w:rsidP="006479D1">
      <w:pPr>
        <w:pStyle w:val="Nivel2SM"/>
      </w:pPr>
      <w:r>
        <w:t xml:space="preserve">Por ejemplo, para una empresa que considera un nuevo proyecto, el CAPM puede proveer la tasa de rentabilidad requerida del proyecto, basada en su beta, para ser aceptable para los </w:t>
      </w:r>
      <w:r>
        <w:lastRenderedPageBreak/>
        <w:t>inversores. Por tanto, los directivos pueden emplear el modelo para obtener una tasa de rendimiento mínima ajustada por el riesgo para un proyecto</w:t>
      </w:r>
      <w:r w:rsidR="009B74EB">
        <w:t xml:space="preserve"> </w:t>
      </w:r>
      <w:r w:rsidR="009B74EB" w:rsidRPr="009B74EB">
        <w:rPr>
          <w:color w:val="767171" w:themeColor="background2" w:themeShade="80"/>
          <w:sz w:val="19"/>
          <w:szCs w:val="19"/>
        </w:rPr>
        <w:t>[ver tema 3.B.2]</w:t>
      </w:r>
      <w:r>
        <w:t>.</w:t>
      </w:r>
    </w:p>
    <w:p w14:paraId="0CD0C210" w14:textId="3BAF3FF8" w:rsidR="007350CB" w:rsidRDefault="007350CB" w:rsidP="007A421F">
      <w:pPr>
        <w:pStyle w:val="Ttulo3"/>
      </w:pPr>
      <w:bookmarkStart w:id="66" w:name="_Toc144911973"/>
      <w:r w:rsidRPr="00C6007E">
        <w:t>Teoría de valoración de activos por arbitraje (</w:t>
      </w:r>
      <w:proofErr w:type="spellStart"/>
      <w:r w:rsidRPr="00C6007E">
        <w:t>Arbitrage</w:t>
      </w:r>
      <w:proofErr w:type="spellEnd"/>
      <w:r w:rsidRPr="00C6007E">
        <w:t xml:space="preserve"> </w:t>
      </w:r>
      <w:proofErr w:type="spellStart"/>
      <w:r w:rsidRPr="00C6007E">
        <w:t>Pricing</w:t>
      </w:r>
      <w:proofErr w:type="spellEnd"/>
      <w:r w:rsidRPr="00C6007E">
        <w:t xml:space="preserve"> </w:t>
      </w:r>
      <w:proofErr w:type="spellStart"/>
      <w:r w:rsidRPr="00C6007E">
        <w:t>Theory</w:t>
      </w:r>
      <w:proofErr w:type="spellEnd"/>
      <w:r w:rsidRPr="00C6007E">
        <w:t xml:space="preserve"> (APT) - </w:t>
      </w:r>
      <w:r w:rsidRPr="00C6007E">
        <w:rPr>
          <w:smallCaps/>
        </w:rPr>
        <w:t>Ross</w:t>
      </w:r>
      <w:r w:rsidRPr="00C6007E">
        <w:t>, 1976)</w:t>
      </w:r>
      <w:bookmarkEnd w:id="66"/>
    </w:p>
    <w:p w14:paraId="3FB18859" w14:textId="1DC028E4" w:rsidR="007350CB" w:rsidRPr="007A421F" w:rsidRDefault="00000000" w:rsidP="00661447">
      <w:pPr>
        <w:pStyle w:val="Cajadeanotaciones"/>
        <w:keepNext/>
        <w:rPr>
          <w:sz w:val="19"/>
          <w:szCs w:val="19"/>
        </w:rPr>
      </w:pPr>
      <w:hyperlink r:id="rId26" w:history="1">
        <w:r w:rsidR="007350CB" w:rsidRPr="007A421F">
          <w:rPr>
            <w:rStyle w:val="Hipervnculo"/>
            <w:sz w:val="19"/>
            <w:szCs w:val="19"/>
          </w:rPr>
          <w:t>https://www.youtube.com/watch?v=TSGvEx1cdeg</w:t>
        </w:r>
      </w:hyperlink>
    </w:p>
    <w:p w14:paraId="18C8A270" w14:textId="77777777" w:rsidR="007350CB" w:rsidRDefault="007350CB" w:rsidP="00661447">
      <w:pPr>
        <w:pStyle w:val="Notaalopositor"/>
      </w:pPr>
      <w:r>
        <w:t>Ver Sharpe Ch. 11</w:t>
      </w:r>
    </w:p>
    <w:p w14:paraId="640C6FF0" w14:textId="77777777" w:rsidR="007350CB" w:rsidRDefault="007350CB" w:rsidP="001675F6">
      <w:pPr>
        <w:pStyle w:val="Ttulo6"/>
        <w:spacing w:before="0"/>
      </w:pPr>
      <w:bookmarkStart w:id="67" w:name="_Toc144911974"/>
      <w:r>
        <w:t>Idea</w:t>
      </w:r>
      <w:bookmarkEnd w:id="67"/>
    </w:p>
    <w:p w14:paraId="46800E02" w14:textId="77777777" w:rsidR="00702F32" w:rsidRDefault="007350CB" w:rsidP="001675F6">
      <w:pPr>
        <w:pStyle w:val="Nivel1SM"/>
        <w:spacing w:before="0"/>
      </w:pPr>
      <w:r w:rsidRPr="001D08C1">
        <w:rPr>
          <w:smallCaps/>
        </w:rPr>
        <w:t>Ross</w:t>
      </w:r>
      <w:r>
        <w:t xml:space="preserve"> (1976) propuso una teoría de valoración de activos de un mercado en equilibrio bajo supuestos menos restrictivos que la propuesta por </w:t>
      </w:r>
      <w:r w:rsidRPr="001D08C1">
        <w:rPr>
          <w:smallCaps/>
        </w:rPr>
        <w:t>Sharpe</w:t>
      </w:r>
      <w:r>
        <w:rPr>
          <w:smallCaps/>
        </w:rPr>
        <w:t xml:space="preserve"> </w:t>
      </w:r>
      <w:r>
        <w:t>(el CAPM).</w:t>
      </w:r>
    </w:p>
    <w:p w14:paraId="7536E0CA" w14:textId="77777777" w:rsidR="00702F32" w:rsidRDefault="007350CB" w:rsidP="00702F32">
      <w:pPr>
        <w:pStyle w:val="Nivel1SM"/>
        <w:keepNext/>
        <w:spacing w:after="0"/>
      </w:pPr>
      <w:r>
        <w:t xml:space="preserve">A diferencia del CAPM, la idea fundamental es que no sólo va a importar la volatilidad relativa de un activo respecto al mercado, sino que </w:t>
      </w:r>
      <w:r w:rsidRPr="00702F32">
        <w:rPr>
          <w:b/>
          <w:bCs/>
        </w:rPr>
        <w:t>hay que tener en cuenta más factores que pueden impactar en la cartera</w:t>
      </w:r>
      <w:r>
        <w:t>.</w:t>
      </w:r>
    </w:p>
    <w:p w14:paraId="4C2F2E71" w14:textId="11E8B4F5" w:rsidR="007350CB" w:rsidRDefault="007350CB" w:rsidP="00E131D7">
      <w:pPr>
        <w:pStyle w:val="Nivel2SM"/>
      </w:pPr>
      <w:r>
        <w:t>¿Cuáles son estos factores? Este modelo es un modelo empírico que va a buscar descifrar cuales van a ser los factores relevantes que van a influenciar la decisión del inversor.</w:t>
      </w:r>
      <w:r w:rsidR="00702F32">
        <w:t xml:space="preserve"> </w:t>
      </w:r>
      <w:r>
        <w:t xml:space="preserve">Dicho de otra manera existen diversas </w:t>
      </w:r>
      <w:r w:rsidRPr="00702F32">
        <w:rPr>
          <w:rFonts w:cs="Times New Roman"/>
          <w:i/>
          <w:iCs/>
        </w:rPr>
        <w:t>β</w:t>
      </w:r>
      <w:r w:rsidRPr="00702F32">
        <w:rPr>
          <w:rFonts w:cs="Times New Roman"/>
        </w:rPr>
        <w:t xml:space="preserve">’s que </w:t>
      </w:r>
      <w:r w:rsidR="007A421F" w:rsidRPr="00702F32">
        <w:rPr>
          <w:rFonts w:cs="Times New Roman"/>
        </w:rPr>
        <w:t>deberíamos tener</w:t>
      </w:r>
      <w:r w:rsidRPr="00702F32">
        <w:rPr>
          <w:rFonts w:cs="Times New Roman"/>
        </w:rPr>
        <w:t xml:space="preserve"> en cuenta</w:t>
      </w:r>
      <w:r>
        <w:t>.</w:t>
      </w:r>
    </w:p>
    <w:p w14:paraId="2772DD78" w14:textId="084363F7" w:rsidR="008D79AC" w:rsidRDefault="008D79AC" w:rsidP="008D79AC">
      <w:pPr>
        <w:pStyle w:val="Nivel1SM"/>
        <w:keepNext/>
        <w:spacing w:after="0"/>
      </w:pPr>
      <w:r>
        <w:t xml:space="preserve">Así, </w:t>
      </w:r>
      <w:r w:rsidRPr="008D79AC">
        <w:rPr>
          <w:b/>
          <w:bCs/>
        </w:rPr>
        <w:t>podemos definir la APT en comparación con el CAPM</w:t>
      </w:r>
      <w:r>
        <w:t>:</w:t>
      </w:r>
    </w:p>
    <w:p w14:paraId="1A2894EE" w14:textId="4407F2C5" w:rsidR="008D79AC" w:rsidRDefault="008D79AC" w:rsidP="008D79AC">
      <w:pPr>
        <w:pStyle w:val="Nivel2SM"/>
        <w:keepNext/>
        <w:spacing w:after="0"/>
      </w:pPr>
      <w:r>
        <w:t xml:space="preserve">Por un lado, ambos desarrollos cuentan con </w:t>
      </w:r>
      <w:r w:rsidRPr="008D79AC">
        <w:rPr>
          <w:i/>
          <w:iCs/>
          <w:u w:val="single"/>
        </w:rPr>
        <w:t>similitudes</w:t>
      </w:r>
      <w:r>
        <w:t>:</w:t>
      </w:r>
    </w:p>
    <w:p w14:paraId="7FF9540B" w14:textId="3BA29A9A" w:rsidR="008D79AC" w:rsidRDefault="008D79AC" w:rsidP="008D79AC">
      <w:pPr>
        <w:pStyle w:val="Nivel3SM"/>
      </w:pPr>
      <w:r>
        <w:t xml:space="preserve">Al igual que el CAPM, el APT es un </w:t>
      </w:r>
      <w:r w:rsidRPr="008D79AC">
        <w:rPr>
          <w:i/>
          <w:iCs/>
        </w:rPr>
        <w:t>método de valoración de activos</w:t>
      </w:r>
      <w:r>
        <w:t>, es decir, busca establecer una relación de equilibrio que ayude a estimar el rendimiento esperado que debe ofrecer un activo.</w:t>
      </w:r>
    </w:p>
    <w:p w14:paraId="6811DEA9" w14:textId="6F16B95D" w:rsidR="008D79AC" w:rsidRDefault="008D79AC" w:rsidP="008D79AC">
      <w:pPr>
        <w:pStyle w:val="Nivel3SM"/>
      </w:pPr>
      <w:r>
        <w:t xml:space="preserve">El objetivo de estos modelos es </w:t>
      </w:r>
      <w:r>
        <w:rPr>
          <w:i/>
          <w:iCs/>
        </w:rPr>
        <w:t>estimar la prima de riesgo que hay que añadir al rendimiento del activo libre de riesgo para obtener la tasa de rendimiento exigida por el inversor para un activo con riesgo</w:t>
      </w:r>
      <w:r>
        <w:t>. Ambas teorías consideran que el riesgo específico se puede reducir mediante la diversificación de la cartera y que el mercado sólo paga un exceso de rentabilidad por el riesgo sistemático.</w:t>
      </w:r>
    </w:p>
    <w:p w14:paraId="057336C2" w14:textId="14A5A35E" w:rsidR="008D79AC" w:rsidRDefault="008D79AC" w:rsidP="008D79AC">
      <w:pPr>
        <w:pStyle w:val="Nivel2SM"/>
        <w:keepNext/>
        <w:spacing w:after="0"/>
      </w:pPr>
      <w:r>
        <w:t xml:space="preserve">Por otro lado, el CAPM y la APT se </w:t>
      </w:r>
      <w:r w:rsidRPr="008D79AC">
        <w:rPr>
          <w:i/>
          <w:iCs/>
          <w:u w:val="single"/>
        </w:rPr>
        <w:t>diferencian</w:t>
      </w:r>
      <w:r>
        <w:t xml:space="preserve"> en las siguientes características:</w:t>
      </w:r>
    </w:p>
    <w:p w14:paraId="5D388CEE" w14:textId="1BE35B0F" w:rsidR="001D1753" w:rsidRDefault="001D1753" w:rsidP="001D1753">
      <w:pPr>
        <w:pStyle w:val="Nivel3SM"/>
        <w:keepNext/>
      </w:pPr>
      <w:r>
        <w:t xml:space="preserve">La APT, a diferencia del CAPM, considera que </w:t>
      </w:r>
      <w:r>
        <w:rPr>
          <w:i/>
          <w:iCs/>
        </w:rPr>
        <w:t>la rentabilidad</w:t>
      </w:r>
      <w:r w:rsidRPr="001D1753">
        <w:rPr>
          <w:i/>
          <w:iCs/>
        </w:rPr>
        <w:t xml:space="preserve"> de un título no puede quedar recogid</w:t>
      </w:r>
      <w:r>
        <w:rPr>
          <w:i/>
          <w:iCs/>
        </w:rPr>
        <w:t>a</w:t>
      </w:r>
      <w:r w:rsidRPr="001D1753">
        <w:rPr>
          <w:i/>
          <w:iCs/>
        </w:rPr>
        <w:t xml:space="preserve"> únicamente por su sensibilidad ante variaciones del mercado</w:t>
      </w:r>
      <w:r>
        <w:t xml:space="preserve">, sino que </w:t>
      </w:r>
      <w:r w:rsidRPr="001D1753">
        <w:rPr>
          <w:i/>
          <w:iCs/>
        </w:rPr>
        <w:t>habrá que tener en consideración otras fuerzas económicas cuyas variaciones inesperadas pueden influir en un título determinado</w:t>
      </w:r>
      <w:r>
        <w:t>. Esto lleva a ventajas e inconvenientes frente al CAPM:</w:t>
      </w:r>
    </w:p>
    <w:p w14:paraId="7A09A954" w14:textId="013C438A" w:rsidR="001D1753" w:rsidRDefault="001D1753" w:rsidP="001D1753">
      <w:pPr>
        <w:pStyle w:val="Nivel4"/>
        <w:ind w:left="1474"/>
      </w:pPr>
      <w:r>
        <w:t>La principal ventaja de la APT es que no requiere partir de una cartera de mercado que es inobservable, es decir, solo asumible por supuestos estrictos que es alcanzada por inversores diversificadores eficientes.</w:t>
      </w:r>
    </w:p>
    <w:p w14:paraId="34C07C8C" w14:textId="0D0A8CD2" w:rsidR="008D79AC" w:rsidRDefault="008D79AC" w:rsidP="001D1753">
      <w:pPr>
        <w:pStyle w:val="Nivel4"/>
        <w:ind w:left="1474"/>
      </w:pPr>
      <w:r>
        <w:t xml:space="preserve">La desventaja es que </w:t>
      </w:r>
      <w:r w:rsidR="001D1753">
        <w:t>la</w:t>
      </w:r>
      <w:r>
        <w:t xml:space="preserve"> APT requiere la identificación de un número de factores para predecir la prima de riesgo de un activo, factores que pueden además cambiar con el tiempo, por lo que es más difícil de implementar.</w:t>
      </w:r>
    </w:p>
    <w:p w14:paraId="68C8FE66" w14:textId="1EA483B3" w:rsidR="001D1753" w:rsidRDefault="001D1753" w:rsidP="001D1753">
      <w:pPr>
        <w:pStyle w:val="Nivel3SM"/>
      </w:pPr>
      <w:r>
        <w:t xml:space="preserve">Además, la APT adopta un </w:t>
      </w:r>
      <w:r w:rsidRPr="001D1753">
        <w:rPr>
          <w:i/>
          <w:iCs/>
        </w:rPr>
        <w:t>enfoque empírico, con menos sustancia teórica que el CAPM</w:t>
      </w:r>
      <w:r>
        <w:t>.</w:t>
      </w:r>
    </w:p>
    <w:p w14:paraId="4915803D" w14:textId="77777777" w:rsidR="007350CB" w:rsidRDefault="007350CB" w:rsidP="007350CB">
      <w:pPr>
        <w:pStyle w:val="Ttulo6"/>
      </w:pPr>
      <w:bookmarkStart w:id="68" w:name="_Toc144911975"/>
      <w:r>
        <w:t>Modelo</w:t>
      </w:r>
      <w:bookmarkEnd w:id="68"/>
    </w:p>
    <w:p w14:paraId="58E5802C" w14:textId="753B0005" w:rsidR="007350CB" w:rsidRDefault="007350CB" w:rsidP="001675F6">
      <w:pPr>
        <w:pStyle w:val="Ttulo7"/>
        <w:spacing w:before="0"/>
      </w:pPr>
      <w:bookmarkStart w:id="69" w:name="_Toc144911976"/>
      <w:r>
        <w:t>Supuestos</w:t>
      </w:r>
      <w:bookmarkEnd w:id="69"/>
    </w:p>
    <w:p w14:paraId="737CA8F0" w14:textId="03FF7827" w:rsidR="007A421F" w:rsidRPr="007A421F" w:rsidRDefault="007A421F" w:rsidP="001675F6">
      <w:pPr>
        <w:pStyle w:val="Nivel1SM"/>
        <w:keepNext/>
        <w:spacing w:before="0" w:after="0"/>
      </w:pPr>
      <w:r>
        <w:t xml:space="preserve">La teoría de valoración de activos por arbitraje parte de los siguientes </w:t>
      </w:r>
      <w:r w:rsidRPr="007A421F">
        <w:rPr>
          <w:b/>
          <w:bCs/>
        </w:rPr>
        <w:t>supuestos</w:t>
      </w:r>
      <w:r>
        <w:t>:</w:t>
      </w:r>
    </w:p>
    <w:p w14:paraId="6F02020F" w14:textId="77777777" w:rsidR="00147B73" w:rsidRDefault="00147B73">
      <w:pPr>
        <w:pStyle w:val="Prrafodelista"/>
        <w:numPr>
          <w:ilvl w:val="0"/>
          <w:numId w:val="34"/>
        </w:numPr>
        <w:spacing w:after="100"/>
        <w:ind w:left="568" w:hanging="284"/>
      </w:pPr>
      <w:r>
        <w:t xml:space="preserve">Es un </w:t>
      </w:r>
      <w:r w:rsidRPr="00147B73">
        <w:rPr>
          <w:i/>
          <w:iCs/>
          <w:u w:val="single"/>
        </w:rPr>
        <w:t>modelo estático</w:t>
      </w:r>
      <w:r>
        <w:t>, ya que los agentes sólo miran al próximo periodo.</w:t>
      </w:r>
    </w:p>
    <w:p w14:paraId="3B15DE27" w14:textId="77777777" w:rsidR="00147B73" w:rsidRDefault="00147B73">
      <w:pPr>
        <w:pStyle w:val="Prrafodelista"/>
        <w:keepNext/>
        <w:numPr>
          <w:ilvl w:val="0"/>
          <w:numId w:val="34"/>
        </w:numPr>
        <w:spacing w:after="0"/>
        <w:ind w:left="568" w:hanging="284"/>
      </w:pPr>
      <w:r w:rsidRPr="00147B73">
        <w:rPr>
          <w:i/>
          <w:iCs/>
          <w:u w:val="single"/>
        </w:rPr>
        <w:t>Mercado perfectamente competitivo</w:t>
      </w:r>
      <w:r>
        <w:t>. Esto lo podemos resumir en los siguientes puntos:</w:t>
      </w:r>
    </w:p>
    <w:p w14:paraId="50F85CCD" w14:textId="77777777" w:rsidR="00147B73" w:rsidRDefault="00147B73" w:rsidP="00147B73">
      <w:pPr>
        <w:pStyle w:val="Nivel3SM"/>
      </w:pPr>
      <w:r w:rsidRPr="00891557">
        <w:rPr>
          <w:i/>
          <w:iCs/>
        </w:rPr>
        <w:t>Existe una gran cantidad de inversores</w:t>
      </w:r>
      <w:r>
        <w:t xml:space="preserve"> (cada uno con una función de utilidad y una dotación de riqueza inicial).</w:t>
      </w:r>
    </w:p>
    <w:p w14:paraId="630D0E1F" w14:textId="77777777" w:rsidR="00147B73" w:rsidRDefault="00147B73" w:rsidP="00147B73">
      <w:pPr>
        <w:pStyle w:val="Nivel3SM"/>
      </w:pPr>
      <w:r w:rsidRPr="005E7CF9">
        <w:rPr>
          <w:i/>
          <w:iCs/>
        </w:rPr>
        <w:t>L</w:t>
      </w:r>
      <w:r w:rsidRPr="00891557">
        <w:rPr>
          <w:i/>
          <w:iCs/>
        </w:rPr>
        <w:t>os inversores son precio-aceptantes</w:t>
      </w:r>
      <w:r>
        <w:t>.</w:t>
      </w:r>
    </w:p>
    <w:p w14:paraId="06E39973" w14:textId="77777777" w:rsidR="00147B73" w:rsidRDefault="00147B73" w:rsidP="00147B73">
      <w:pPr>
        <w:pStyle w:val="Nivel3SM"/>
      </w:pPr>
      <w:r w:rsidRPr="00891557">
        <w:rPr>
          <w:i/>
          <w:iCs/>
        </w:rPr>
        <w:t>No existen costes de transacción, ni impuestos</w:t>
      </w:r>
      <w:r>
        <w:t>.</w:t>
      </w:r>
    </w:p>
    <w:p w14:paraId="3BCAE749" w14:textId="77777777" w:rsidR="00147B73" w:rsidRDefault="00147B73">
      <w:pPr>
        <w:pStyle w:val="Prrafodelista"/>
        <w:numPr>
          <w:ilvl w:val="0"/>
          <w:numId w:val="34"/>
        </w:numPr>
        <w:spacing w:after="100"/>
        <w:ind w:left="568" w:hanging="284"/>
      </w:pPr>
      <w:r>
        <w:lastRenderedPageBreak/>
        <w:t>Todos los inversores conocen y aplican el modelo media-varianza (</w:t>
      </w:r>
      <w:r w:rsidRPr="00147B73">
        <w:rPr>
          <w:i/>
          <w:iCs/>
          <w:u w:val="single"/>
        </w:rPr>
        <w:t>optimizadores en sentido de Markowitz</w:t>
      </w:r>
      <w:r>
        <w:t xml:space="preserve">). Como consecuencia, los </w:t>
      </w:r>
      <w:r w:rsidRPr="00AD0F6D">
        <w:rPr>
          <w:i/>
          <w:iCs/>
        </w:rPr>
        <w:t>inversores siempre prefieren más rentabilidad si ello no requiere más riesgo</w:t>
      </w:r>
      <w:r>
        <w:t>.</w:t>
      </w:r>
    </w:p>
    <w:p w14:paraId="5CACB59C" w14:textId="77777777" w:rsidR="00147B73" w:rsidRPr="00147B73" w:rsidRDefault="00147B73">
      <w:pPr>
        <w:pStyle w:val="Prrafodelista"/>
        <w:numPr>
          <w:ilvl w:val="0"/>
          <w:numId w:val="34"/>
        </w:numPr>
        <w:spacing w:after="100"/>
        <w:ind w:left="568" w:hanging="284"/>
        <w:rPr>
          <w:spacing w:val="-2"/>
        </w:rPr>
      </w:pPr>
      <w:r w:rsidRPr="00147B73">
        <w:rPr>
          <w:spacing w:val="-2"/>
        </w:rPr>
        <w:t xml:space="preserve">El </w:t>
      </w:r>
      <w:r w:rsidRPr="00147B73">
        <w:rPr>
          <w:i/>
          <w:iCs/>
          <w:spacing w:val="-2"/>
          <w:u w:val="single"/>
        </w:rPr>
        <w:t>tipo de interés al que se remuneran los fondos es igual que el que se paga por disponer capitales ajenos</w:t>
      </w:r>
      <w:r w:rsidRPr="00147B73">
        <w:rPr>
          <w:spacing w:val="-2"/>
        </w:rPr>
        <w:t>. Es decir, se puede prestar y pedir prestado al tipo de interés libre de riesgo.</w:t>
      </w:r>
    </w:p>
    <w:p w14:paraId="2AB08707" w14:textId="01902A13" w:rsidR="00147B73" w:rsidRPr="00147B73" w:rsidRDefault="00147B73">
      <w:pPr>
        <w:pStyle w:val="Prrafodelista"/>
        <w:numPr>
          <w:ilvl w:val="0"/>
          <w:numId w:val="34"/>
        </w:numPr>
        <w:spacing w:after="100"/>
        <w:ind w:left="568" w:hanging="284"/>
      </w:pPr>
      <w:r w:rsidRPr="00147B73">
        <w:t xml:space="preserve">Existe un gran número de activos individuales de forma que </w:t>
      </w:r>
      <w:r w:rsidRPr="00147B73">
        <w:rPr>
          <w:i/>
          <w:iCs/>
          <w:u w:val="single"/>
        </w:rPr>
        <w:t>la diversificación permite eliminar el riesgo idiosincrático (riesgo diversificable) en su totalidad</w:t>
      </w:r>
      <w:r w:rsidRPr="00147B73">
        <w:t>.</w:t>
      </w:r>
    </w:p>
    <w:p w14:paraId="6482909D" w14:textId="10BB4E38" w:rsidR="00147B73" w:rsidRDefault="00147B73">
      <w:pPr>
        <w:pStyle w:val="Prrafodelista"/>
        <w:numPr>
          <w:ilvl w:val="0"/>
          <w:numId w:val="34"/>
        </w:numPr>
        <w:spacing w:after="100"/>
        <w:ind w:left="568" w:hanging="284"/>
      </w:pPr>
      <w:r>
        <w:t xml:space="preserve">La oferta de los activos financieros con riesgo está dada exógenamente, y estos son </w:t>
      </w:r>
      <w:r w:rsidRPr="00147B73">
        <w:rPr>
          <w:i/>
          <w:iCs/>
          <w:u w:val="single"/>
        </w:rPr>
        <w:t>perfectamente divisibles</w:t>
      </w:r>
      <w:r>
        <w:t>.</w:t>
      </w:r>
    </w:p>
    <w:p w14:paraId="71CF4A79" w14:textId="479F9D53" w:rsidR="00147B73" w:rsidRDefault="00147B73">
      <w:pPr>
        <w:pStyle w:val="Prrafodelista"/>
        <w:numPr>
          <w:ilvl w:val="0"/>
          <w:numId w:val="34"/>
        </w:numPr>
        <w:spacing w:after="100"/>
        <w:ind w:left="568" w:hanging="284"/>
      </w:pPr>
      <w:r w:rsidRPr="00147B73">
        <w:rPr>
          <w:i/>
          <w:iCs/>
          <w:u w:val="single"/>
        </w:rPr>
        <w:t>Todo inversor posee igual información e iguales datos</w:t>
      </w:r>
      <w:r>
        <w:t>, y por tanto, sus expectativas de rentabilidad y riesgo para cada activo son idénticas.</w:t>
      </w:r>
    </w:p>
    <w:p w14:paraId="3798F419" w14:textId="77777777" w:rsidR="00147B73" w:rsidRPr="00147B73" w:rsidRDefault="00147B73">
      <w:pPr>
        <w:pStyle w:val="Prrafodelista"/>
        <w:numPr>
          <w:ilvl w:val="0"/>
          <w:numId w:val="34"/>
        </w:numPr>
        <w:ind w:left="568" w:hanging="284"/>
      </w:pPr>
      <w:r w:rsidRPr="00147B73">
        <w:t xml:space="preserve">En un mercado en equilibrio </w:t>
      </w:r>
      <w:r w:rsidRPr="00147B73">
        <w:rPr>
          <w:i/>
          <w:iCs/>
          <w:u w:val="single"/>
        </w:rPr>
        <w:t>no deben existir oportunidades de inversión sin explotar</w:t>
      </w:r>
      <w:r w:rsidRPr="00147B73">
        <w:t xml:space="preserve">, es decir, que </w:t>
      </w:r>
      <w:r w:rsidRPr="00147B73">
        <w:rPr>
          <w:i/>
          <w:iCs/>
        </w:rPr>
        <w:t>ningún inversor que cambie la composición de la cartera podrá obtener mediante arbitraje una rentabilidad superior a la que venía consiguiendo con el mismo riesgo</w:t>
      </w:r>
      <w:r w:rsidRPr="00147B73">
        <w:t>.</w:t>
      </w:r>
    </w:p>
    <w:p w14:paraId="51635397" w14:textId="0153DB37" w:rsidR="00147B73" w:rsidRPr="00906596" w:rsidRDefault="00147B73">
      <w:pPr>
        <w:pStyle w:val="Prrafodelista"/>
        <w:numPr>
          <w:ilvl w:val="0"/>
          <w:numId w:val="34"/>
        </w:numPr>
        <w:spacing w:after="100"/>
        <w:ind w:left="568" w:hanging="284"/>
      </w:pPr>
      <w:r w:rsidRPr="00147B73">
        <w:rPr>
          <w:i/>
          <w:iCs/>
          <w:u w:val="single"/>
        </w:rPr>
        <w:t>Los rendimientos de los activos se pueden conocer por un modelo factorial</w:t>
      </w:r>
      <w:r>
        <w:t xml:space="preserve">. Esto es, los </w:t>
      </w:r>
      <w:bookmarkStart w:id="70" w:name="_Hlk69325688"/>
      <w:r>
        <w:t xml:space="preserve">rendimientos de los activos son generados por un proceso estocástico que se representa por un modelo lineal en el que intervienen </w:t>
      </w:r>
      <w:r w:rsidRPr="00AD0F6D">
        <w:rPr>
          <w:i/>
          <w:iCs/>
        </w:rPr>
        <w:t>k</w:t>
      </w:r>
      <w:r>
        <w:t xml:space="preserve"> factores comunes, de media nula, que influyen en los rendimientos </w:t>
      </w:r>
      <w:bookmarkEnd w:id="70"/>
      <w:r>
        <w:t>de los activos, si bien de modo diferente según el correspondiente “coeficiente de reacción”.</w:t>
      </w:r>
    </w:p>
    <w:p w14:paraId="3E8EBB21" w14:textId="77777777" w:rsidR="007350CB" w:rsidRDefault="007350CB" w:rsidP="007350CB">
      <w:pPr>
        <w:pStyle w:val="Ttulo7"/>
      </w:pPr>
      <w:bookmarkStart w:id="71" w:name="_Toc144911977"/>
      <w:r>
        <w:t>Desarrollo</w:t>
      </w:r>
      <w:bookmarkEnd w:id="71"/>
    </w:p>
    <w:p w14:paraId="04ADC8EB" w14:textId="77777777" w:rsidR="007350CB" w:rsidRDefault="007350CB" w:rsidP="001675F6">
      <w:pPr>
        <w:pStyle w:val="Nivel1SM"/>
        <w:keepNext/>
        <w:spacing w:before="0" w:after="0"/>
      </w:pPr>
      <w:r>
        <w:t xml:space="preserve">Así pues, el rendimiento de cada activo, </w:t>
      </w:r>
      <w:r w:rsidRPr="00863B19">
        <w:rPr>
          <w:i/>
          <w:iCs/>
        </w:rPr>
        <w:t>i</w:t>
      </w:r>
      <w:r>
        <w:t>, será (modelo multifactorial):</w:t>
      </w:r>
    </w:p>
    <w:p w14:paraId="490C84C5" w14:textId="55C05C99" w:rsidR="007350CB" w:rsidRDefault="00000000" w:rsidP="001675F6">
      <w:pPr>
        <w:pStyle w:val="Nmero"/>
        <w:keepNext/>
        <w:numPr>
          <w:ilvl w:val="0"/>
          <w:numId w:val="0"/>
        </w:numPr>
        <w:spacing w:after="0"/>
        <w:ind w:hanging="198"/>
        <w:rPr>
          <w:lang w:val="en-US"/>
        </w:rPr>
      </w:pPr>
      <m:oMathPara>
        <m:oMath>
          <m:sSub>
            <m:sSubPr>
              <m:ctrlPr>
                <w:rPr>
                  <w:rFonts w:ascii="Cambria Math" w:hAnsi="Cambria Math"/>
                  <w:i/>
                </w:rPr>
              </m:ctrlPr>
            </m:sSubPr>
            <m:e>
              <m:r>
                <m:rPr>
                  <m:nor/>
                </m:rPr>
                <w:rPr>
                  <w:i/>
                  <w:lang w:val="en-US"/>
                </w:rPr>
                <m:t>R</m:t>
              </m:r>
            </m:e>
            <m:sub>
              <m:r>
                <m:rPr>
                  <m:nor/>
                </m:rPr>
                <w:rPr>
                  <w:i/>
                  <w:lang w:val="en-US"/>
                </w:rPr>
                <m:t>it</m:t>
              </m:r>
            </m:sub>
          </m:sSub>
          <m:r>
            <w:rPr>
              <w:rFonts w:ascii="Cambria Math" w:hAnsi="Cambria Math"/>
              <w:lang w:val="en-US"/>
            </w:rPr>
            <m:t>=</m:t>
          </m:r>
          <m:sSub>
            <m:sSubPr>
              <m:ctrlPr>
                <w:rPr>
                  <w:rFonts w:ascii="Cambria Math" w:hAnsi="Cambria Math"/>
                  <w:i/>
                </w:rPr>
              </m:ctrlPr>
            </m:sSubPr>
            <m:e>
              <m:r>
                <m:rPr>
                  <m:nor/>
                </m:rPr>
                <w:rPr>
                  <w:i/>
                  <w:lang w:val="en-US"/>
                </w:rPr>
                <m:t>E</m:t>
              </m:r>
            </m:e>
            <m:sub>
              <m:r>
                <m:rPr>
                  <m:nor/>
                </m:rPr>
                <w:rPr>
                  <w:i/>
                  <w:lang w:val="en-US"/>
                </w:rPr>
                <m:t>i</m:t>
              </m:r>
            </m:sub>
          </m:sSub>
          <m:r>
            <w:rPr>
              <w:rFonts w:ascii="Cambria Math" w:hAnsi="Cambria Math"/>
              <w:lang w:val="en-US"/>
            </w:rPr>
            <m:t>+</m:t>
          </m:r>
          <m:nary>
            <m:naryPr>
              <m:chr m:val="∑"/>
              <m:limLoc m:val="undOvr"/>
              <m:ctrlPr>
                <w:rPr>
                  <w:rFonts w:ascii="Cambria Math" w:hAnsi="Cambria Math"/>
                  <w:i/>
                </w:rPr>
              </m:ctrlPr>
            </m:naryPr>
            <m:sub>
              <m:r>
                <m:rPr>
                  <m:nor/>
                </m:rPr>
                <w:rPr>
                  <w:i/>
                  <w:lang w:val="en-US"/>
                </w:rPr>
                <m:t>j=1</m:t>
              </m:r>
            </m:sub>
            <m:sup>
              <m:r>
                <m:rPr>
                  <m:nor/>
                </m:rPr>
                <w:rPr>
                  <w:i/>
                  <w:lang w:val="en-US"/>
                </w:rPr>
                <m:t>k</m:t>
              </m:r>
            </m:sup>
            <m:e>
              <m:sSub>
                <m:sSubPr>
                  <m:ctrlPr>
                    <w:rPr>
                      <w:rFonts w:ascii="Cambria Math" w:hAnsi="Cambria Math"/>
                      <w:i/>
                    </w:rPr>
                  </m:ctrlPr>
                </m:sSubPr>
                <m:e>
                  <m:r>
                    <m:rPr>
                      <m:nor/>
                    </m:rPr>
                    <w:rPr>
                      <w:i/>
                      <w:iCs/>
                      <w:lang w:val="en-US"/>
                    </w:rPr>
                    <m:t>β</m:t>
                  </m:r>
                </m:e>
                <m:sub>
                  <m:r>
                    <m:rPr>
                      <m:nor/>
                    </m:rPr>
                    <w:rPr>
                      <w:i/>
                      <w:lang w:val="en-US"/>
                    </w:rPr>
                    <m:t>ij</m:t>
                  </m:r>
                </m:sub>
              </m:sSub>
              <m:r>
                <w:rPr>
                  <w:rFonts w:ascii="Cambria Math" w:hAnsi="Cambria Math"/>
                  <w:lang w:val="en-US"/>
                </w:rPr>
                <m:t>∙</m:t>
              </m:r>
              <m:sSub>
                <m:sSubPr>
                  <m:ctrlPr>
                    <w:rPr>
                      <w:rFonts w:ascii="Cambria Math" w:hAnsi="Cambria Math"/>
                      <w:i/>
                    </w:rPr>
                  </m:ctrlPr>
                </m:sSubPr>
                <m:e>
                  <m:r>
                    <m:rPr>
                      <m:nor/>
                    </m:rPr>
                    <w:rPr>
                      <w:i/>
                      <w:lang w:val="en-US"/>
                    </w:rPr>
                    <m:t>F</m:t>
                  </m:r>
                </m:e>
                <m:sub>
                  <m:r>
                    <m:rPr>
                      <m:nor/>
                    </m:rPr>
                    <w:rPr>
                      <w:i/>
                      <w:lang w:val="en-US"/>
                    </w:rPr>
                    <m:t>jt</m:t>
                  </m:r>
                </m:sub>
              </m:sSub>
            </m:e>
          </m:nary>
          <m:r>
            <w:rPr>
              <w:rFonts w:ascii="Cambria Math" w:hAnsi="Cambria Math"/>
              <w:lang w:val="en-US"/>
            </w:rPr>
            <m:t>+</m:t>
          </m:r>
          <m:sSub>
            <m:sSubPr>
              <m:ctrlPr>
                <w:rPr>
                  <w:rFonts w:ascii="Cambria Math" w:hAnsi="Cambria Math"/>
                  <w:i/>
                </w:rPr>
              </m:ctrlPr>
            </m:sSubPr>
            <m:e>
              <m:r>
                <m:rPr>
                  <m:nor/>
                </m:rPr>
                <w:rPr>
                  <w:i/>
                </w:rPr>
                <m:t>ε</m:t>
              </m:r>
            </m:e>
            <m:sub>
              <m:r>
                <m:rPr>
                  <m:nor/>
                </m:rPr>
                <w:rPr>
                  <w:i/>
                  <w:lang w:val="en-US"/>
                </w:rPr>
                <m:t>it</m:t>
              </m:r>
            </m:sub>
          </m:sSub>
          <m:r>
            <m:rPr>
              <m:sty m:val="p"/>
            </m:rPr>
            <w:rPr>
              <w:rFonts w:eastAsiaTheme="minorEastAsia"/>
              <w:lang w:val="en-US"/>
            </w:rPr>
            <w:br/>
          </m:r>
        </m:oMath>
      </m:oMathPara>
      <w:r w:rsidR="007350CB">
        <w:rPr>
          <w:lang w:val="en-US"/>
        </w:rPr>
        <w:t>donde:</w:t>
      </w:r>
    </w:p>
    <w:p w14:paraId="004E67DD" w14:textId="3067F494" w:rsidR="007350CB" w:rsidRPr="00863B19" w:rsidRDefault="00000000" w:rsidP="007A421F">
      <w:pPr>
        <w:pStyle w:val="Nivel2SM"/>
      </w:pPr>
      <m:oMath>
        <m:sSub>
          <m:sSubPr>
            <m:ctrlPr>
              <w:rPr>
                <w:rFonts w:ascii="Cambria Math" w:hAnsi="Cambria Math"/>
                <w:i/>
              </w:rPr>
            </m:ctrlPr>
          </m:sSubPr>
          <m:e>
            <m:r>
              <m:rPr>
                <m:nor/>
              </m:rPr>
              <w:rPr>
                <w:i/>
              </w:rPr>
              <m:t>R</m:t>
            </m:r>
          </m:e>
          <m:sub>
            <m:r>
              <m:rPr>
                <m:nor/>
              </m:rPr>
              <w:rPr>
                <w:i/>
              </w:rPr>
              <m:t>it</m:t>
            </m:r>
          </m:sub>
        </m:sSub>
      </m:oMath>
      <w:r w:rsidR="007350CB">
        <w:t xml:space="preserve"> es una variable aleatoria que describe la rentabilidad del activo</w:t>
      </w:r>
      <w:r w:rsidR="00661447">
        <w:t> </w:t>
      </w:r>
      <w:r w:rsidR="007350CB">
        <w:rPr>
          <w:i/>
          <w:iCs/>
        </w:rPr>
        <w:t>i</w:t>
      </w:r>
      <w:r w:rsidR="007350CB">
        <w:t>.</w:t>
      </w:r>
    </w:p>
    <w:p w14:paraId="5AF34B25" w14:textId="4D902E82" w:rsidR="007350CB" w:rsidRPr="00863B19" w:rsidRDefault="00000000" w:rsidP="007A421F">
      <w:pPr>
        <w:pStyle w:val="Nivel2SM"/>
      </w:pPr>
      <m:oMath>
        <m:sSub>
          <m:sSubPr>
            <m:ctrlPr>
              <w:rPr>
                <w:rFonts w:ascii="Cambria Math" w:hAnsi="Cambria Math"/>
                <w:i/>
              </w:rPr>
            </m:ctrlPr>
          </m:sSubPr>
          <m:e>
            <m:r>
              <m:rPr>
                <m:nor/>
              </m:rPr>
              <w:rPr>
                <w:i/>
              </w:rPr>
              <m:t>E</m:t>
            </m:r>
          </m:e>
          <m:sub>
            <m:r>
              <m:rPr>
                <m:nor/>
              </m:rPr>
              <w:rPr>
                <w:i/>
              </w:rPr>
              <m:t>i</m:t>
            </m:r>
          </m:sub>
        </m:sSub>
      </m:oMath>
      <w:r w:rsidR="007350CB">
        <w:t xml:space="preserve"> es la esperanza matemática de la rentabilidad del activo</w:t>
      </w:r>
      <w:r w:rsidR="00661447">
        <w:t> </w:t>
      </w:r>
      <w:r w:rsidR="007350CB">
        <w:rPr>
          <w:i/>
          <w:iCs/>
        </w:rPr>
        <w:t>i</w:t>
      </w:r>
      <w:r w:rsidR="007350CB">
        <w:t>.</w:t>
      </w:r>
    </w:p>
    <w:p w14:paraId="4296BDAF" w14:textId="71FB80E8" w:rsidR="007350CB" w:rsidRPr="00863B19" w:rsidRDefault="00000000" w:rsidP="007A421F">
      <w:pPr>
        <w:pStyle w:val="Nivel2SM"/>
      </w:pPr>
      <m:oMath>
        <m:sSub>
          <m:sSubPr>
            <m:ctrlPr>
              <w:rPr>
                <w:rFonts w:ascii="Cambria Math" w:hAnsi="Cambria Math"/>
                <w:i/>
              </w:rPr>
            </m:ctrlPr>
          </m:sSubPr>
          <m:e>
            <m:r>
              <m:rPr>
                <m:nor/>
              </m:rPr>
              <w:rPr>
                <w:i/>
                <w:iCs/>
                <w:lang w:val="en-US"/>
              </w:rPr>
              <m:t>β</m:t>
            </m:r>
          </m:e>
          <m:sub>
            <m:r>
              <m:rPr>
                <m:nor/>
              </m:rPr>
              <w:rPr>
                <w:i/>
              </w:rPr>
              <m:t>ij</m:t>
            </m:r>
          </m:sub>
        </m:sSub>
      </m:oMath>
      <w:r w:rsidR="007350CB">
        <w:t xml:space="preserve"> son las sensibilidades de la rentabilidad </w:t>
      </w:r>
      <m:oMath>
        <m:sSub>
          <m:sSubPr>
            <m:ctrlPr>
              <w:rPr>
                <w:rFonts w:ascii="Cambria Math" w:hAnsi="Cambria Math"/>
                <w:i/>
              </w:rPr>
            </m:ctrlPr>
          </m:sSubPr>
          <m:e>
            <m:r>
              <m:rPr>
                <m:nor/>
              </m:rPr>
              <w:rPr>
                <w:i/>
              </w:rPr>
              <m:t>R</m:t>
            </m:r>
          </m:e>
          <m:sub>
            <m:r>
              <m:rPr>
                <m:nor/>
              </m:rPr>
              <w:rPr>
                <w:i/>
              </w:rPr>
              <m:t>it</m:t>
            </m:r>
          </m:sub>
        </m:sSub>
      </m:oMath>
      <w:r w:rsidR="007350CB">
        <w:t xml:space="preserve"> con respecto al factor de riesgo</w:t>
      </w:r>
      <w:r w:rsidR="00661447">
        <w:t> </w:t>
      </w:r>
      <w:r w:rsidR="007350CB">
        <w:rPr>
          <w:i/>
          <w:iCs/>
        </w:rPr>
        <w:t>j</w:t>
      </w:r>
      <w:r w:rsidR="007350CB">
        <w:t>. Es el coeficiente de reacción que liga la rentabilidad de un activo al factor de riesgo.</w:t>
      </w:r>
    </w:p>
    <w:p w14:paraId="2BF7B260" w14:textId="484EA03C" w:rsidR="007350CB" w:rsidRPr="00863B19" w:rsidRDefault="00000000" w:rsidP="007A421F">
      <w:pPr>
        <w:pStyle w:val="Nivel2SM"/>
      </w:pPr>
      <m:oMath>
        <m:sSub>
          <m:sSubPr>
            <m:ctrlPr>
              <w:rPr>
                <w:rFonts w:ascii="Cambria Math" w:hAnsi="Cambria Math"/>
                <w:i/>
              </w:rPr>
            </m:ctrlPr>
          </m:sSubPr>
          <m:e>
            <m:r>
              <m:rPr>
                <m:nor/>
              </m:rPr>
              <w:rPr>
                <w:i/>
              </w:rPr>
              <m:t>F</m:t>
            </m:r>
          </m:e>
          <m:sub>
            <m:r>
              <m:rPr>
                <m:nor/>
              </m:rPr>
              <w:rPr>
                <w:i/>
              </w:rPr>
              <m:t>jt</m:t>
            </m:r>
          </m:sub>
        </m:sSub>
      </m:oMath>
      <w:r w:rsidR="007350CB">
        <w:t xml:space="preserve"> son los valores que recogen la probabilidad de acaecimiento del factor de riesgo</w:t>
      </w:r>
      <w:r w:rsidR="00661447">
        <w:t> </w:t>
      </w:r>
      <w:r w:rsidR="007350CB">
        <w:rPr>
          <w:i/>
          <w:iCs/>
        </w:rPr>
        <w:t>j</w:t>
      </w:r>
      <w:r w:rsidR="007350CB">
        <w:t xml:space="preserve"> en el periodo</w:t>
      </w:r>
      <w:r w:rsidR="00C91F5B">
        <w:rPr>
          <w:i/>
          <w:iCs/>
        </w:rPr>
        <w:t> </w:t>
      </w:r>
      <w:r w:rsidR="007350CB">
        <w:rPr>
          <w:i/>
          <w:iCs/>
        </w:rPr>
        <w:t>t</w:t>
      </w:r>
      <w:r w:rsidR="007350CB">
        <w:t>. Están distribuidos con media 0.</w:t>
      </w:r>
    </w:p>
    <w:p w14:paraId="5882D182" w14:textId="428DAB84" w:rsidR="007350CB" w:rsidRDefault="00000000" w:rsidP="007A421F">
      <w:pPr>
        <w:pStyle w:val="Nivel2SM"/>
      </w:pPr>
      <m:oMath>
        <m:sSub>
          <m:sSubPr>
            <m:ctrlPr>
              <w:rPr>
                <w:rFonts w:ascii="Cambria Math" w:hAnsi="Cambria Math"/>
                <w:i/>
              </w:rPr>
            </m:ctrlPr>
          </m:sSubPr>
          <m:e>
            <m:r>
              <m:rPr>
                <m:nor/>
              </m:rPr>
              <w:rPr>
                <w:i/>
              </w:rPr>
              <m:t>ε</m:t>
            </m:r>
          </m:e>
          <m:sub>
            <m:r>
              <m:rPr>
                <m:nor/>
              </m:rPr>
              <w:rPr>
                <w:i/>
              </w:rPr>
              <m:t>it</m:t>
            </m:r>
          </m:sub>
        </m:sSub>
      </m:oMath>
      <w:r w:rsidR="007350CB">
        <w:t xml:space="preserve"> es el error o perturbación aleatoria. Recoge los elementos específicos que afectan a la rentabilidad del activo</w:t>
      </w:r>
      <w:r w:rsidR="00661447">
        <w:t> </w:t>
      </w:r>
      <w:r w:rsidR="007350CB">
        <w:rPr>
          <w:i/>
          <w:iCs/>
        </w:rPr>
        <w:t>i</w:t>
      </w:r>
      <w:r w:rsidR="007350CB">
        <w:t>, es decir recoge el componente no sistemático del riesgo. Es ruido blanco.</w:t>
      </w:r>
    </w:p>
    <w:p w14:paraId="14761F69" w14:textId="26308A6A" w:rsidR="00F206EC" w:rsidRDefault="00F206EC" w:rsidP="00F206EC">
      <w:pPr>
        <w:pStyle w:val="Nivel1SM"/>
        <w:keepNext/>
        <w:spacing w:after="0"/>
      </w:pPr>
      <w:r>
        <w:t xml:space="preserve">Por lo tanto, para el APT la rentabilidad esperada de un título depende de varios factores de riesgo que impactan al riesgo sistemático. </w:t>
      </w:r>
      <w:r w:rsidRPr="00F206EC">
        <w:rPr>
          <w:b/>
          <w:bCs/>
        </w:rPr>
        <w:t>¿Dónde se encuentra el riesgo sistemático (i.e. el que no depende del riesgo específico del título)?</w:t>
      </w:r>
    </w:p>
    <w:p w14:paraId="56DEC7BE" w14:textId="57614033" w:rsidR="00F206EC" w:rsidRDefault="00F206EC" w:rsidP="00F206EC">
      <w:pPr>
        <w:pStyle w:val="Nivel2SM"/>
      </w:pPr>
      <w:r>
        <w:t xml:space="preserve">En </w:t>
      </w:r>
      <w:r w:rsidRPr="00F206EC">
        <w:rPr>
          <w:i/>
          <w:iCs/>
          <w:u w:val="single"/>
        </w:rPr>
        <w:t>variables macroeconómicas</w:t>
      </w:r>
      <w:r>
        <w:t xml:space="preserve"> (p.ej. cambios en la inflación, tipos de interés…). Por tanto, se podría construir un modelo factorial que incorpore variables macroeconómicas como factores de riesgo sistemático.</w:t>
      </w:r>
    </w:p>
    <w:p w14:paraId="48E8B84C" w14:textId="0C02E8D3" w:rsidR="00F206EC" w:rsidRDefault="00F206EC" w:rsidP="00F206EC">
      <w:pPr>
        <w:pStyle w:val="Nivel2SM"/>
      </w:pPr>
      <w:r>
        <w:t xml:space="preserve">Una alternativa es construir un modelo que usa </w:t>
      </w:r>
      <w:r w:rsidRPr="00F206EC">
        <w:rPr>
          <w:i/>
          <w:iCs/>
          <w:u w:val="single"/>
        </w:rPr>
        <w:t>características de las empresas</w:t>
      </w:r>
      <w:r>
        <w:t xml:space="preserve"> que en términos empíricos parecen una </w:t>
      </w:r>
      <w:r>
        <w:rPr>
          <w:i/>
          <w:iCs/>
        </w:rPr>
        <w:t>proxy</w:t>
      </w:r>
      <w:r>
        <w:t xml:space="preserve"> de riesgo sistemático. Esta es la aproximación que siguen </w:t>
      </w:r>
      <w:r>
        <w:rPr>
          <w:smallCaps/>
        </w:rPr>
        <w:t>Fama</w:t>
      </w:r>
      <w:r>
        <w:t xml:space="preserve"> y </w:t>
      </w:r>
      <w:r>
        <w:rPr>
          <w:smallCaps/>
        </w:rPr>
        <w:t>French</w:t>
      </w:r>
      <w:r>
        <w:t xml:space="preserve"> (1993) en su modelo de </w:t>
      </w:r>
      <w:r w:rsidR="00C91F5B">
        <w:t>3 </w:t>
      </w:r>
      <w:r>
        <w:t>factores.</w:t>
      </w:r>
    </w:p>
    <w:p w14:paraId="2DAC50C1" w14:textId="2F49F365" w:rsidR="007350CB" w:rsidRDefault="007350CB" w:rsidP="007A421F">
      <w:pPr>
        <w:pStyle w:val="Nivel1SM"/>
        <w:keepNext/>
        <w:spacing w:after="0"/>
      </w:pPr>
      <w:r>
        <w:lastRenderedPageBreak/>
        <w:t xml:space="preserve">Podemos ejemplificar este tipo de modelos multifactoriales mediante el modelo de </w:t>
      </w:r>
      <w:r w:rsidR="00C91F5B">
        <w:t>3 </w:t>
      </w:r>
      <w:r>
        <w:t xml:space="preserve">factores de </w:t>
      </w:r>
      <w:r>
        <w:rPr>
          <w:smallCaps/>
        </w:rPr>
        <w:t>Fama</w:t>
      </w:r>
      <w:r>
        <w:t xml:space="preserve"> y </w:t>
      </w:r>
      <w:r>
        <w:rPr>
          <w:smallCaps/>
        </w:rPr>
        <w:t>French</w:t>
      </w:r>
      <w:r>
        <w:t xml:space="preserve"> (1993)</w:t>
      </w:r>
      <w:r w:rsidR="00CA0BF8">
        <w:rPr>
          <w:rStyle w:val="Refdenotaalpie"/>
        </w:rPr>
        <w:footnoteReference w:id="24"/>
      </w:r>
      <w:r w:rsidR="00CA0BF8" w:rsidRPr="00CA0BF8">
        <w:rPr>
          <w:vertAlign w:val="superscript"/>
        </w:rPr>
        <w:t>,</w:t>
      </w:r>
      <w:r w:rsidR="00CA0BF8">
        <w:rPr>
          <w:rStyle w:val="Refdenotaalpie"/>
        </w:rPr>
        <w:footnoteReference w:id="25"/>
      </w:r>
      <w:r>
        <w:t>:</w:t>
      </w:r>
    </w:p>
    <w:p w14:paraId="46A2BE80" w14:textId="3A26F2D1" w:rsidR="007350CB" w:rsidRPr="00C91F5B" w:rsidRDefault="00000000" w:rsidP="007A421F">
      <w:pPr>
        <w:keepNext/>
        <w:spacing w:after="0"/>
        <w:rPr>
          <w:rFonts w:eastAsiaTheme="minorEastAsia"/>
        </w:rPr>
      </w:pPr>
      <m:oMathPara>
        <m:oMath>
          <m:sSub>
            <m:sSubPr>
              <m:ctrlPr>
                <w:rPr>
                  <w:rFonts w:ascii="Cambria Math" w:hAnsi="Cambria Math"/>
                  <w:i/>
                </w:rPr>
              </m:ctrlPr>
            </m:sSubPr>
            <m:e>
              <m:r>
                <m:rPr>
                  <m:nor/>
                </m:rPr>
                <w:rPr>
                  <w:i/>
                </w:rPr>
                <m:t>R</m:t>
              </m:r>
            </m:e>
            <m:sub>
              <m:r>
                <m:rPr>
                  <m:nor/>
                </m:rPr>
                <w:rPr>
                  <w:i/>
                </w:rPr>
                <m:t>it</m:t>
              </m:r>
            </m:sub>
          </m:sSub>
          <m:r>
            <w:rPr>
              <w:rFonts w:ascii="Cambria Math" w:hAnsi="Cambria Math"/>
            </w:rPr>
            <m:t>=</m:t>
          </m:r>
          <m:sSub>
            <m:sSubPr>
              <m:ctrlPr>
                <w:rPr>
                  <w:rFonts w:ascii="Cambria Math" w:hAnsi="Cambria Math"/>
                  <w:i/>
                </w:rPr>
              </m:ctrlPr>
            </m:sSubPr>
            <m:e>
              <m:r>
                <m:rPr>
                  <m:nor/>
                </m:rPr>
                <w:rPr>
                  <w:i/>
                </w:rPr>
                <m:t>E</m:t>
              </m:r>
            </m:e>
            <m:sub>
              <m:r>
                <m:rPr>
                  <m:nor/>
                </m:rPr>
                <w:rPr>
                  <w:i/>
                </w:rPr>
                <m:t>i</m:t>
              </m:r>
            </m:sub>
          </m:sSub>
          <m:r>
            <w:rPr>
              <w:rFonts w:ascii="Cambria Math" w:hAnsi="Cambria Math"/>
            </w:rPr>
            <m:t>+</m:t>
          </m:r>
          <m:sSub>
            <m:sSubPr>
              <m:ctrlPr>
                <w:rPr>
                  <w:rFonts w:ascii="Cambria Math" w:hAnsi="Cambria Math"/>
                  <w:i/>
                </w:rPr>
              </m:ctrlPr>
            </m:sSubPr>
            <m:e>
              <m:r>
                <m:rPr>
                  <m:nor/>
                </m:rPr>
                <w:rPr>
                  <w:i/>
                  <w:iCs/>
                  <w:lang w:val="en-US"/>
                </w:rPr>
                <m:t>β</m:t>
              </m:r>
            </m:e>
            <m:sub>
              <m:r>
                <m:rPr>
                  <m:nor/>
                </m:rPr>
                <w:rPr>
                  <w:i/>
                </w:rPr>
                <m:t>iM</m:t>
              </m:r>
            </m:sub>
          </m:sSub>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R</m:t>
                      </m:r>
                    </m:e>
                    <m:sub>
                      <m:r>
                        <m:rPr>
                          <m:nor/>
                        </m:rPr>
                        <w:rPr>
                          <w:i/>
                        </w:rPr>
                        <m:t>Mt</m:t>
                      </m:r>
                    </m:sub>
                  </m:sSub>
                </m:e>
              </m:groupChr>
            </m:e>
            <m:lim>
              <m:eqArr>
                <m:eqArrPr>
                  <m:ctrlPr>
                    <w:rPr>
                      <w:rFonts w:ascii="Cambria Math" w:hAnsi="Cambria Math"/>
                      <w:i/>
                    </w:rPr>
                  </m:ctrlPr>
                </m:eqArrPr>
                <m:e>
                  <m:r>
                    <m:rPr>
                      <m:nor/>
                    </m:rPr>
                    <w:rPr>
                      <w:i/>
                      <w:sz w:val="16"/>
                      <w:szCs w:val="16"/>
                    </w:rPr>
                    <m:t>Rendimiento</m:t>
                  </m:r>
                </m:e>
                <m:e>
                  <m:r>
                    <m:rPr>
                      <m:nor/>
                    </m:rPr>
                    <w:rPr>
                      <w:i/>
                      <w:sz w:val="16"/>
                      <w:szCs w:val="16"/>
                    </w:rPr>
                    <m:t>del índice</m:t>
                  </m:r>
                  <m:ctrlPr>
                    <w:rPr>
                      <w:rFonts w:ascii="Cambria Math" w:eastAsia="Cambria Math" w:hAnsi="Cambria Math" w:cs="Cambria Math"/>
                      <w:i/>
                    </w:rPr>
                  </m:ctrlPr>
                </m:e>
                <m:e>
                  <m:r>
                    <m:rPr>
                      <m:nor/>
                    </m:rPr>
                    <w:rPr>
                      <w:i/>
                    </w:rPr>
                    <m:t xml:space="preserve"> </m:t>
                  </m:r>
                  <m:r>
                    <m:rPr>
                      <m:nor/>
                    </m:rPr>
                    <w:rPr>
                      <w:i/>
                      <w:sz w:val="16"/>
                      <w:szCs w:val="16"/>
                    </w:rPr>
                    <m:t>de mercado</m:t>
                  </m:r>
                </m:e>
              </m:eqArr>
            </m:lim>
          </m:limLow>
          <m:r>
            <w:rPr>
              <w:rFonts w:ascii="Cambria Math" w:hAnsi="Cambria Math"/>
            </w:rPr>
            <m:t>+</m:t>
          </m:r>
          <m:sSub>
            <m:sSubPr>
              <m:ctrlPr>
                <w:rPr>
                  <w:rFonts w:ascii="Cambria Math" w:hAnsi="Cambria Math"/>
                  <w:i/>
                </w:rPr>
              </m:ctrlPr>
            </m:sSubPr>
            <m:e>
              <m:r>
                <m:rPr>
                  <m:nor/>
                </m:rPr>
                <w:rPr>
                  <w:i/>
                  <w:iCs/>
                  <w:lang w:val="en-US"/>
                </w:rPr>
                <m:t>β</m:t>
              </m:r>
            </m:e>
            <m:sub>
              <m:r>
                <m:rPr>
                  <m:nor/>
                </m:rPr>
                <w:rPr>
                  <w:i/>
                </w:rPr>
                <m:t>iSMB</m:t>
              </m:r>
            </m:sub>
          </m:sSub>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SMB</m:t>
                      </m:r>
                    </m:e>
                    <m:sub>
                      <m:r>
                        <m:rPr>
                          <m:nor/>
                        </m:rPr>
                        <w:rPr>
                          <w:i/>
                        </w:rPr>
                        <m:t>t</m:t>
                      </m:r>
                    </m:sub>
                  </m:sSub>
                </m:e>
              </m:groupChr>
            </m:e>
            <m:lim>
              <m:eqArr>
                <m:eqArrPr>
                  <m:ctrlPr>
                    <w:rPr>
                      <w:rFonts w:ascii="Cambria Math" w:hAnsi="Cambria Math"/>
                      <w:i/>
                    </w:rPr>
                  </m:ctrlPr>
                </m:eqArrPr>
                <m:e>
                  <m:r>
                    <m:rPr>
                      <m:nor/>
                    </m:rPr>
                    <w:rPr>
                      <w:i/>
                      <w:sz w:val="16"/>
                      <w:szCs w:val="16"/>
                    </w:rPr>
                    <m:t>Small-Minus-Big</m:t>
                  </m:r>
                </m:e>
                <m:e>
                  <m:r>
                    <m:rPr>
                      <m:nor/>
                    </m:rPr>
                    <w:rPr>
                      <w:i/>
                    </w:rPr>
                    <m:t xml:space="preserve"> </m:t>
                  </m:r>
                  <m:d>
                    <m:dPr>
                      <m:ctrlPr>
                        <w:rPr>
                          <w:rFonts w:ascii="Cambria Math" w:hAnsi="Cambria Math"/>
                          <w:i/>
                          <w:sz w:val="16"/>
                          <w:szCs w:val="16"/>
                          <w:lang w:val="en-US"/>
                        </w:rPr>
                      </m:ctrlPr>
                    </m:dPr>
                    <m:e>
                      <m:eqArr>
                        <m:eqArrPr>
                          <m:ctrlPr>
                            <w:rPr>
                              <w:rFonts w:ascii="Cambria Math" w:hAnsi="Cambria Math"/>
                              <w:i/>
                              <w:sz w:val="16"/>
                              <w:szCs w:val="16"/>
                              <w:lang w:val="en-US"/>
                            </w:rPr>
                          </m:ctrlPr>
                        </m:eqArrPr>
                        <m:e>
                          <m:r>
                            <m:rPr>
                              <m:nor/>
                            </m:rPr>
                            <w:rPr>
                              <w:i/>
                              <w:sz w:val="16"/>
                              <w:szCs w:val="16"/>
                            </w:rPr>
                            <m:t>Mayor rentabilidad</m:t>
                          </m:r>
                        </m:e>
                        <m:e>
                          <m:r>
                            <m:rPr>
                              <m:nor/>
                            </m:rPr>
                            <w:rPr>
                              <w:i/>
                              <w:sz w:val="16"/>
                              <w:szCs w:val="16"/>
                            </w:rPr>
                            <m:t>por invertir en</m:t>
                          </m:r>
                          <m:ctrlPr>
                            <w:rPr>
                              <w:rFonts w:ascii="Cambria Math" w:eastAsia="Cambria Math" w:hAnsi="Cambria Math" w:cs="Cambria Math"/>
                              <w:i/>
                              <w:sz w:val="16"/>
                              <w:szCs w:val="16"/>
                              <w:lang w:val="en-US"/>
                            </w:rPr>
                          </m:ctrlPr>
                        </m:e>
                        <m:e>
                          <m:r>
                            <m:rPr>
                              <m:nor/>
                            </m:rPr>
                            <w:rPr>
                              <w:i/>
                              <w:sz w:val="16"/>
                              <w:szCs w:val="16"/>
                            </w:rPr>
                            <m:t>empresas pequeñas</m:t>
                          </m:r>
                        </m:e>
                      </m:eqArr>
                    </m:e>
                  </m:d>
                </m:e>
              </m:eqArr>
            </m:lim>
          </m:limLow>
          <m:r>
            <w:rPr>
              <w:rFonts w:ascii="Cambria Math" w:hAnsi="Cambria Math"/>
            </w:rPr>
            <m:t>+</m:t>
          </m:r>
          <m:sSub>
            <m:sSubPr>
              <m:ctrlPr>
                <w:rPr>
                  <w:rFonts w:ascii="Cambria Math" w:hAnsi="Cambria Math"/>
                  <w:i/>
                </w:rPr>
              </m:ctrlPr>
            </m:sSubPr>
            <m:e>
              <m:r>
                <m:rPr>
                  <m:nor/>
                </m:rPr>
                <w:rPr>
                  <w:i/>
                  <w:iCs/>
                  <w:lang w:val="en-US"/>
                </w:rPr>
                <m:t>β</m:t>
              </m:r>
            </m:e>
            <m:sub>
              <m:r>
                <m:rPr>
                  <m:nor/>
                </m:rPr>
                <w:rPr>
                  <w:i/>
                </w:rPr>
                <m:t>iHML</m:t>
              </m:r>
            </m:sub>
          </m:sSub>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HML</m:t>
                      </m:r>
                    </m:e>
                    <m:sub>
                      <m:r>
                        <m:rPr>
                          <m:nor/>
                        </m:rPr>
                        <w:rPr>
                          <w:i/>
                        </w:rPr>
                        <m:t>t</m:t>
                      </m:r>
                    </m:sub>
                  </m:sSub>
                </m:e>
              </m:groupChr>
            </m:e>
            <m:lim>
              <m:eqArr>
                <m:eqArrPr>
                  <m:ctrlPr>
                    <w:rPr>
                      <w:rFonts w:ascii="Cambria Math" w:hAnsi="Cambria Math"/>
                      <w:i/>
                    </w:rPr>
                  </m:ctrlPr>
                </m:eqArrPr>
                <m:e>
                  <m:r>
                    <m:rPr>
                      <m:nor/>
                    </m:rPr>
                    <w:rPr>
                      <w:i/>
                      <w:sz w:val="16"/>
                      <w:szCs w:val="16"/>
                    </w:rPr>
                    <m:t>High-Minus-Low</m:t>
                  </m:r>
                </m:e>
                <m:e>
                  <m:r>
                    <m:rPr>
                      <m:nor/>
                    </m:rPr>
                    <w:rPr>
                      <w:i/>
                    </w:rPr>
                    <m:t xml:space="preserve"> </m:t>
                  </m:r>
                  <m:d>
                    <m:dPr>
                      <m:ctrlPr>
                        <w:rPr>
                          <w:rFonts w:ascii="Cambria Math" w:hAnsi="Cambria Math"/>
                          <w:i/>
                          <w:sz w:val="16"/>
                          <w:szCs w:val="16"/>
                          <w:lang w:val="en-US"/>
                        </w:rPr>
                      </m:ctrlPr>
                    </m:dPr>
                    <m:e>
                      <m:eqArr>
                        <m:eqArrPr>
                          <m:ctrlPr>
                            <w:rPr>
                              <w:rFonts w:ascii="Cambria Math" w:hAnsi="Cambria Math"/>
                              <w:i/>
                              <w:sz w:val="16"/>
                              <w:szCs w:val="16"/>
                              <w:lang w:val="en-US"/>
                            </w:rPr>
                          </m:ctrlPr>
                        </m:eqArrPr>
                        <m:e>
                          <m:r>
                            <m:rPr>
                              <m:nor/>
                            </m:rPr>
                            <w:rPr>
                              <w:i/>
                              <w:sz w:val="16"/>
                              <w:szCs w:val="16"/>
                            </w:rPr>
                            <m:t>Mayor rentabilidad</m:t>
                          </m:r>
                        </m:e>
                        <m:e>
                          <m:r>
                            <m:rPr>
                              <m:nor/>
                            </m:rPr>
                            <w:rPr>
                              <w:i/>
                              <w:sz w:val="16"/>
                              <w:szCs w:val="16"/>
                            </w:rPr>
                            <m:t xml:space="preserve">por invertir en empresas </m:t>
                          </m:r>
                          <m:ctrlPr>
                            <w:rPr>
                              <w:rFonts w:ascii="Cambria Math" w:eastAsia="Cambria Math" w:hAnsi="Cambria Math" w:cs="Cambria Math"/>
                              <w:i/>
                              <w:sz w:val="16"/>
                              <w:szCs w:val="16"/>
                              <w:lang w:val="en-US"/>
                            </w:rPr>
                          </m:ctrlPr>
                        </m:e>
                        <m:e>
                          <m:r>
                            <m:rPr>
                              <m:nor/>
                            </m:rPr>
                            <w:rPr>
                              <w:i/>
                              <w:sz w:val="16"/>
                              <w:szCs w:val="16"/>
                            </w:rPr>
                            <m:t>con mayor valor contable</m:t>
                          </m:r>
                          <m:ctrlPr>
                            <w:rPr>
                              <w:rFonts w:ascii="Cambria Math" w:eastAsia="Cambria Math" w:hAnsi="Cambria Math" w:cs="Cambria Math"/>
                              <w:i/>
                              <w:sz w:val="16"/>
                              <w:szCs w:val="16"/>
                            </w:rPr>
                          </m:ctrlPr>
                        </m:e>
                        <m:e>
                          <m:r>
                            <m:rPr>
                              <m:nor/>
                            </m:rPr>
                            <w:rPr>
                              <w:rFonts w:eastAsia="Cambria Math" w:cs="Cambria Math"/>
                              <w:i/>
                              <w:iCs/>
                              <w:sz w:val="16"/>
                              <w:szCs w:val="16"/>
                            </w:rPr>
                            <m:t>relativo al valor del mercado</m:t>
                          </m:r>
                        </m:e>
                      </m:eqArr>
                    </m:e>
                  </m:d>
                </m:e>
              </m:eqArr>
            </m:lim>
          </m:limLow>
          <m:r>
            <w:rPr>
              <w:rFonts w:ascii="Cambria Math" w:hAnsi="Cambria Math"/>
            </w:rPr>
            <m:t>+</m:t>
          </m:r>
          <m:sSub>
            <m:sSubPr>
              <m:ctrlPr>
                <w:rPr>
                  <w:rFonts w:ascii="Cambria Math" w:hAnsi="Cambria Math"/>
                  <w:i/>
                </w:rPr>
              </m:ctrlPr>
            </m:sSubPr>
            <m:e>
              <m:r>
                <m:rPr>
                  <m:nor/>
                </m:rPr>
                <w:rPr>
                  <w:i/>
                </w:rPr>
                <m:t>ε</m:t>
              </m:r>
            </m:e>
            <m:sub>
              <m:r>
                <m:rPr>
                  <m:nor/>
                </m:rPr>
                <w:rPr>
                  <w:i/>
                </w:rPr>
                <m:t>it</m:t>
              </m:r>
            </m:sub>
          </m:sSub>
          <m:r>
            <m:rPr>
              <m:sty m:val="p"/>
            </m:rPr>
            <w:rPr>
              <w:rFonts w:eastAsiaTheme="minorEastAsia"/>
            </w:rPr>
            <w:br/>
          </m:r>
        </m:oMath>
      </m:oMathPara>
      <w:r w:rsidR="00F206EC" w:rsidRPr="00C91F5B">
        <w:rPr>
          <w:rFonts w:eastAsiaTheme="minorEastAsia"/>
        </w:rPr>
        <w:t xml:space="preserve">es decir, para estos autores, el rendimiento esperado de un activo depende de </w:t>
      </w:r>
      <w:r w:rsidR="00F206EC" w:rsidRPr="00C91F5B">
        <w:rPr>
          <w:rFonts w:eastAsiaTheme="minorEastAsia"/>
          <w:b/>
          <w:bCs/>
        </w:rPr>
        <w:t>3</w:t>
      </w:r>
      <w:r w:rsidR="00C91F5B" w:rsidRPr="00C91F5B">
        <w:rPr>
          <w:rFonts w:eastAsiaTheme="minorEastAsia"/>
          <w:b/>
          <w:bCs/>
        </w:rPr>
        <w:t> </w:t>
      </w:r>
      <w:r w:rsidR="00F206EC" w:rsidRPr="00C91F5B">
        <w:rPr>
          <w:rFonts w:eastAsiaTheme="minorEastAsia"/>
          <w:b/>
          <w:bCs/>
        </w:rPr>
        <w:t>factores de riesgo sistemático</w:t>
      </w:r>
      <w:r w:rsidR="00F206EC" w:rsidRPr="00C91F5B">
        <w:rPr>
          <w:rFonts w:eastAsiaTheme="minorEastAsia"/>
        </w:rPr>
        <w:t>:</w:t>
      </w:r>
    </w:p>
    <w:p w14:paraId="3BA07B84" w14:textId="7388D662" w:rsidR="00F206EC" w:rsidRDefault="00F206EC">
      <w:pPr>
        <w:pStyle w:val="Prrafodelista"/>
        <w:numPr>
          <w:ilvl w:val="0"/>
          <w:numId w:val="25"/>
        </w:numPr>
        <w:spacing w:after="100"/>
        <w:ind w:left="568" w:hanging="284"/>
      </w:pPr>
      <w:r>
        <w:rPr>
          <w:i/>
          <w:iCs/>
        </w:rPr>
        <w:t>Índice de mercado</w:t>
      </w:r>
      <w:r w:rsidR="001F77B7">
        <w:t>: S</w:t>
      </w:r>
      <w:r>
        <w:t xml:space="preserve">upone un </w:t>
      </w:r>
      <w:r>
        <w:rPr>
          <w:i/>
          <w:iCs/>
        </w:rPr>
        <w:t>proxy</w:t>
      </w:r>
      <w:r w:rsidRPr="00F206EC">
        <w:t xml:space="preserve"> de </w:t>
      </w:r>
      <w:r>
        <w:t>factores macroeconómicos.</w:t>
      </w:r>
    </w:p>
    <w:p w14:paraId="0425ACCF" w14:textId="42CFB846" w:rsidR="00F206EC" w:rsidRDefault="00F206EC">
      <w:pPr>
        <w:pStyle w:val="Prrafodelista"/>
        <w:numPr>
          <w:ilvl w:val="0"/>
          <w:numId w:val="25"/>
        </w:numPr>
        <w:spacing w:after="100"/>
        <w:ind w:left="568" w:hanging="284"/>
      </w:pPr>
      <w:r w:rsidRPr="00F206EC">
        <w:rPr>
          <w:i/>
          <w:iCs/>
        </w:rPr>
        <w:t xml:space="preserve">Índice </w:t>
      </w:r>
      <w:proofErr w:type="spellStart"/>
      <w:r w:rsidRPr="00F206EC">
        <w:rPr>
          <w:i/>
          <w:iCs/>
        </w:rPr>
        <w:t>small-minus-big</w:t>
      </w:r>
      <w:proofErr w:type="spellEnd"/>
      <w:r w:rsidRPr="00F206EC">
        <w:t>: Mide el exceso de r</w:t>
      </w:r>
      <w:r>
        <w:t>entabilidad de acciones de empresas pequeñas con respecto a las acciones de empresas grandes.</w:t>
      </w:r>
    </w:p>
    <w:p w14:paraId="703EA847" w14:textId="2AFC85E3" w:rsidR="00F206EC" w:rsidRPr="00F206EC" w:rsidRDefault="00F206EC">
      <w:pPr>
        <w:pStyle w:val="Prrafodelista"/>
        <w:keepNext/>
        <w:numPr>
          <w:ilvl w:val="0"/>
          <w:numId w:val="25"/>
        </w:numPr>
        <w:spacing w:after="0"/>
        <w:ind w:left="568" w:hanging="284"/>
      </w:pPr>
      <w:r w:rsidRPr="00F206EC">
        <w:rPr>
          <w:i/>
          <w:iCs/>
        </w:rPr>
        <w:t xml:space="preserve">Índice </w:t>
      </w:r>
      <w:proofErr w:type="spellStart"/>
      <w:r w:rsidRPr="00F206EC">
        <w:rPr>
          <w:i/>
          <w:iCs/>
        </w:rPr>
        <w:t>high-minus-low</w:t>
      </w:r>
      <w:proofErr w:type="spellEnd"/>
      <w:r w:rsidRPr="00F206EC">
        <w:t xml:space="preserve">: Mide el exceso de </w:t>
      </w:r>
      <w:r>
        <w:t xml:space="preserve">rentabilidad de acciones con mayor valor contable </w:t>
      </w:r>
      <w:r w:rsidR="00BE3C0E">
        <w:t>con respecto</w:t>
      </w:r>
      <w:r>
        <w:t xml:space="preserve"> a la de acciones con un bajo valor contable.</w:t>
      </w:r>
    </w:p>
    <w:p w14:paraId="6C730BCA" w14:textId="08B08795" w:rsidR="007350CB" w:rsidRDefault="007350CB" w:rsidP="00CA0BF8">
      <w:pPr>
        <w:pStyle w:val="Nivel3SM"/>
      </w:pPr>
      <w:r>
        <w:rPr>
          <w:smallCaps/>
        </w:rPr>
        <w:t>Fama</w:t>
      </w:r>
      <w:r>
        <w:t xml:space="preserve"> y </w:t>
      </w:r>
      <w:r>
        <w:rPr>
          <w:smallCaps/>
        </w:rPr>
        <w:t>French</w:t>
      </w:r>
      <w:r>
        <w:t xml:space="preserve"> consideran que estos factores van a permitir valorar de forma adecuada los activos, pero se verán sujetos a diversas críticas porque podríamos tener en cuenta distintos factores propuestos por otros autores.</w:t>
      </w:r>
    </w:p>
    <w:p w14:paraId="149835AD" w14:textId="77777777" w:rsidR="007350CB" w:rsidRDefault="007350CB" w:rsidP="007350CB">
      <w:pPr>
        <w:pStyle w:val="Ttulo7"/>
      </w:pPr>
      <w:bookmarkStart w:id="72" w:name="_Toc144911978"/>
      <w:r>
        <w:t>Implicaciones</w:t>
      </w:r>
      <w:bookmarkEnd w:id="72"/>
    </w:p>
    <w:p w14:paraId="2E4FF9E7" w14:textId="0E9333E9" w:rsidR="007350CB" w:rsidRPr="001D08C1" w:rsidRDefault="007350CB" w:rsidP="001675F6">
      <w:pPr>
        <w:pStyle w:val="Nivel1SM"/>
        <w:spacing w:before="0"/>
      </w:pPr>
      <w:r>
        <w:t xml:space="preserve">La </w:t>
      </w:r>
      <w:r w:rsidR="00F206EC">
        <w:t>APT</w:t>
      </w:r>
      <w:r>
        <w:t xml:space="preserve"> sostiene que, en un mercado en equilibrio, no debe haber oportunidades de obtener ganancias por mecanismos de arbitraje; es decir, no puede haber ganancias si no se ha invertido y si no se ha asumido un riesgo en la inversión. El APT no establece ni cuántos ni cuáles son los factores de riesgo no diversificables o sistemáticos que afectan el rendimiento de una cartera de valores, a diferencia del CAPM el cual establece el índice del mercado como factor único e identificable de las variaciones del rendimiento de la cartera.</w:t>
      </w:r>
    </w:p>
    <w:p w14:paraId="4D32D468" w14:textId="77777777" w:rsidR="007350CB" w:rsidRPr="000A0816" w:rsidRDefault="007350CB" w:rsidP="00F206EC">
      <w:pPr>
        <w:pStyle w:val="Nivel1SM"/>
      </w:pPr>
      <w:r>
        <w:t xml:space="preserve">De este modo, la principal conclusión de la APT es que la rentabilidad esperada de un título es una combinación lineal de los coeficientes de riesgo sistemático del título respecto de los </w:t>
      </w:r>
      <w:r>
        <w:rPr>
          <w:i/>
          <w:iCs/>
        </w:rPr>
        <w:t>k</w:t>
      </w:r>
      <w:r>
        <w:t xml:space="preserve"> factores de riesgo, siendo los términos de proporcionalidad las primas por riesgo asociadas con cada uno de los factores de riesgo. El modelo CAPM podría considerarse como un caso particular del modelo general de APT.</w:t>
      </w:r>
    </w:p>
    <w:p w14:paraId="320B6A2E" w14:textId="77777777" w:rsidR="007350CB" w:rsidRDefault="007350CB" w:rsidP="007350CB">
      <w:pPr>
        <w:pStyle w:val="Ttulo6"/>
      </w:pPr>
      <w:bookmarkStart w:id="73" w:name="_Toc144911979"/>
      <w:r>
        <w:t>Valoración</w:t>
      </w:r>
      <w:bookmarkEnd w:id="73"/>
    </w:p>
    <w:p w14:paraId="7AF53CBA" w14:textId="77777777" w:rsidR="007350CB" w:rsidRDefault="007350CB" w:rsidP="001675F6">
      <w:pPr>
        <w:pStyle w:val="Nivel1SM"/>
        <w:spacing w:before="0"/>
      </w:pPr>
      <w:r>
        <w:t>La APT es interesante en la medida que busca una explicación alternativa a la valoración de activos buscando superar los planteamientos del CAPM empleando unos supuestos menos exigentes que aquel modelo.</w:t>
      </w:r>
    </w:p>
    <w:p w14:paraId="2D27997E" w14:textId="77777777" w:rsidR="007350CB" w:rsidRDefault="007350CB" w:rsidP="00E6239C">
      <w:pPr>
        <w:pStyle w:val="Nivel1SM"/>
        <w:keepNext/>
        <w:spacing w:after="0"/>
      </w:pPr>
      <w:r>
        <w:t xml:space="preserve">Sin embargo, la APT está sujeto también a una serie de </w:t>
      </w:r>
      <w:r w:rsidRPr="008D5640">
        <w:rPr>
          <w:b/>
          <w:bCs/>
        </w:rPr>
        <w:t>críticas</w:t>
      </w:r>
      <w:r>
        <w:t>:</w:t>
      </w:r>
    </w:p>
    <w:p w14:paraId="63383C3B" w14:textId="5A62F948" w:rsidR="007350CB" w:rsidRDefault="007350CB" w:rsidP="00E6239C">
      <w:pPr>
        <w:pStyle w:val="Nivel2SM"/>
      </w:pPr>
      <w:r>
        <w:t xml:space="preserve">En contra de las observaciones empíricas del propio </w:t>
      </w:r>
      <w:r>
        <w:rPr>
          <w:smallCaps/>
        </w:rPr>
        <w:t>Ross</w:t>
      </w:r>
      <w:r>
        <w:t xml:space="preserve"> de que entre 3 y 5</w:t>
      </w:r>
      <w:r w:rsidR="00C91F5B">
        <w:t> </w:t>
      </w:r>
      <w:r>
        <w:t xml:space="preserve">factores de riesgo son suficientes para caracterizar el riesgo del mercado de valores, otros autores señalan que el </w:t>
      </w:r>
      <w:r w:rsidRPr="00701781">
        <w:t>número de factores a tener en cuenta sería muy superior, y dependiendo a qué sector pertenezcan los títulos de la cartera nos interesa tener en cuenta unos factores u otros</w:t>
      </w:r>
      <w:r>
        <w:rPr>
          <w:rStyle w:val="Refdenotaalpie"/>
        </w:rPr>
        <w:footnoteReference w:id="26"/>
      </w:r>
      <w:r>
        <w:t>.</w:t>
      </w:r>
    </w:p>
    <w:p w14:paraId="7F6B8BE1" w14:textId="77777777" w:rsidR="007350CB" w:rsidRDefault="007350CB" w:rsidP="00E6239C">
      <w:pPr>
        <w:pStyle w:val="Nivel2SM"/>
      </w:pPr>
      <w:r>
        <w:lastRenderedPageBreak/>
        <w:t xml:space="preserve">Otra crítica más rotunda es, sin embargo, la </w:t>
      </w:r>
      <w:r w:rsidRPr="00B468FF">
        <w:t>falta</w:t>
      </w:r>
      <w:r>
        <w:t xml:space="preserve"> de fundamento teórico-económico sobre el comportamiento del precio o rentabilidad de los activos financieros, suponiendo en realidad la APT un enfoque empírico.</w:t>
      </w:r>
    </w:p>
    <w:tbl>
      <w:tblPr>
        <w:tblStyle w:val="Tablaconcuadrcula"/>
        <w:tblW w:w="10884" w:type="dxa"/>
        <w:tblInd w:w="-714" w:type="dxa"/>
        <w:tblLook w:val="04A0" w:firstRow="1" w:lastRow="0" w:firstColumn="1" w:lastColumn="0" w:noHBand="0" w:noVBand="1"/>
      </w:tblPr>
      <w:tblGrid>
        <w:gridCol w:w="3628"/>
        <w:gridCol w:w="3628"/>
        <w:gridCol w:w="3628"/>
      </w:tblGrid>
      <w:tr w:rsidR="007350CB" w14:paraId="11933F98" w14:textId="77777777" w:rsidTr="00E6239C">
        <w:trPr>
          <w:tblHeader/>
        </w:trPr>
        <w:tc>
          <w:tcPr>
            <w:tcW w:w="10884" w:type="dxa"/>
            <w:gridSpan w:val="3"/>
          </w:tcPr>
          <w:p w14:paraId="5BE23EE2" w14:textId="77777777" w:rsidR="007350CB" w:rsidRDefault="007350CB" w:rsidP="001675F6">
            <w:pPr>
              <w:pStyle w:val="Nivel1"/>
              <w:keepNext/>
              <w:numPr>
                <w:ilvl w:val="0"/>
                <w:numId w:val="0"/>
              </w:numPr>
              <w:spacing w:before="0" w:after="0"/>
              <w:jc w:val="center"/>
            </w:pPr>
            <w:r w:rsidRPr="00EC1D31">
              <w:rPr>
                <w:b/>
                <w:bCs/>
              </w:rPr>
              <w:t>Diferencias</w:t>
            </w:r>
            <w:r>
              <w:t xml:space="preserve"> y </w:t>
            </w:r>
            <w:r w:rsidRPr="00EC1D31">
              <w:rPr>
                <w:b/>
                <w:bCs/>
              </w:rPr>
              <w:t>semejanzas</w:t>
            </w:r>
            <w:r>
              <w:t xml:space="preserve"> entre </w:t>
            </w:r>
            <w:r w:rsidRPr="00EC1D31">
              <w:rPr>
                <w:b/>
                <w:bCs/>
              </w:rPr>
              <w:t>CAPM</w:t>
            </w:r>
            <w:r>
              <w:t xml:space="preserve"> y </w:t>
            </w:r>
            <w:r w:rsidRPr="00EC1D31">
              <w:rPr>
                <w:b/>
                <w:bCs/>
              </w:rPr>
              <w:t>APT</w:t>
            </w:r>
          </w:p>
        </w:tc>
      </w:tr>
      <w:tr w:rsidR="007350CB" w14:paraId="17E85993" w14:textId="77777777" w:rsidTr="00E6239C">
        <w:trPr>
          <w:tblHeader/>
        </w:trPr>
        <w:tc>
          <w:tcPr>
            <w:tcW w:w="3628" w:type="dxa"/>
          </w:tcPr>
          <w:p w14:paraId="58FB5560" w14:textId="77777777" w:rsidR="007350CB" w:rsidRPr="00EC1D31" w:rsidRDefault="007350CB" w:rsidP="001675F6">
            <w:pPr>
              <w:pStyle w:val="Nivel1"/>
              <w:keepNext/>
              <w:numPr>
                <w:ilvl w:val="0"/>
                <w:numId w:val="0"/>
              </w:numPr>
              <w:spacing w:before="0" w:after="0"/>
              <w:jc w:val="center"/>
              <w:rPr>
                <w:b/>
                <w:bCs/>
              </w:rPr>
            </w:pPr>
            <w:r w:rsidRPr="00EC1D31">
              <w:rPr>
                <w:b/>
                <w:bCs/>
              </w:rPr>
              <w:t>CAPM</w:t>
            </w:r>
          </w:p>
        </w:tc>
        <w:tc>
          <w:tcPr>
            <w:tcW w:w="3628" w:type="dxa"/>
          </w:tcPr>
          <w:p w14:paraId="3D0735B1" w14:textId="77777777" w:rsidR="007350CB" w:rsidRPr="00EC1D31" w:rsidRDefault="007350CB" w:rsidP="001675F6">
            <w:pPr>
              <w:pStyle w:val="Nivel1"/>
              <w:keepNext/>
              <w:numPr>
                <w:ilvl w:val="0"/>
                <w:numId w:val="0"/>
              </w:numPr>
              <w:spacing w:before="0" w:after="0"/>
              <w:jc w:val="center"/>
              <w:rPr>
                <w:b/>
                <w:bCs/>
              </w:rPr>
            </w:pPr>
            <w:r w:rsidRPr="00EC1D31">
              <w:rPr>
                <w:b/>
                <w:bCs/>
              </w:rPr>
              <w:t>Ambos</w:t>
            </w:r>
          </w:p>
        </w:tc>
        <w:tc>
          <w:tcPr>
            <w:tcW w:w="3628" w:type="dxa"/>
          </w:tcPr>
          <w:p w14:paraId="58A39DC4" w14:textId="77777777" w:rsidR="007350CB" w:rsidRPr="00EC1D31" w:rsidRDefault="007350CB" w:rsidP="001675F6">
            <w:pPr>
              <w:pStyle w:val="Nivel1"/>
              <w:keepNext/>
              <w:numPr>
                <w:ilvl w:val="0"/>
                <w:numId w:val="0"/>
              </w:numPr>
              <w:spacing w:before="0" w:after="0"/>
              <w:jc w:val="center"/>
              <w:rPr>
                <w:b/>
                <w:bCs/>
              </w:rPr>
            </w:pPr>
            <w:r w:rsidRPr="00EC1D31">
              <w:rPr>
                <w:b/>
                <w:bCs/>
              </w:rPr>
              <w:t>APT</w:t>
            </w:r>
          </w:p>
        </w:tc>
      </w:tr>
      <w:tr w:rsidR="007350CB" w14:paraId="07ACD08C" w14:textId="77777777" w:rsidTr="00B40204">
        <w:tc>
          <w:tcPr>
            <w:tcW w:w="3628" w:type="dxa"/>
          </w:tcPr>
          <w:p w14:paraId="47C1090F" w14:textId="77777777" w:rsidR="007350CB" w:rsidRPr="00EC1D31" w:rsidRDefault="007350CB" w:rsidP="001675F6">
            <w:pPr>
              <w:pStyle w:val="Nivel1"/>
              <w:keepNext/>
              <w:numPr>
                <w:ilvl w:val="0"/>
                <w:numId w:val="0"/>
              </w:numPr>
              <w:spacing w:before="0" w:after="0"/>
              <w:rPr>
                <w:sz w:val="18"/>
                <w:szCs w:val="18"/>
              </w:rPr>
            </w:pPr>
          </w:p>
        </w:tc>
        <w:tc>
          <w:tcPr>
            <w:tcW w:w="3628" w:type="dxa"/>
          </w:tcPr>
          <w:p w14:paraId="5385682E" w14:textId="77777777" w:rsidR="007350CB" w:rsidRPr="00EC1D31" w:rsidRDefault="007350CB" w:rsidP="001675F6">
            <w:pPr>
              <w:pStyle w:val="Nivel1"/>
              <w:keepNext/>
              <w:numPr>
                <w:ilvl w:val="0"/>
                <w:numId w:val="0"/>
              </w:numPr>
              <w:spacing w:before="0" w:after="0"/>
              <w:rPr>
                <w:sz w:val="18"/>
                <w:szCs w:val="18"/>
              </w:rPr>
            </w:pPr>
            <w:r w:rsidRPr="00EC1D31">
              <w:rPr>
                <w:sz w:val="18"/>
                <w:szCs w:val="18"/>
              </w:rPr>
              <w:t xml:space="preserve">El </w:t>
            </w:r>
            <w:r w:rsidRPr="00E052DC">
              <w:rPr>
                <w:sz w:val="18"/>
                <w:szCs w:val="18"/>
                <w:u w:val="single"/>
              </w:rPr>
              <w:t>objetivo</w:t>
            </w:r>
            <w:r w:rsidRPr="00EC1D31">
              <w:rPr>
                <w:sz w:val="18"/>
                <w:szCs w:val="18"/>
              </w:rPr>
              <w:t xml:space="preserve"> de ambos modelos es el mismo: estimar la prima por riesgo que hay que añadir al rendimiento sin riesgo que hay en el mercado para obtener la tasa de rendimiento exigidas por el inversor.</w:t>
            </w:r>
          </w:p>
        </w:tc>
        <w:tc>
          <w:tcPr>
            <w:tcW w:w="3628" w:type="dxa"/>
          </w:tcPr>
          <w:p w14:paraId="3FFA7D7C" w14:textId="77777777" w:rsidR="007350CB" w:rsidRPr="00EC1D31" w:rsidRDefault="007350CB" w:rsidP="001675F6">
            <w:pPr>
              <w:pStyle w:val="Nivel1"/>
              <w:keepNext/>
              <w:numPr>
                <w:ilvl w:val="0"/>
                <w:numId w:val="0"/>
              </w:numPr>
              <w:spacing w:before="0" w:after="0"/>
              <w:rPr>
                <w:sz w:val="18"/>
                <w:szCs w:val="18"/>
              </w:rPr>
            </w:pPr>
          </w:p>
        </w:tc>
      </w:tr>
      <w:tr w:rsidR="007350CB" w14:paraId="1B9A71DD" w14:textId="77777777" w:rsidTr="00B40204">
        <w:tc>
          <w:tcPr>
            <w:tcW w:w="3628" w:type="dxa"/>
          </w:tcPr>
          <w:p w14:paraId="0BC93DD0" w14:textId="77777777" w:rsidR="007350CB" w:rsidRPr="00EC1D31" w:rsidRDefault="007350CB" w:rsidP="001675F6">
            <w:pPr>
              <w:pStyle w:val="Nivel1"/>
              <w:keepNext/>
              <w:numPr>
                <w:ilvl w:val="0"/>
                <w:numId w:val="0"/>
              </w:numPr>
              <w:spacing w:before="0" w:after="0"/>
              <w:rPr>
                <w:sz w:val="18"/>
                <w:szCs w:val="18"/>
              </w:rPr>
            </w:pPr>
          </w:p>
        </w:tc>
        <w:tc>
          <w:tcPr>
            <w:tcW w:w="3628" w:type="dxa"/>
          </w:tcPr>
          <w:p w14:paraId="42551BD2" w14:textId="77777777" w:rsidR="007350CB" w:rsidRPr="00EC1D31" w:rsidRDefault="007350CB" w:rsidP="001675F6">
            <w:pPr>
              <w:pStyle w:val="Nivel1"/>
              <w:keepNext/>
              <w:numPr>
                <w:ilvl w:val="0"/>
                <w:numId w:val="0"/>
              </w:numPr>
              <w:spacing w:before="0" w:after="0"/>
              <w:rPr>
                <w:sz w:val="18"/>
                <w:szCs w:val="18"/>
              </w:rPr>
            </w:pPr>
            <w:r>
              <w:rPr>
                <w:sz w:val="18"/>
                <w:szCs w:val="18"/>
              </w:rPr>
              <w:t xml:space="preserve">Ambas teorías </w:t>
            </w:r>
            <w:r w:rsidRPr="00E052DC">
              <w:rPr>
                <w:sz w:val="18"/>
                <w:szCs w:val="18"/>
                <w:u w:val="single"/>
              </w:rPr>
              <w:t>asumen</w:t>
            </w:r>
            <w:r w:rsidRPr="00E052DC">
              <w:rPr>
                <w:sz w:val="18"/>
                <w:szCs w:val="18"/>
              </w:rPr>
              <w:t xml:space="preserve"> que el</w:t>
            </w:r>
            <w:r>
              <w:rPr>
                <w:sz w:val="18"/>
                <w:szCs w:val="18"/>
              </w:rPr>
              <w:t xml:space="preserve"> </w:t>
            </w:r>
            <w:r w:rsidRPr="00E052DC">
              <w:rPr>
                <w:i/>
                <w:iCs/>
                <w:sz w:val="18"/>
                <w:szCs w:val="18"/>
              </w:rPr>
              <w:t>mercado está en equilibrio y es eficiente</w:t>
            </w:r>
            <w:r w:rsidRPr="00E052DC">
              <w:rPr>
                <w:sz w:val="18"/>
                <w:szCs w:val="18"/>
              </w:rPr>
              <w:t>,</w:t>
            </w:r>
            <w:r>
              <w:rPr>
                <w:sz w:val="18"/>
                <w:szCs w:val="18"/>
              </w:rPr>
              <w:t xml:space="preserve"> </w:t>
            </w:r>
            <w:r w:rsidRPr="00E052DC">
              <w:rPr>
                <w:sz w:val="18"/>
                <w:szCs w:val="18"/>
              </w:rPr>
              <w:t xml:space="preserve">significando por </w:t>
            </w:r>
            <w:r w:rsidRPr="00E052DC">
              <w:rPr>
                <w:i/>
                <w:iCs/>
                <w:sz w:val="18"/>
                <w:szCs w:val="18"/>
              </w:rPr>
              <w:t>eficiente</w:t>
            </w:r>
            <w:r w:rsidRPr="00E052DC">
              <w:rPr>
                <w:sz w:val="18"/>
                <w:szCs w:val="18"/>
              </w:rPr>
              <w:t xml:space="preserve"> el hecho de</w:t>
            </w:r>
            <w:r>
              <w:rPr>
                <w:sz w:val="18"/>
                <w:szCs w:val="18"/>
              </w:rPr>
              <w:t xml:space="preserve"> </w:t>
            </w:r>
            <w:r w:rsidRPr="00E052DC">
              <w:rPr>
                <w:sz w:val="18"/>
                <w:szCs w:val="18"/>
              </w:rPr>
              <w:t>que el valor del activo refleja toda la información disponible sobre el mismo,</w:t>
            </w:r>
            <w:r>
              <w:rPr>
                <w:sz w:val="18"/>
                <w:szCs w:val="18"/>
              </w:rPr>
              <w:t xml:space="preserve"> </w:t>
            </w:r>
            <w:r w:rsidRPr="00E052DC">
              <w:rPr>
                <w:sz w:val="18"/>
                <w:szCs w:val="18"/>
              </w:rPr>
              <w:t>cualquier información que surja con relación a un activo es rápidamente</w:t>
            </w:r>
            <w:r>
              <w:rPr>
                <w:sz w:val="18"/>
                <w:szCs w:val="18"/>
              </w:rPr>
              <w:t xml:space="preserve"> </w:t>
            </w:r>
            <w:r w:rsidRPr="00E052DC">
              <w:rPr>
                <w:sz w:val="18"/>
                <w:szCs w:val="18"/>
              </w:rPr>
              <w:t>descontada, es decir, es incorporada en el precio del mercado del activo.</w:t>
            </w:r>
          </w:p>
        </w:tc>
        <w:tc>
          <w:tcPr>
            <w:tcW w:w="3628" w:type="dxa"/>
          </w:tcPr>
          <w:p w14:paraId="56191729" w14:textId="77777777" w:rsidR="007350CB" w:rsidRPr="00EC1D31" w:rsidRDefault="007350CB" w:rsidP="001675F6">
            <w:pPr>
              <w:pStyle w:val="Nivel1"/>
              <w:keepNext/>
              <w:numPr>
                <w:ilvl w:val="0"/>
                <w:numId w:val="0"/>
              </w:numPr>
              <w:spacing w:before="0" w:after="0"/>
              <w:rPr>
                <w:sz w:val="18"/>
                <w:szCs w:val="18"/>
              </w:rPr>
            </w:pPr>
          </w:p>
        </w:tc>
      </w:tr>
      <w:tr w:rsidR="007350CB" w14:paraId="4F411A00" w14:textId="77777777" w:rsidTr="00B40204">
        <w:tc>
          <w:tcPr>
            <w:tcW w:w="3628" w:type="dxa"/>
          </w:tcPr>
          <w:p w14:paraId="0F0EE954" w14:textId="77777777" w:rsidR="007350CB" w:rsidRPr="00EC1D31" w:rsidRDefault="007350CB" w:rsidP="001675F6">
            <w:pPr>
              <w:pStyle w:val="Nivel1"/>
              <w:keepNext/>
              <w:numPr>
                <w:ilvl w:val="0"/>
                <w:numId w:val="0"/>
              </w:numPr>
              <w:spacing w:before="0" w:after="0"/>
              <w:rPr>
                <w:sz w:val="18"/>
                <w:szCs w:val="18"/>
              </w:rPr>
            </w:pPr>
          </w:p>
        </w:tc>
        <w:tc>
          <w:tcPr>
            <w:tcW w:w="3628" w:type="dxa"/>
          </w:tcPr>
          <w:p w14:paraId="4A19FE47" w14:textId="77777777" w:rsidR="007350CB" w:rsidRDefault="007350CB" w:rsidP="001675F6">
            <w:pPr>
              <w:pStyle w:val="Nivel1"/>
              <w:keepNext/>
              <w:numPr>
                <w:ilvl w:val="0"/>
                <w:numId w:val="0"/>
              </w:numPr>
              <w:spacing w:before="0" w:after="0"/>
              <w:rPr>
                <w:sz w:val="18"/>
                <w:szCs w:val="18"/>
              </w:rPr>
            </w:pPr>
            <w:r>
              <w:rPr>
                <w:sz w:val="18"/>
                <w:szCs w:val="18"/>
              </w:rPr>
              <w:t>Ambas teorías</w:t>
            </w:r>
            <w:r w:rsidRPr="00E052DC">
              <w:rPr>
                <w:sz w:val="18"/>
                <w:szCs w:val="18"/>
              </w:rPr>
              <w:t xml:space="preserve"> </w:t>
            </w:r>
            <w:r w:rsidRPr="00E052DC">
              <w:rPr>
                <w:sz w:val="18"/>
                <w:szCs w:val="18"/>
                <w:u w:val="single"/>
              </w:rPr>
              <w:t>asumen</w:t>
            </w:r>
            <w:r w:rsidRPr="00E052DC">
              <w:rPr>
                <w:sz w:val="18"/>
                <w:szCs w:val="18"/>
              </w:rPr>
              <w:t xml:space="preserve"> que se tiene</w:t>
            </w:r>
            <w:r>
              <w:rPr>
                <w:sz w:val="18"/>
                <w:szCs w:val="18"/>
              </w:rPr>
              <w:t xml:space="preserve"> </w:t>
            </w:r>
            <w:r w:rsidRPr="00E052DC">
              <w:rPr>
                <w:sz w:val="18"/>
                <w:szCs w:val="18"/>
              </w:rPr>
              <w:t xml:space="preserve">un </w:t>
            </w:r>
            <w:r w:rsidRPr="00E052DC">
              <w:rPr>
                <w:i/>
                <w:iCs/>
                <w:sz w:val="18"/>
                <w:szCs w:val="18"/>
              </w:rPr>
              <w:t>mercado de valores diversificado</w:t>
            </w:r>
            <w:r w:rsidRPr="00E052DC">
              <w:rPr>
                <w:sz w:val="18"/>
                <w:szCs w:val="18"/>
              </w:rPr>
              <w:t>, donde la compra o venta de un activo no</w:t>
            </w:r>
            <w:r>
              <w:rPr>
                <w:sz w:val="18"/>
                <w:szCs w:val="18"/>
              </w:rPr>
              <w:t xml:space="preserve"> </w:t>
            </w:r>
            <w:r w:rsidRPr="00E052DC">
              <w:rPr>
                <w:sz w:val="18"/>
                <w:szCs w:val="18"/>
              </w:rPr>
              <w:t>afecta significativamente el precio de los otros títulos valores que se cotizan</w:t>
            </w:r>
            <w:r>
              <w:rPr>
                <w:sz w:val="18"/>
                <w:szCs w:val="18"/>
              </w:rPr>
              <w:t xml:space="preserve"> </w:t>
            </w:r>
            <w:r w:rsidRPr="00E052DC">
              <w:rPr>
                <w:sz w:val="18"/>
                <w:szCs w:val="18"/>
              </w:rPr>
              <w:t>en el mercado.</w:t>
            </w:r>
            <w:r>
              <w:rPr>
                <w:sz w:val="18"/>
                <w:szCs w:val="18"/>
              </w:rPr>
              <w:t xml:space="preserve"> Esto implicará l</w:t>
            </w:r>
            <w:r w:rsidRPr="00EC1D31">
              <w:rPr>
                <w:sz w:val="18"/>
                <w:szCs w:val="18"/>
              </w:rPr>
              <w:t xml:space="preserve">a relevancia del </w:t>
            </w:r>
            <w:r w:rsidRPr="00E052DC">
              <w:rPr>
                <w:sz w:val="18"/>
                <w:szCs w:val="18"/>
                <w:u w:val="single"/>
              </w:rPr>
              <w:t>riesgo sistemático</w:t>
            </w:r>
            <w:r w:rsidRPr="00EC1D31">
              <w:rPr>
                <w:sz w:val="18"/>
                <w:szCs w:val="18"/>
              </w:rPr>
              <w:t xml:space="preserve"> como </w:t>
            </w:r>
            <w:r w:rsidRPr="00E052DC">
              <w:rPr>
                <w:i/>
                <w:iCs/>
                <w:sz w:val="18"/>
                <w:szCs w:val="18"/>
              </w:rPr>
              <w:t>único riesgo</w:t>
            </w:r>
            <w:r w:rsidRPr="00EC1D31">
              <w:rPr>
                <w:sz w:val="18"/>
                <w:szCs w:val="18"/>
              </w:rPr>
              <w:t xml:space="preserve"> en los mercados financieros.</w:t>
            </w:r>
          </w:p>
        </w:tc>
        <w:tc>
          <w:tcPr>
            <w:tcW w:w="3628" w:type="dxa"/>
          </w:tcPr>
          <w:p w14:paraId="623CBD90" w14:textId="77777777" w:rsidR="007350CB" w:rsidRPr="00EC1D31" w:rsidRDefault="007350CB" w:rsidP="001675F6">
            <w:pPr>
              <w:pStyle w:val="Nivel1"/>
              <w:keepNext/>
              <w:numPr>
                <w:ilvl w:val="0"/>
                <w:numId w:val="0"/>
              </w:numPr>
              <w:spacing w:before="0" w:after="0"/>
              <w:rPr>
                <w:sz w:val="18"/>
                <w:szCs w:val="18"/>
              </w:rPr>
            </w:pPr>
          </w:p>
        </w:tc>
      </w:tr>
      <w:tr w:rsidR="007350CB" w14:paraId="2108DE90" w14:textId="77777777" w:rsidTr="00B40204">
        <w:tc>
          <w:tcPr>
            <w:tcW w:w="3628" w:type="dxa"/>
          </w:tcPr>
          <w:p w14:paraId="0F8F3FEE" w14:textId="77777777" w:rsidR="007350CB" w:rsidRPr="00EC1D31" w:rsidRDefault="007350CB" w:rsidP="001675F6">
            <w:pPr>
              <w:pStyle w:val="Nivel1"/>
              <w:keepNext/>
              <w:numPr>
                <w:ilvl w:val="0"/>
                <w:numId w:val="0"/>
              </w:numPr>
              <w:spacing w:before="0" w:after="0"/>
              <w:rPr>
                <w:sz w:val="18"/>
                <w:szCs w:val="18"/>
              </w:rPr>
            </w:pPr>
          </w:p>
        </w:tc>
        <w:tc>
          <w:tcPr>
            <w:tcW w:w="3628" w:type="dxa"/>
          </w:tcPr>
          <w:p w14:paraId="05943D58" w14:textId="77777777" w:rsidR="007350CB" w:rsidRDefault="007350CB" w:rsidP="001675F6">
            <w:pPr>
              <w:pStyle w:val="Nivel1"/>
              <w:keepNext/>
              <w:numPr>
                <w:ilvl w:val="0"/>
                <w:numId w:val="0"/>
              </w:numPr>
              <w:spacing w:before="0" w:after="0"/>
              <w:rPr>
                <w:sz w:val="18"/>
                <w:szCs w:val="18"/>
              </w:rPr>
            </w:pPr>
            <w:r>
              <w:rPr>
                <w:sz w:val="18"/>
                <w:szCs w:val="18"/>
              </w:rPr>
              <w:t>T</w:t>
            </w:r>
            <w:r w:rsidRPr="00E052DC">
              <w:rPr>
                <w:sz w:val="18"/>
                <w:szCs w:val="18"/>
              </w:rPr>
              <w:t xml:space="preserve">anto el CAPM como </w:t>
            </w:r>
            <w:r>
              <w:rPr>
                <w:sz w:val="18"/>
                <w:szCs w:val="18"/>
              </w:rPr>
              <w:t>la</w:t>
            </w:r>
            <w:r w:rsidRPr="00E052DC">
              <w:rPr>
                <w:sz w:val="18"/>
                <w:szCs w:val="18"/>
              </w:rPr>
              <w:t xml:space="preserve"> APT </w:t>
            </w:r>
            <w:r w:rsidRPr="00E052DC">
              <w:rPr>
                <w:sz w:val="18"/>
                <w:szCs w:val="18"/>
                <w:u w:val="single"/>
              </w:rPr>
              <w:t>asumen</w:t>
            </w:r>
            <w:r w:rsidRPr="00E052DC">
              <w:rPr>
                <w:sz w:val="18"/>
                <w:szCs w:val="18"/>
              </w:rPr>
              <w:t xml:space="preserve"> que los</w:t>
            </w:r>
            <w:r>
              <w:rPr>
                <w:sz w:val="18"/>
                <w:szCs w:val="18"/>
              </w:rPr>
              <w:t xml:space="preserve"> </w:t>
            </w:r>
            <w:r w:rsidRPr="00E052DC">
              <w:rPr>
                <w:i/>
                <w:iCs/>
                <w:sz w:val="18"/>
                <w:szCs w:val="18"/>
              </w:rPr>
              <w:t>cost</w:t>
            </w:r>
            <w:r>
              <w:rPr>
                <w:i/>
                <w:iCs/>
                <w:sz w:val="18"/>
                <w:szCs w:val="18"/>
              </w:rPr>
              <w:t>e</w:t>
            </w:r>
            <w:r w:rsidRPr="00E052DC">
              <w:rPr>
                <w:i/>
                <w:iCs/>
                <w:sz w:val="18"/>
                <w:szCs w:val="18"/>
              </w:rPr>
              <w:t>s de transacción son insignificantes</w:t>
            </w:r>
            <w:r w:rsidRPr="00E052DC">
              <w:rPr>
                <w:sz w:val="18"/>
                <w:szCs w:val="18"/>
              </w:rPr>
              <w:t>.</w:t>
            </w:r>
          </w:p>
        </w:tc>
        <w:tc>
          <w:tcPr>
            <w:tcW w:w="3628" w:type="dxa"/>
          </w:tcPr>
          <w:p w14:paraId="23020F12" w14:textId="77777777" w:rsidR="007350CB" w:rsidRPr="00EC1D31" w:rsidRDefault="007350CB" w:rsidP="001675F6">
            <w:pPr>
              <w:pStyle w:val="Nivel1"/>
              <w:keepNext/>
              <w:numPr>
                <w:ilvl w:val="0"/>
                <w:numId w:val="0"/>
              </w:numPr>
              <w:spacing w:before="0" w:after="0"/>
              <w:rPr>
                <w:sz w:val="18"/>
                <w:szCs w:val="18"/>
              </w:rPr>
            </w:pPr>
          </w:p>
        </w:tc>
      </w:tr>
      <w:tr w:rsidR="007350CB" w14:paraId="14DF3825" w14:textId="77777777" w:rsidTr="00B40204">
        <w:tc>
          <w:tcPr>
            <w:tcW w:w="3628" w:type="dxa"/>
          </w:tcPr>
          <w:p w14:paraId="6C4EF68D" w14:textId="4BBAC22A" w:rsidR="007350CB" w:rsidRPr="00EC1D31" w:rsidRDefault="003A3C48" w:rsidP="001675F6">
            <w:pPr>
              <w:pStyle w:val="Nivel1"/>
              <w:keepNext/>
              <w:numPr>
                <w:ilvl w:val="0"/>
                <w:numId w:val="0"/>
              </w:numPr>
              <w:spacing w:before="0" w:after="0"/>
              <w:rPr>
                <w:sz w:val="18"/>
                <w:szCs w:val="18"/>
              </w:rPr>
            </w:pPr>
            <w:r>
              <w:rPr>
                <w:sz w:val="18"/>
                <w:szCs w:val="18"/>
              </w:rPr>
              <w:t>El riesgo de un título queda recogido únicamente por su sensibilidad ante las variaciones del mercado.</w:t>
            </w:r>
          </w:p>
        </w:tc>
        <w:tc>
          <w:tcPr>
            <w:tcW w:w="3628" w:type="dxa"/>
          </w:tcPr>
          <w:p w14:paraId="2C5580ED" w14:textId="77777777" w:rsidR="007350CB" w:rsidRPr="00EC1D31" w:rsidRDefault="007350CB" w:rsidP="001675F6">
            <w:pPr>
              <w:pStyle w:val="Nivel1"/>
              <w:keepNext/>
              <w:numPr>
                <w:ilvl w:val="0"/>
                <w:numId w:val="0"/>
              </w:numPr>
              <w:spacing w:before="0" w:after="0"/>
              <w:rPr>
                <w:sz w:val="18"/>
                <w:szCs w:val="18"/>
              </w:rPr>
            </w:pPr>
          </w:p>
        </w:tc>
        <w:tc>
          <w:tcPr>
            <w:tcW w:w="3628" w:type="dxa"/>
          </w:tcPr>
          <w:p w14:paraId="673FC7C1" w14:textId="77777777" w:rsidR="007350CB" w:rsidRPr="00EC1D31" w:rsidRDefault="007350CB" w:rsidP="001675F6">
            <w:pPr>
              <w:pStyle w:val="Nivel1"/>
              <w:keepNext/>
              <w:numPr>
                <w:ilvl w:val="0"/>
                <w:numId w:val="0"/>
              </w:numPr>
              <w:spacing w:before="0" w:after="0"/>
              <w:rPr>
                <w:sz w:val="18"/>
                <w:szCs w:val="18"/>
              </w:rPr>
            </w:pPr>
            <w:r>
              <w:rPr>
                <w:sz w:val="18"/>
                <w:szCs w:val="18"/>
              </w:rPr>
              <w:t>El riesgo de un título no puede quedar recogido únicamente por su sensibilidad ante las variaciones del mercado, sino que habrán de tenerse en cuenta otras fuerzas económicas cuyas variaciones inesperadas pueden influir en los rendimientos de un título determinado.</w:t>
            </w:r>
          </w:p>
        </w:tc>
      </w:tr>
      <w:tr w:rsidR="007350CB" w14:paraId="6D5B4FE2" w14:textId="77777777" w:rsidTr="00B40204">
        <w:tc>
          <w:tcPr>
            <w:tcW w:w="3628" w:type="dxa"/>
          </w:tcPr>
          <w:p w14:paraId="52798EAD" w14:textId="77777777" w:rsidR="007350CB" w:rsidRDefault="007350CB" w:rsidP="001675F6">
            <w:pPr>
              <w:pStyle w:val="Nivel1"/>
              <w:numPr>
                <w:ilvl w:val="0"/>
                <w:numId w:val="0"/>
              </w:numPr>
              <w:spacing w:before="0" w:after="0"/>
              <w:rPr>
                <w:sz w:val="18"/>
                <w:szCs w:val="18"/>
              </w:rPr>
            </w:pPr>
            <w:r>
              <w:rPr>
                <w:sz w:val="18"/>
                <w:szCs w:val="18"/>
              </w:rPr>
              <w:t xml:space="preserve">Dos activos que tengan idénticas las </w:t>
            </w:r>
            <w:r w:rsidRPr="00EC1D31">
              <w:rPr>
                <w:rFonts w:cs="Times New Roman"/>
                <w:i/>
                <w:iCs/>
                <w:sz w:val="18"/>
                <w:szCs w:val="18"/>
              </w:rPr>
              <w:t>β</w:t>
            </w:r>
            <w:r w:rsidRPr="00EC1D31">
              <w:rPr>
                <w:rFonts w:cs="Times New Roman"/>
                <w:sz w:val="18"/>
                <w:szCs w:val="18"/>
              </w:rPr>
              <w:t>s con</w:t>
            </w:r>
            <w:r>
              <w:rPr>
                <w:rFonts w:cs="Times New Roman"/>
                <w:sz w:val="18"/>
                <w:szCs w:val="18"/>
              </w:rPr>
              <w:t xml:space="preserve"> respecto al rendimiento de la cartera de mercado tendrán rendimientos esperados idénticos. Por lo tanto, para los gestores de las carteras estos activos son sustitutos perfectos y las estrategias de inversión o de cobertura que lleven a cabo sólo tendrán en cuenta las </w:t>
            </w:r>
            <w:r w:rsidRPr="00EC1D31">
              <w:rPr>
                <w:rFonts w:cs="Times New Roman"/>
                <w:i/>
                <w:iCs/>
                <w:sz w:val="18"/>
                <w:szCs w:val="18"/>
              </w:rPr>
              <w:t>β</w:t>
            </w:r>
            <w:r w:rsidRPr="00EC1D31">
              <w:rPr>
                <w:rFonts w:cs="Times New Roman"/>
                <w:sz w:val="18"/>
                <w:szCs w:val="18"/>
              </w:rPr>
              <w:t>s</w:t>
            </w:r>
            <w:r>
              <w:rPr>
                <w:rFonts w:cs="Times New Roman"/>
                <w:sz w:val="18"/>
                <w:szCs w:val="18"/>
              </w:rPr>
              <w:t xml:space="preserve"> respecto al riesgo de mercado.</w:t>
            </w:r>
          </w:p>
        </w:tc>
        <w:tc>
          <w:tcPr>
            <w:tcW w:w="3628" w:type="dxa"/>
          </w:tcPr>
          <w:p w14:paraId="1C635545" w14:textId="77777777" w:rsidR="007350CB" w:rsidRPr="00EC1D31" w:rsidRDefault="007350CB" w:rsidP="001675F6">
            <w:pPr>
              <w:pStyle w:val="Nivel1"/>
              <w:keepNext/>
              <w:numPr>
                <w:ilvl w:val="0"/>
                <w:numId w:val="0"/>
              </w:numPr>
              <w:spacing w:before="0" w:after="0"/>
              <w:rPr>
                <w:sz w:val="18"/>
                <w:szCs w:val="18"/>
              </w:rPr>
            </w:pPr>
          </w:p>
        </w:tc>
        <w:tc>
          <w:tcPr>
            <w:tcW w:w="3628" w:type="dxa"/>
          </w:tcPr>
          <w:p w14:paraId="29CB0A6A" w14:textId="77777777" w:rsidR="007350CB" w:rsidRPr="003A3C48" w:rsidRDefault="007350CB" w:rsidP="001675F6">
            <w:pPr>
              <w:pStyle w:val="Nivel1"/>
              <w:numPr>
                <w:ilvl w:val="0"/>
                <w:numId w:val="0"/>
              </w:numPr>
              <w:spacing w:before="0" w:after="0"/>
              <w:rPr>
                <w:spacing w:val="-2"/>
              </w:rPr>
            </w:pPr>
            <w:r w:rsidRPr="003A3C48">
              <w:rPr>
                <w:spacing w:val="-2"/>
                <w:sz w:val="18"/>
                <w:szCs w:val="18"/>
              </w:rPr>
              <w:t xml:space="preserve">Dos activos que tengan idénticas las </w:t>
            </w:r>
            <w:r w:rsidRPr="003A3C48">
              <w:rPr>
                <w:rFonts w:cs="Times New Roman"/>
                <w:i/>
                <w:iCs/>
                <w:spacing w:val="-2"/>
                <w:sz w:val="18"/>
                <w:szCs w:val="18"/>
              </w:rPr>
              <w:t>β</w:t>
            </w:r>
            <w:r w:rsidRPr="003A3C48">
              <w:rPr>
                <w:rFonts w:cs="Times New Roman"/>
                <w:spacing w:val="-2"/>
                <w:sz w:val="18"/>
                <w:szCs w:val="18"/>
              </w:rPr>
              <w:t>s con respecto al rendimiento de la cartera de mercado podrían responder de manera claramente diferente a cualquier otra fuente de riesgo sistemático de la economía.</w:t>
            </w:r>
          </w:p>
        </w:tc>
      </w:tr>
    </w:tbl>
    <w:p w14:paraId="631486F6" w14:textId="05320534" w:rsidR="007350CB" w:rsidRPr="00E6239C" w:rsidRDefault="00000000" w:rsidP="00E6239C">
      <w:pPr>
        <w:pStyle w:val="Cajadeanotaciones"/>
        <w:rPr>
          <w:sz w:val="19"/>
          <w:szCs w:val="19"/>
        </w:rPr>
      </w:pPr>
      <w:hyperlink r:id="rId27" w:history="1">
        <w:r w:rsidR="007350CB" w:rsidRPr="00E6239C">
          <w:rPr>
            <w:rStyle w:val="Hipervnculo"/>
            <w:sz w:val="19"/>
            <w:szCs w:val="19"/>
          </w:rPr>
          <w:t>https://www.youtube.com/watch?v=9FOKd6AM-RY</w:t>
        </w:r>
      </w:hyperlink>
    </w:p>
    <w:p w14:paraId="32C975F0" w14:textId="3E43014C" w:rsidR="00B52052" w:rsidRPr="00E37A54" w:rsidRDefault="00F14E40" w:rsidP="00DA723A">
      <w:pPr>
        <w:pStyle w:val="Ttulo1"/>
      </w:pPr>
      <w:bookmarkStart w:id="74" w:name="_Toc144911980"/>
      <w:r>
        <w:t>GESTIÓN ACTIVA DE CARTERAS</w:t>
      </w:r>
      <w:r w:rsidR="00C35F14" w:rsidRPr="00E37A54">
        <w:t xml:space="preserve"> (I)</w:t>
      </w:r>
      <w:r>
        <w:t>.</w:t>
      </w:r>
      <w:r w:rsidR="00C35F14" w:rsidRPr="00E37A54">
        <w:br/>
      </w:r>
      <w:r w:rsidR="00C50C11">
        <w:t>JUSTIFICACIÓN: INCUMPLIMIENTO DE LA EFFICIENT MARKET HYPOTHESIS</w:t>
      </w:r>
      <w:bookmarkEnd w:id="74"/>
    </w:p>
    <w:p w14:paraId="2CDDEDDC" w14:textId="77777777" w:rsidR="00936103" w:rsidRDefault="00C35F14" w:rsidP="00B52052">
      <w:pPr>
        <w:pStyle w:val="Ttulo2"/>
      </w:pPr>
      <w:bookmarkStart w:id="75" w:name="_Toc144911981"/>
      <w:r>
        <w:t xml:space="preserve">Hipótesis de los Mercados Eficientes – </w:t>
      </w:r>
      <w:r>
        <w:rPr>
          <w:i/>
          <w:iCs/>
        </w:rPr>
        <w:t xml:space="preserve">Efficient Market Hypothesis </w:t>
      </w:r>
      <w:r>
        <w:t>(EMH)</w:t>
      </w:r>
      <w:bookmarkEnd w:id="75"/>
    </w:p>
    <w:p w14:paraId="3E559F05" w14:textId="5069324F" w:rsidR="00C35F14" w:rsidRDefault="00936103" w:rsidP="001675F6">
      <w:pPr>
        <w:pStyle w:val="Ttulo3"/>
        <w:spacing w:before="0"/>
      </w:pPr>
      <w:bookmarkStart w:id="76" w:name="_Toc144911982"/>
      <w:r>
        <w:t>Gestión pasiva de carteras y gestión activa de carteras (hasta ahora se ha cumplido la EMH)</w:t>
      </w:r>
      <w:bookmarkEnd w:id="76"/>
    </w:p>
    <w:p w14:paraId="5ECDD8FF" w14:textId="77777777" w:rsidR="00936103" w:rsidRPr="00936103" w:rsidRDefault="008C6268" w:rsidP="001675F6">
      <w:pPr>
        <w:pStyle w:val="Nivel1SM"/>
        <w:keepNext/>
        <w:spacing w:before="0" w:after="0"/>
        <w:rPr>
          <w:iCs/>
        </w:rPr>
      </w:pPr>
      <w:r w:rsidRPr="00936103">
        <w:t xml:space="preserve">En el apartado anterior hemos asumido que los activos están valorados adecuadamente, dado su riesgo sistemático. Esto implica que </w:t>
      </w:r>
      <w:r w:rsidRPr="00936103">
        <w:rPr>
          <w:i/>
        </w:rPr>
        <w:t>α</w:t>
      </w:r>
      <w:r w:rsidRPr="00936103">
        <w:rPr>
          <w:iCs/>
        </w:rPr>
        <w:t xml:space="preserve"> tiene que ser igual a cero.</w:t>
      </w:r>
    </w:p>
    <w:p w14:paraId="2BE63A99" w14:textId="77777777" w:rsidR="00936103" w:rsidRPr="00936103" w:rsidRDefault="008C6268" w:rsidP="00936103">
      <w:pPr>
        <w:pStyle w:val="Nivel2SM"/>
      </w:pPr>
      <w:r w:rsidRPr="00936103">
        <w:t xml:space="preserve">Esto justifica una </w:t>
      </w:r>
      <w:r w:rsidRPr="00936103">
        <w:rPr>
          <w:i/>
        </w:rPr>
        <w:t>gestión pasiva de cartera</w:t>
      </w:r>
      <w:r w:rsidR="00A153D1" w:rsidRPr="00936103">
        <w:rPr>
          <w:i/>
        </w:rPr>
        <w:t>s</w:t>
      </w:r>
      <w:r w:rsidR="00936103" w:rsidRPr="00936103">
        <w:t>.</w:t>
      </w:r>
    </w:p>
    <w:p w14:paraId="2CDD22B9" w14:textId="214D41E9" w:rsidR="008C6268" w:rsidRPr="00936103" w:rsidRDefault="00936103" w:rsidP="00936103">
      <w:pPr>
        <w:pStyle w:val="Nivel2SM"/>
      </w:pPr>
      <w:r w:rsidRPr="00936103">
        <w:t>Sin embargo</w:t>
      </w:r>
      <w:r w:rsidR="008C6268" w:rsidRPr="00936103">
        <w:t>, si todas las carteras tienen un valor justo en relación a su riesgo no tiene sentido intentar buscar carteras o activos que den un retorno más elevado del riesgo que se les presupone</w:t>
      </w:r>
      <w:r w:rsidR="00A153D1" w:rsidRPr="00936103">
        <w:t xml:space="preserve"> (</w:t>
      </w:r>
      <w:r w:rsidR="00A153D1" w:rsidRPr="00936103">
        <w:rPr>
          <w:i/>
        </w:rPr>
        <w:t>gestión activa de carteras</w:t>
      </w:r>
      <w:r w:rsidR="00A153D1" w:rsidRPr="00936103">
        <w:t>)</w:t>
      </w:r>
      <w:r w:rsidR="008C6268" w:rsidRPr="00936103">
        <w:t>.</w:t>
      </w:r>
    </w:p>
    <w:p w14:paraId="3DB28409" w14:textId="497BEEA4" w:rsidR="00C35F14" w:rsidRDefault="00C35F14" w:rsidP="00936103">
      <w:pPr>
        <w:pStyle w:val="Nivel1SM"/>
        <w:keepNext/>
        <w:spacing w:after="0"/>
      </w:pPr>
      <w:r>
        <w:lastRenderedPageBreak/>
        <w:t xml:space="preserve">¿Es justificable la </w:t>
      </w:r>
      <w:r w:rsidRPr="005C51D5">
        <w:rPr>
          <w:i/>
          <w:iCs/>
        </w:rPr>
        <w:t>gestión activa de carteras</w:t>
      </w:r>
      <w:r>
        <w:t xml:space="preserve"> para ganar dinero en bolsa? Para responder a esta pregunta partiremos de la </w:t>
      </w:r>
      <w:r>
        <w:rPr>
          <w:b/>
          <w:bCs/>
        </w:rPr>
        <w:t>Hipótesis de los Mercados Eficientes</w:t>
      </w:r>
      <w:r>
        <w:t>.</w:t>
      </w:r>
    </w:p>
    <w:p w14:paraId="7CE04ED6" w14:textId="4652E185" w:rsidR="00936103" w:rsidRPr="00936103" w:rsidRDefault="00936103" w:rsidP="00936103">
      <w:pPr>
        <w:pStyle w:val="Nivel2SM"/>
      </w:pPr>
      <w:r w:rsidRPr="00936103">
        <w:t xml:space="preserve">El hecho de que los activos estén valorados adecuadamente implica que la valoración de los activos refleja adecuadamente toda la información disponible. En este caso se dice que los mercados financieros son informacionalmente eficientes. Es decir, se cumple la </w:t>
      </w:r>
      <w:r w:rsidRPr="00936103">
        <w:rPr>
          <w:i/>
          <w:iCs/>
        </w:rPr>
        <w:t xml:space="preserve">Efficient Market Hypothesis </w:t>
      </w:r>
      <w:r w:rsidRPr="00936103">
        <w:t xml:space="preserve">(EMH), estudiada en la literatura por autores como </w:t>
      </w:r>
      <w:r w:rsidRPr="00936103">
        <w:rPr>
          <w:smallCaps/>
        </w:rPr>
        <w:t>Eugene Fama</w:t>
      </w:r>
      <w:r w:rsidRPr="00936103">
        <w:t xml:space="preserve">, </w:t>
      </w:r>
      <w:r w:rsidR="009B7267" w:rsidRPr="009B7267">
        <w:rPr>
          <w:smallCaps/>
        </w:rPr>
        <w:t>Paul</w:t>
      </w:r>
      <w:r w:rsidR="009B7267">
        <w:t xml:space="preserve"> </w:t>
      </w:r>
      <w:r w:rsidRPr="00936103">
        <w:rPr>
          <w:smallCaps/>
        </w:rPr>
        <w:t>Samuelson</w:t>
      </w:r>
      <w:r w:rsidRPr="00936103">
        <w:t xml:space="preserve"> o </w:t>
      </w:r>
      <w:r w:rsidR="009B7267" w:rsidRPr="009B7267">
        <w:rPr>
          <w:smallCaps/>
        </w:rPr>
        <w:t>Louis</w:t>
      </w:r>
      <w:r w:rsidR="009B7267">
        <w:t xml:space="preserve"> </w:t>
      </w:r>
      <w:r w:rsidRPr="00936103">
        <w:rPr>
          <w:smallCaps/>
        </w:rPr>
        <w:t>Bachelier</w:t>
      </w:r>
      <w:r w:rsidRPr="00936103">
        <w:t>.</w:t>
      </w:r>
    </w:p>
    <w:p w14:paraId="47F8BC47" w14:textId="1369434D" w:rsidR="00936103" w:rsidRDefault="00936103" w:rsidP="00936103">
      <w:pPr>
        <w:pStyle w:val="Nivel2SM"/>
      </w:pPr>
      <w:r>
        <w:t>Sin embargo, e</w:t>
      </w:r>
      <w:r w:rsidRPr="00936103">
        <w:t>n caso de valoración inadecuada de los títulos, existirían incentivos para una gestión activa para batir al mercado</w:t>
      </w:r>
      <w:r>
        <w:t xml:space="preserve">. Esta gestión activa </w:t>
      </w:r>
      <w:r w:rsidRPr="00936103">
        <w:t xml:space="preserve">se puede realizar mediante </w:t>
      </w:r>
      <w:r w:rsidRPr="00936103">
        <w:rPr>
          <w:i/>
          <w:iCs/>
        </w:rPr>
        <w:t>análisis fundamental</w:t>
      </w:r>
      <w:r w:rsidRPr="00936103">
        <w:t xml:space="preserve"> o </w:t>
      </w:r>
      <w:r w:rsidRPr="00936103">
        <w:rPr>
          <w:i/>
          <w:iCs/>
        </w:rPr>
        <w:t>análisis técnico</w:t>
      </w:r>
      <w:r w:rsidRPr="00936103">
        <w:t>.</w:t>
      </w:r>
    </w:p>
    <w:p w14:paraId="48479F17" w14:textId="10DADD7A" w:rsidR="00697F57" w:rsidRPr="00936103" w:rsidRDefault="00697F57" w:rsidP="00697F57">
      <w:pPr>
        <w:pStyle w:val="Ttulo3"/>
      </w:pPr>
      <w:bookmarkStart w:id="77" w:name="_Toc144911983"/>
      <w:proofErr w:type="spellStart"/>
      <w:r>
        <w:t>Joint</w:t>
      </w:r>
      <w:proofErr w:type="spellEnd"/>
      <w:r>
        <w:t xml:space="preserve"> </w:t>
      </w:r>
      <w:proofErr w:type="spellStart"/>
      <w:r>
        <w:t>hypothesis</w:t>
      </w:r>
      <w:proofErr w:type="spellEnd"/>
      <w:r>
        <w:t xml:space="preserve"> de </w:t>
      </w:r>
      <w:r w:rsidRPr="00697F57">
        <w:rPr>
          <w:smallCaps/>
        </w:rPr>
        <w:t>Eugene Fama</w:t>
      </w:r>
      <w:bookmarkEnd w:id="77"/>
    </w:p>
    <w:p w14:paraId="3FB24159" w14:textId="74BEFC8F" w:rsidR="00C35F14" w:rsidRDefault="00C35F14" w:rsidP="001675F6">
      <w:pPr>
        <w:pStyle w:val="Nivel1SM"/>
        <w:keepNext/>
        <w:spacing w:before="0" w:after="0"/>
      </w:pPr>
      <w:bookmarkStart w:id="78" w:name="_Hlk112603709"/>
      <w:r>
        <w:rPr>
          <w:smallCaps/>
        </w:rPr>
        <w:t>Eugene Fama</w:t>
      </w:r>
      <w:r>
        <w:t xml:space="preserve"> recibe el Premio Nobel de Economía en 2013 precisamente </w:t>
      </w:r>
      <w:r w:rsidRPr="00A300F1">
        <w:t>«</w:t>
      </w:r>
      <w:r>
        <w:t>p</w:t>
      </w:r>
      <w:r w:rsidRPr="00A300F1">
        <w:t>or su trabajo en el análisis empírico de precios de posesiones capitales»</w:t>
      </w:r>
      <w:r w:rsidR="00984D8C">
        <w:rPr>
          <w:rStyle w:val="Refdenotaalpie"/>
        </w:rPr>
        <w:footnoteReference w:id="27"/>
      </w:r>
      <w:r>
        <w:t>, es decir, por sus contribuciones con respecto a la hipótesis de los mercados eficientes</w:t>
      </w:r>
      <w:r w:rsidR="009D3DF9">
        <w:rPr>
          <w:rStyle w:val="Refdenotaalpie"/>
        </w:rPr>
        <w:footnoteReference w:id="28"/>
      </w:r>
      <w:r>
        <w:t xml:space="preserve">. En su discurso de recepción del Premio Nobel menciona lo que él ha denominado la </w:t>
      </w:r>
      <w:proofErr w:type="spellStart"/>
      <w:r>
        <w:rPr>
          <w:i/>
          <w:iCs/>
        </w:rPr>
        <w:t>joint</w:t>
      </w:r>
      <w:proofErr w:type="spellEnd"/>
      <w:r>
        <w:rPr>
          <w:i/>
          <w:iCs/>
        </w:rPr>
        <w:t xml:space="preserve"> </w:t>
      </w:r>
      <w:proofErr w:type="spellStart"/>
      <w:r>
        <w:rPr>
          <w:i/>
          <w:iCs/>
        </w:rPr>
        <w:t>hypothesis</w:t>
      </w:r>
      <w:proofErr w:type="spellEnd"/>
      <w:r>
        <w:t xml:space="preserve">. Según esta, para que los mercados financieros sean eficientes es necesario que se cumplan </w:t>
      </w:r>
      <w:r w:rsidR="001675F6">
        <w:t>2 </w:t>
      </w:r>
      <w:r>
        <w:t>condiciones:</w:t>
      </w:r>
    </w:p>
    <w:p w14:paraId="3481BB7D" w14:textId="77777777" w:rsidR="00C35F14" w:rsidRPr="00E2756B" w:rsidRDefault="00C35F14" w:rsidP="009B7267">
      <w:pPr>
        <w:pStyle w:val="Nmeroromano"/>
        <w:spacing w:after="0"/>
        <w:rPr>
          <w:spacing w:val="-2"/>
        </w:rPr>
      </w:pPr>
      <w:r w:rsidRPr="00E2756B">
        <w:rPr>
          <w:spacing w:val="-2"/>
        </w:rPr>
        <w:t>Que exista un modelo de valoración de activos por arbitraje (por ejemplo, el CAPM o el APT).</w:t>
      </w:r>
    </w:p>
    <w:p w14:paraId="7002812D" w14:textId="1A64C87E" w:rsidR="00C35F14" w:rsidRDefault="00C35F14" w:rsidP="009B7267">
      <w:pPr>
        <w:pStyle w:val="Nmeroromano"/>
      </w:pPr>
      <w:r>
        <w:t>Que los activos reflejen toda la información disponible.</w:t>
      </w:r>
    </w:p>
    <w:p w14:paraId="2B22823A" w14:textId="12ABEE1E" w:rsidR="00C35F14" w:rsidRDefault="00C35F14" w:rsidP="00C35F14">
      <w:r>
        <w:t>Por lo tanto, testar la hipótesis de los mercados financieros eficientes es difícil porque no sabemos si los incumplimientos se deben a que estamos trabajando con un modelo de valoración de activos incompleto o si efectivamente la hipótesis de los mercados eficientes no se cumple.</w:t>
      </w:r>
    </w:p>
    <w:p w14:paraId="68DABD94" w14:textId="2DC69C7A" w:rsidR="00F62B7D" w:rsidRDefault="00F62B7D" w:rsidP="00F62B7D">
      <w:pPr>
        <w:pStyle w:val="Ttulo3"/>
      </w:pPr>
      <w:bookmarkStart w:id="79" w:name="_Toc144911984"/>
      <w:bookmarkStart w:id="80" w:name="_Hlk124676544"/>
      <w:r>
        <w:t>Definiciones de eficiencia en el mercado financiero (</w:t>
      </w:r>
      <w:r>
        <w:rPr>
          <w:smallCaps/>
        </w:rPr>
        <w:t>Darrell Duffie</w:t>
      </w:r>
      <w:r>
        <w:t>)</w:t>
      </w:r>
      <w:bookmarkEnd w:id="79"/>
    </w:p>
    <w:p w14:paraId="65EAADAE" w14:textId="1BC5A4CA" w:rsidR="00C35F14" w:rsidRDefault="00C35F14" w:rsidP="001675F6">
      <w:pPr>
        <w:pStyle w:val="Nivel1SM"/>
        <w:keepNext/>
        <w:spacing w:before="0" w:after="0"/>
      </w:pPr>
      <w:r>
        <w:t>También lo que complica el análisis es que van a existir distintos factores o distintas maneras de entender qu</w:t>
      </w:r>
      <w:r w:rsidR="00A670C9">
        <w:t>é</w:t>
      </w:r>
      <w:r>
        <w:t xml:space="preserve"> es eficiencia en el mercado financiero. Concretamente, siguiendo el libro de valoración de activos de </w:t>
      </w:r>
      <w:r>
        <w:rPr>
          <w:smallCaps/>
        </w:rPr>
        <w:t>Darrell Duffie</w:t>
      </w:r>
      <w:r>
        <w:t xml:space="preserve">, la palabra eficiencia se usa en </w:t>
      </w:r>
      <w:r w:rsidR="001675F6">
        <w:t>3 </w:t>
      </w:r>
      <w:r>
        <w:t>sentidos:</w:t>
      </w:r>
    </w:p>
    <w:p w14:paraId="07A8F446" w14:textId="721BA732" w:rsidR="009B7267" w:rsidRDefault="00C35F14">
      <w:pPr>
        <w:pStyle w:val="Prrafodelista"/>
        <w:numPr>
          <w:ilvl w:val="0"/>
          <w:numId w:val="26"/>
        </w:numPr>
        <w:spacing w:after="0"/>
        <w:ind w:left="568" w:hanging="284"/>
      </w:pPr>
      <w:r w:rsidRPr="009B7267">
        <w:rPr>
          <w:b/>
          <w:bCs/>
        </w:rPr>
        <w:t>Eficiencia como</w:t>
      </w:r>
      <w:r>
        <w:t xml:space="preserve"> </w:t>
      </w:r>
      <w:r w:rsidRPr="009B7267">
        <w:rPr>
          <w:b/>
          <w:bCs/>
        </w:rPr>
        <w:t>ausencia de posibilidades de arbitraje</w:t>
      </w:r>
      <w:r>
        <w:t xml:space="preserve">: </w:t>
      </w:r>
      <w:r w:rsidR="007F6C7E">
        <w:t>S</w:t>
      </w:r>
      <w:r>
        <w:t>ignifica que e</w:t>
      </w:r>
      <w:r w:rsidRPr="006640EF">
        <w:t xml:space="preserve">n un mercado en equilibrio no deben existir oportunidades de inversión sin explotar, es decir, que </w:t>
      </w:r>
      <w:r w:rsidRPr="009B7267">
        <w:rPr>
          <w:i/>
          <w:iCs/>
        </w:rPr>
        <w:t>ningún inversor que cambie la composición de la cartera podrá obtener mediante arbitraje una rentabilidad superior a la que venía consiguiendo con el mismo riesgo</w:t>
      </w:r>
      <w:r w:rsidRPr="00274790">
        <w:rPr>
          <w:rStyle w:val="Refdenotaalpie"/>
        </w:rPr>
        <w:footnoteReference w:id="29"/>
      </w:r>
      <w:r w:rsidR="00E55852" w:rsidRPr="007F6C7E">
        <w:rPr>
          <w:vertAlign w:val="superscript"/>
        </w:rPr>
        <w:t>,</w:t>
      </w:r>
      <w:r w:rsidR="00E55852">
        <w:rPr>
          <w:rStyle w:val="Refdenotaalpie"/>
        </w:rPr>
        <w:footnoteReference w:id="30"/>
      </w:r>
      <w:r w:rsidR="007F6C7E" w:rsidRPr="007F6C7E">
        <w:rPr>
          <w:vertAlign w:val="superscript"/>
        </w:rPr>
        <w:t>,</w:t>
      </w:r>
      <w:r w:rsidR="007F6C7E">
        <w:rPr>
          <w:rStyle w:val="Refdenotaalpie"/>
        </w:rPr>
        <w:footnoteReference w:id="31"/>
      </w:r>
      <w:r w:rsidRPr="006640EF">
        <w:t>.</w:t>
      </w:r>
    </w:p>
    <w:p w14:paraId="1C1BF2B6" w14:textId="037B0762" w:rsidR="00C35F14" w:rsidRDefault="00C35F14">
      <w:pPr>
        <w:pStyle w:val="Prrafodelista"/>
        <w:keepNext/>
        <w:numPr>
          <w:ilvl w:val="0"/>
          <w:numId w:val="26"/>
        </w:numPr>
        <w:spacing w:after="0"/>
        <w:ind w:left="568" w:hanging="284"/>
      </w:pPr>
      <w:r w:rsidRPr="009B7267">
        <w:rPr>
          <w:b/>
          <w:bCs/>
        </w:rPr>
        <w:t>Eficiencia como</w:t>
      </w:r>
      <w:r>
        <w:t xml:space="preserve"> </w:t>
      </w:r>
      <w:r w:rsidRPr="009B7267">
        <w:rPr>
          <w:b/>
          <w:bCs/>
        </w:rPr>
        <w:t>transmisión de toda la información</w:t>
      </w:r>
      <w:r>
        <w:t xml:space="preserve">: Según esta definición el mercado será eficiente cuando el precio determinado por la oferta y la demanda es una buena forma de </w:t>
      </w:r>
      <w:r>
        <w:lastRenderedPageBreak/>
        <w:t>estimar el valor real del activo, es decir, su valor intrínseco. Esto supone que el precio incluye toda la información necesaria y es la principal y más fiable señal del mercado y que éste funciona sin distorsiones</w:t>
      </w:r>
      <w:bookmarkStart w:id="81" w:name="_Ref106968902"/>
      <w:r>
        <w:rPr>
          <w:rStyle w:val="Refdenotaalpie"/>
        </w:rPr>
        <w:footnoteReference w:id="32"/>
      </w:r>
      <w:bookmarkEnd w:id="81"/>
      <w:r>
        <w:t xml:space="preserve">. La eficiencia con la que el precio cumpla su función en el mercado está en función de la cantidad de información que incorpora y de la velocidad con la que ésta se incorpora. El profesor </w:t>
      </w:r>
      <w:r w:rsidRPr="009B7267">
        <w:rPr>
          <w:smallCaps/>
        </w:rPr>
        <w:t>Harry Roberts</w:t>
      </w:r>
      <w:r>
        <w:t xml:space="preserve"> </w:t>
      </w:r>
      <w:r w:rsidR="00ED7D38">
        <w:t>(</w:t>
      </w:r>
      <w:r>
        <w:t>1967</w:t>
      </w:r>
      <w:r w:rsidR="00ED7D38">
        <w:t>)</w:t>
      </w:r>
      <w:r>
        <w:t xml:space="preserve"> clasificó la información en </w:t>
      </w:r>
      <w:r w:rsidR="00ED7D38">
        <w:t>3 </w:t>
      </w:r>
      <w:r>
        <w:t>grupos:</w:t>
      </w:r>
    </w:p>
    <w:p w14:paraId="773AFD5D" w14:textId="15594E05" w:rsidR="00C35F14" w:rsidRDefault="00C35F14" w:rsidP="009B7267">
      <w:pPr>
        <w:pStyle w:val="Nivel3SM"/>
      </w:pPr>
      <w:r w:rsidRPr="009B7267">
        <w:rPr>
          <w:i/>
          <w:iCs/>
          <w:u w:val="single"/>
        </w:rPr>
        <w:t>Información histórica</w:t>
      </w:r>
      <w:r>
        <w:t xml:space="preserve">: </w:t>
      </w:r>
      <w:r w:rsidR="007F6C7E">
        <w:t>A</w:t>
      </w:r>
      <w:r>
        <w:t>quella que se puede conseguir en bases de datos y en medios de comunicación, fundamentalmente contiene series históricas.</w:t>
      </w:r>
    </w:p>
    <w:p w14:paraId="2D16E367" w14:textId="548FB396" w:rsidR="00C35F14" w:rsidRDefault="00C35F14" w:rsidP="009B7267">
      <w:pPr>
        <w:pStyle w:val="Nivel3SM"/>
      </w:pPr>
      <w:r w:rsidRPr="009B7267">
        <w:rPr>
          <w:i/>
          <w:iCs/>
          <w:u w:val="single"/>
        </w:rPr>
        <w:t>Información pública</w:t>
      </w:r>
      <w:r>
        <w:t xml:space="preserve">: </w:t>
      </w:r>
      <w:r w:rsidR="007F6C7E">
        <w:t>T</w:t>
      </w:r>
      <w:r>
        <w:t>oda la información referida a la empresa, desde cuentas anuales a hechos y circunstancias de la empresa.</w:t>
      </w:r>
    </w:p>
    <w:p w14:paraId="621EC1C1" w14:textId="3F2514C2" w:rsidR="00C35F14" w:rsidRDefault="00C35F14" w:rsidP="009B7267">
      <w:pPr>
        <w:pStyle w:val="Nivel3SM"/>
      </w:pPr>
      <w:r w:rsidRPr="009B7267">
        <w:rPr>
          <w:i/>
          <w:iCs/>
          <w:u w:val="single"/>
        </w:rPr>
        <w:t>Información privada</w:t>
      </w:r>
      <w:r>
        <w:t xml:space="preserve">: </w:t>
      </w:r>
      <w:r w:rsidR="007F6C7E">
        <w:t>E</w:t>
      </w:r>
      <w:r>
        <w:t>s aquella información privilegiada en manos de muy pocas personas y que, en general, no trasciende al público.</w:t>
      </w:r>
    </w:p>
    <w:p w14:paraId="50FBF310" w14:textId="77777777" w:rsidR="00C35F14" w:rsidRDefault="00C35F14" w:rsidP="009B7267">
      <w:pPr>
        <w:pStyle w:val="Nivel2SM"/>
        <w:keepNext/>
        <w:numPr>
          <w:ilvl w:val="0"/>
          <w:numId w:val="0"/>
        </w:numPr>
        <w:spacing w:after="0"/>
        <w:ind w:left="567"/>
      </w:pPr>
      <w:r w:rsidRPr="008A2A3D">
        <w:t xml:space="preserve">Basándonos en </w:t>
      </w:r>
      <w:r>
        <w:t>esta clasificación, y en función de la información que se maneja en el mercado para valorar los activos, podemos clasificar la eficiencia de ese mercado como:</w:t>
      </w:r>
    </w:p>
    <w:p w14:paraId="6CA88081" w14:textId="77777777" w:rsidR="00C35F14" w:rsidRPr="00A13877" w:rsidRDefault="00C35F14" w:rsidP="009B7267">
      <w:pPr>
        <w:pStyle w:val="Nivel3SM"/>
        <w:rPr>
          <w:spacing w:val="-5"/>
        </w:rPr>
      </w:pPr>
      <w:r w:rsidRPr="00A13877">
        <w:rPr>
          <w:i/>
          <w:iCs/>
          <w:spacing w:val="-5"/>
          <w:u w:val="single"/>
        </w:rPr>
        <w:t>Hipótesis fuerte</w:t>
      </w:r>
      <w:r w:rsidRPr="00A13877">
        <w:rPr>
          <w:spacing w:val="-5"/>
        </w:rPr>
        <w:t>: Implica que los precios indican toda la información disponible (privada, pública e histórica), de forma que nadie puede obtener un rendimiento superior al de mercado.</w:t>
      </w:r>
    </w:p>
    <w:p w14:paraId="1756D0F3" w14:textId="77777777" w:rsidR="00C35F14" w:rsidRDefault="00C35F14" w:rsidP="009B7267">
      <w:pPr>
        <w:pStyle w:val="Nivel3SM"/>
      </w:pPr>
      <w:r w:rsidRPr="009B7267">
        <w:rPr>
          <w:i/>
          <w:iCs/>
          <w:u w:val="single"/>
        </w:rPr>
        <w:t>Hipótesis semifuerte</w:t>
      </w:r>
      <w:r>
        <w:t>: Implica que los inversores no son capaces de superar el rendimiento del mercado usando información histórica y pública, ya que dicha información se incorpora directamente en el precio. Las técnicas de análisis fundamental no serán capaces de lograr rendimientos superiores a los de mercado, ya que éstos sólo se podrán obtener con información privada.</w:t>
      </w:r>
    </w:p>
    <w:p w14:paraId="789AA5F5" w14:textId="77777777" w:rsidR="00C35F14" w:rsidRPr="008A2A3D" w:rsidRDefault="00C35F14" w:rsidP="009B7267">
      <w:pPr>
        <w:pStyle w:val="Nivel3SM"/>
      </w:pPr>
      <w:r w:rsidRPr="009B7267">
        <w:rPr>
          <w:i/>
          <w:iCs/>
          <w:u w:val="single"/>
        </w:rPr>
        <w:t>Eficiencia débil</w:t>
      </w:r>
      <w:r>
        <w:t>: Supone que la cotización de los títulos refleja la información pasada obtenida de las series históricas de precios. En consecuencia, no es posible hallar estrategias de inversión basadas en los precios históricos de las acciones. Esto implica que el análisis técnico no es útil, pero el análisis fundamental sí (siendo esta definición de eficiencia la única que abre la puerta a una racionalidad de gestión activa de carteras).</w:t>
      </w:r>
    </w:p>
    <w:p w14:paraId="5FDDA43C" w14:textId="04F28996" w:rsidR="00C35F14" w:rsidRDefault="00C35F14">
      <w:pPr>
        <w:pStyle w:val="Prrafodelista"/>
        <w:numPr>
          <w:ilvl w:val="0"/>
          <w:numId w:val="26"/>
        </w:numPr>
        <w:spacing w:after="100"/>
        <w:ind w:left="568" w:hanging="284"/>
      </w:pPr>
      <w:r w:rsidRPr="009B7267">
        <w:rPr>
          <w:b/>
          <w:bCs/>
        </w:rPr>
        <w:t>Eficiencia como optimalidad de Pareto</w:t>
      </w:r>
      <w:r>
        <w:t xml:space="preserve">: Este criterio es el que se aplica habitualmente en Economía del Bienestar para valorar los mercados financieros. Es la más restrictiva de las tres definiciones pues requiere que no exista una asignación de los recursos de la sociedad alternativa a la que genera el mercado que permita al menos a un agente mejorar su situación </w:t>
      </w:r>
      <w:r>
        <w:lastRenderedPageBreak/>
        <w:t xml:space="preserve">sin empeorar la situación de nadie. Esta situación es muy poco plausible ya que existen una serie de fenómenos como externalidades o información asimétrica que impedirán que se cumpla el 1TFEB </w:t>
      </w:r>
      <w:r w:rsidRPr="009B7267">
        <w:rPr>
          <w:color w:val="767171" w:themeColor="background2" w:themeShade="80"/>
          <w:sz w:val="19"/>
          <w:szCs w:val="19"/>
        </w:rPr>
        <w:t>[ver tema 3.A.22]</w:t>
      </w:r>
      <w:r>
        <w:t>.</w:t>
      </w:r>
    </w:p>
    <w:p w14:paraId="0A570EE6" w14:textId="75F30874" w:rsidR="00F62B7D" w:rsidRDefault="00F62B7D" w:rsidP="00F62B7D">
      <w:pPr>
        <w:pStyle w:val="Ttulo3"/>
      </w:pPr>
      <w:bookmarkStart w:id="82" w:name="_Toc144911985"/>
      <w:bookmarkEnd w:id="80"/>
      <w:r>
        <w:t>¿Son eficientes los mercados financieros?</w:t>
      </w:r>
      <w:bookmarkEnd w:id="82"/>
    </w:p>
    <w:bookmarkEnd w:id="78"/>
    <w:p w14:paraId="54F271EE" w14:textId="77777777" w:rsidR="00C35F14" w:rsidRDefault="00C35F14" w:rsidP="001675F6">
      <w:pPr>
        <w:pStyle w:val="Nivel1SM"/>
        <w:keepNext/>
        <w:spacing w:before="0" w:after="0"/>
      </w:pPr>
      <w:r>
        <w:t>Entonces, ¿son eficientes los mercados financieros?</w:t>
      </w:r>
    </w:p>
    <w:p w14:paraId="74099305" w14:textId="17A6DF19" w:rsidR="00C35F14" w:rsidRDefault="00C35F14" w:rsidP="00C35F14">
      <w:pPr>
        <w:pStyle w:val="Nivel2SM"/>
        <w:ind w:left="482"/>
      </w:pPr>
      <w:r>
        <w:t>Podría argumentarse que es posible que se cumpla la no existencia de oportunidades de arbitraje</w:t>
      </w:r>
      <w:r w:rsidRPr="00370610">
        <w:rPr>
          <w:sz w:val="19"/>
          <w:szCs w:val="19"/>
        </w:rPr>
        <w:t xml:space="preserve"> (o en caso de existir, serían lo suficientemente costosas para que no se llevaran a cabo</w:t>
      </w:r>
      <w:r w:rsidR="00482320">
        <w:rPr>
          <w:sz w:val="19"/>
          <w:szCs w:val="19"/>
        </w:rPr>
        <w:t xml:space="preserve"> tal como propone el modelo de </w:t>
      </w:r>
      <w:r w:rsidR="00482320">
        <w:rPr>
          <w:smallCaps/>
          <w:sz w:val="19"/>
          <w:szCs w:val="19"/>
        </w:rPr>
        <w:t>Grossman</w:t>
      </w:r>
      <w:r w:rsidR="00482320">
        <w:rPr>
          <w:sz w:val="19"/>
          <w:szCs w:val="19"/>
        </w:rPr>
        <w:t xml:space="preserve"> y </w:t>
      </w:r>
      <w:r w:rsidR="00482320">
        <w:rPr>
          <w:smallCaps/>
          <w:sz w:val="19"/>
          <w:szCs w:val="19"/>
        </w:rPr>
        <w:t>Stiglitz</w:t>
      </w:r>
      <w:r w:rsidRPr="00370610">
        <w:rPr>
          <w:sz w:val="19"/>
          <w:szCs w:val="19"/>
        </w:rPr>
        <w:t>)</w:t>
      </w:r>
      <w:r>
        <w:t>.</w:t>
      </w:r>
    </w:p>
    <w:p w14:paraId="1A441851" w14:textId="77777777" w:rsidR="00832E50" w:rsidRDefault="00C35F14" w:rsidP="00832E50">
      <w:pPr>
        <w:pStyle w:val="Nivel2SM"/>
        <w:keepNext/>
        <w:spacing w:after="0"/>
        <w:ind w:left="482"/>
      </w:pPr>
      <w:r>
        <w:t>En cuanto a la transmisión de la información, la respuesta tampoco sería clara.</w:t>
      </w:r>
    </w:p>
    <w:p w14:paraId="2E5A25AC" w14:textId="7F4F03FA" w:rsidR="00C35F14" w:rsidRDefault="00C35F14" w:rsidP="00832E50">
      <w:pPr>
        <w:pStyle w:val="Nivel3SM"/>
      </w:pPr>
      <w:r>
        <w:t>Por un lado, sí que es verdad que existe un elevado número de agentes, con libertad de entrada y de salida, con costes de transacción reducidos y transparencia gracias a plataformas como Bloomberg.</w:t>
      </w:r>
    </w:p>
    <w:p w14:paraId="15588542" w14:textId="54579B60" w:rsidR="00832E50" w:rsidRDefault="00832E50" w:rsidP="002D53D0">
      <w:pPr>
        <w:pStyle w:val="Nivel3SM"/>
      </w:pPr>
      <w:r>
        <w:t>Sin embargo, por otro lado,</w:t>
      </w:r>
      <w:r w:rsidR="002D53D0" w:rsidRPr="002D53D0">
        <w:t xml:space="preserve"> </w:t>
      </w:r>
      <w:r w:rsidR="002D53D0">
        <w:t>s</w:t>
      </w:r>
      <w:r w:rsidR="002D53D0" w:rsidRPr="002D53D0">
        <w:t>e han observado patrones en los precios de los activos financieros que no pueden ser explicados por la información disponible en el mercado. Esto sugiere que los mercados no siempre son eficientes.</w:t>
      </w:r>
    </w:p>
    <w:p w14:paraId="34FBEA56" w14:textId="566B1A96" w:rsidR="00C35F14" w:rsidRDefault="00C35F14" w:rsidP="00E37A54">
      <w:pPr>
        <w:pStyle w:val="Nivel2SM"/>
        <w:keepNext/>
        <w:spacing w:after="0"/>
        <w:ind w:left="482"/>
      </w:pPr>
      <w:bookmarkStart w:id="83" w:name="_Hlk124678654"/>
      <w:r>
        <w:t xml:space="preserve">En cualquier caso, en general </w:t>
      </w:r>
      <w:r w:rsidR="00832E50">
        <w:t xml:space="preserve">se acepta que los mercados financieros </w:t>
      </w:r>
      <w:r>
        <w:t>no son eficientes en sentido de Pareto.</w:t>
      </w:r>
    </w:p>
    <w:p w14:paraId="65E7D132" w14:textId="495ED59C" w:rsidR="00832E50" w:rsidRDefault="00832E50" w:rsidP="00832E50">
      <w:pPr>
        <w:pStyle w:val="Nivel3SM"/>
      </w:pPr>
      <w:r>
        <w:t>Se considera muy poco plausible debido a la existencia de una serie de fenómenos que impiden el cumplimiento del 1TFEB: mercados incompletos, externalidades o información asimétrica.</w:t>
      </w:r>
    </w:p>
    <w:p w14:paraId="5635A806" w14:textId="655EF640" w:rsidR="00832E50" w:rsidRPr="00C35F14" w:rsidRDefault="00832E50" w:rsidP="00832E50">
      <w:pPr>
        <w:pStyle w:val="Nivel3SM"/>
      </w:pPr>
      <w:r>
        <w:t xml:space="preserve">Sin embargo, existen defensores de la EMH (p.ej. </w:t>
      </w:r>
      <w:r>
        <w:rPr>
          <w:smallCaps/>
        </w:rPr>
        <w:t>John Cochrane</w:t>
      </w:r>
      <w:r>
        <w:t>) que admiten estos fallos de mercado pero subrayan que en la mayoría de los casos estos problemas no son muy grandes (e incluso si lo son la intervención pública no mejoraría la situación).</w:t>
      </w:r>
    </w:p>
    <w:p w14:paraId="485A7CCD" w14:textId="77777777" w:rsidR="00E37A54" w:rsidRDefault="00E37A54" w:rsidP="00E37A54">
      <w:pPr>
        <w:pStyle w:val="Ttulo2"/>
      </w:pPr>
      <w:bookmarkStart w:id="84" w:name="_Toc144911986"/>
      <w:bookmarkEnd w:id="83"/>
      <w:r>
        <w:t>La crítica del behavioral finance</w:t>
      </w:r>
      <w:bookmarkEnd w:id="84"/>
    </w:p>
    <w:p w14:paraId="6734E5A5" w14:textId="0583A3A9" w:rsidR="00BD6830" w:rsidRDefault="00E37A54" w:rsidP="001675F6">
      <w:pPr>
        <w:pStyle w:val="Nivel1SM"/>
        <w:keepNext/>
        <w:spacing w:before="0" w:after="0"/>
      </w:pPr>
      <w:r>
        <w:t xml:space="preserve">Frente a la hipótesis de los mercados eficientes, surge la crítica del </w:t>
      </w:r>
      <w:r w:rsidRPr="00BD6830">
        <w:rPr>
          <w:i/>
          <w:iCs/>
        </w:rPr>
        <w:t>behavioral finance</w:t>
      </w:r>
      <w:r w:rsidR="00BD6830" w:rsidRPr="00BD6830">
        <w:rPr>
          <w:rStyle w:val="Refdenotaalpie"/>
        </w:rPr>
        <w:footnoteReference w:id="33"/>
      </w:r>
      <w:r w:rsidR="00BD6830">
        <w:t>. ¿</w:t>
      </w:r>
      <w:r>
        <w:t xml:space="preserve">Cuáles son las críticas del </w:t>
      </w:r>
      <w:r w:rsidRPr="00BD6830">
        <w:rPr>
          <w:i/>
          <w:iCs/>
        </w:rPr>
        <w:t>behavioral finance</w:t>
      </w:r>
      <w:r>
        <w:t xml:space="preserve"> a la hipótesis de los mercados eficientes?</w:t>
      </w:r>
    </w:p>
    <w:p w14:paraId="0D3EEDE0" w14:textId="73E65AC3" w:rsidR="00BD6830" w:rsidRDefault="00E37A54" w:rsidP="00BD6830">
      <w:pPr>
        <w:pStyle w:val="Nivel2SM"/>
      </w:pPr>
      <w:r>
        <w:t>La idea principal de las finanzas del comportamiento es que los agentes no son perfectamente racionales, no son diversificadores eficientes.</w:t>
      </w:r>
    </w:p>
    <w:p w14:paraId="527292FF" w14:textId="43125399" w:rsidR="00E37A54" w:rsidRDefault="00E37A54" w:rsidP="00BD6830">
      <w:pPr>
        <w:pStyle w:val="Nivel2SM"/>
      </w:pPr>
      <w:r>
        <w:rPr>
          <w:smallCaps/>
        </w:rPr>
        <w:t>Thaler</w:t>
      </w:r>
      <w:r>
        <w:t xml:space="preserve"> considera que se debe hacer un </w:t>
      </w:r>
      <w:r w:rsidRPr="00F01EC3">
        <w:rPr>
          <w:i/>
          <w:iCs/>
        </w:rPr>
        <w:t>análisis positivo</w:t>
      </w:r>
      <w:r>
        <w:t xml:space="preserve"> de la teoría del inversor en el mercado, en lugar de un análisis normativo, ya que hasta ahora al considerar </w:t>
      </w:r>
      <w:r w:rsidR="00BD6830">
        <w:t xml:space="preserve">que </w:t>
      </w:r>
      <w:r>
        <w:t xml:space="preserve">los agentes </w:t>
      </w:r>
      <w:r w:rsidR="00BD6830">
        <w:t xml:space="preserve">se comportan de manera </w:t>
      </w:r>
      <w:r>
        <w:t xml:space="preserve">perfectamente racional habríamos estado llevando a cabo un </w:t>
      </w:r>
      <w:r w:rsidRPr="00F01EC3">
        <w:rPr>
          <w:i/>
          <w:iCs/>
        </w:rPr>
        <w:t>análisis normativo</w:t>
      </w:r>
      <w:r>
        <w:t>. Esto conlleva que existan determinados sesgos en la elección de cartera.</w:t>
      </w:r>
    </w:p>
    <w:p w14:paraId="52DB7432" w14:textId="77777777" w:rsidR="00E37A54" w:rsidRDefault="00E37A54" w:rsidP="0048040B">
      <w:pPr>
        <w:pStyle w:val="Nivel1SM"/>
        <w:keepNext/>
        <w:spacing w:after="0"/>
      </w:pPr>
      <w:r>
        <w:t xml:space="preserve">Además de resultar coherente con los fenómenos descritos, la </w:t>
      </w:r>
      <w:r>
        <w:rPr>
          <w:i/>
          <w:iCs/>
        </w:rPr>
        <w:t>Prospect Theory</w:t>
      </w:r>
      <w:r>
        <w:t xml:space="preserve"> y la </w:t>
      </w:r>
      <w:r>
        <w:rPr>
          <w:i/>
          <w:iCs/>
        </w:rPr>
        <w:t>Behavioral Finance</w:t>
      </w:r>
      <w:r>
        <w:t xml:space="preserve"> explican varios </w:t>
      </w:r>
      <w:r>
        <w:rPr>
          <w:i/>
          <w:iCs/>
        </w:rPr>
        <w:t>enigmas financieros</w:t>
      </w:r>
      <w:r>
        <w:t xml:space="preserve"> o anomalías difíciles de explicar desde una óptica tradicional:</w:t>
      </w:r>
    </w:p>
    <w:p w14:paraId="7AD3E2B5" w14:textId="5C3EBB5B" w:rsidR="00BC212E" w:rsidRPr="003E2EBD" w:rsidRDefault="00BC212E">
      <w:pPr>
        <w:pStyle w:val="Letra"/>
        <w:numPr>
          <w:ilvl w:val="0"/>
          <w:numId w:val="15"/>
        </w:numPr>
        <w:spacing w:after="0"/>
        <w:ind w:left="568" w:hanging="284"/>
        <w:rPr>
          <w:highlight w:val="yellow"/>
        </w:rPr>
      </w:pPr>
      <w:r w:rsidRPr="003E2EBD">
        <w:rPr>
          <w:i/>
          <w:iCs/>
          <w:highlight w:val="yellow"/>
          <w:u w:val="single"/>
        </w:rPr>
        <w:t>Exceso de confianza</w:t>
      </w:r>
      <w:r w:rsidRPr="003E2EBD">
        <w:rPr>
          <w:highlight w:val="yellow"/>
        </w:rPr>
        <w:t xml:space="preserve"> o </w:t>
      </w:r>
      <w:proofErr w:type="spellStart"/>
      <w:r w:rsidRPr="003E2EBD">
        <w:rPr>
          <w:i/>
          <w:iCs/>
          <w:highlight w:val="yellow"/>
          <w:u w:val="single"/>
        </w:rPr>
        <w:t>wishful</w:t>
      </w:r>
      <w:proofErr w:type="spellEnd"/>
      <w:r w:rsidRPr="003E2EBD">
        <w:rPr>
          <w:i/>
          <w:iCs/>
          <w:highlight w:val="yellow"/>
          <w:u w:val="single"/>
        </w:rPr>
        <w:t xml:space="preserve"> </w:t>
      </w:r>
      <w:proofErr w:type="spellStart"/>
      <w:r w:rsidRPr="003E2EBD">
        <w:rPr>
          <w:i/>
          <w:iCs/>
          <w:highlight w:val="yellow"/>
          <w:u w:val="single"/>
        </w:rPr>
        <w:t>thinking</w:t>
      </w:r>
      <w:proofErr w:type="spellEnd"/>
      <w:r w:rsidR="00474755">
        <w:rPr>
          <w:i/>
          <w:iCs/>
          <w:highlight w:val="yellow"/>
          <w:u w:val="single"/>
        </w:rPr>
        <w:t xml:space="preserve"> (pensamiento ilusorio</w:t>
      </w:r>
      <w:r w:rsidR="00474755" w:rsidRPr="00097EF6">
        <w:rPr>
          <w:rStyle w:val="Refdenotaalpie"/>
          <w:highlight w:val="yellow"/>
          <w:u w:val="single"/>
        </w:rPr>
        <w:footnoteReference w:id="34"/>
      </w:r>
      <w:r w:rsidR="00474755">
        <w:rPr>
          <w:i/>
          <w:iCs/>
          <w:highlight w:val="yellow"/>
          <w:u w:val="single"/>
        </w:rPr>
        <w:t>)</w:t>
      </w:r>
      <w:r w:rsidRPr="003E2EBD">
        <w:rPr>
          <w:highlight w:val="yellow"/>
        </w:rPr>
        <w:t>:</w:t>
      </w:r>
      <w:r w:rsidR="00575F1C">
        <w:rPr>
          <w:highlight w:val="yellow"/>
        </w:rPr>
        <w:t xml:space="preserve"> Puede explicar la prevalencia de </w:t>
      </w:r>
      <w:r w:rsidR="005F4206">
        <w:rPr>
          <w:highlight w:val="yellow"/>
        </w:rPr>
        <w:t>técnicas</w:t>
      </w:r>
      <w:r w:rsidR="00575F1C">
        <w:rPr>
          <w:highlight w:val="yellow"/>
        </w:rPr>
        <w:t xml:space="preserve"> de gestión activa frente a la gestión pasiva.</w:t>
      </w:r>
    </w:p>
    <w:p w14:paraId="4A8F3C5A" w14:textId="4A027EEC" w:rsidR="00BC212E" w:rsidRPr="003E2EBD" w:rsidRDefault="00575F1C">
      <w:pPr>
        <w:pStyle w:val="Letra"/>
        <w:numPr>
          <w:ilvl w:val="0"/>
          <w:numId w:val="15"/>
        </w:numPr>
        <w:spacing w:after="0"/>
        <w:ind w:left="568" w:hanging="284"/>
        <w:rPr>
          <w:highlight w:val="yellow"/>
        </w:rPr>
      </w:pPr>
      <w:r w:rsidRPr="00575F1C">
        <w:rPr>
          <w:i/>
          <w:iCs/>
          <w:highlight w:val="yellow"/>
          <w:u w:val="single"/>
        </w:rPr>
        <w:t>E</w:t>
      </w:r>
      <w:r w:rsidR="00BC212E" w:rsidRPr="00575F1C">
        <w:rPr>
          <w:i/>
          <w:iCs/>
          <w:highlight w:val="yellow"/>
          <w:u w:val="single"/>
        </w:rPr>
        <w:t>xtrapolación</w:t>
      </w:r>
      <w:r>
        <w:rPr>
          <w:highlight w:val="yellow"/>
        </w:rPr>
        <w:t xml:space="preserve">: Tendencia a extrapolar el comportamiento de una muestra pequeña al resto de la serie futura. Por ejemplo, suponer que </w:t>
      </w:r>
      <w:r w:rsidR="00BC212E" w:rsidRPr="003E2EBD">
        <w:rPr>
          <w:highlight w:val="yellow"/>
        </w:rPr>
        <w:t xml:space="preserve">si </w:t>
      </w:r>
      <w:r w:rsidR="005F4206">
        <w:rPr>
          <w:highlight w:val="yellow"/>
        </w:rPr>
        <w:t>l</w:t>
      </w:r>
      <w:r w:rsidR="00BC212E" w:rsidRPr="003E2EBD">
        <w:rPr>
          <w:highlight w:val="yellow"/>
        </w:rPr>
        <w:t xml:space="preserve">a acción </w:t>
      </w:r>
      <w:r w:rsidR="005F4206">
        <w:rPr>
          <w:highlight w:val="yellow"/>
        </w:rPr>
        <w:t xml:space="preserve">de una determinada empresa </w:t>
      </w:r>
      <w:r w:rsidR="00BC212E" w:rsidRPr="003E2EBD">
        <w:rPr>
          <w:highlight w:val="yellow"/>
        </w:rPr>
        <w:t>ha subido recientemente va a seguir subiendo.</w:t>
      </w:r>
    </w:p>
    <w:p w14:paraId="01E53812" w14:textId="1C268435" w:rsidR="00BC212E" w:rsidRPr="003E2EBD" w:rsidRDefault="005F4206">
      <w:pPr>
        <w:pStyle w:val="Letra"/>
        <w:numPr>
          <w:ilvl w:val="0"/>
          <w:numId w:val="15"/>
        </w:numPr>
        <w:spacing w:after="0"/>
        <w:ind w:left="568" w:hanging="284"/>
        <w:rPr>
          <w:highlight w:val="yellow"/>
        </w:rPr>
      </w:pPr>
      <w:r w:rsidRPr="005F4206">
        <w:rPr>
          <w:i/>
          <w:iCs/>
          <w:highlight w:val="yellow"/>
          <w:u w:val="single"/>
        </w:rPr>
        <w:lastRenderedPageBreak/>
        <w:t>P</w:t>
      </w:r>
      <w:r w:rsidR="00BC212E" w:rsidRPr="003E2EBD">
        <w:rPr>
          <w:i/>
          <w:iCs/>
          <w:highlight w:val="yellow"/>
          <w:u w:val="single"/>
        </w:rPr>
        <w:t xml:space="preserve">referencias inconsistentes </w:t>
      </w:r>
      <w:r>
        <w:rPr>
          <w:i/>
          <w:iCs/>
          <w:highlight w:val="yellow"/>
          <w:u w:val="single"/>
        </w:rPr>
        <w:t>dinámicamente</w:t>
      </w:r>
      <w:r>
        <w:rPr>
          <w:highlight w:val="yellow"/>
        </w:rPr>
        <w:t>:</w:t>
      </w:r>
      <w:r w:rsidR="00BC212E" w:rsidRPr="003E2EBD">
        <w:rPr>
          <w:highlight w:val="yellow"/>
        </w:rPr>
        <w:t xml:space="preserve"> </w:t>
      </w:r>
      <w:r>
        <w:rPr>
          <w:highlight w:val="yellow"/>
        </w:rPr>
        <w:t>Los individuos no descuentan su utilidad de mediante descuento parabólico (que sería utilizado habitualmente en la teoría económica por ser consistente intertemporalmente), sino que estudios empíricos hallan que los individuos tienden a descontar mediante</w:t>
      </w:r>
      <w:r w:rsidR="00BC212E" w:rsidRPr="003E2EBD">
        <w:rPr>
          <w:highlight w:val="yellow"/>
        </w:rPr>
        <w:t xml:space="preserve"> un factor de descuento hiperbólico</w:t>
      </w:r>
      <w:r>
        <w:rPr>
          <w:highlight w:val="yellow"/>
        </w:rPr>
        <w:t xml:space="preserve"> (dando lugar a una inconsistencia dinámica) </w:t>
      </w:r>
      <w:r w:rsidRPr="005F4206">
        <w:rPr>
          <w:color w:val="767171" w:themeColor="background2" w:themeShade="80"/>
          <w:sz w:val="19"/>
          <w:szCs w:val="19"/>
          <w:highlight w:val="yellow"/>
        </w:rPr>
        <w:t>[ver tema 3.A.</w:t>
      </w:r>
      <w:r w:rsidR="00131DD7">
        <w:rPr>
          <w:color w:val="767171" w:themeColor="background2" w:themeShade="80"/>
          <w:sz w:val="19"/>
          <w:szCs w:val="19"/>
          <w:highlight w:val="yellow"/>
        </w:rPr>
        <w:t>29</w:t>
      </w:r>
      <w:r w:rsidRPr="005F4206">
        <w:rPr>
          <w:color w:val="767171" w:themeColor="background2" w:themeShade="80"/>
          <w:sz w:val="19"/>
          <w:szCs w:val="19"/>
          <w:highlight w:val="yellow"/>
        </w:rPr>
        <w:t>]</w:t>
      </w:r>
      <w:r w:rsidR="00BC212E" w:rsidRPr="003E2EBD">
        <w:rPr>
          <w:highlight w:val="yellow"/>
        </w:rPr>
        <w:t>.</w:t>
      </w:r>
    </w:p>
    <w:p w14:paraId="4ABE4C27" w14:textId="77777777" w:rsidR="00510D6F" w:rsidRDefault="00510D6F">
      <w:pPr>
        <w:pStyle w:val="Letra"/>
        <w:keepNext/>
        <w:numPr>
          <w:ilvl w:val="0"/>
          <w:numId w:val="15"/>
        </w:numPr>
        <w:spacing w:after="0"/>
        <w:ind w:left="568" w:hanging="284"/>
        <w:rPr>
          <w:highlight w:val="yellow"/>
        </w:rPr>
      </w:pPr>
      <w:r w:rsidRPr="00510D6F">
        <w:rPr>
          <w:i/>
          <w:iCs/>
          <w:highlight w:val="yellow"/>
          <w:u w:val="single"/>
        </w:rPr>
        <w:t>C</w:t>
      </w:r>
      <w:r w:rsidR="00BC212E" w:rsidRPr="003E2EBD">
        <w:rPr>
          <w:i/>
          <w:iCs/>
          <w:highlight w:val="yellow"/>
          <w:u w:val="single"/>
        </w:rPr>
        <w:t>ontabilidad mental</w:t>
      </w:r>
      <w:r>
        <w:rPr>
          <w:highlight w:val="yellow"/>
        </w:rPr>
        <w:t>:</w:t>
      </w:r>
      <w:r w:rsidR="00BC212E" w:rsidRPr="003E2EBD">
        <w:rPr>
          <w:highlight w:val="yellow"/>
        </w:rPr>
        <w:t xml:space="preserve"> </w:t>
      </w:r>
      <w:r>
        <w:rPr>
          <w:highlight w:val="yellow"/>
        </w:rPr>
        <w:t>S</w:t>
      </w:r>
      <w:r w:rsidR="00BC212E" w:rsidRPr="003E2EBD">
        <w:rPr>
          <w:highlight w:val="yellow"/>
        </w:rPr>
        <w:t>egregamos el dinero en distintas cuentas</w:t>
      </w:r>
      <w:r>
        <w:rPr>
          <w:highlight w:val="yellow"/>
        </w:rPr>
        <w:t>. Es decir, pese a que el dinero es un bien fungible lo consideramos como no fungible</w:t>
      </w:r>
      <w:r w:rsidR="003E2EBD" w:rsidRPr="003E2EBD">
        <w:rPr>
          <w:highlight w:val="yellow"/>
        </w:rPr>
        <w:t>.</w:t>
      </w:r>
    </w:p>
    <w:p w14:paraId="1BA2E083" w14:textId="77777777" w:rsidR="00510D6F" w:rsidRDefault="00510D6F" w:rsidP="0048040B">
      <w:pPr>
        <w:pStyle w:val="Nivel3SM"/>
        <w:rPr>
          <w:highlight w:val="yellow"/>
        </w:rPr>
      </w:pPr>
      <w:r>
        <w:rPr>
          <w:highlight w:val="yellow"/>
        </w:rPr>
        <w:t>Por ejemplo, un inversor puede tomar posiciones más conservadoras comuna cuenta de ahorros destinadas a un fin como la educación de los hijos y posiciones más arriesgadas con una cuenta de inversión.</w:t>
      </w:r>
    </w:p>
    <w:p w14:paraId="222F3F4C" w14:textId="639AA5A2" w:rsidR="00BC212E" w:rsidRPr="003E2EBD" w:rsidRDefault="00510D6F" w:rsidP="0048040B">
      <w:pPr>
        <w:pStyle w:val="Nivel3SM"/>
        <w:rPr>
          <w:highlight w:val="yellow"/>
        </w:rPr>
      </w:pPr>
      <w:r>
        <w:rPr>
          <w:highlight w:val="yellow"/>
        </w:rPr>
        <w:t xml:space="preserve">En el caso de la teoría de fijación de activos los agentes evaluarían cada riesgo de manera separada y, por tanto, los agentes no tendrían en cuenta las covarianzas que están en el origen de las primas de riesgo para la teoría tradicional de fijación de precios de activos sobre la que se basa la </w:t>
      </w:r>
      <w:r>
        <w:rPr>
          <w:i/>
          <w:iCs/>
          <w:highlight w:val="yellow"/>
        </w:rPr>
        <w:t>Efficient Market Hypothesis</w:t>
      </w:r>
      <w:r w:rsidRPr="00510D6F">
        <w:rPr>
          <w:highlight w:val="yellow"/>
        </w:rPr>
        <w:t>.</w:t>
      </w:r>
    </w:p>
    <w:p w14:paraId="4805848B" w14:textId="26A05F7E" w:rsidR="00E37A54" w:rsidRDefault="00E37A54">
      <w:pPr>
        <w:pStyle w:val="Letra"/>
        <w:numPr>
          <w:ilvl w:val="0"/>
          <w:numId w:val="15"/>
        </w:numPr>
        <w:spacing w:after="0"/>
        <w:ind w:left="568" w:hanging="284"/>
      </w:pPr>
      <w:proofErr w:type="spellStart"/>
      <w:r w:rsidRPr="00914AA6">
        <w:rPr>
          <w:i/>
          <w:iCs/>
          <w:u w:val="single"/>
        </w:rPr>
        <w:t>Equity</w:t>
      </w:r>
      <w:proofErr w:type="spellEnd"/>
      <w:r w:rsidRPr="00914AA6">
        <w:rPr>
          <w:i/>
          <w:iCs/>
          <w:u w:val="single"/>
        </w:rPr>
        <w:t xml:space="preserve"> premium </w:t>
      </w:r>
      <w:proofErr w:type="spellStart"/>
      <w:r w:rsidRPr="00914AA6">
        <w:rPr>
          <w:i/>
          <w:iCs/>
          <w:u w:val="single"/>
        </w:rPr>
        <w:t>puzzle</w:t>
      </w:r>
      <w:proofErr w:type="spellEnd"/>
      <w:r>
        <w:t xml:space="preserve">: ¿Cómo explicar que, según reiterados cálculos, la inversión en acciones produzca, de forma sistemática a largo plazo una rentabilidad superior en más de </w:t>
      </w:r>
      <w:r w:rsidR="007847C5">
        <w:t>6</w:t>
      </w:r>
      <w:r w:rsidR="00E87F08">
        <w:t> </w:t>
      </w:r>
      <w:r>
        <w:t xml:space="preserve">puntos </w:t>
      </w:r>
      <w:r w:rsidR="007847C5">
        <w:t xml:space="preserve">porcentuales </w:t>
      </w:r>
      <w:r>
        <w:t xml:space="preserve">a la de la deuda pública? La </w:t>
      </w:r>
      <w:r>
        <w:rPr>
          <w:i/>
          <w:iCs/>
        </w:rPr>
        <w:t>Prospect Theory</w:t>
      </w:r>
      <w:r>
        <w:t xml:space="preserve"> lo achaca a la gran frecuencia con la que los inversores evalúan el valor de sus carteras y a la asimetría con la que reaccionamos a las pérdidas y ganancias. Esa evaluación frecuente hace muy dolorosas las pérdidas que provocan las fluctuaciones a corto plazo de las cotizaciones incluso aunque luego sean compensadas por ganancias. Tal </w:t>
      </w:r>
      <w:r>
        <w:rPr>
          <w:i/>
          <w:iCs/>
        </w:rPr>
        <w:t>aversión miope a las pérdidas</w:t>
      </w:r>
      <w:r>
        <w:t xml:space="preserve"> hace que, en equilibrio, los inversores exijan de las acciones un rendimiento superior al de la renta fija. Un corolario –</w:t>
      </w:r>
      <w:r w:rsidR="0048040B" w:rsidRPr="0048040B">
        <w:rPr>
          <w:sz w:val="2"/>
          <w:szCs w:val="2"/>
        </w:rPr>
        <w:t> </w:t>
      </w:r>
      <w:r>
        <w:t>refrendado experimentalmente</w:t>
      </w:r>
      <w:r w:rsidR="0048040B" w:rsidRPr="0048040B">
        <w:rPr>
          <w:sz w:val="2"/>
          <w:szCs w:val="2"/>
        </w:rPr>
        <w:t> </w:t>
      </w:r>
      <w:r>
        <w:t>– es que la aversión por la renta variable disminuye cuanto más se alarga el per</w:t>
      </w:r>
      <w:r w:rsidR="00D46625">
        <w:t>i</w:t>
      </w:r>
      <w:r>
        <w:t>odo de valoración de las carteras.</w:t>
      </w:r>
    </w:p>
    <w:p w14:paraId="16BAB54B" w14:textId="372D8937" w:rsidR="00E37A54" w:rsidRDefault="00E37A54">
      <w:pPr>
        <w:pStyle w:val="Letra"/>
        <w:numPr>
          <w:ilvl w:val="0"/>
          <w:numId w:val="15"/>
        </w:numPr>
        <w:spacing w:after="0"/>
        <w:ind w:left="568" w:hanging="284"/>
      </w:pPr>
      <w:proofErr w:type="spellStart"/>
      <w:r w:rsidRPr="00914AA6">
        <w:rPr>
          <w:i/>
          <w:iCs/>
          <w:u w:val="single"/>
        </w:rPr>
        <w:t>Volatility</w:t>
      </w:r>
      <w:proofErr w:type="spellEnd"/>
      <w:r w:rsidRPr="00914AA6">
        <w:rPr>
          <w:i/>
          <w:iCs/>
          <w:u w:val="single"/>
        </w:rPr>
        <w:t xml:space="preserve"> </w:t>
      </w:r>
      <w:proofErr w:type="spellStart"/>
      <w:r w:rsidRPr="00914AA6">
        <w:rPr>
          <w:i/>
          <w:iCs/>
          <w:u w:val="single"/>
        </w:rPr>
        <w:t>puzzle</w:t>
      </w:r>
      <w:proofErr w:type="spellEnd"/>
      <w:r>
        <w:t>: ¿Por qué las cotizaciones de las acciones –</w:t>
      </w:r>
      <w:r w:rsidR="00036DB8" w:rsidRPr="0048040B">
        <w:rPr>
          <w:sz w:val="2"/>
          <w:szCs w:val="2"/>
        </w:rPr>
        <w:t> </w:t>
      </w:r>
      <w:r>
        <w:t>que, en teoría, reflejan tan sólo el valor presente de su flujo futuro de dividendos</w:t>
      </w:r>
      <w:r w:rsidR="00036DB8" w:rsidRPr="0048040B">
        <w:rPr>
          <w:sz w:val="2"/>
          <w:szCs w:val="2"/>
        </w:rPr>
        <w:t> </w:t>
      </w:r>
      <w:r>
        <w:t xml:space="preserve">– oscilan mucho más que los propios dividendos? La </w:t>
      </w:r>
      <w:r>
        <w:rPr>
          <w:i/>
          <w:iCs/>
        </w:rPr>
        <w:t>Prospect Theory</w:t>
      </w:r>
      <w:r>
        <w:t xml:space="preserve"> lo fundamenta en el proceso psicológico de combinación de ganancias y pérdidas. En época de bonanza, cuando los dividendos y la Bolsa suben, los inversores acumulan ganancias latentes y pierden miedo a las futuras pérdidas, pues si éstas se producen tan s</w:t>
      </w:r>
      <w:r w:rsidR="007E26A1">
        <w:t>o</w:t>
      </w:r>
      <w:r>
        <w:t xml:space="preserve">lo minorarán las ganancias: no se verán, pues, como genuinas pérdidas, sino como </w:t>
      </w:r>
      <w:r>
        <w:rPr>
          <w:i/>
          <w:iCs/>
        </w:rPr>
        <w:t>menores ganancias</w:t>
      </w:r>
      <w:r>
        <w:t xml:space="preserve">. Ese </w:t>
      </w:r>
      <w:r>
        <w:rPr>
          <w:i/>
          <w:iCs/>
        </w:rPr>
        <w:t>neteo</w:t>
      </w:r>
      <w:r>
        <w:t xml:space="preserve"> psicológico reducirá su aversión al riesgo y su tasa subjetiva de descuento, lo que los llevará a estar dispuestos a pagar más por acción para un mismo nivel de dividendos. Así pues, un aumento de dividendos, al disminuir la prima de riesgo exigida por los inversores, hará que las cotizaciones suban por doble motivo. El proceso contrario se dará cuando bajen los dividendos. En suma, el </w:t>
      </w:r>
      <w:r>
        <w:rPr>
          <w:i/>
          <w:iCs/>
        </w:rPr>
        <w:t>efecto colchón</w:t>
      </w:r>
      <w:r>
        <w:t xml:space="preserve"> de las ganancias acumuladas durante la bonanza (llamado </w:t>
      </w:r>
      <w:proofErr w:type="spellStart"/>
      <w:r>
        <w:rPr>
          <w:i/>
          <w:iCs/>
        </w:rPr>
        <w:t>house</w:t>
      </w:r>
      <w:proofErr w:type="spellEnd"/>
      <w:r>
        <w:rPr>
          <w:i/>
          <w:iCs/>
        </w:rPr>
        <w:t xml:space="preserve"> </w:t>
      </w:r>
      <w:proofErr w:type="spellStart"/>
      <w:r>
        <w:rPr>
          <w:i/>
          <w:iCs/>
        </w:rPr>
        <w:t>money</w:t>
      </w:r>
      <w:proofErr w:type="spellEnd"/>
      <w:r>
        <w:rPr>
          <w:i/>
          <w:iCs/>
        </w:rPr>
        <w:t xml:space="preserve"> </w:t>
      </w:r>
      <w:proofErr w:type="spellStart"/>
      <w:r>
        <w:rPr>
          <w:i/>
          <w:iCs/>
        </w:rPr>
        <w:t>effect</w:t>
      </w:r>
      <w:proofErr w:type="spellEnd"/>
      <w:r>
        <w:t>, en alusión al optimismo típico del jugador de casino que va ganando) tendrá un efecto procíclico.</w:t>
      </w:r>
    </w:p>
    <w:p w14:paraId="13C9CE33" w14:textId="30D4FD76" w:rsidR="00E37A54" w:rsidRDefault="00E37A54">
      <w:pPr>
        <w:pStyle w:val="Letra"/>
        <w:numPr>
          <w:ilvl w:val="0"/>
          <w:numId w:val="15"/>
        </w:numPr>
        <w:spacing w:after="0"/>
        <w:ind w:left="568" w:hanging="284"/>
      </w:pPr>
      <w:proofErr w:type="spellStart"/>
      <w:r w:rsidRPr="00914AA6">
        <w:rPr>
          <w:i/>
          <w:iCs/>
          <w:u w:val="single"/>
        </w:rPr>
        <w:t>Disposition</w:t>
      </w:r>
      <w:proofErr w:type="spellEnd"/>
      <w:r w:rsidRPr="00914AA6">
        <w:rPr>
          <w:i/>
          <w:iCs/>
          <w:u w:val="single"/>
        </w:rPr>
        <w:t xml:space="preserve"> </w:t>
      </w:r>
      <w:proofErr w:type="spellStart"/>
      <w:r w:rsidRPr="00914AA6">
        <w:rPr>
          <w:i/>
          <w:iCs/>
          <w:u w:val="single"/>
        </w:rPr>
        <w:t>effect</w:t>
      </w:r>
      <w:proofErr w:type="spellEnd"/>
      <w:r>
        <w:t xml:space="preserve">: ¿Por qué los inversores son reacios a vender acciones con pérdida y proclives a vender las que arrojan plusvalías? La </w:t>
      </w:r>
      <w:r>
        <w:rPr>
          <w:i/>
          <w:iCs/>
        </w:rPr>
        <w:t>Prospect Theory</w:t>
      </w:r>
      <w:r>
        <w:t xml:space="preserve"> lo atribuye a la forma de S de la </w:t>
      </w:r>
      <w:r>
        <w:rPr>
          <w:i/>
          <w:iCs/>
        </w:rPr>
        <w:t>función de valor</w:t>
      </w:r>
      <w:r>
        <w:t>, que refleja el valor marginal decreciente de ganancias y pérdidas. Imaginemos, por ejemplo, que un inversor compró una acción en 50</w:t>
      </w:r>
      <w:r w:rsidR="00E87F08">
        <w:t> €</w:t>
      </w:r>
      <w:r>
        <w:t xml:space="preserve">. La acción ahora cotiza a 55 € y existe la misma probabilidad de que suba a 60 € o de que baje a 50 €. Pues bien, el valor atribuido a una plusvalía segura de </w:t>
      </w:r>
      <w:r w:rsidR="007E26A1">
        <w:t>5 €</w:t>
      </w:r>
      <w:r>
        <w:t xml:space="preserve"> será mayor que el de una potencial ganancia de 10</w:t>
      </w:r>
      <w:r w:rsidR="007E26A1">
        <w:t> </w:t>
      </w:r>
      <w:r>
        <w:t>€ con una probabilidad del 50%. El inversor materializará pues su ganancia. Imaginemos ahora que esa misma acción cotice a 45 € –</w:t>
      </w:r>
      <w:r w:rsidR="0048040B" w:rsidRPr="0048040B">
        <w:rPr>
          <w:sz w:val="2"/>
          <w:szCs w:val="2"/>
        </w:rPr>
        <w:t> </w:t>
      </w:r>
      <w:r>
        <w:t>con una minusvalía latente de cinco</w:t>
      </w:r>
      <w:r w:rsidR="0048040B" w:rsidRPr="0048040B">
        <w:rPr>
          <w:sz w:val="2"/>
          <w:szCs w:val="2"/>
        </w:rPr>
        <w:t> </w:t>
      </w:r>
      <w:r>
        <w:t>– y que exista la misma probabilidad de que suba a 50 € o de que baje a 40 €. Si vende, el inversor materializará una pérdida de 5</w:t>
      </w:r>
      <w:r w:rsidR="00E87F08">
        <w:t> </w:t>
      </w:r>
      <w:r>
        <w:t>€. Si no lo hace, su potencial minusvalía será de 10</w:t>
      </w:r>
      <w:r w:rsidR="00E87F08">
        <w:t> </w:t>
      </w:r>
      <w:r>
        <w:t xml:space="preserve">€ con una probabilidad del </w:t>
      </w:r>
      <w:r>
        <w:lastRenderedPageBreak/>
        <w:t>50</w:t>
      </w:r>
      <w:r w:rsidR="00E87F08">
        <w:t> </w:t>
      </w:r>
      <w:r>
        <w:t>%. Enfrentando a esa desagradable tesitura, el dolor marginal decreciente de las pérdidas hará que prefiera conservar el valor.</w:t>
      </w:r>
    </w:p>
    <w:p w14:paraId="3FF826BC" w14:textId="13BDD6E2" w:rsidR="00E37A54" w:rsidRDefault="00E37A54">
      <w:pPr>
        <w:pStyle w:val="Letra"/>
        <w:numPr>
          <w:ilvl w:val="0"/>
          <w:numId w:val="15"/>
        </w:numPr>
        <w:ind w:left="568" w:hanging="284"/>
      </w:pPr>
      <w:proofErr w:type="spellStart"/>
      <w:r w:rsidRPr="00914AA6">
        <w:rPr>
          <w:i/>
          <w:iCs/>
          <w:u w:val="single"/>
        </w:rPr>
        <w:t>Dividend</w:t>
      </w:r>
      <w:proofErr w:type="spellEnd"/>
      <w:r w:rsidRPr="00914AA6">
        <w:rPr>
          <w:i/>
          <w:iCs/>
          <w:u w:val="single"/>
        </w:rPr>
        <w:t xml:space="preserve"> </w:t>
      </w:r>
      <w:proofErr w:type="spellStart"/>
      <w:r w:rsidRPr="00914AA6">
        <w:rPr>
          <w:i/>
          <w:iCs/>
          <w:u w:val="single"/>
        </w:rPr>
        <w:t>puzzle</w:t>
      </w:r>
      <w:proofErr w:type="spellEnd"/>
      <w:r>
        <w:t>: ¿Por qué en Estados Unidos muchas empresas han seguido pagando dividendos, a pesar de que –</w:t>
      </w:r>
      <w:r w:rsidR="00036DB8" w:rsidRPr="0048040B">
        <w:rPr>
          <w:sz w:val="2"/>
          <w:szCs w:val="2"/>
        </w:rPr>
        <w:t> </w:t>
      </w:r>
      <w:r>
        <w:t>por lo menos hasta ahora</w:t>
      </w:r>
      <w:r w:rsidR="00036DB8" w:rsidRPr="0048040B">
        <w:rPr>
          <w:sz w:val="2"/>
          <w:szCs w:val="2"/>
        </w:rPr>
        <w:t> </w:t>
      </w:r>
      <w:r>
        <w:t xml:space="preserve">– tributaban más que las plusvalías? La </w:t>
      </w:r>
      <w:r>
        <w:rPr>
          <w:i/>
          <w:iCs/>
        </w:rPr>
        <w:t>Prospect Theory</w:t>
      </w:r>
      <w:r>
        <w:t xml:space="preserve"> supone que las empresas razonan como Maquiavelo: </w:t>
      </w:r>
      <w:r>
        <w:rPr>
          <w:i/>
          <w:iCs/>
        </w:rPr>
        <w:t>por la misma razón que los actos de severidad deben hacerse de una vez para que dejando menos tiempo para notarlos ofenderán menos, los beneficios deben otorgarse poco a poco, a fin de que puedan saborearse mejor</w:t>
      </w:r>
      <w:r>
        <w:t xml:space="preserve">. De forma parecida, si una empresa consigue unos beneficios de 10 € por acción, podrá beneficiar al accionista si, en vez de transmitírselos en bloque, los fracciona (por ejemplo, en un dividendo de </w:t>
      </w:r>
      <w:r w:rsidR="00B904B2">
        <w:t>2 €</w:t>
      </w:r>
      <w:r>
        <w:t xml:space="preserve"> y una plusvalía latente de </w:t>
      </w:r>
      <w:r w:rsidR="00B904B2">
        <w:t>8 €</w:t>
      </w:r>
      <w:r>
        <w:t xml:space="preserve">). Esa segregación hará que el accionista se beneficie de dos ganancias separadas de </w:t>
      </w:r>
      <w:r w:rsidR="00B904B2">
        <w:t>2 €</w:t>
      </w:r>
      <w:r>
        <w:t xml:space="preserve"> y de </w:t>
      </w:r>
      <w:r w:rsidR="00B904B2">
        <w:t>8 €</w:t>
      </w:r>
      <w:r>
        <w:t>, que disfrutará más que una sola de 10</w:t>
      </w:r>
      <w:r w:rsidR="00E87F08">
        <w:t> </w:t>
      </w:r>
      <w:r>
        <w:t xml:space="preserve">€. Por un motivo parecido, a una empresa con pérdidas puede interesarle repartir un pequeño dividendo, porque dado el valor marginal decreciente que atribuye a aquéllas, el accionista preferirá un dividendo de </w:t>
      </w:r>
      <w:r w:rsidR="00B904B2">
        <w:t>2 €</w:t>
      </w:r>
      <w:r>
        <w:t xml:space="preserve"> y unas pérdidas brutas de 12</w:t>
      </w:r>
      <w:r w:rsidR="00B904B2">
        <w:t> €</w:t>
      </w:r>
      <w:r>
        <w:t xml:space="preserve"> a unas pérdidas netas de 10</w:t>
      </w:r>
      <w:r w:rsidR="00B904B2">
        <w:t> €</w:t>
      </w:r>
      <w:r>
        <w:t>. En suma, las reglas psicológicas de combinación y segregación de sucesos harán que reaccionemos de forma distinta ante lo que, desde el punto de vista financiero, es idéntico.</w:t>
      </w:r>
    </w:p>
    <w:p w14:paraId="2DF2DA95" w14:textId="1B8FAEF9" w:rsidR="00E37A54" w:rsidRPr="000925A6" w:rsidRDefault="00E37A54" w:rsidP="00BD6830">
      <w:pPr>
        <w:pStyle w:val="Notaalopositor"/>
        <w:keepNext w:val="0"/>
      </w:pPr>
      <w:r>
        <w:t xml:space="preserve">La idea principal es que la crítica del </w:t>
      </w:r>
      <w:r>
        <w:rPr>
          <w:i/>
          <w:iCs/>
        </w:rPr>
        <w:t>behavioral finance</w:t>
      </w:r>
      <w:r>
        <w:t xml:space="preserve"> no quiere decir que los mercados financieros no sean eficientes</w:t>
      </w:r>
      <w:r w:rsidR="00BC212E">
        <w:t xml:space="preserve">. Por ejemplo, </w:t>
      </w:r>
      <w:r>
        <w:t>se ha demostrado que la definición de eficiencia como ausencia de arbitraje se cumple incluso en presencia de burbujas</w:t>
      </w:r>
      <w:r w:rsidR="00BC212E">
        <w:t xml:space="preserve"> en el precio de los activos</w:t>
      </w:r>
      <w:r>
        <w:t>.</w:t>
      </w:r>
      <w:r w:rsidR="00BC212E">
        <w:t xml:space="preserve"> Aun así se cumpliría la hipótesis de mercados eficientes. La intuición sería que a pesar de que los inversores conocen la posibilidad de que pueda existir una burbuja no saben cuándo la burbuja puede estallar y hay que tener en cuenta esta precisión.</w:t>
      </w:r>
    </w:p>
    <w:p w14:paraId="2E0D35E0" w14:textId="022735A5" w:rsidR="00543EE7" w:rsidRDefault="00F14E40" w:rsidP="00543EE7">
      <w:pPr>
        <w:pStyle w:val="Ttulo1"/>
      </w:pPr>
      <w:bookmarkStart w:id="86" w:name="_Toc144911987"/>
      <w:r>
        <w:t>GESTIÓN ACTIVA DE CARTERAS (II):</w:t>
      </w:r>
      <w:r>
        <w:br/>
      </w:r>
      <w:r w:rsidR="00E37A54">
        <w:t xml:space="preserve">ANÁLISIS FUNDAMENTAL </w:t>
      </w:r>
      <w:r w:rsidR="00543EE7">
        <w:t>Y ANÁLISIS TÉCNICO</w:t>
      </w:r>
      <w:bookmarkEnd w:id="86"/>
    </w:p>
    <w:p w14:paraId="1A30F94F" w14:textId="58502621" w:rsidR="00E37A54" w:rsidRDefault="00E37A54" w:rsidP="00E37A54">
      <w:pPr>
        <w:pStyle w:val="Ttulo2"/>
      </w:pPr>
      <w:bookmarkStart w:id="87" w:name="_Toc144911988"/>
      <w:r>
        <w:t>Idea</w:t>
      </w:r>
      <w:bookmarkEnd w:id="87"/>
    </w:p>
    <w:p w14:paraId="1B957C19" w14:textId="7FB98AE1" w:rsidR="00BC212E" w:rsidRDefault="00BD6830" w:rsidP="003653CC">
      <w:pPr>
        <w:pStyle w:val="Nivel1SM"/>
        <w:keepNext/>
        <w:spacing w:before="0" w:after="0"/>
      </w:pPr>
      <w:r>
        <w:t>Habiendo analizado</w:t>
      </w:r>
      <w:r w:rsidR="00BC212E">
        <w:t xml:space="preserve"> la </w:t>
      </w:r>
      <w:r w:rsidR="00BC212E" w:rsidRPr="00F14E40">
        <w:rPr>
          <w:i/>
          <w:iCs/>
        </w:rPr>
        <w:t>Hipótesis de Mercados Eficientes</w:t>
      </w:r>
      <w:r w:rsidR="00BC212E">
        <w:t xml:space="preserve"> y viendo que </w:t>
      </w:r>
      <w:r w:rsidR="00BC212E" w:rsidRPr="00F14E40">
        <w:rPr>
          <w:i/>
          <w:iCs/>
        </w:rPr>
        <w:t>podrían existir incumplimientos</w:t>
      </w:r>
      <w:r w:rsidR="00BC212E">
        <w:t xml:space="preserve">, esto abre la puerta a la </w:t>
      </w:r>
      <w:r w:rsidR="00BC212E" w:rsidRPr="00F14E40">
        <w:rPr>
          <w:i/>
          <w:iCs/>
        </w:rPr>
        <w:t>gestión activa de carteras</w:t>
      </w:r>
      <w:r w:rsidR="00BC212E">
        <w:t xml:space="preserve">. En particular veremos </w:t>
      </w:r>
      <w:r w:rsidR="00757A7C">
        <w:t>2 </w:t>
      </w:r>
      <w:r w:rsidR="00BC212E">
        <w:t>tipos de análisis que buscan batir al mercado:</w:t>
      </w:r>
    </w:p>
    <w:p w14:paraId="054A159D" w14:textId="2B959E0C" w:rsidR="00BC212E" w:rsidRDefault="00BC212E">
      <w:pPr>
        <w:pStyle w:val="Prrafodelista"/>
        <w:numPr>
          <w:ilvl w:val="0"/>
          <w:numId w:val="37"/>
        </w:numPr>
        <w:spacing w:after="100"/>
        <w:ind w:left="568" w:hanging="284"/>
      </w:pPr>
      <w:r>
        <w:t>A</w:t>
      </w:r>
      <w:r w:rsidR="00BD6830">
        <w:t>nálisis fundamental</w:t>
      </w:r>
      <w:r w:rsidR="00C50C11">
        <w:t>.</w:t>
      </w:r>
    </w:p>
    <w:p w14:paraId="15D3A632" w14:textId="25DCF93E" w:rsidR="00BD6830" w:rsidRPr="00BD6830" w:rsidRDefault="00BC212E">
      <w:pPr>
        <w:pStyle w:val="Prrafodelista"/>
        <w:numPr>
          <w:ilvl w:val="0"/>
          <w:numId w:val="37"/>
        </w:numPr>
        <w:spacing w:after="100"/>
        <w:ind w:left="568" w:hanging="284"/>
      </w:pPr>
      <w:r>
        <w:t>A</w:t>
      </w:r>
      <w:r w:rsidR="00BD6830">
        <w:t>nál</w:t>
      </w:r>
      <w:r>
        <w:t>isis técnico</w:t>
      </w:r>
      <w:r w:rsidR="00C50C11">
        <w:t>.</w:t>
      </w:r>
    </w:p>
    <w:p w14:paraId="6C540516" w14:textId="625CB8F8" w:rsidR="00E37A54" w:rsidRDefault="00E37A54" w:rsidP="00E37A54">
      <w:pPr>
        <w:pStyle w:val="Ttulo2"/>
      </w:pPr>
      <w:bookmarkStart w:id="88" w:name="_Toc144911989"/>
      <w:r>
        <w:t>Análisis fundamental</w:t>
      </w:r>
      <w:bookmarkEnd w:id="88"/>
    </w:p>
    <w:p w14:paraId="6E5417A6" w14:textId="442EB867" w:rsidR="00E37A54" w:rsidRPr="00204D34" w:rsidRDefault="00E37A54" w:rsidP="00E37A54">
      <w:pPr>
        <w:pStyle w:val="Notaalopositor"/>
      </w:pPr>
      <w:r>
        <w:t>Ver manual Sharpe 22.4</w:t>
      </w:r>
      <w:r w:rsidR="00853CF6">
        <w:t xml:space="preserve"> o capítulo 1 del manual de Pablo Fernández </w:t>
      </w:r>
      <w:r w:rsidR="00853CF6" w:rsidRPr="00853CF6">
        <w:rPr>
          <w:i/>
          <w:iCs/>
        </w:rPr>
        <w:t>“</w:t>
      </w:r>
      <w:r w:rsidR="00853CF6">
        <w:rPr>
          <w:i/>
          <w:iCs/>
        </w:rPr>
        <w:t>Valoración de empresas y sensatez</w:t>
      </w:r>
      <w:r w:rsidR="00853CF6" w:rsidRPr="00853CF6">
        <w:rPr>
          <w:i/>
          <w:iCs/>
        </w:rPr>
        <w:t>”</w:t>
      </w:r>
      <w:r w:rsidR="00853CF6">
        <w:t>.</w:t>
      </w:r>
    </w:p>
    <w:p w14:paraId="32FBD4F3" w14:textId="332E6B2B" w:rsidR="00940E40" w:rsidRDefault="00940E40" w:rsidP="003653CC">
      <w:pPr>
        <w:pStyle w:val="Ttulo3"/>
        <w:spacing w:before="0"/>
      </w:pPr>
      <w:bookmarkStart w:id="89" w:name="_Toc144911990"/>
      <w:r>
        <w:t>Idea</w:t>
      </w:r>
      <w:bookmarkEnd w:id="89"/>
    </w:p>
    <w:p w14:paraId="2B1C227C" w14:textId="3B51088F" w:rsidR="00E37A54" w:rsidRDefault="00940E40" w:rsidP="003653CC">
      <w:pPr>
        <w:pStyle w:val="Nivel1SM"/>
        <w:keepNext/>
        <w:spacing w:before="0" w:after="0"/>
      </w:pPr>
      <w:r>
        <w:t xml:space="preserve">El </w:t>
      </w:r>
      <w:r w:rsidRPr="00940E40">
        <w:rPr>
          <w:b/>
          <w:bCs/>
        </w:rPr>
        <w:t>análisis fundamental</w:t>
      </w:r>
      <w:r w:rsidR="00E37A54">
        <w:t xml:space="preserve"> </w:t>
      </w:r>
      <w:r w:rsidR="006B4BFD">
        <w:t xml:space="preserve">es una metodología de análisis bursátil que </w:t>
      </w:r>
      <w:r w:rsidR="00E37A54">
        <w:t xml:space="preserve">consiste en una serie de procedimientos utilizados para determinar el </w:t>
      </w:r>
      <w:r w:rsidR="00E37A54" w:rsidRPr="00940E40">
        <w:rPr>
          <w:b/>
          <w:bCs/>
        </w:rPr>
        <w:t xml:space="preserve">valor intrínseco </w:t>
      </w:r>
      <w:r w:rsidR="00E37A54">
        <w:t>de una acción individual, es decir, aquel que depende del potencial de la empresa para generar beneficios.</w:t>
      </w:r>
    </w:p>
    <w:p w14:paraId="05220220" w14:textId="20631228" w:rsidR="00940E40" w:rsidRPr="00A91A8B" w:rsidRDefault="00940E40" w:rsidP="00940E40">
      <w:pPr>
        <w:pStyle w:val="Nivel2SM"/>
        <w:rPr>
          <w:spacing w:val="-2"/>
        </w:rPr>
      </w:pPr>
      <w:r w:rsidRPr="00A91A8B">
        <w:rPr>
          <w:spacing w:val="-2"/>
        </w:rPr>
        <w:t xml:space="preserve">Una vez valorada la acción según el método que se elija, se puede </w:t>
      </w:r>
      <w:r w:rsidRPr="00A91A8B">
        <w:rPr>
          <w:b/>
          <w:bCs/>
          <w:spacing w:val="-2"/>
        </w:rPr>
        <w:t>comparar</w:t>
      </w:r>
      <w:r w:rsidRPr="00A91A8B">
        <w:rPr>
          <w:spacing w:val="-2"/>
        </w:rPr>
        <w:t xml:space="preserve"> su valor con el precio de la acción en el mercado para determinar si ésta está valorada correctamente o si, por el contrario, está infravalorada o sobrevalorada y, en base a esto, tomar decisiones de inversión</w:t>
      </w:r>
      <w:r w:rsidR="00A91A8B" w:rsidRPr="00A91A8B">
        <w:rPr>
          <w:rStyle w:val="Refdenotaalpie"/>
          <w:spacing w:val="-2"/>
        </w:rPr>
        <w:footnoteReference w:id="35"/>
      </w:r>
      <w:r w:rsidRPr="00A91A8B">
        <w:rPr>
          <w:spacing w:val="-2"/>
        </w:rPr>
        <w:t>.</w:t>
      </w:r>
    </w:p>
    <w:p w14:paraId="577A9B1C" w14:textId="1027C9A2" w:rsidR="00940E40" w:rsidRDefault="00940E40" w:rsidP="00940E40">
      <w:pPr>
        <w:pStyle w:val="Nivel1SM"/>
      </w:pPr>
      <w:r>
        <w:lastRenderedPageBreak/>
        <w:t xml:space="preserve">Este tipo de análisis fue introducido por </w:t>
      </w:r>
      <w:r>
        <w:rPr>
          <w:smallCaps/>
        </w:rPr>
        <w:t>Benjamin Graham</w:t>
      </w:r>
      <w:r>
        <w:t xml:space="preserve"> y </w:t>
      </w:r>
      <w:r>
        <w:rPr>
          <w:smallCaps/>
        </w:rPr>
        <w:t>David Dodd</w:t>
      </w:r>
      <w:r>
        <w:t xml:space="preserve"> en su libro </w:t>
      </w:r>
      <w:r>
        <w:rPr>
          <w:i/>
          <w:iCs/>
        </w:rPr>
        <w:t xml:space="preserve">Security </w:t>
      </w:r>
      <w:proofErr w:type="spellStart"/>
      <w:r>
        <w:rPr>
          <w:i/>
          <w:iCs/>
        </w:rPr>
        <w:t>Analysis</w:t>
      </w:r>
      <w:proofErr w:type="spellEnd"/>
      <w:r w:rsidRPr="00940E40">
        <w:t xml:space="preserve"> </w:t>
      </w:r>
      <w:r>
        <w:t>(1934)</w:t>
      </w:r>
      <w:r>
        <w:rPr>
          <w:rStyle w:val="Refdenotaalpie"/>
        </w:rPr>
        <w:footnoteReference w:id="36"/>
      </w:r>
      <w:r>
        <w:t>.</w:t>
      </w:r>
    </w:p>
    <w:p w14:paraId="1710F856" w14:textId="4133D739" w:rsidR="00E37A54" w:rsidRDefault="00E37A54" w:rsidP="00E37A54">
      <w:pPr>
        <w:pStyle w:val="Nivel1SM"/>
        <w:keepNext/>
        <w:spacing w:after="0"/>
      </w:pPr>
      <w:r>
        <w:t xml:space="preserve">A la hora realizar este tipo de valoración, se pueden adoptar </w:t>
      </w:r>
      <w:r w:rsidR="00B736BC">
        <w:t>2 </w:t>
      </w:r>
      <w:r>
        <w:t>enfoques:</w:t>
      </w:r>
    </w:p>
    <w:p w14:paraId="0113BB4F" w14:textId="77777777" w:rsidR="00E37A54" w:rsidRDefault="00E37A54" w:rsidP="00E37A54">
      <w:pPr>
        <w:pStyle w:val="Nivel2SM"/>
      </w:pPr>
      <w:r w:rsidRPr="00964B95">
        <w:rPr>
          <w:i/>
          <w:iCs/>
          <w:u w:val="single"/>
        </w:rPr>
        <w:t>Enfoque macroeconómico</w:t>
      </w:r>
      <w:r w:rsidRPr="00964B95">
        <w:rPr>
          <w:u w:val="single"/>
        </w:rPr>
        <w:t xml:space="preserve"> (o </w:t>
      </w:r>
      <w:r w:rsidRPr="00964B95">
        <w:rPr>
          <w:i/>
          <w:iCs/>
          <w:u w:val="single"/>
        </w:rPr>
        <w:t>top-</w:t>
      </w:r>
      <w:proofErr w:type="spellStart"/>
      <w:r w:rsidRPr="00964B95">
        <w:rPr>
          <w:i/>
          <w:iCs/>
          <w:u w:val="single"/>
        </w:rPr>
        <w:t>down</w:t>
      </w:r>
      <w:proofErr w:type="spellEnd"/>
      <w:r w:rsidRPr="00964B95">
        <w:rPr>
          <w:u w:val="single"/>
        </w:rPr>
        <w:t>)</w:t>
      </w:r>
      <w:r>
        <w:t xml:space="preserve">: Consiste en valorar las acciones de empresas partiendo del estado de la situación del país, hasta valorar de forma individual a la empresa. El razonamiento sería: </w:t>
      </w:r>
      <w:r>
        <w:rPr>
          <w:rFonts w:cs="Times New Roman"/>
        </w:rPr>
        <w:t>p</w:t>
      </w:r>
      <w:r w:rsidRPr="00964B95">
        <w:rPr>
          <w:rFonts w:cs="Times New Roman"/>
        </w:rPr>
        <w:t>aís</w:t>
      </w:r>
      <w:r w:rsidRPr="00964B95">
        <w:t xml:space="preserve"> </w:t>
      </w:r>
      <w:r w:rsidRPr="00964B95">
        <w:rPr>
          <w:rFonts w:ascii="Times New Roman" w:hAnsi="Times New Roman" w:cs="Times New Roman"/>
        </w:rPr>
        <w:t>→</w:t>
      </w:r>
      <w:r w:rsidRPr="00964B95">
        <w:t xml:space="preserve"> </w:t>
      </w:r>
      <w:r w:rsidRPr="00964B95">
        <w:rPr>
          <w:rFonts w:cs="Times New Roman"/>
        </w:rPr>
        <w:t>sector</w:t>
      </w:r>
      <w:r w:rsidRPr="00964B95">
        <w:t xml:space="preserve"> </w:t>
      </w:r>
      <w:r w:rsidRPr="00964B95">
        <w:rPr>
          <w:rFonts w:ascii="Times New Roman" w:hAnsi="Times New Roman" w:cs="Times New Roman"/>
        </w:rPr>
        <w:t>→</w:t>
      </w:r>
      <w:r w:rsidRPr="00964B95">
        <w:rPr>
          <w:rFonts w:cs="Times New Roman"/>
        </w:rPr>
        <w:t xml:space="preserve"> </w:t>
      </w:r>
      <w:r w:rsidRPr="00964B95">
        <w:t xml:space="preserve">mercado </w:t>
      </w:r>
      <w:r w:rsidRPr="00964B95">
        <w:rPr>
          <w:rFonts w:ascii="Times New Roman" w:hAnsi="Times New Roman" w:cs="Times New Roman"/>
        </w:rPr>
        <w:t>→</w:t>
      </w:r>
      <w:r w:rsidRPr="00964B95">
        <w:rPr>
          <w:rFonts w:cs="Times New Roman"/>
        </w:rPr>
        <w:t xml:space="preserve"> </w:t>
      </w:r>
      <w:r>
        <w:t>empresa</w:t>
      </w:r>
      <w:r w:rsidRPr="00964B95">
        <w:rPr>
          <w:rFonts w:cs="Times New Roman"/>
        </w:rPr>
        <w:t>.</w:t>
      </w:r>
    </w:p>
    <w:p w14:paraId="6D0584C9" w14:textId="1C4825B3" w:rsidR="00E37A54" w:rsidRDefault="00E37A54" w:rsidP="00E37A54">
      <w:pPr>
        <w:pStyle w:val="Nivel2SM"/>
      </w:pPr>
      <w:r w:rsidRPr="00964B95">
        <w:rPr>
          <w:i/>
          <w:iCs/>
          <w:u w:val="single"/>
        </w:rPr>
        <w:t>Enfoque m</w:t>
      </w:r>
      <w:r>
        <w:rPr>
          <w:i/>
          <w:iCs/>
          <w:u w:val="single"/>
        </w:rPr>
        <w:t>i</w:t>
      </w:r>
      <w:r w:rsidRPr="00964B95">
        <w:rPr>
          <w:i/>
          <w:iCs/>
          <w:u w:val="single"/>
        </w:rPr>
        <w:t>croeconómico</w:t>
      </w:r>
      <w:r w:rsidRPr="00964B95">
        <w:rPr>
          <w:u w:val="single"/>
        </w:rPr>
        <w:t xml:space="preserve"> (o </w:t>
      </w:r>
      <w:proofErr w:type="spellStart"/>
      <w:r w:rsidRPr="00964B95">
        <w:rPr>
          <w:i/>
          <w:iCs/>
          <w:u w:val="single"/>
        </w:rPr>
        <w:t>down</w:t>
      </w:r>
      <w:proofErr w:type="spellEnd"/>
      <w:r>
        <w:rPr>
          <w:i/>
          <w:iCs/>
          <w:u w:val="single"/>
        </w:rPr>
        <w:t>-</w:t>
      </w:r>
      <w:r w:rsidRPr="00964B95">
        <w:rPr>
          <w:i/>
          <w:iCs/>
          <w:u w:val="single"/>
        </w:rPr>
        <w:t>to</w:t>
      </w:r>
      <w:r>
        <w:rPr>
          <w:i/>
          <w:iCs/>
          <w:u w:val="single"/>
        </w:rPr>
        <w:t>p</w:t>
      </w:r>
      <w:r w:rsidRPr="00964B95">
        <w:rPr>
          <w:u w:val="single"/>
        </w:rPr>
        <w:t>)</w:t>
      </w:r>
      <w:r w:rsidRPr="00964B95">
        <w:t>:</w:t>
      </w:r>
      <w:r>
        <w:t xml:space="preserve"> Consiste en valorar las acciones de empresas de forma individual. Parte de la base</w:t>
      </w:r>
      <w:r w:rsidR="007517AA">
        <w:t>, es decir,</w:t>
      </w:r>
      <w:r>
        <w:t xml:space="preserve"> empresa</w:t>
      </w:r>
      <w:r w:rsidRPr="00964B95">
        <w:t xml:space="preserve"> </w:t>
      </w:r>
      <w:r w:rsidRPr="00964B95">
        <w:rPr>
          <w:rFonts w:ascii="Times New Roman" w:hAnsi="Times New Roman" w:cs="Times New Roman"/>
        </w:rPr>
        <w:t>→</w:t>
      </w:r>
      <w:r w:rsidRPr="00964B95">
        <w:t xml:space="preserve"> mercado </w:t>
      </w:r>
      <w:r w:rsidRPr="00964B95">
        <w:rPr>
          <w:rFonts w:ascii="Times New Roman" w:hAnsi="Times New Roman" w:cs="Times New Roman"/>
        </w:rPr>
        <w:t>→</w:t>
      </w:r>
      <w:r w:rsidRPr="00964B95">
        <w:rPr>
          <w:rFonts w:cs="Times New Roman"/>
        </w:rPr>
        <w:t xml:space="preserve"> sector</w:t>
      </w:r>
      <w:r w:rsidRPr="00964B95">
        <w:t xml:space="preserve"> </w:t>
      </w:r>
      <w:r w:rsidRPr="00964B95">
        <w:rPr>
          <w:rFonts w:ascii="Times New Roman" w:hAnsi="Times New Roman" w:cs="Times New Roman"/>
        </w:rPr>
        <w:t>→</w:t>
      </w:r>
      <w:r w:rsidRPr="00964B95">
        <w:rPr>
          <w:rFonts w:cs="Times New Roman"/>
        </w:rPr>
        <w:t xml:space="preserve"> país.</w:t>
      </w:r>
    </w:p>
    <w:p w14:paraId="07C410FB" w14:textId="77777777" w:rsidR="00E37A54" w:rsidRDefault="00E37A54" w:rsidP="00E37A54">
      <w:pPr>
        <w:pStyle w:val="Ttulo3"/>
      </w:pPr>
      <w:bookmarkStart w:id="90" w:name="_Toc100819224"/>
      <w:bookmarkStart w:id="91" w:name="_Toc144911991"/>
      <w:r>
        <w:t>Métodos de valoración estáticos</w:t>
      </w:r>
      <w:bookmarkEnd w:id="90"/>
      <w:bookmarkEnd w:id="91"/>
    </w:p>
    <w:p w14:paraId="07CC12E0" w14:textId="77777777" w:rsidR="00E37A54" w:rsidRDefault="00E37A54" w:rsidP="003653CC">
      <w:pPr>
        <w:pStyle w:val="Nivel1SM"/>
        <w:keepNext/>
        <w:spacing w:before="0" w:after="0"/>
      </w:pPr>
      <w:r>
        <w:t>Sirven como una primera aproximación a la valoración de las acciones. Algunos ejemplos serían:</w:t>
      </w:r>
    </w:p>
    <w:p w14:paraId="3AFCDCDD" w14:textId="77777777" w:rsidR="00E37A54" w:rsidRPr="00833334" w:rsidRDefault="00E37A54" w:rsidP="00C50C11">
      <w:pPr>
        <w:pStyle w:val="Nivel2SM"/>
      </w:pPr>
      <w:r>
        <w:rPr>
          <w:i/>
          <w:iCs/>
        </w:rPr>
        <w:t>Valor contable</w:t>
      </w:r>
      <w:r>
        <w:t xml:space="preserve">: </w:t>
      </w:r>
      <w:r w:rsidRPr="00C50C11">
        <w:t>Valor</w:t>
      </w:r>
      <w:r>
        <w:t xml:space="preserve"> en libros del activo y la deuda.</w:t>
      </w:r>
    </w:p>
    <w:p w14:paraId="11B1DAB0" w14:textId="1DC557B2" w:rsidR="00E37A54" w:rsidRDefault="00E37A54" w:rsidP="00C50C11">
      <w:pPr>
        <w:pStyle w:val="Nivel2SM"/>
      </w:pPr>
      <w:r>
        <w:rPr>
          <w:i/>
          <w:iCs/>
        </w:rPr>
        <w:t>Valor de liquidación</w:t>
      </w:r>
      <w:r>
        <w:t xml:space="preserve">: </w:t>
      </w:r>
      <w:r w:rsidRPr="00C50C11">
        <w:t>Estudia</w:t>
      </w:r>
      <w:r>
        <w:t xml:space="preserve"> por cu</w:t>
      </w:r>
      <w:r w:rsidR="00B30A9D">
        <w:t>á</w:t>
      </w:r>
      <w:r>
        <w:t>nto podrían venderse los activos de la empresa.</w:t>
      </w:r>
    </w:p>
    <w:p w14:paraId="6F1F4197" w14:textId="77777777" w:rsidR="00E37A54" w:rsidRDefault="00E37A54" w:rsidP="00C50C11">
      <w:pPr>
        <w:pStyle w:val="Nivel2SM"/>
      </w:pPr>
      <w:r>
        <w:rPr>
          <w:i/>
          <w:iCs/>
        </w:rPr>
        <w:t>Valor de reposición o sustancial</w:t>
      </w:r>
      <w:r>
        <w:t xml:space="preserve">: Cuánto </w:t>
      </w:r>
      <w:r w:rsidRPr="00C50C11">
        <w:t>costaría</w:t>
      </w:r>
      <w:r>
        <w:t xml:space="preserve"> reponer el activo de la empresa.</w:t>
      </w:r>
    </w:p>
    <w:p w14:paraId="1D242BC7" w14:textId="77777777" w:rsidR="00E37A54" w:rsidRPr="00964B95" w:rsidRDefault="00E37A54" w:rsidP="00C50C11">
      <w:pPr>
        <w:pStyle w:val="Nivel1SM"/>
      </w:pPr>
      <w:r>
        <w:t>En cualquier caso, estos métodos estáticos no consideran la variable tiempo.</w:t>
      </w:r>
    </w:p>
    <w:p w14:paraId="0FB036C1" w14:textId="77777777" w:rsidR="00E37A54" w:rsidRDefault="00E37A54" w:rsidP="00E37A54">
      <w:pPr>
        <w:pStyle w:val="Ttulo3"/>
      </w:pPr>
      <w:bookmarkStart w:id="92" w:name="_Toc100819225"/>
      <w:bookmarkStart w:id="93" w:name="_Toc144911992"/>
      <w:r>
        <w:t>Métodos de valoración dinámicos</w:t>
      </w:r>
      <w:bookmarkEnd w:id="92"/>
      <w:bookmarkEnd w:id="93"/>
    </w:p>
    <w:p w14:paraId="1B9C4A1E" w14:textId="54DF91F9" w:rsidR="00833334" w:rsidRDefault="00E37A54">
      <w:pPr>
        <w:pStyle w:val="Ttulo6"/>
        <w:numPr>
          <w:ilvl w:val="0"/>
          <w:numId w:val="27"/>
        </w:numPr>
        <w:spacing w:before="0"/>
        <w:ind w:left="284" w:hanging="284"/>
      </w:pPr>
      <w:bookmarkStart w:id="94" w:name="_Toc144911993"/>
      <w:bookmarkStart w:id="95" w:name="_Toc100819227"/>
      <w:r>
        <w:t xml:space="preserve">Método en base a </w:t>
      </w:r>
      <w:r w:rsidR="00833334">
        <w:t>descuentos de flujos de caja</w:t>
      </w:r>
      <w:bookmarkEnd w:id="94"/>
    </w:p>
    <w:p w14:paraId="2D881A9A" w14:textId="1E8346EB" w:rsidR="00833334" w:rsidRDefault="000418A6" w:rsidP="003653CC">
      <w:pPr>
        <w:pStyle w:val="Nivel1SM"/>
        <w:keepNext/>
        <w:spacing w:before="0" w:after="0"/>
      </w:pPr>
      <w:r>
        <w:t>Este método busca descontar los flujos de caja esperados de la empresa utilizando una tasa de descuento. Así, nos permite estudiar si las inversiones en un activo van a dar lugar a rentabilidades esperadas en per</w:t>
      </w:r>
      <w:r w:rsidR="00D46625">
        <w:t>i</w:t>
      </w:r>
      <w:r>
        <w:t xml:space="preserve">odos futuros. </w:t>
      </w:r>
      <w:r w:rsidR="00833334">
        <w:t xml:space="preserve">Distinguimos </w:t>
      </w:r>
      <w:r w:rsidR="00B736BC">
        <w:t>2 </w:t>
      </w:r>
      <w:r w:rsidR="00833334">
        <w:t>métodos de valoración en base a descuentos de flujos de caja:</w:t>
      </w:r>
    </w:p>
    <w:p w14:paraId="2EC0132E" w14:textId="2BD0D401" w:rsidR="00AA5B39" w:rsidRPr="00833334" w:rsidRDefault="00AA5B39">
      <w:pPr>
        <w:pStyle w:val="Prrafodelista"/>
        <w:numPr>
          <w:ilvl w:val="0"/>
          <w:numId w:val="28"/>
        </w:numPr>
        <w:spacing w:after="100"/>
        <w:ind w:left="568" w:hanging="284"/>
      </w:pPr>
      <w:r w:rsidRPr="00AA5B39">
        <w:rPr>
          <w:i/>
          <w:iCs/>
          <w:u w:val="single"/>
        </w:rPr>
        <w:t>Método en base a dividendos (</w:t>
      </w:r>
      <w:r w:rsidRPr="00AA5B39">
        <w:rPr>
          <w:i/>
          <w:iCs/>
          <w:smallCaps/>
          <w:u w:val="single"/>
        </w:rPr>
        <w:t>Gordon</w:t>
      </w:r>
      <w:r w:rsidRPr="00AA5B39">
        <w:rPr>
          <w:i/>
          <w:iCs/>
          <w:u w:val="single"/>
        </w:rPr>
        <w:t>-</w:t>
      </w:r>
      <w:r w:rsidRPr="00AA5B39">
        <w:rPr>
          <w:i/>
          <w:iCs/>
          <w:smallCaps/>
          <w:u w:val="single"/>
        </w:rPr>
        <w:t>Shapiro</w:t>
      </w:r>
      <w:r w:rsidRPr="00AA5B39">
        <w:rPr>
          <w:i/>
          <w:iCs/>
          <w:u w:val="single"/>
        </w:rPr>
        <w:t>) – Método directo</w:t>
      </w:r>
      <w:r>
        <w:t xml:space="preserve">: Se calcula el valor presente de los dividendos presentes y futuros descontados por el coste del capital propio </w:t>
      </w:r>
      <w:r w:rsidRPr="00AA5B39">
        <w:rPr>
          <w:color w:val="767171" w:themeColor="background2" w:themeShade="80"/>
          <w:sz w:val="19"/>
          <w:szCs w:val="19"/>
        </w:rPr>
        <w:t>[ver tema 3.B.3]</w:t>
      </w:r>
      <w:r>
        <w:t>.</w:t>
      </w:r>
    </w:p>
    <w:p w14:paraId="371796D7" w14:textId="77777777" w:rsidR="00AA5B39" w:rsidRPr="00AA5B39" w:rsidRDefault="00AA5B39">
      <w:pPr>
        <w:pStyle w:val="Prrafodelista"/>
        <w:numPr>
          <w:ilvl w:val="0"/>
          <w:numId w:val="28"/>
        </w:numPr>
        <w:spacing w:after="100"/>
        <w:ind w:left="568" w:hanging="284"/>
      </w:pPr>
      <w:r w:rsidRPr="00AA5B39">
        <w:rPr>
          <w:i/>
          <w:iCs/>
          <w:u w:val="single"/>
        </w:rPr>
        <w:t>Método en base a flujos de caja libres</w:t>
      </w:r>
      <w:r>
        <w:t xml:space="preserve">: </w:t>
      </w:r>
      <w:r w:rsidRPr="00AA5B39">
        <w:t>Se calcula el valor presente de los flujos de caja presentes y futuros descontados por el coste medio ponderado del capital (</w:t>
      </w:r>
      <w:proofErr w:type="spellStart"/>
      <w:r w:rsidRPr="00AA5B39">
        <w:rPr>
          <w:i/>
          <w:iCs/>
        </w:rPr>
        <w:t>wacc</w:t>
      </w:r>
      <w:proofErr w:type="spellEnd"/>
      <w:r w:rsidRPr="00AA5B39">
        <w:t>) y después se sustrae el valor de la deuda neta.</w:t>
      </w:r>
    </w:p>
    <w:p w14:paraId="50BBCBBC" w14:textId="6AE9EBEA" w:rsidR="00527051" w:rsidRDefault="000418A6" w:rsidP="00AA5B39">
      <w:pPr>
        <w:pStyle w:val="Nivel1SM"/>
        <w:keepNext/>
        <w:spacing w:after="0"/>
      </w:pPr>
      <w:r>
        <w:t xml:space="preserve">Sin embargo, en esta exposición hemos tomado el punto de vista de un inversor </w:t>
      </w:r>
      <w:r w:rsidR="00B736BC" w:rsidRPr="000418A6">
        <w:rPr>
          <w:i/>
          <w:iCs/>
        </w:rPr>
        <w:t>α</w:t>
      </w:r>
      <w:r w:rsidRPr="000418A6">
        <w:rPr>
          <w:i/>
          <w:iCs/>
        </w:rPr>
        <w:t>-</w:t>
      </w:r>
      <w:proofErr w:type="spellStart"/>
      <w:r w:rsidRPr="000418A6">
        <w:rPr>
          <w:i/>
          <w:iCs/>
        </w:rPr>
        <w:t>seeker</w:t>
      </w:r>
      <w:proofErr w:type="spellEnd"/>
      <w:r>
        <w:t>, es decir, un inversor que busca conocer si un activo está correctamente valorado.</w:t>
      </w:r>
    </w:p>
    <w:p w14:paraId="5E0799BD" w14:textId="1E3DB0F2" w:rsidR="000418A6" w:rsidRPr="00833334" w:rsidRDefault="000418A6" w:rsidP="00527051">
      <w:pPr>
        <w:pStyle w:val="Nivel2SM"/>
      </w:pPr>
      <w:r>
        <w:t>Por tanto, nos vamos a centrar en otros métodos de valoración de activo</w:t>
      </w:r>
      <w:r w:rsidR="00426E6E">
        <w:t xml:space="preserve">s </w:t>
      </w:r>
      <w:r w:rsidR="001644D0">
        <w:t xml:space="preserve">que nos permitan valorar juicios </w:t>
      </w:r>
      <w:r w:rsidR="00426E6E">
        <w:t>relativamente más rápidos</w:t>
      </w:r>
      <w:r w:rsidR="00527051">
        <w:t xml:space="preserve"> sobre la sobrevaloración o infravaloración de empresas.</w:t>
      </w:r>
      <w:r>
        <w:t xml:space="preserve"> </w:t>
      </w:r>
      <w:r w:rsidR="00527051">
        <w:t>Para ello, nos centraremos en</w:t>
      </w:r>
      <w:r>
        <w:t xml:space="preserve"> la </w:t>
      </w:r>
      <w:r w:rsidRPr="00AA5B39">
        <w:rPr>
          <w:i/>
          <w:iCs/>
        </w:rPr>
        <w:t>valoración en base a múltiplos</w:t>
      </w:r>
      <w:r>
        <w:t>, ya que el método en base a descuentos de flujos de caja es más utilizad</w:t>
      </w:r>
      <w:r w:rsidR="00B736BC">
        <w:t>o</w:t>
      </w:r>
      <w:r>
        <w:t>, por ejemplo, por fondos de capital riesgo a la hora de valorar la adquisición de una empresa</w:t>
      </w:r>
      <w:r w:rsidR="00CE283D">
        <w:t xml:space="preserve"> </w:t>
      </w:r>
      <w:r w:rsidR="00CE283D" w:rsidRPr="00AA5B39">
        <w:rPr>
          <w:color w:val="767171" w:themeColor="background2" w:themeShade="80"/>
          <w:sz w:val="19"/>
          <w:szCs w:val="19"/>
        </w:rPr>
        <w:t>[ver tema 3.B.</w:t>
      </w:r>
      <w:r w:rsidR="00CE283D">
        <w:rPr>
          <w:color w:val="767171" w:themeColor="background2" w:themeShade="80"/>
          <w:sz w:val="19"/>
          <w:szCs w:val="19"/>
        </w:rPr>
        <w:t>4</w:t>
      </w:r>
      <w:r w:rsidR="00CE283D" w:rsidRPr="00AA5B39">
        <w:rPr>
          <w:color w:val="767171" w:themeColor="background2" w:themeShade="80"/>
          <w:sz w:val="19"/>
          <w:szCs w:val="19"/>
        </w:rPr>
        <w:t>]</w:t>
      </w:r>
      <w:r>
        <w:t>.</w:t>
      </w:r>
    </w:p>
    <w:p w14:paraId="77DA5EF5" w14:textId="6F7A984D" w:rsidR="00E37A54" w:rsidRDefault="00E37A54">
      <w:pPr>
        <w:pStyle w:val="Ttulo6"/>
        <w:numPr>
          <w:ilvl w:val="0"/>
          <w:numId w:val="27"/>
        </w:numPr>
        <w:ind w:left="284" w:hanging="284"/>
      </w:pPr>
      <w:bookmarkStart w:id="96" w:name="_Toc144911994"/>
      <w:bookmarkStart w:id="97" w:name="_Toc100819229"/>
      <w:bookmarkEnd w:id="95"/>
      <w:r>
        <w:t>Método de múltiplos (comparables)</w:t>
      </w:r>
      <w:bookmarkEnd w:id="96"/>
    </w:p>
    <w:p w14:paraId="4F9409BB" w14:textId="268E8B3F" w:rsidR="006B4BFD" w:rsidRDefault="00E75069" w:rsidP="003653CC">
      <w:pPr>
        <w:pStyle w:val="Nivel1SM"/>
        <w:spacing w:before="0"/>
      </w:pPr>
      <w:r>
        <w:t>Nos centraremos en este método porque nos proporciona una manera más directa de valorar a una empresa frente al mercado. También se le denomina enfoque pragmático ya que da una valoración relativa instantánea sin necesidad de calcular flujos de caja.</w:t>
      </w:r>
    </w:p>
    <w:p w14:paraId="33E8C375" w14:textId="77777777" w:rsidR="00E75069" w:rsidRDefault="00E75069" w:rsidP="00E75069">
      <w:pPr>
        <w:pStyle w:val="Nivel1SM"/>
        <w:keepNext/>
        <w:spacing w:after="0"/>
      </w:pPr>
      <w:r>
        <w:lastRenderedPageBreak/>
        <w:t xml:space="preserve">El </w:t>
      </w:r>
      <w:r w:rsidRPr="008E7F60">
        <w:rPr>
          <w:b/>
          <w:bCs/>
        </w:rPr>
        <w:t>proceso</w:t>
      </w:r>
      <w:r>
        <w:t xml:space="preserve"> que realiza un inversor que sigue este método es el siguiente:</w:t>
      </w:r>
    </w:p>
    <w:p w14:paraId="4580B844" w14:textId="762833D2" w:rsidR="00E75069" w:rsidRDefault="00E75069">
      <w:pPr>
        <w:pStyle w:val="Prrafodelista"/>
        <w:numPr>
          <w:ilvl w:val="0"/>
          <w:numId w:val="30"/>
        </w:numPr>
        <w:spacing w:after="100"/>
        <w:ind w:left="567" w:hanging="113"/>
      </w:pPr>
      <w:r>
        <w:t>Calcular una medida de la capacidad de generación de beneficios para cada empresa (múltiplo) y después comparar dicha medida con las medidas de empresas comparables en el mercado. Ello permite una comparación rápida y aparentemente homogénea entre un solo dato fácil de recordar.</w:t>
      </w:r>
    </w:p>
    <w:p w14:paraId="178B8D52" w14:textId="7BEB76C2" w:rsidR="00E75069" w:rsidRDefault="00E75069">
      <w:pPr>
        <w:pStyle w:val="Prrafodelista"/>
        <w:keepNext/>
        <w:numPr>
          <w:ilvl w:val="0"/>
          <w:numId w:val="30"/>
        </w:numPr>
        <w:spacing w:after="0"/>
        <w:ind w:left="567" w:hanging="113"/>
      </w:pPr>
      <w:r>
        <w:t xml:space="preserve">El siguiente paso ya sería interpretativo. Esto consiste en calcular el </w:t>
      </w:r>
      <w:r w:rsidRPr="008E7F60">
        <w:rPr>
          <w:i/>
          <w:iCs/>
          <w:u w:val="single"/>
        </w:rPr>
        <w:t>múltiplo teórico</w:t>
      </w:r>
      <w:r>
        <w:t xml:space="preserve"> (i.e. el valor que teóricamente debería tener el múltiplo) y compararlo con el </w:t>
      </w:r>
      <w:r w:rsidRPr="00E75069">
        <w:rPr>
          <w:i/>
          <w:iCs/>
        </w:rPr>
        <w:t>múltiplo que efectivamente presenta la empresa</w:t>
      </w:r>
      <w:r>
        <w:t>.</w:t>
      </w:r>
    </w:p>
    <w:p w14:paraId="443E047F" w14:textId="0E92B8F0" w:rsidR="00AE0873" w:rsidRDefault="00E75069" w:rsidP="00AE0873">
      <w:pPr>
        <w:pStyle w:val="Nivel3SM"/>
        <w:keepNext/>
      </w:pPr>
      <w:r>
        <w:t xml:space="preserve">¿Cómo se calcula el múltiplo teórico? Hay que tener en cuenta </w:t>
      </w:r>
      <w:r w:rsidR="00B736BC">
        <w:t>2 </w:t>
      </w:r>
      <w:r w:rsidR="00AE0873">
        <w:t>factores:</w:t>
      </w:r>
    </w:p>
    <w:p w14:paraId="069804FD" w14:textId="77777777" w:rsidR="00AE0873" w:rsidRDefault="00AE0873" w:rsidP="00AE0873">
      <w:pPr>
        <w:pStyle w:val="Nivel4"/>
        <w:ind w:left="1474"/>
      </w:pPr>
      <w:r>
        <w:t xml:space="preserve">Por un lado, </w:t>
      </w:r>
      <w:r w:rsidR="00E75069">
        <w:t xml:space="preserve">la </w:t>
      </w:r>
      <w:r w:rsidR="00E75069" w:rsidRPr="008E7F60">
        <w:rPr>
          <w:i/>
          <w:iCs/>
        </w:rPr>
        <w:t>tasa de crecimiento esperado de los beneficios</w:t>
      </w:r>
      <w:r w:rsidR="00E75069">
        <w:t xml:space="preserve"> (los inversores pagarán un precio mayor si se espera un mayor crecimiento de la tasa de beneficios)</w:t>
      </w:r>
      <w:r>
        <w:t xml:space="preserve">; </w:t>
      </w:r>
      <w:r w:rsidR="00E75069">
        <w:t>y</w:t>
      </w:r>
    </w:p>
    <w:p w14:paraId="1337F986" w14:textId="380704E5" w:rsidR="00E75069" w:rsidRDefault="00AE0873" w:rsidP="00AE0873">
      <w:pPr>
        <w:pStyle w:val="Nivel4"/>
        <w:ind w:left="1474"/>
      </w:pPr>
      <w:r>
        <w:t xml:space="preserve">Por otro lado, </w:t>
      </w:r>
      <w:r w:rsidR="00E75069">
        <w:t xml:space="preserve">el </w:t>
      </w:r>
      <w:r w:rsidR="00E75069" w:rsidRPr="008E7F60">
        <w:rPr>
          <w:i/>
          <w:iCs/>
        </w:rPr>
        <w:t>riesgo del capital empleado</w:t>
      </w:r>
      <w:r w:rsidR="00E75069">
        <w:t xml:space="preserve"> (los inversores pagarán un precio mayor cuanto menor riesgo).</w:t>
      </w:r>
    </w:p>
    <w:p w14:paraId="19F9ABD3" w14:textId="47A869B6" w:rsidR="00E75069" w:rsidRPr="008A53D4" w:rsidRDefault="00E75069" w:rsidP="00AE0873">
      <w:pPr>
        <w:pStyle w:val="Nivel3SM"/>
      </w:pPr>
      <w:r>
        <w:t xml:space="preserve">Esta comparación nos lleva a analizar si puede existir en el mercado infravaloración o sobrevaloración de títulos. Un inversor </w:t>
      </w:r>
      <w:r w:rsidR="00B736BC" w:rsidRPr="000418A6">
        <w:rPr>
          <w:i/>
          <w:iCs/>
        </w:rPr>
        <w:t>α</w:t>
      </w:r>
      <w:r>
        <w:rPr>
          <w:i/>
          <w:iCs/>
        </w:rPr>
        <w:t>-</w:t>
      </w:r>
      <w:proofErr w:type="spellStart"/>
      <w:r>
        <w:rPr>
          <w:i/>
          <w:iCs/>
        </w:rPr>
        <w:t>seeker</w:t>
      </w:r>
      <w:proofErr w:type="spellEnd"/>
      <w:r>
        <w:t xml:space="preserve"> buscará invertir en una empresa cuya </w:t>
      </w:r>
      <w:r w:rsidRPr="008A53D4">
        <w:t>valoración teórica se encuentre por encima de la que hace el mercado.</w:t>
      </w:r>
    </w:p>
    <w:p w14:paraId="2DF1897F" w14:textId="6A952703" w:rsidR="00E75069" w:rsidRPr="008A53D4" w:rsidRDefault="008E7F60" w:rsidP="00E75069">
      <w:pPr>
        <w:pStyle w:val="Nivel1SM"/>
        <w:keepNext/>
        <w:spacing w:after="0"/>
      </w:pPr>
      <w:r w:rsidRPr="008A53D4">
        <w:t xml:space="preserve">Hay </w:t>
      </w:r>
      <w:r w:rsidR="003653CC">
        <w:t>2 </w:t>
      </w:r>
      <w:r w:rsidRPr="008A53D4">
        <w:t>categorías de múltiplos</w:t>
      </w:r>
      <w:r w:rsidR="008A53D4" w:rsidRPr="008A53D4">
        <w:t xml:space="preserve"> (</w:t>
      </w:r>
      <w:r w:rsidR="008A53D4" w:rsidRPr="008A53D4">
        <w:rPr>
          <w:smallCaps/>
        </w:rPr>
        <w:t>Vernimmen</w:t>
      </w:r>
      <w:r w:rsidR="008A53D4" w:rsidRPr="003653CC">
        <w:t xml:space="preserve"> et al</w:t>
      </w:r>
      <w:r w:rsidR="003653CC">
        <w:t>.</w:t>
      </w:r>
      <w:r w:rsidR="008A53D4" w:rsidRPr="008A53D4">
        <w:t>, 2017, pág.</w:t>
      </w:r>
      <w:r w:rsidR="003653CC">
        <w:t> </w:t>
      </w:r>
      <w:r w:rsidR="008A53D4" w:rsidRPr="008A53D4">
        <w:t>390)</w:t>
      </w:r>
      <w:r w:rsidRPr="008A53D4">
        <w:t>:</w:t>
      </w:r>
    </w:p>
    <w:p w14:paraId="63865BFF" w14:textId="079BC3C8" w:rsidR="008E7F60" w:rsidRPr="008A53D4" w:rsidRDefault="008E7F60">
      <w:pPr>
        <w:pStyle w:val="Prrafodelista"/>
        <w:numPr>
          <w:ilvl w:val="0"/>
          <w:numId w:val="29"/>
        </w:numPr>
        <w:spacing w:after="100"/>
        <w:ind w:left="568" w:hanging="284"/>
      </w:pPr>
      <w:r w:rsidRPr="00AA5B39">
        <w:rPr>
          <w:i/>
          <w:iCs/>
          <w:u w:val="single"/>
        </w:rPr>
        <w:t>Aquellos que permiten un estimador directo de la valoración del título</w:t>
      </w:r>
      <w:r w:rsidR="008A53D4" w:rsidRPr="008A53D4">
        <w:t xml:space="preserve"> (p.ej. PER)</w:t>
      </w:r>
      <w:r w:rsidRPr="008A53D4">
        <w:t>.</w:t>
      </w:r>
    </w:p>
    <w:p w14:paraId="3119B0A7" w14:textId="0561F944" w:rsidR="008E7F60" w:rsidRPr="008A53D4" w:rsidRDefault="008E7F60">
      <w:pPr>
        <w:pStyle w:val="Prrafodelista"/>
        <w:numPr>
          <w:ilvl w:val="0"/>
          <w:numId w:val="29"/>
        </w:numPr>
        <w:spacing w:after="100"/>
        <w:ind w:left="568" w:hanging="284"/>
      </w:pPr>
      <w:r w:rsidRPr="00AA5B39">
        <w:rPr>
          <w:i/>
          <w:iCs/>
          <w:u w:val="single"/>
        </w:rPr>
        <w:t>Aquellos que permiten un estimador indirecto de la valoración del título</w:t>
      </w:r>
      <w:r w:rsidR="008A53D4" w:rsidRPr="008A53D4">
        <w:t xml:space="preserve"> (p.ej. múltiplo EBITDA)</w:t>
      </w:r>
      <w:r w:rsidRPr="008A53D4">
        <w:t>.</w:t>
      </w:r>
    </w:p>
    <w:p w14:paraId="69ED6F8B" w14:textId="6A101579" w:rsidR="008E7F60" w:rsidRPr="00C50C11" w:rsidRDefault="008E7F60" w:rsidP="008E7F60">
      <w:pPr>
        <w:pStyle w:val="Ttuloimagen"/>
        <w:rPr>
          <w:i/>
          <w:iCs/>
          <w:smallCaps w:val="0"/>
        </w:rPr>
      </w:pPr>
      <w:bookmarkStart w:id="98" w:name="_Ref124164660"/>
      <w:r>
        <w:t>Imagen</w:t>
      </w:r>
      <w:r w:rsidR="001675F6">
        <w:t> </w:t>
      </w:r>
      <w:r>
        <w:fldChar w:fldCharType="begin"/>
      </w:r>
      <w:r>
        <w:instrText xml:space="preserve"> SEQ Ilustración \* ARABIC </w:instrText>
      </w:r>
      <w:r>
        <w:fldChar w:fldCharType="separate"/>
      </w:r>
      <w:r w:rsidR="00561B3A">
        <w:t>9</w:t>
      </w:r>
      <w:r>
        <w:fldChar w:fldCharType="end"/>
      </w:r>
      <w:r>
        <w:rPr>
          <w:smallCaps w:val="0"/>
        </w:rPr>
        <w:t xml:space="preserve">.– </w:t>
      </w:r>
      <w:r>
        <w:rPr>
          <w:i/>
          <w:iCs/>
          <w:smallCaps w:val="0"/>
        </w:rPr>
        <w:t>Métodos de valoración directos e indirectos</w:t>
      </w:r>
    </w:p>
    <w:p w14:paraId="54DD048E" w14:textId="77777777" w:rsidR="008E7F60" w:rsidRDefault="008E7F60" w:rsidP="008E7F60">
      <w:pPr>
        <w:pStyle w:val="Imagen"/>
      </w:pPr>
      <w:r>
        <w:drawing>
          <wp:inline distT="0" distB="0" distL="0" distR="0" wp14:anchorId="5454E0B2" wp14:editId="573CEAFF">
            <wp:extent cx="3979571" cy="1274357"/>
            <wp:effectExtent l="0" t="0" r="1905" b="2540"/>
            <wp:docPr id="1" name="Imagen 1" descr="Interfaz de usuario gráfica, Diagram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Diagrama, Aplicación&#10;&#10;Descripción generada automáticamente"/>
                    <pic:cNvPicPr/>
                  </pic:nvPicPr>
                  <pic:blipFill>
                    <a:blip r:embed="rId28"/>
                    <a:stretch>
                      <a:fillRect/>
                    </a:stretch>
                  </pic:blipFill>
                  <pic:spPr>
                    <a:xfrm>
                      <a:off x="0" y="0"/>
                      <a:ext cx="3986525" cy="1276584"/>
                    </a:xfrm>
                    <a:prstGeom prst="rect">
                      <a:avLst/>
                    </a:prstGeom>
                  </pic:spPr>
                </pic:pic>
              </a:graphicData>
            </a:graphic>
          </wp:inline>
        </w:drawing>
      </w:r>
    </w:p>
    <w:p w14:paraId="3E04AC5A" w14:textId="77777777" w:rsidR="008E7F60" w:rsidRPr="00C50C11" w:rsidRDefault="008E7F60" w:rsidP="008E7F60">
      <w:pPr>
        <w:pStyle w:val="PiedeImagen"/>
        <w:rPr>
          <w:i w:val="0"/>
          <w:iCs/>
        </w:rPr>
      </w:pPr>
      <w:r w:rsidRPr="00C50C11">
        <w:rPr>
          <w:lang w:val="en-US"/>
        </w:rPr>
        <w:t>Fuente</w:t>
      </w:r>
      <w:r w:rsidRPr="00C50C11">
        <w:rPr>
          <w:i w:val="0"/>
          <w:iCs/>
          <w:lang w:val="en-US"/>
        </w:rPr>
        <w:t xml:space="preserve">. Vernimmen, P. (2017). </w:t>
      </w:r>
      <w:r w:rsidRPr="00C50C11">
        <w:rPr>
          <w:lang w:val="en-US"/>
        </w:rPr>
        <w:t>Corporate finance: Theory and practice</w:t>
      </w:r>
      <w:r w:rsidRPr="00C50C11">
        <w:rPr>
          <w:i w:val="0"/>
          <w:iCs/>
          <w:lang w:val="en-US"/>
        </w:rPr>
        <w:t xml:space="preserve"> (Fifth edition). </w:t>
      </w:r>
      <w:r w:rsidRPr="00C50C11">
        <w:rPr>
          <w:i w:val="0"/>
          <w:iCs/>
        </w:rPr>
        <w:t>Wiley.</w:t>
      </w:r>
    </w:p>
    <w:p w14:paraId="4F0024D5" w14:textId="6507336F" w:rsidR="00E37A54" w:rsidRPr="00421B38" w:rsidRDefault="00E37A54">
      <w:pPr>
        <w:pStyle w:val="Ttulo7"/>
        <w:numPr>
          <w:ilvl w:val="0"/>
          <w:numId w:val="31"/>
        </w:numPr>
        <w:ind w:left="1135" w:hanging="284"/>
      </w:pPr>
      <w:bookmarkStart w:id="99" w:name="_Toc144911995"/>
      <w:bookmarkEnd w:id="98"/>
      <w:r>
        <w:t>Métodos indirectos (EBIT múltiplo)</w:t>
      </w:r>
      <w:bookmarkEnd w:id="99"/>
    </w:p>
    <w:p w14:paraId="5391D159" w14:textId="216E7202" w:rsidR="00E37A54" w:rsidRDefault="00E37A54" w:rsidP="003653CC">
      <w:pPr>
        <w:pStyle w:val="Nivel1SM"/>
        <w:keepNext/>
        <w:spacing w:before="0" w:after="0"/>
      </w:pPr>
      <w:r>
        <w:t xml:space="preserve">El punto de partida es que el valor de mercado del capital empleado de una empresa es un múltiplo de su beneficio operativo </w:t>
      </w:r>
      <w:r w:rsidR="008E7F60">
        <w:t>(</w:t>
      </w:r>
      <w:proofErr w:type="spellStart"/>
      <w:r w:rsidR="008E7F60">
        <w:rPr>
          <w:i/>
          <w:iCs/>
        </w:rPr>
        <w:t>Earnings</w:t>
      </w:r>
      <w:proofErr w:type="spellEnd"/>
      <w:r w:rsidR="008E7F60">
        <w:rPr>
          <w:i/>
          <w:iCs/>
        </w:rPr>
        <w:t xml:space="preserve"> </w:t>
      </w:r>
      <w:proofErr w:type="spellStart"/>
      <w:r w:rsidR="008E7F60">
        <w:rPr>
          <w:i/>
          <w:iCs/>
        </w:rPr>
        <w:t>Before</w:t>
      </w:r>
      <w:proofErr w:type="spellEnd"/>
      <w:r w:rsidR="008E7F60">
        <w:rPr>
          <w:i/>
          <w:iCs/>
        </w:rPr>
        <w:t xml:space="preserve"> </w:t>
      </w:r>
      <w:proofErr w:type="spellStart"/>
      <w:r w:rsidR="008E7F60">
        <w:rPr>
          <w:i/>
          <w:iCs/>
        </w:rPr>
        <w:t>Interests</w:t>
      </w:r>
      <w:proofErr w:type="spellEnd"/>
      <w:r w:rsidR="008E7F60">
        <w:rPr>
          <w:i/>
          <w:iCs/>
        </w:rPr>
        <w:t xml:space="preserve"> and </w:t>
      </w:r>
      <w:proofErr w:type="spellStart"/>
      <w:r w:rsidR="008E7F60">
        <w:rPr>
          <w:i/>
          <w:iCs/>
        </w:rPr>
        <w:t>Taxes</w:t>
      </w:r>
      <w:proofErr w:type="spellEnd"/>
      <w:r w:rsidR="008E7F60">
        <w:t xml:space="preserve">, </w:t>
      </w:r>
      <w:r w:rsidRPr="00A43E02">
        <w:rPr>
          <w:i/>
          <w:iCs/>
        </w:rPr>
        <w:t>EBIT</w:t>
      </w:r>
      <w:r>
        <w:rPr>
          <w:rStyle w:val="Refdenotaalpie"/>
        </w:rPr>
        <w:footnoteReference w:id="37"/>
      </w:r>
      <w:r>
        <w:t>). El método sería el siguiente:</w:t>
      </w:r>
    </w:p>
    <w:p w14:paraId="0E9D0354" w14:textId="139B5992" w:rsidR="00E37A54" w:rsidRPr="002F7A30" w:rsidRDefault="003A359D" w:rsidP="008E7F60">
      <w:pPr>
        <w:spacing w:after="60"/>
      </w:pPr>
      <m:oMathPara>
        <m:oMath>
          <m:r>
            <m:rPr>
              <m:nor/>
            </m:rPr>
            <w:rPr>
              <w:rFonts w:ascii="Cambria Math"/>
            </w:rPr>
            <m:t xml:space="preserve"> </m:t>
          </m:r>
          <m:r>
            <m:rPr>
              <m:nor/>
            </m:rPr>
            <w:rPr>
              <w:i/>
              <w:iCs/>
            </w:rPr>
            <m:t>EV</m:t>
          </m:r>
          <m:r>
            <w:rPr>
              <w:rFonts w:ascii="Cambria Math" w:hAnsi="Cambria Math"/>
            </w:rPr>
            <m:t>=</m:t>
          </m:r>
          <m:r>
            <m:rPr>
              <m:nor/>
            </m:rPr>
            <w:rPr>
              <w:i/>
              <w:iCs/>
            </w:rPr>
            <m:t>EBIT múltiplo</m:t>
          </m:r>
          <m:r>
            <w:rPr>
              <w:rFonts w:ascii="Cambria Math" w:hAnsi="Cambria Math"/>
            </w:rPr>
            <m:t>×</m:t>
          </m:r>
          <m:r>
            <m:rPr>
              <m:nor/>
            </m:rPr>
            <w:rPr>
              <w:i/>
              <w:iCs/>
            </w:rPr>
            <m:t>EBIT</m:t>
          </m:r>
          <m:r>
            <w:rPr>
              <w:rFonts w:ascii="Cambria Math" w:eastAsiaTheme="minorEastAsia" w:hAnsi="Cambria Math"/>
            </w:rPr>
            <m:t>⟹</m:t>
          </m:r>
          <m:r>
            <m:rPr>
              <m:nor/>
            </m:rPr>
            <w:rPr>
              <w:i/>
              <w:iCs/>
            </w:rPr>
            <m:t>EBIT múltiplo</m:t>
          </m:r>
          <m:r>
            <w:rPr>
              <w:rFonts w:ascii="Cambria Math" w:eastAsiaTheme="minorEastAsia" w:hAnsi="Cambria Math"/>
            </w:rPr>
            <m:t>=</m:t>
          </m:r>
          <m:f>
            <m:fPr>
              <m:type m:val="lin"/>
              <m:ctrlPr>
                <w:rPr>
                  <w:rFonts w:ascii="Cambria Math" w:eastAsiaTheme="minorEastAsia" w:hAnsi="Cambria Math"/>
                  <w:i/>
                  <w:iCs/>
                </w:rPr>
              </m:ctrlPr>
            </m:fPr>
            <m:num>
              <m:r>
                <m:rPr>
                  <m:nor/>
                </m:rPr>
                <w:rPr>
                  <w:i/>
                  <w:iCs/>
                </w:rPr>
                <m:t>EV</m:t>
              </m:r>
            </m:num>
            <m:den>
              <m:r>
                <m:rPr>
                  <m:nor/>
                </m:rPr>
                <w:rPr>
                  <w:i/>
                  <w:iCs/>
                </w:rPr>
                <m:t>EBIT</m:t>
              </m:r>
            </m:den>
          </m:f>
          <m:r>
            <m:rPr>
              <m:sty m:val="p"/>
            </m:rPr>
            <w:rPr>
              <w:rFonts w:eastAsiaTheme="minorEastAsia"/>
            </w:rPr>
            <w:br/>
          </m:r>
        </m:oMath>
      </m:oMathPara>
      <w:r w:rsidR="00E37A54">
        <w:t xml:space="preserve">donde el </w:t>
      </w:r>
      <w:proofErr w:type="spellStart"/>
      <w:r w:rsidR="00E37A54">
        <w:rPr>
          <w:i/>
          <w:iCs/>
        </w:rPr>
        <w:t>Entreprise</w:t>
      </w:r>
      <w:proofErr w:type="spellEnd"/>
      <w:r w:rsidR="00E37A54">
        <w:rPr>
          <w:i/>
          <w:iCs/>
        </w:rPr>
        <w:t xml:space="preserve"> </w:t>
      </w:r>
      <w:proofErr w:type="spellStart"/>
      <w:r w:rsidR="00E37A54">
        <w:rPr>
          <w:i/>
          <w:iCs/>
        </w:rPr>
        <w:t>Value</w:t>
      </w:r>
      <w:proofErr w:type="spellEnd"/>
      <w:r w:rsidR="00E37A54" w:rsidRPr="002F7A30">
        <w:t xml:space="preserve"> </w:t>
      </w:r>
      <w:r w:rsidR="00E37A54">
        <w:t>(</w:t>
      </w:r>
      <w:r w:rsidR="00E37A54" w:rsidRPr="002F7A30">
        <w:rPr>
          <w:i/>
          <w:iCs/>
        </w:rPr>
        <w:t>EV</w:t>
      </w:r>
      <w:r w:rsidR="00E37A54">
        <w:t xml:space="preserve">) es el valor de mercado del capital empleado. Es decir, suma el valor de la deuda neta y del patrimonio neto. El </w:t>
      </w:r>
      <w:r w:rsidR="00E37A54">
        <w:rPr>
          <w:i/>
          <w:iCs/>
        </w:rPr>
        <w:t>EV</w:t>
      </w:r>
      <w:r w:rsidR="00E37A54">
        <w:t xml:space="preserve"> puede interpretarse como el coste de adquirir la empresa (valor de mercado de acciones ordinarias, acciones preferentes, deuda restando el valor de inversiones a corto plazo y efectivo). Por tanto, para calcular el valor de las acciones habría que restar al </w:t>
      </w:r>
      <w:r w:rsidR="00E37A54">
        <w:rPr>
          <w:i/>
          <w:iCs/>
        </w:rPr>
        <w:t>EV</w:t>
      </w:r>
      <w:r w:rsidR="00E37A54">
        <w:t xml:space="preserve"> el valor de la deuda neta.</w:t>
      </w:r>
    </w:p>
    <w:p w14:paraId="38955467" w14:textId="66969757" w:rsidR="00E37A54" w:rsidRDefault="00E37A54">
      <w:pPr>
        <w:pStyle w:val="Ttulo7"/>
        <w:numPr>
          <w:ilvl w:val="0"/>
          <w:numId w:val="31"/>
        </w:numPr>
        <w:ind w:left="1135" w:hanging="284"/>
      </w:pPr>
      <w:bookmarkStart w:id="100" w:name="_Toc144911996"/>
      <w:r>
        <w:lastRenderedPageBreak/>
        <w:t>Métodos directos (Price-</w:t>
      </w:r>
      <w:proofErr w:type="spellStart"/>
      <w:r>
        <w:t>Earnings</w:t>
      </w:r>
      <w:proofErr w:type="spellEnd"/>
      <w:r>
        <w:t xml:space="preserve"> </w:t>
      </w:r>
      <w:r w:rsidRPr="00F63491">
        <w:t>Ratio</w:t>
      </w:r>
      <w:r>
        <w:t xml:space="preserve">, </w:t>
      </w:r>
      <w:r w:rsidRPr="00F63491">
        <w:t>PER</w:t>
      </w:r>
      <w:r>
        <w:t>)</w:t>
      </w:r>
      <w:bookmarkEnd w:id="100"/>
    </w:p>
    <w:bookmarkEnd w:id="97"/>
    <w:p w14:paraId="53D3D7AC" w14:textId="77777777" w:rsidR="00E37A54" w:rsidRPr="00A14E77" w:rsidRDefault="00E37A54" w:rsidP="003653CC">
      <w:pPr>
        <w:pStyle w:val="Nivel1SM"/>
        <w:keepNext/>
        <w:spacing w:before="0" w:after="0"/>
        <w:rPr>
          <w:spacing w:val="-3"/>
        </w:rPr>
      </w:pPr>
      <w:r w:rsidRPr="00A14E77">
        <w:rPr>
          <w:spacing w:val="-3"/>
        </w:rPr>
        <w:t>El punto de partida es que el valor de una acción debe ser un múltiplo del beneficio por acción. Es un indicador directo porque parte de la valoración de la acción directamente. El método sería el siguiente</w:t>
      </w:r>
      <w:r w:rsidRPr="00A14E77">
        <w:rPr>
          <w:rStyle w:val="Refdenotaalpie"/>
          <w:spacing w:val="-3"/>
        </w:rPr>
        <w:footnoteReference w:id="38"/>
      </w:r>
      <w:r w:rsidRPr="00A14E77">
        <w:rPr>
          <w:spacing w:val="-3"/>
        </w:rPr>
        <w:t>:</w:t>
      </w:r>
    </w:p>
    <w:p w14:paraId="0105BCAD" w14:textId="77777777" w:rsidR="00E37A54" w:rsidRDefault="00E37A54" w:rsidP="00E37A54">
      <w:pPr>
        <w:spacing w:after="60"/>
      </w:pPr>
      <m:oMathPara>
        <m:oMath>
          <m:r>
            <m:rPr>
              <m:nor/>
            </m:rPr>
            <w:rPr>
              <w:i/>
              <w:iCs/>
            </w:rPr>
            <m:t>PER</m:t>
          </m:r>
          <m:r>
            <w:rPr>
              <w:rFonts w:ascii="Cambria Math" w:hAnsi="Cambria Math"/>
            </w:rPr>
            <m:t>=</m:t>
          </m:r>
          <m:f>
            <m:fPr>
              <m:ctrlPr>
                <w:rPr>
                  <w:rFonts w:ascii="Cambria Math" w:hAnsi="Cambria Math"/>
                  <w:i/>
                  <w:iCs/>
                </w:rPr>
              </m:ctrlPr>
            </m:fPr>
            <m:num>
              <m:r>
                <m:rPr>
                  <m:nor/>
                </m:rPr>
                <w:rPr>
                  <w:i/>
                  <w:iCs/>
                </w:rPr>
                <m:t>Precio de una acción</m:t>
              </m:r>
            </m:num>
            <m:den>
              <m:r>
                <m:rPr>
                  <m:nor/>
                </m:rPr>
                <w:rPr>
                  <w:i/>
                  <w:iCs/>
                </w:rPr>
                <m:t>Beneficio</m:t>
              </m:r>
              <m:r>
                <m:rPr>
                  <m:nor/>
                </m:rPr>
                <w:rPr>
                  <w:rFonts w:ascii="Cambria Math"/>
                  <w:i/>
                  <w:iCs/>
                </w:rPr>
                <m:t xml:space="preserve"> </m:t>
              </m:r>
              <m:r>
                <m:rPr>
                  <m:nor/>
                </m:rPr>
                <w:rPr>
                  <w:i/>
                  <w:iCs/>
                </w:rPr>
                <m:t>neto por acción</m:t>
              </m:r>
            </m:den>
          </m:f>
        </m:oMath>
      </m:oMathPara>
    </w:p>
    <w:p w14:paraId="5423EE7F" w14:textId="77777777" w:rsidR="00E37A54" w:rsidRDefault="00E37A54" w:rsidP="00940E40">
      <w:pPr>
        <w:pStyle w:val="Nivel1SM"/>
        <w:keepNext/>
        <w:spacing w:after="0"/>
      </w:pPr>
      <w:r>
        <w:t>Por lo tanto, el PER de una empresa indica lo que el mercado está dispuesto a pagar por cada unidad monetaria de beneficio de una acción determinada:</w:t>
      </w:r>
    </w:p>
    <w:p w14:paraId="01815A14" w14:textId="77777777" w:rsidR="00E37A54" w:rsidRDefault="00E37A54" w:rsidP="00940E40">
      <w:pPr>
        <w:pStyle w:val="Nivel2SM"/>
      </w:pPr>
      <w:r>
        <w:t>Un PER alto</w:t>
      </w:r>
      <w:r>
        <w:rPr>
          <w:rStyle w:val="Refdenotaalpie"/>
        </w:rPr>
        <w:footnoteReference w:id="39"/>
      </w:r>
      <w:r>
        <w:t xml:space="preserve"> implica que el mercado ha descontado la expectativa de crecimiento de la empresa, así que el precio de la acción es relativamente alto. Un inversor debería comprar acciones sólo si considera que el PER debería ser aún más alto.</w:t>
      </w:r>
    </w:p>
    <w:p w14:paraId="5A696B55" w14:textId="56405768" w:rsidR="00E37A54" w:rsidRDefault="00E37A54" w:rsidP="00940E40">
      <w:pPr>
        <w:pStyle w:val="Nivel2SM"/>
      </w:pPr>
      <w:r>
        <w:t xml:space="preserve">Un PER bajo supone que el mercado valora poco a la empresa en función de su beneficio neto. Algunos analistas pueden considerar que el PER teórico es mayor, con lo cual siguen una estrategia </w:t>
      </w:r>
      <w:proofErr w:type="spellStart"/>
      <w:r>
        <w:rPr>
          <w:i/>
          <w:iCs/>
        </w:rPr>
        <w:t>value</w:t>
      </w:r>
      <w:proofErr w:type="spellEnd"/>
      <w:r>
        <w:t>, es decir, encontrar compañías con PER considerado bajo, ya que entienden que el mercado las está infravalorando y por tanto a largo plazo tienden a subir de precio</w:t>
      </w:r>
      <w:r w:rsidR="00984D8C">
        <w:rPr>
          <w:rStyle w:val="Refdenotaalpie"/>
        </w:rPr>
        <w:footnoteReference w:id="40"/>
      </w:r>
      <w:r>
        <w:t>.</w:t>
      </w:r>
    </w:p>
    <w:p w14:paraId="74153EDC" w14:textId="58A5D085" w:rsidR="003A359D" w:rsidRDefault="003A359D" w:rsidP="003A359D">
      <w:pPr>
        <w:pStyle w:val="Ttulo7"/>
      </w:pPr>
      <w:bookmarkStart w:id="101" w:name="_Toc144911997"/>
      <w:r>
        <w:t>¿Qué método debemos utilizar?</w:t>
      </w:r>
      <w:bookmarkEnd w:id="101"/>
    </w:p>
    <w:p w14:paraId="537DD430" w14:textId="36029112" w:rsidR="003A359D" w:rsidRDefault="003A359D" w:rsidP="003653CC">
      <w:pPr>
        <w:pStyle w:val="Nivel1SM"/>
        <w:keepNext/>
        <w:spacing w:before="0" w:after="0"/>
      </w:pPr>
      <w:r>
        <w:t>Una vez analizados estos dos múltiplos, ¿cuál debemos utilizar?</w:t>
      </w:r>
    </w:p>
    <w:p w14:paraId="35C721FE" w14:textId="68681B2D" w:rsidR="003A359D" w:rsidRDefault="003A359D" w:rsidP="003A359D">
      <w:pPr>
        <w:pStyle w:val="Nivel2SM"/>
      </w:pPr>
      <w:r>
        <w:t>Una ventaja del múltiplo EBIT es que parte de un indicador más estable que el beneficio neto al extraer de su cómputo el efecto de las depreciaciones y las amortizaciones.</w:t>
      </w:r>
    </w:p>
    <w:p w14:paraId="7CE771F9" w14:textId="45A67C42" w:rsidR="009936A0" w:rsidRDefault="009936A0" w:rsidP="009936A0">
      <w:pPr>
        <w:pStyle w:val="Nivel2SM"/>
        <w:numPr>
          <w:ilvl w:val="0"/>
          <w:numId w:val="0"/>
        </w:numPr>
        <w:ind w:left="567"/>
      </w:pPr>
      <w:r w:rsidRPr="009936A0">
        <w:rPr>
          <w:noProof/>
        </w:rPr>
        <w:drawing>
          <wp:inline distT="0" distB="0" distL="0" distR="0" wp14:anchorId="4143952F" wp14:editId="527143FB">
            <wp:extent cx="3863340" cy="1293125"/>
            <wp:effectExtent l="0" t="0" r="3810" b="2540"/>
            <wp:docPr id="91448480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484805" name="Imagen 1" descr="Texto&#10;&#10;Descripción generada automáticamente"/>
                    <pic:cNvPicPr/>
                  </pic:nvPicPr>
                  <pic:blipFill>
                    <a:blip r:embed="rId29"/>
                    <a:stretch>
                      <a:fillRect/>
                    </a:stretch>
                  </pic:blipFill>
                  <pic:spPr>
                    <a:xfrm>
                      <a:off x="0" y="0"/>
                      <a:ext cx="3876691" cy="1297594"/>
                    </a:xfrm>
                    <a:prstGeom prst="rect">
                      <a:avLst/>
                    </a:prstGeom>
                  </pic:spPr>
                </pic:pic>
              </a:graphicData>
            </a:graphic>
          </wp:inline>
        </w:drawing>
      </w:r>
      <w:r w:rsidRPr="009936A0">
        <w:t xml:space="preserve"> </w:t>
      </w:r>
      <w:bookmarkStart w:id="102" w:name="_Hlk133225181"/>
      <w:r>
        <w:fldChar w:fldCharType="begin"/>
      </w:r>
      <w:r>
        <w:instrText>HYPERLINK "https://web.iese.edu/PabloFernandez/docs/FN-0462.pdf"</w:instrText>
      </w:r>
      <w:r>
        <w:fldChar w:fldCharType="separate"/>
      </w:r>
      <w:r w:rsidRPr="00DC070E">
        <w:rPr>
          <w:rStyle w:val="Hipervnculo"/>
        </w:rPr>
        <w:t>https://web.iese.edu/PabloFernandez/docs/FN-0462.pdf</w:t>
      </w:r>
      <w:r>
        <w:rPr>
          <w:rStyle w:val="Hipervnculo"/>
        </w:rPr>
        <w:fldChar w:fldCharType="end"/>
      </w:r>
    </w:p>
    <w:bookmarkEnd w:id="102"/>
    <w:p w14:paraId="608A18C8" w14:textId="66A9F988" w:rsidR="003A359D" w:rsidRDefault="003A359D" w:rsidP="00984D8C">
      <w:pPr>
        <w:pStyle w:val="Nivel2SM"/>
        <w:keepNext/>
        <w:spacing w:after="0"/>
      </w:pPr>
      <w:r>
        <w:lastRenderedPageBreak/>
        <w:t>Por contraposición, una ventaja del PER es que al emplear el beneficio neto permite incluir los gastos financieros y tener en cuenta la estructura financiera de las empresas.</w:t>
      </w:r>
    </w:p>
    <w:p w14:paraId="21D6B9D7" w14:textId="71D67661" w:rsidR="009936A0" w:rsidRDefault="009936A0" w:rsidP="009936A0">
      <w:pPr>
        <w:pStyle w:val="Nivel2SM"/>
        <w:keepNext/>
        <w:numPr>
          <w:ilvl w:val="0"/>
          <w:numId w:val="0"/>
        </w:numPr>
        <w:spacing w:after="0"/>
        <w:ind w:left="567"/>
      </w:pPr>
      <w:r w:rsidRPr="009936A0">
        <w:rPr>
          <w:noProof/>
        </w:rPr>
        <w:drawing>
          <wp:inline distT="0" distB="0" distL="0" distR="0" wp14:anchorId="4B885190" wp14:editId="1AD4F661">
            <wp:extent cx="4381500" cy="1623855"/>
            <wp:effectExtent l="0" t="0" r="0" b="0"/>
            <wp:docPr id="9066271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627119" name=""/>
                    <pic:cNvPicPr/>
                  </pic:nvPicPr>
                  <pic:blipFill>
                    <a:blip r:embed="rId30"/>
                    <a:stretch>
                      <a:fillRect/>
                    </a:stretch>
                  </pic:blipFill>
                  <pic:spPr>
                    <a:xfrm>
                      <a:off x="0" y="0"/>
                      <a:ext cx="4387796" cy="1626188"/>
                    </a:xfrm>
                    <a:prstGeom prst="rect">
                      <a:avLst/>
                    </a:prstGeom>
                  </pic:spPr>
                </pic:pic>
              </a:graphicData>
            </a:graphic>
          </wp:inline>
        </w:drawing>
      </w:r>
    </w:p>
    <w:p w14:paraId="6F841421" w14:textId="4AF024D7" w:rsidR="003A359D" w:rsidRPr="00984D8C" w:rsidRDefault="003A359D" w:rsidP="00984D8C">
      <w:pPr>
        <w:pStyle w:val="Nivel3SM"/>
        <w:spacing w:after="100"/>
        <w:rPr>
          <w:spacing w:val="-2"/>
        </w:rPr>
      </w:pPr>
      <w:r w:rsidRPr="00984D8C">
        <w:rPr>
          <w:spacing w:val="-2"/>
        </w:rPr>
        <w:t>Por tanto, si las empresas tienen distinto apalancamiento financiero, el PER ya no sería un múltiplo comparable y parecería recomendable usar el múltiplo EBIT. Sin embargo, si tienen más o menos el mismo apalancamiento financiero, el PER podría ser una buena opción.</w:t>
      </w:r>
    </w:p>
    <w:p w14:paraId="1C34C8BB" w14:textId="40204F51" w:rsidR="003A359D" w:rsidRPr="003A359D" w:rsidRDefault="00984D8C" w:rsidP="003A359D">
      <w:pPr>
        <w:pStyle w:val="Nivel1SM"/>
        <w:keepNext/>
        <w:spacing w:after="0"/>
      </w:pPr>
      <w:bookmarkStart w:id="103" w:name="_Ref124164662"/>
      <w:r>
        <w:t xml:space="preserve">También existen otros métodos alternativos, como podrían ser el </w:t>
      </w:r>
      <w:r>
        <w:rPr>
          <w:i/>
          <w:iCs/>
        </w:rPr>
        <w:t>PER cíclicamente ajustado</w:t>
      </w:r>
      <w:r>
        <w:t xml:space="preserve"> y el </w:t>
      </w:r>
      <w:r>
        <w:rPr>
          <w:i/>
          <w:iCs/>
        </w:rPr>
        <w:t xml:space="preserve">exceso de PER cíclicamente ajustado </w:t>
      </w:r>
      <w:r>
        <w:t xml:space="preserve">(propuestos por </w:t>
      </w:r>
      <w:r>
        <w:rPr>
          <w:smallCaps/>
        </w:rPr>
        <w:t>Robert Shiller</w:t>
      </w:r>
      <w:r>
        <w:rPr>
          <w:rStyle w:val="Refdenotaalpie"/>
        </w:rPr>
        <w:footnoteReference w:id="41"/>
      </w:r>
      <w:r>
        <w:t>)</w:t>
      </w:r>
      <w:r w:rsidR="003A359D">
        <w:t>:</w:t>
      </w:r>
    </w:p>
    <w:p w14:paraId="5D8B370A" w14:textId="65B665B4" w:rsidR="008E7F60" w:rsidRDefault="008A53D4" w:rsidP="003A359D">
      <w:pPr>
        <w:pStyle w:val="Nivel2SM"/>
        <w:keepNext/>
        <w:spacing w:after="0"/>
        <w:rPr>
          <w:lang w:val="en-US"/>
        </w:rPr>
      </w:pPr>
      <w:r>
        <w:rPr>
          <w:i/>
          <w:iCs/>
          <w:lang w:val="en-US"/>
        </w:rPr>
        <w:t xml:space="preserve">PER </w:t>
      </w:r>
      <w:proofErr w:type="spellStart"/>
      <w:r>
        <w:rPr>
          <w:i/>
          <w:iCs/>
          <w:lang w:val="en-US"/>
        </w:rPr>
        <w:t>c</w:t>
      </w:r>
      <w:r w:rsidR="00690EB9">
        <w:rPr>
          <w:i/>
          <w:iCs/>
          <w:lang w:val="en-US"/>
        </w:rPr>
        <w:t>í</w:t>
      </w:r>
      <w:r>
        <w:rPr>
          <w:i/>
          <w:iCs/>
          <w:lang w:val="en-US"/>
        </w:rPr>
        <w:t>clicamente</w:t>
      </w:r>
      <w:proofErr w:type="spellEnd"/>
      <w:r>
        <w:rPr>
          <w:i/>
          <w:iCs/>
          <w:lang w:val="en-US"/>
        </w:rPr>
        <w:t xml:space="preserve"> </w:t>
      </w:r>
      <w:proofErr w:type="spellStart"/>
      <w:r>
        <w:rPr>
          <w:i/>
          <w:iCs/>
          <w:lang w:val="en-US"/>
        </w:rPr>
        <w:t>ajustado</w:t>
      </w:r>
      <w:proofErr w:type="spellEnd"/>
      <w:r>
        <w:rPr>
          <w:i/>
          <w:iCs/>
          <w:lang w:val="en-US"/>
        </w:rPr>
        <w:t xml:space="preserve"> (</w:t>
      </w:r>
      <w:r w:rsidR="008E7F60" w:rsidRPr="003A359D">
        <w:rPr>
          <w:i/>
          <w:iCs/>
          <w:lang w:val="en-US"/>
        </w:rPr>
        <w:t>Cyclically adjusted PER ratio</w:t>
      </w:r>
      <w:bookmarkEnd w:id="103"/>
      <w:r w:rsidR="00690EB9">
        <w:rPr>
          <w:lang w:val="en-US"/>
        </w:rPr>
        <w:t>):</w:t>
      </w:r>
    </w:p>
    <w:p w14:paraId="50138B51" w14:textId="5C04AD30" w:rsidR="00690EB9" w:rsidRDefault="00690EB9" w:rsidP="008A53D4">
      <w:pPr>
        <w:pStyle w:val="Nivel3SM"/>
      </w:pPr>
      <w:r>
        <w:t>El PER cíclicamente ajustado es una medida del precio de la acción en relación a un promedio de los beneficios por acción en los últimos 10</w:t>
      </w:r>
      <w:r w:rsidR="00A119C4">
        <w:t> </w:t>
      </w:r>
      <w:r>
        <w:t>años de las empresas ajustados por la inflación</w:t>
      </w:r>
      <w:r>
        <w:rPr>
          <w:rStyle w:val="Refdenotaalpie"/>
        </w:rPr>
        <w:footnoteReference w:id="42"/>
      </w:r>
      <w:r>
        <w:t>.</w:t>
      </w:r>
    </w:p>
    <w:p w14:paraId="70880935" w14:textId="092A3D30" w:rsidR="00690EB9" w:rsidRDefault="00690EB9" w:rsidP="008A53D4">
      <w:pPr>
        <w:pStyle w:val="Nivel3SM"/>
      </w:pPr>
      <w:r>
        <w:t>De este modo, el PER cíclicamente ajustado nos permite ajustar por el valor del ciclo económico ya que en una fase alcista del ciclo las empresas podrían estar mayor valoradas que en una fase bajista.</w:t>
      </w:r>
    </w:p>
    <w:p w14:paraId="347A01ED" w14:textId="47A8B05F" w:rsidR="00690EB9" w:rsidRDefault="00690EB9" w:rsidP="008A53D4">
      <w:pPr>
        <w:pStyle w:val="Nivel3SM"/>
      </w:pPr>
      <w:r w:rsidRPr="008A53D4">
        <w:t xml:space="preserve">Cuando </w:t>
      </w:r>
      <w:r>
        <w:t>la</w:t>
      </w:r>
      <w:r w:rsidRPr="008A53D4">
        <w:t xml:space="preserve"> ratio es alt</w:t>
      </w:r>
      <w:r>
        <w:t>a</w:t>
      </w:r>
      <w:r w:rsidRPr="008A53D4">
        <w:t>, las acciones son caras en relación con sus beneficios promedio.</w:t>
      </w:r>
    </w:p>
    <w:p w14:paraId="40CB51DA" w14:textId="204CDF54" w:rsidR="008E7F60" w:rsidRDefault="00690EB9" w:rsidP="003A359D">
      <w:pPr>
        <w:pStyle w:val="Nivel2SM"/>
        <w:keepNext/>
        <w:spacing w:after="0"/>
        <w:rPr>
          <w:lang w:val="en-US"/>
        </w:rPr>
      </w:pPr>
      <w:bookmarkStart w:id="104" w:name="_Ref124164665"/>
      <w:proofErr w:type="spellStart"/>
      <w:r>
        <w:rPr>
          <w:i/>
          <w:iCs/>
          <w:lang w:val="en-US"/>
        </w:rPr>
        <w:t>Exceso</w:t>
      </w:r>
      <w:proofErr w:type="spellEnd"/>
      <w:r>
        <w:rPr>
          <w:i/>
          <w:iCs/>
          <w:lang w:val="en-US"/>
        </w:rPr>
        <w:t xml:space="preserve"> de </w:t>
      </w:r>
      <w:r w:rsidRPr="00690EB9">
        <w:rPr>
          <w:i/>
          <w:iCs/>
          <w:lang w:val="en-US"/>
        </w:rPr>
        <w:t xml:space="preserve">PER </w:t>
      </w:r>
      <w:proofErr w:type="spellStart"/>
      <w:r w:rsidRPr="00690EB9">
        <w:rPr>
          <w:i/>
          <w:iCs/>
          <w:lang w:val="en-US"/>
        </w:rPr>
        <w:t>cíclicamente</w:t>
      </w:r>
      <w:proofErr w:type="spellEnd"/>
      <w:r w:rsidRPr="00690EB9">
        <w:rPr>
          <w:i/>
          <w:iCs/>
          <w:lang w:val="en-US"/>
        </w:rPr>
        <w:t xml:space="preserve"> </w:t>
      </w:r>
      <w:proofErr w:type="spellStart"/>
      <w:r w:rsidRPr="00690EB9">
        <w:rPr>
          <w:i/>
          <w:iCs/>
          <w:lang w:val="en-US"/>
        </w:rPr>
        <w:t>ajustado</w:t>
      </w:r>
      <w:proofErr w:type="spellEnd"/>
      <w:r>
        <w:rPr>
          <w:lang w:val="en-US"/>
        </w:rPr>
        <w:t xml:space="preserve"> </w:t>
      </w:r>
      <w:r w:rsidRPr="00690EB9">
        <w:rPr>
          <w:lang w:val="en-US"/>
        </w:rPr>
        <w:t>(</w:t>
      </w:r>
      <w:r w:rsidR="008E7F60" w:rsidRPr="003A359D">
        <w:rPr>
          <w:i/>
          <w:iCs/>
          <w:lang w:val="en-US"/>
        </w:rPr>
        <w:t>Excess cyclically adjusted PER ratio</w:t>
      </w:r>
      <w:r w:rsidR="008E7F60" w:rsidRPr="00833334">
        <w:rPr>
          <w:lang w:val="en-US"/>
        </w:rPr>
        <w:t>)</w:t>
      </w:r>
      <w:bookmarkEnd w:id="104"/>
    </w:p>
    <w:p w14:paraId="1E7E6795" w14:textId="1EBB2BD6" w:rsidR="003A359D" w:rsidRPr="00833334" w:rsidRDefault="00575F1C" w:rsidP="003A359D">
      <w:pPr>
        <w:pStyle w:val="Nivel3SM"/>
        <w:rPr>
          <w:lang w:val="en-US"/>
        </w:rPr>
      </w:pPr>
      <w:r>
        <w:rPr>
          <w:lang w:val="en-US"/>
        </w:rPr>
        <w:t xml:space="preserve">The inverse of PER </w:t>
      </w:r>
      <w:r w:rsidR="007C6A08">
        <w:rPr>
          <w:lang w:val="en-US"/>
        </w:rPr>
        <w:t>–</w:t>
      </w:r>
      <w:r>
        <w:rPr>
          <w:lang w:val="en-US"/>
        </w:rPr>
        <w:t xml:space="preserve"> real bond yields. The inverse of PER gives an indication of the expected yield on equities. Is the inverse of PER a decent forecast of expected returns on equities. </w:t>
      </w:r>
      <w:r>
        <w:rPr>
          <w:smallCaps/>
          <w:lang w:val="en-US"/>
        </w:rPr>
        <w:t>Robert Shiller</w:t>
      </w:r>
      <w:r>
        <w:rPr>
          <w:lang w:val="en-US"/>
        </w:rPr>
        <w:t xml:space="preserve"> and </w:t>
      </w:r>
      <w:r>
        <w:rPr>
          <w:smallCaps/>
          <w:lang w:val="en-US"/>
        </w:rPr>
        <w:t>John Campbell</w:t>
      </w:r>
      <w:r>
        <w:rPr>
          <w:lang w:val="en-US"/>
        </w:rPr>
        <w:t xml:space="preserve"> found that yields on equities help predict long term returns.</w:t>
      </w:r>
    </w:p>
    <w:p w14:paraId="75BE54B9" w14:textId="30FECE6D" w:rsidR="00C4210F" w:rsidRDefault="00421B38" w:rsidP="008C6268">
      <w:pPr>
        <w:pStyle w:val="Ttulo2"/>
      </w:pPr>
      <w:bookmarkStart w:id="105" w:name="_Toc144911998"/>
      <w:r>
        <w:t>Análisis técnico</w:t>
      </w:r>
      <w:bookmarkEnd w:id="105"/>
    </w:p>
    <w:p w14:paraId="1AB794D4" w14:textId="70480E2F" w:rsidR="002E6270" w:rsidRDefault="00D66553" w:rsidP="003653CC">
      <w:pPr>
        <w:pStyle w:val="Nivel1SM"/>
        <w:keepNext/>
        <w:spacing w:before="0" w:after="0"/>
      </w:pPr>
      <w:r>
        <w:t xml:space="preserve">El </w:t>
      </w:r>
      <w:r w:rsidRPr="002E6270">
        <w:rPr>
          <w:b/>
          <w:bCs/>
          <w:i/>
          <w:iCs/>
        </w:rPr>
        <w:t>análisis técnico</w:t>
      </w:r>
      <w:r>
        <w:t xml:space="preserve"> es el estudio de la información interna de la bolsa de valores como tal.</w:t>
      </w:r>
    </w:p>
    <w:p w14:paraId="2650FC54" w14:textId="175524E0" w:rsidR="00D66553" w:rsidRDefault="00323BD1" w:rsidP="002E6270">
      <w:pPr>
        <w:pStyle w:val="Nivel2SM"/>
      </w:pPr>
      <w:r>
        <w:rPr>
          <w:noProof/>
        </w:rPr>
        <w:drawing>
          <wp:anchor distT="0" distB="0" distL="114300" distR="114300" simplePos="0" relativeHeight="251658240" behindDoc="1" locked="0" layoutInCell="1" allowOverlap="1" wp14:anchorId="6B7FB874" wp14:editId="214D1D34">
            <wp:simplePos x="0" y="0"/>
            <wp:positionH relativeFrom="column">
              <wp:posOffset>5299710</wp:posOffset>
            </wp:positionH>
            <wp:positionV relativeFrom="paragraph">
              <wp:posOffset>102235</wp:posOffset>
            </wp:positionV>
            <wp:extent cx="1405255" cy="718185"/>
            <wp:effectExtent l="0" t="0" r="4445" b="5715"/>
            <wp:wrapTight wrapText="bothSides">
              <wp:wrapPolygon edited="0">
                <wp:start x="0" y="0"/>
                <wp:lineTo x="0" y="21199"/>
                <wp:lineTo x="21376" y="21199"/>
                <wp:lineTo x="21376" y="0"/>
                <wp:lineTo x="0" y="0"/>
              </wp:wrapPolygon>
            </wp:wrapTight>
            <wp:docPr id="11" name="Imagen 11" descr="Qué son las velas japone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Qué son las velas japonesas?"/>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32130" b="28890"/>
                    <a:stretch/>
                  </pic:blipFill>
                  <pic:spPr bwMode="auto">
                    <a:xfrm>
                      <a:off x="0" y="0"/>
                      <a:ext cx="1405255" cy="7181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6553">
        <w:t xml:space="preserve">La palabra “técnico” implica un estudio del mercado </w:t>
      </w:r>
      <w:r w:rsidR="00D66553" w:rsidRPr="00D66553">
        <w:rPr>
          <w:i/>
          <w:iCs/>
        </w:rPr>
        <w:t>per se</w:t>
      </w:r>
      <w:r w:rsidR="00D66553">
        <w:t xml:space="preserve"> y no de aquellos factores externos reflejados en el mercado. Todos los factores relevantes, cualesquiera sean, se pueden reducir al volumen de transacciones… y al nivel de precios de las acciones; o más generalmente, a la suma de la información estadística producida por el mercado.</w:t>
      </w:r>
    </w:p>
    <w:p w14:paraId="500C31B8" w14:textId="7EDC4D03" w:rsidR="002E6270" w:rsidRPr="00D66553" w:rsidRDefault="002E6270" w:rsidP="002E6270">
      <w:pPr>
        <w:pStyle w:val="Nivel2SM"/>
      </w:pPr>
      <w:r>
        <w:t>La base del</w:t>
      </w:r>
      <w:r w:rsidRPr="00272242">
        <w:rPr>
          <w:b/>
          <w:bCs/>
        </w:rPr>
        <w:t xml:space="preserve"> análisis técnico</w:t>
      </w:r>
      <w:r>
        <w:t xml:space="preserve"> está en la consideración de que el mercado tiene memoria y que por tanto sólo será necesario utilizar la evolución del precio de los activos, tratando de </w:t>
      </w:r>
      <w:r w:rsidRPr="00272242">
        <w:rPr>
          <w:b/>
          <w:bCs/>
        </w:rPr>
        <w:t>predecir los precios a partir de su evolución histórica</w:t>
      </w:r>
      <w:r w:rsidRPr="0027118D">
        <w:t xml:space="preserve"> (</w:t>
      </w:r>
      <w:r>
        <w:t>está, por lo tanto, completamente en contra de la hipótesis de mercados eficientes</w:t>
      </w:r>
      <w:r w:rsidRPr="0027118D">
        <w:t>)</w:t>
      </w:r>
      <w:r>
        <w:t>.</w:t>
      </w:r>
    </w:p>
    <w:p w14:paraId="2776FC5F" w14:textId="2155D922" w:rsidR="004227A9" w:rsidRDefault="00272242" w:rsidP="004227A9">
      <w:pPr>
        <w:pStyle w:val="Nivel1SM"/>
        <w:keepNext/>
        <w:spacing w:after="0"/>
      </w:pPr>
      <w:r>
        <w:lastRenderedPageBreak/>
        <w:t>Generalmente, se habla indistintamente de análisis técnico y análisis chartista.</w:t>
      </w:r>
    </w:p>
    <w:p w14:paraId="3C067538" w14:textId="48F9852D" w:rsidR="004227A9" w:rsidRDefault="00272242" w:rsidP="002E6270">
      <w:pPr>
        <w:pStyle w:val="Nivel2SM"/>
        <w:keepNext/>
        <w:spacing w:after="0"/>
      </w:pPr>
      <w:r>
        <w:t xml:space="preserve">Sin embargo, mientras que el </w:t>
      </w:r>
      <w:r w:rsidRPr="00272242">
        <w:rPr>
          <w:b/>
          <w:bCs/>
        </w:rPr>
        <w:t>análisis chartista</w:t>
      </w:r>
      <w:r>
        <w:t xml:space="preserve"> se basa únicamente en el </w:t>
      </w:r>
      <w:r w:rsidRPr="00272242">
        <w:rPr>
          <w:u w:val="single"/>
        </w:rPr>
        <w:t>estudio de gráficos</w:t>
      </w:r>
      <w:r>
        <w:t xml:space="preserve">, el </w:t>
      </w:r>
      <w:r w:rsidRPr="00272242">
        <w:rPr>
          <w:b/>
          <w:bCs/>
        </w:rPr>
        <w:t>análisis técnico</w:t>
      </w:r>
      <w:r>
        <w:t xml:space="preserve"> </w:t>
      </w:r>
      <w:r w:rsidRPr="00272242">
        <w:rPr>
          <w:u w:val="single"/>
        </w:rPr>
        <w:t>incorpora herramientas de análisis matemáticas o estadísticas</w:t>
      </w:r>
      <w:r>
        <w:t xml:space="preserve"> como medias móviles o indicadores de fortaleza de la tendencia, que se verán a continuación.</w:t>
      </w:r>
    </w:p>
    <w:p w14:paraId="491C8297" w14:textId="5772E38A" w:rsidR="00AA085D" w:rsidRDefault="00272242" w:rsidP="002E6270">
      <w:pPr>
        <w:pStyle w:val="Nivel3SM"/>
      </w:pPr>
      <w:r>
        <w:t xml:space="preserve">No obstante, por simplicidad, durante la exposición nos referiremos genéricamente al </w:t>
      </w:r>
      <w:r w:rsidRPr="002E6270">
        <w:rPr>
          <w:i/>
          <w:iCs/>
        </w:rPr>
        <w:t>análisis técnico</w:t>
      </w:r>
      <w:r>
        <w:t>.</w:t>
      </w:r>
    </w:p>
    <w:p w14:paraId="75D5645F" w14:textId="77777777" w:rsidR="002E6270" w:rsidRDefault="002E6270" w:rsidP="002E6270">
      <w:pPr>
        <w:pStyle w:val="Nivel2SM"/>
      </w:pPr>
      <w:r>
        <w:t xml:space="preserve">De este modo, puede definirse el análisis técnico como el conjunto de técnicas para el estudio de los movimientos del mercado, principalmente mediante el uso de distintos gráficos con el propósito último de </w:t>
      </w:r>
      <w:r>
        <w:rPr>
          <w:b/>
          <w:bCs/>
        </w:rPr>
        <w:t>pronosticar</w:t>
      </w:r>
      <w:r>
        <w:t xml:space="preserve"> futuras tendencias. No se plantea, por tanto, si las acciones están bien o mal valoradas, se ciñe a la búsqueda de comportamientos y patrones para anticiparse a los patrones bursátiles.</w:t>
      </w:r>
    </w:p>
    <w:p w14:paraId="13AD5954" w14:textId="4967FF39" w:rsidR="00272242" w:rsidRDefault="00272242" w:rsidP="00323BD1">
      <w:pPr>
        <w:pStyle w:val="Nivel1SM"/>
        <w:keepNext/>
        <w:spacing w:after="0"/>
      </w:pPr>
      <w:r>
        <w:t xml:space="preserve">Siguiendo a </w:t>
      </w:r>
      <w:r>
        <w:rPr>
          <w:smallCaps/>
        </w:rPr>
        <w:t>Murphy</w:t>
      </w:r>
      <w:r>
        <w:t>, el análisis técnico se basa en 3</w:t>
      </w:r>
      <w:r w:rsidR="003653CC">
        <w:t> </w:t>
      </w:r>
      <w:r>
        <w:t>premisas:</w:t>
      </w:r>
    </w:p>
    <w:p w14:paraId="09088970" w14:textId="5710DB1C" w:rsidR="00272242" w:rsidRDefault="00200388" w:rsidP="00323BD1">
      <w:pPr>
        <w:pStyle w:val="Nmero"/>
        <w:numPr>
          <w:ilvl w:val="0"/>
          <w:numId w:val="9"/>
        </w:numPr>
        <w:spacing w:after="0"/>
        <w:ind w:left="568" w:hanging="284"/>
      </w:pPr>
      <w:r w:rsidRPr="00556F78">
        <w:rPr>
          <w:i/>
          <w:iCs/>
          <w:u w:val="single"/>
        </w:rPr>
        <w:t>Todo lo que puede afectar al precio está descontado</w:t>
      </w:r>
      <w:r>
        <w:t>, es decir</w:t>
      </w:r>
      <w:r w:rsidR="00556F78">
        <w:t>, el precio de un activo recoge toda la información relativa a todos los factores que puedan afectar al valor de dicho activo.</w:t>
      </w:r>
    </w:p>
    <w:p w14:paraId="5FE76843" w14:textId="3BC1D48B" w:rsidR="00200388" w:rsidRDefault="00556F78" w:rsidP="00323BD1">
      <w:pPr>
        <w:pStyle w:val="Nmero"/>
        <w:numPr>
          <w:ilvl w:val="0"/>
          <w:numId w:val="9"/>
        </w:numPr>
        <w:spacing w:after="0"/>
        <w:ind w:left="568" w:hanging="284"/>
      </w:pPr>
      <w:r>
        <w:rPr>
          <w:i/>
          <w:iCs/>
          <w:u w:val="single"/>
        </w:rPr>
        <w:t>Los precios siguen tendencias</w:t>
      </w:r>
      <w:r>
        <w:t>. Además, se asume que la representación gráfica de los movimientos de los precios permite identificar dichas tendencias (resistencias y soportes, es decir, techos y suelos).</w:t>
      </w:r>
    </w:p>
    <w:p w14:paraId="3F9177ED" w14:textId="586CF244" w:rsidR="00200388" w:rsidRDefault="00556F78" w:rsidP="00323BD1">
      <w:pPr>
        <w:pStyle w:val="Nmero"/>
        <w:numPr>
          <w:ilvl w:val="0"/>
          <w:numId w:val="9"/>
        </w:numPr>
        <w:spacing w:after="0"/>
        <w:ind w:left="568" w:hanging="284"/>
      </w:pPr>
      <w:r>
        <w:rPr>
          <w:i/>
          <w:iCs/>
          <w:u w:val="single"/>
        </w:rPr>
        <w:t>La historia se repite</w:t>
      </w:r>
      <w:r>
        <w:t>. La evolución histórica de los precios proporciona información relevante sobre el comportamiento futuro de los mismos. Es decir, se asume que los inversores presentes se comportan, colectivamente de forma similar a como lo hacían los inversores en el pasado.</w:t>
      </w:r>
      <w:r w:rsidR="004B42F8">
        <w:t xml:space="preserve"> Por lo tanto, la historia tiende a repetirse por la psicología humana.</w:t>
      </w:r>
      <w:r w:rsidR="004227A9">
        <w:t xml:space="preserve"> En otras palabras, el mercado tiene memoria.</w:t>
      </w:r>
    </w:p>
    <w:p w14:paraId="4C7A362A" w14:textId="49B7B6E2" w:rsidR="00200388" w:rsidRDefault="00200388" w:rsidP="00323BD1">
      <w:pPr>
        <w:pStyle w:val="Nivel1SM"/>
        <w:keepNext/>
        <w:spacing w:after="0"/>
      </w:pPr>
      <w:r>
        <w:t>Asimismo, existen 3</w:t>
      </w:r>
      <w:r w:rsidR="003653CC">
        <w:t> </w:t>
      </w:r>
      <w:r>
        <w:t>fuentes de información</w:t>
      </w:r>
      <w:r w:rsidR="00907CB8">
        <w:t>:</w:t>
      </w:r>
    </w:p>
    <w:p w14:paraId="4834AF66" w14:textId="288F3D03" w:rsidR="00907CB8" w:rsidRDefault="004B42F8" w:rsidP="00323BD1">
      <w:pPr>
        <w:pStyle w:val="Nmero"/>
        <w:numPr>
          <w:ilvl w:val="0"/>
          <w:numId w:val="10"/>
        </w:numPr>
        <w:spacing w:after="0"/>
        <w:ind w:left="568" w:hanging="284"/>
      </w:pPr>
      <w:r w:rsidRPr="00A150AF">
        <w:rPr>
          <w:i/>
          <w:iCs/>
          <w:u w:val="single"/>
        </w:rPr>
        <w:t>Precio</w:t>
      </w:r>
      <w:r>
        <w:t>, que no tiene porqué coincidir con el valor intrínseco del activo. El precio se determina por la oferta y la demanda de cada valor, y por tanto atiende a cambios a corto plazo de oferta y demanda, relegando a un segundo plano el binomio rentabilidad-riesgo.</w:t>
      </w:r>
    </w:p>
    <w:p w14:paraId="330EED60" w14:textId="23CE371C" w:rsidR="00907CB8" w:rsidRDefault="00907CB8" w:rsidP="00323BD1">
      <w:pPr>
        <w:pStyle w:val="Nmero"/>
        <w:numPr>
          <w:ilvl w:val="0"/>
          <w:numId w:val="10"/>
        </w:numPr>
        <w:spacing w:after="0"/>
        <w:ind w:left="568" w:hanging="284"/>
      </w:pPr>
      <w:r w:rsidRPr="00A150AF">
        <w:rPr>
          <w:i/>
          <w:iCs/>
          <w:u w:val="single"/>
        </w:rPr>
        <w:t>Vol</w:t>
      </w:r>
      <w:r w:rsidR="004B42F8" w:rsidRPr="00A150AF">
        <w:rPr>
          <w:i/>
          <w:iCs/>
          <w:u w:val="single"/>
        </w:rPr>
        <w:t>umen de contratación</w:t>
      </w:r>
      <w:r w:rsidR="004B42F8">
        <w:t>.</w:t>
      </w:r>
    </w:p>
    <w:p w14:paraId="573EA9BC" w14:textId="3331B462" w:rsidR="004B42F8" w:rsidRDefault="004B42F8" w:rsidP="00323BD1">
      <w:pPr>
        <w:pStyle w:val="Nmero"/>
        <w:numPr>
          <w:ilvl w:val="0"/>
          <w:numId w:val="10"/>
        </w:numPr>
        <w:spacing w:after="0"/>
        <w:ind w:left="568" w:hanging="284"/>
      </w:pPr>
      <w:r w:rsidRPr="00A150AF">
        <w:rPr>
          <w:i/>
          <w:iCs/>
          <w:u w:val="single"/>
        </w:rPr>
        <w:t xml:space="preserve">Interés abierto u “open </w:t>
      </w:r>
      <w:proofErr w:type="spellStart"/>
      <w:r w:rsidRPr="00A150AF">
        <w:rPr>
          <w:i/>
          <w:iCs/>
          <w:u w:val="single"/>
        </w:rPr>
        <w:t>interest</w:t>
      </w:r>
      <w:proofErr w:type="spellEnd"/>
      <w:r w:rsidRPr="00A150AF">
        <w:rPr>
          <w:i/>
          <w:iCs/>
          <w:u w:val="single"/>
        </w:rPr>
        <w:t>”</w:t>
      </w:r>
      <w:r w:rsidR="00323BD1">
        <w:t>.</w:t>
      </w:r>
      <w:r w:rsidR="00A150AF">
        <w:t xml:space="preserve"> </w:t>
      </w:r>
      <w:r w:rsidR="00323BD1">
        <w:t>P</w:t>
      </w:r>
      <w:r w:rsidR="00A150AF" w:rsidRPr="00A150AF">
        <w:t>ara cada comprador de un contrato, debe haber un vendedor. Desde el momento en que un comprador o un vendedor abre el contrato hasta que la contraparte lo cierra, se considera que está ‘abierto’.</w:t>
      </w:r>
    </w:p>
    <w:p w14:paraId="2B66CD03" w14:textId="77777777" w:rsidR="002E6270" w:rsidRDefault="000A11BA" w:rsidP="002E6270">
      <w:pPr>
        <w:pStyle w:val="Nivel1SM"/>
        <w:keepNext/>
        <w:spacing w:after="0"/>
      </w:pPr>
      <w:r>
        <w:t xml:space="preserve">De este modo, los </w:t>
      </w:r>
      <w:proofErr w:type="spellStart"/>
      <w:r w:rsidR="00767877">
        <w:rPr>
          <w:i/>
          <w:iCs/>
        </w:rPr>
        <w:t>technicians</w:t>
      </w:r>
      <w:proofErr w:type="spellEnd"/>
      <w:r w:rsidR="00767877">
        <w:t xml:space="preserve"> utilizan </w:t>
      </w:r>
      <w:r w:rsidR="00767877" w:rsidRPr="002E6270">
        <w:rPr>
          <w:b/>
          <w:bCs/>
        </w:rPr>
        <w:t>herramientas gráficas y matemáticas</w:t>
      </w:r>
      <w:r w:rsidR="00767877">
        <w:t xml:space="preserve"> para analizar la evolución de los precios de los activos e intentar predecir los precios futuros</w:t>
      </w:r>
      <w:r w:rsidR="002E6270">
        <w:t>:</w:t>
      </w:r>
    </w:p>
    <w:p w14:paraId="193FB418" w14:textId="0CF36F60" w:rsidR="002E6270" w:rsidRDefault="002E6270">
      <w:pPr>
        <w:pStyle w:val="Prrafodelista"/>
        <w:keepNext/>
        <w:numPr>
          <w:ilvl w:val="0"/>
          <w:numId w:val="32"/>
        </w:numPr>
        <w:spacing w:after="0"/>
        <w:ind w:left="568" w:hanging="284"/>
      </w:pPr>
      <w:r w:rsidRPr="00FD0F1A">
        <w:rPr>
          <w:i/>
          <w:iCs/>
          <w:u w:val="single"/>
        </w:rPr>
        <w:t>Soporte y resistencia</w:t>
      </w:r>
      <w:r>
        <w:t>: Los conceptos de soporte y resistencia son piezas clave del análisis técnico de mercados financieros.</w:t>
      </w:r>
    </w:p>
    <w:p w14:paraId="26463139" w14:textId="09CBC8E6" w:rsidR="002E6270" w:rsidRPr="007778FD" w:rsidRDefault="002E6270" w:rsidP="002E6270">
      <w:pPr>
        <w:pStyle w:val="Nivel3SM"/>
        <w:rPr>
          <w:spacing w:val="-5"/>
        </w:rPr>
      </w:pPr>
      <w:r w:rsidRPr="007778FD">
        <w:rPr>
          <w:spacing w:val="-5"/>
        </w:rPr>
        <w:t xml:space="preserve">Un </w:t>
      </w:r>
      <w:r w:rsidRPr="007778FD">
        <w:rPr>
          <w:i/>
          <w:iCs/>
          <w:spacing w:val="-5"/>
        </w:rPr>
        <w:t>soporte</w:t>
      </w:r>
      <w:r w:rsidRPr="007778FD">
        <w:rPr>
          <w:spacing w:val="-5"/>
        </w:rPr>
        <w:t xml:space="preserve"> (suelo) es un nivel de precio por debajo del actual</w:t>
      </w:r>
      <w:r w:rsidR="002519C0" w:rsidRPr="007778FD">
        <w:rPr>
          <w:spacing w:val="-5"/>
        </w:rPr>
        <w:t xml:space="preserve"> al cual</w:t>
      </w:r>
      <w:r w:rsidRPr="007778FD">
        <w:rPr>
          <w:spacing w:val="-5"/>
        </w:rPr>
        <w:t xml:space="preserve"> se espera que la fuerza de compra supere a la de venta</w:t>
      </w:r>
      <w:r w:rsidR="002519C0" w:rsidRPr="007778FD">
        <w:rPr>
          <w:spacing w:val="-5"/>
        </w:rPr>
        <w:t>,</w:t>
      </w:r>
      <w:r w:rsidRPr="007778FD">
        <w:rPr>
          <w:spacing w:val="-5"/>
        </w:rPr>
        <w:t xml:space="preserve"> por lo que un impulso bajista se verá frenado y, por tanto, el precio repuntará. Normalm</w:t>
      </w:r>
      <w:r w:rsidR="002519C0" w:rsidRPr="007778FD">
        <w:rPr>
          <w:spacing w:val="-5"/>
        </w:rPr>
        <w:t>ent</w:t>
      </w:r>
      <w:r w:rsidRPr="007778FD">
        <w:rPr>
          <w:spacing w:val="-5"/>
        </w:rPr>
        <w:t>e, un soporte corresponde a un mínimo alcanzado anteriormente.</w:t>
      </w:r>
    </w:p>
    <w:p w14:paraId="471D3614" w14:textId="0054B5C2" w:rsidR="002E6270" w:rsidRDefault="002E6270" w:rsidP="00E04A5C">
      <w:pPr>
        <w:pStyle w:val="Nivel3SM"/>
        <w:keepNext/>
      </w:pPr>
      <w:r>
        <w:lastRenderedPageBreak/>
        <w:t xml:space="preserve">Una </w:t>
      </w:r>
      <w:r w:rsidRPr="002519C0">
        <w:rPr>
          <w:i/>
          <w:iCs/>
        </w:rPr>
        <w:t>resistencia</w:t>
      </w:r>
      <w:r>
        <w:t xml:space="preserve"> es el concepto opuesto a un soporte. Es un precio por encima del actual la fuera de venta superará a la de compra, poniendo fin al impulso alcista, y por lo tanto el precio retrocederá.</w:t>
      </w:r>
    </w:p>
    <w:p w14:paraId="0B2A238F" w14:textId="591DAE9D" w:rsidR="00E04A5C" w:rsidRPr="004227A9" w:rsidRDefault="00E04A5C" w:rsidP="00E04A5C">
      <w:pPr>
        <w:pStyle w:val="Ttuloimagen"/>
        <w:rPr>
          <w:smallCaps w:val="0"/>
        </w:rPr>
      </w:pPr>
      <w:r>
        <w:t>Imagen</w:t>
      </w:r>
      <w:r w:rsidR="001675F6">
        <w:t> </w:t>
      </w:r>
      <w:r>
        <w:fldChar w:fldCharType="begin"/>
      </w:r>
      <w:r>
        <w:instrText xml:space="preserve"> SEQ Ilustración \* ARABIC </w:instrText>
      </w:r>
      <w:r>
        <w:fldChar w:fldCharType="separate"/>
      </w:r>
      <w:r w:rsidR="00561B3A">
        <w:t>10</w:t>
      </w:r>
      <w:r>
        <w:fldChar w:fldCharType="end"/>
      </w:r>
      <w:r>
        <w:rPr>
          <w:smallCaps w:val="0"/>
        </w:rPr>
        <w:t xml:space="preserve">.– </w:t>
      </w:r>
      <w:r>
        <w:rPr>
          <w:i/>
          <w:iCs/>
          <w:smallCaps w:val="0"/>
        </w:rPr>
        <w:t>Soporte y resistencia</w:t>
      </w:r>
    </w:p>
    <w:p w14:paraId="6AA2E589" w14:textId="12B5005F" w:rsidR="00E04A5C" w:rsidRDefault="00E04A5C" w:rsidP="00E04A5C">
      <w:pPr>
        <w:pStyle w:val="Imagen"/>
      </w:pPr>
      <w:r>
        <w:drawing>
          <wp:inline distT="0" distB="0" distL="0" distR="0" wp14:anchorId="3774355B" wp14:editId="4B924CF5">
            <wp:extent cx="5033644" cy="1800000"/>
            <wp:effectExtent l="0" t="0" r="0" b="0"/>
            <wp:docPr id="19" name="Imagen 19" descr="soportes-resistencias-falsas-ruptura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portes-resistencias-falsas-rupturas-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33644" cy="1800000"/>
                    </a:xfrm>
                    <a:prstGeom prst="rect">
                      <a:avLst/>
                    </a:prstGeom>
                    <a:noFill/>
                    <a:ln>
                      <a:noFill/>
                    </a:ln>
                  </pic:spPr>
                </pic:pic>
              </a:graphicData>
            </a:graphic>
          </wp:inline>
        </w:drawing>
      </w:r>
    </w:p>
    <w:p w14:paraId="064CA8A4" w14:textId="3B693D03" w:rsidR="00E04A5C" w:rsidRPr="004227A9" w:rsidRDefault="00E04A5C" w:rsidP="00E04A5C">
      <w:pPr>
        <w:pStyle w:val="PiedeImagen"/>
        <w:rPr>
          <w:i w:val="0"/>
          <w:iCs/>
        </w:rPr>
      </w:pPr>
      <w:r>
        <w:t>Fuente</w:t>
      </w:r>
      <w:r>
        <w:rPr>
          <w:i w:val="0"/>
          <w:iCs/>
        </w:rPr>
        <w:t xml:space="preserve">: Patiño, M.A. (2015) </w:t>
      </w:r>
      <w:r>
        <w:t>Soportes, resistencias y falsas rupturas</w:t>
      </w:r>
      <w:r>
        <w:rPr>
          <w:i w:val="0"/>
          <w:iCs/>
        </w:rPr>
        <w:t xml:space="preserve">. Comparativa de Bancos. </w:t>
      </w:r>
      <w:hyperlink r:id="rId33" w:history="1">
        <w:r w:rsidRPr="00E70436">
          <w:rPr>
            <w:rStyle w:val="Hipervnculo"/>
            <w:i w:val="0"/>
            <w:iCs/>
          </w:rPr>
          <w:t>https://www.comparativadebancos.com/soportes-resistencias-falsas-rupturas/</w:t>
        </w:r>
      </w:hyperlink>
    </w:p>
    <w:p w14:paraId="7C1BBB01" w14:textId="0D72DBEB" w:rsidR="002E6270" w:rsidRDefault="002E6270">
      <w:pPr>
        <w:pStyle w:val="Prrafodelista"/>
        <w:keepNext/>
        <w:numPr>
          <w:ilvl w:val="0"/>
          <w:numId w:val="32"/>
        </w:numPr>
        <w:spacing w:after="0"/>
        <w:ind w:left="568" w:hanging="284"/>
      </w:pPr>
      <w:r w:rsidRPr="00FD0F1A">
        <w:rPr>
          <w:i/>
          <w:iCs/>
          <w:u w:val="single"/>
        </w:rPr>
        <w:t>Medias móviles</w:t>
      </w:r>
      <w:r>
        <w:t xml:space="preserve">: Otro concepto clave de las técnicas chartistas es el de media móvil. </w:t>
      </w:r>
      <w:r w:rsidR="00646BA0" w:rsidRPr="00646BA0">
        <w:t>Una media móvil es un valor calculado de manera continua de la media aritmética del precio durante un per</w:t>
      </w:r>
      <w:r w:rsidR="00D46625">
        <w:t>i</w:t>
      </w:r>
      <w:r w:rsidR="00646BA0" w:rsidRPr="00646BA0">
        <w:t>odo de tiempo específico</w:t>
      </w:r>
      <w:r w:rsidR="00646BA0">
        <w:rPr>
          <w:rStyle w:val="Refdenotaalpie"/>
        </w:rPr>
        <w:footnoteReference w:id="43"/>
      </w:r>
      <w:r w:rsidR="00646BA0" w:rsidRPr="00646BA0">
        <w:t xml:space="preserve">. </w:t>
      </w:r>
      <w:r>
        <w:t>En una versión de este enfoque, el precio medio de una acción a lo largo de unos meses es el indicador del precio real del activo. Si el precio del activo es superior, se espera que baje.</w:t>
      </w:r>
    </w:p>
    <w:p w14:paraId="6C5A6764" w14:textId="5B67314B" w:rsidR="00E04A5C" w:rsidRPr="004227A9" w:rsidRDefault="00E04A5C" w:rsidP="00E04A5C">
      <w:pPr>
        <w:pStyle w:val="Ttuloimagen"/>
        <w:rPr>
          <w:smallCaps w:val="0"/>
        </w:rPr>
      </w:pPr>
      <w:r>
        <w:t>Imagen</w:t>
      </w:r>
      <w:r w:rsidR="001675F6">
        <w:t> </w:t>
      </w:r>
      <w:r>
        <w:fldChar w:fldCharType="begin"/>
      </w:r>
      <w:r>
        <w:instrText xml:space="preserve"> SEQ Ilustración \* ARABIC </w:instrText>
      </w:r>
      <w:r>
        <w:fldChar w:fldCharType="separate"/>
      </w:r>
      <w:r w:rsidR="00561B3A">
        <w:t>11</w:t>
      </w:r>
      <w:r>
        <w:fldChar w:fldCharType="end"/>
      </w:r>
      <w:r>
        <w:rPr>
          <w:smallCaps w:val="0"/>
        </w:rPr>
        <w:t xml:space="preserve">.– </w:t>
      </w:r>
      <w:r>
        <w:rPr>
          <w:i/>
          <w:iCs/>
          <w:smallCaps w:val="0"/>
        </w:rPr>
        <w:t>Medias móviles</w:t>
      </w:r>
    </w:p>
    <w:p w14:paraId="633D5CF7" w14:textId="5D704E4D" w:rsidR="00E04A5C" w:rsidRDefault="00E04A5C" w:rsidP="00E04A5C">
      <w:pPr>
        <w:pStyle w:val="Imagen"/>
      </w:pPr>
      <w:r>
        <w:drawing>
          <wp:inline distT="0" distB="0" distL="0" distR="0" wp14:anchorId="33032B02" wp14:editId="4106D51F">
            <wp:extent cx="4006738" cy="1800000"/>
            <wp:effectExtent l="0" t="0" r="0" b="0"/>
            <wp:docPr id="18" name="Imagen 18" descr="Qué son las Medias Móviles en trading | 3 Estrateg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é son las Medias Móviles en trading | 3 Estrategias"/>
                    <pic:cNvPicPr>
                      <a:picLocks noChangeAspect="1" noChangeArrowheads="1"/>
                    </pic:cNvPicPr>
                  </pic:nvPicPr>
                  <pic:blipFill rotWithShape="1">
                    <a:blip r:embed="rId34">
                      <a:extLst>
                        <a:ext uri="{28A0092B-C50C-407E-A947-70E740481C1C}">
                          <a14:useLocalDpi xmlns:a14="http://schemas.microsoft.com/office/drawing/2010/main" val="0"/>
                        </a:ext>
                      </a:extLst>
                    </a:blip>
                    <a:srcRect t="4209"/>
                    <a:stretch/>
                  </pic:blipFill>
                  <pic:spPr bwMode="auto">
                    <a:xfrm>
                      <a:off x="0" y="0"/>
                      <a:ext cx="4006738" cy="1800000"/>
                    </a:xfrm>
                    <a:prstGeom prst="rect">
                      <a:avLst/>
                    </a:prstGeom>
                    <a:noFill/>
                    <a:ln>
                      <a:noFill/>
                    </a:ln>
                    <a:extLst>
                      <a:ext uri="{53640926-AAD7-44D8-BBD7-CCE9431645EC}">
                        <a14:shadowObscured xmlns:a14="http://schemas.microsoft.com/office/drawing/2010/main"/>
                      </a:ext>
                    </a:extLst>
                  </pic:spPr>
                </pic:pic>
              </a:graphicData>
            </a:graphic>
          </wp:inline>
        </w:drawing>
      </w:r>
    </w:p>
    <w:p w14:paraId="44245077" w14:textId="4F811B9C" w:rsidR="00E04A5C" w:rsidRPr="001B58C3" w:rsidRDefault="00E04A5C" w:rsidP="00E04A5C">
      <w:pPr>
        <w:pStyle w:val="PiedeImagen"/>
        <w:rPr>
          <w:i w:val="0"/>
          <w:iCs/>
          <w:lang w:val="en-US"/>
        </w:rPr>
      </w:pPr>
      <w:r>
        <w:t>Fuente</w:t>
      </w:r>
      <w:r>
        <w:rPr>
          <w:i w:val="0"/>
          <w:iCs/>
        </w:rPr>
        <w:t xml:space="preserve">: Blanco Garzón, E. (2022) </w:t>
      </w:r>
      <w:r>
        <w:t>Qué son las Medias Móviles y cómo utilizarlas en 3 estrategias de trading</w:t>
      </w:r>
      <w:r>
        <w:rPr>
          <w:i w:val="0"/>
          <w:iCs/>
        </w:rPr>
        <w:t xml:space="preserve">. </w:t>
      </w:r>
      <w:r w:rsidRPr="00115F96">
        <w:rPr>
          <w:i w:val="0"/>
          <w:iCs/>
          <w:lang w:val="en-US"/>
        </w:rPr>
        <w:t xml:space="preserve">Admirals. </w:t>
      </w:r>
      <w:r w:rsidR="00000000">
        <w:fldChar w:fldCharType="begin"/>
      </w:r>
      <w:r w:rsidR="00000000" w:rsidRPr="00561B3A">
        <w:rPr>
          <w:lang w:val="en-US"/>
        </w:rPr>
        <w:instrText>HYPERLINK "https://admiralmarkets.com/es/education/articles/forex-indicators/media-movil-simple"</w:instrText>
      </w:r>
      <w:r w:rsidR="00000000">
        <w:fldChar w:fldCharType="separate"/>
      </w:r>
      <w:r w:rsidRPr="001B58C3">
        <w:rPr>
          <w:rStyle w:val="Hipervnculo"/>
          <w:i w:val="0"/>
          <w:iCs/>
          <w:lang w:val="en-US"/>
        </w:rPr>
        <w:t>https://admiralmarkets.com/es/education/articles/forex-indicators/media-movil-simple</w:t>
      </w:r>
      <w:r w:rsidR="00000000">
        <w:rPr>
          <w:rStyle w:val="Hipervnculo"/>
          <w:i w:val="0"/>
          <w:iCs/>
          <w:lang w:val="en-US"/>
        </w:rPr>
        <w:fldChar w:fldCharType="end"/>
      </w:r>
    </w:p>
    <w:p w14:paraId="6CD00811" w14:textId="600D817D" w:rsidR="00CE39EC" w:rsidRDefault="002E6270">
      <w:pPr>
        <w:pStyle w:val="Prrafodelista"/>
        <w:keepNext/>
        <w:numPr>
          <w:ilvl w:val="0"/>
          <w:numId w:val="32"/>
        </w:numPr>
        <w:spacing w:after="0"/>
        <w:ind w:left="568" w:hanging="284"/>
      </w:pPr>
      <w:r w:rsidRPr="00FD0F1A">
        <w:rPr>
          <w:i/>
          <w:iCs/>
          <w:u w:val="single"/>
        </w:rPr>
        <w:t>Gráfico de velas japonesas</w:t>
      </w:r>
      <w:r>
        <w:t>:</w:t>
      </w:r>
    </w:p>
    <w:p w14:paraId="3F8CCD44" w14:textId="21C518BD" w:rsidR="00CE39EC" w:rsidRDefault="00CE39EC" w:rsidP="00CE39EC">
      <w:pPr>
        <w:pStyle w:val="Nivel3SM"/>
      </w:pPr>
      <w:r>
        <w:t>Finalmente, se pueden emplear gráficos de barras o gráficos de velas japonesas en lugar de gráficos lineales.</w:t>
      </w:r>
    </w:p>
    <w:p w14:paraId="2152C5EE" w14:textId="5A3F33B5" w:rsidR="00CE39EC" w:rsidRDefault="00CE39EC" w:rsidP="00CE39EC">
      <w:pPr>
        <w:pStyle w:val="Nivel3SM"/>
      </w:pPr>
      <w:r>
        <w:t>Los gráficos de velas japones</w:t>
      </w:r>
      <w:r w:rsidR="002519C0">
        <w:t>a</w:t>
      </w:r>
      <w:r>
        <w:t>s pueden ofrecer más información, como la cotización más alta alcanzada durante un per</w:t>
      </w:r>
      <w:r w:rsidR="00D46625">
        <w:t>i</w:t>
      </w:r>
      <w:r>
        <w:t xml:space="preserve">odo considerado, la mínima, la inicial y la de cierre. Y a partir del análisis de la forma de </w:t>
      </w:r>
      <w:proofErr w:type="gramStart"/>
      <w:r>
        <w:t>las mismas</w:t>
      </w:r>
      <w:proofErr w:type="gramEnd"/>
      <w:r>
        <w:t xml:space="preserve"> y de la evolución de estas se podrían inferir tendencias bajistas o alcistas.</w:t>
      </w:r>
    </w:p>
    <w:p w14:paraId="3B906F97" w14:textId="4B0CA7C3" w:rsidR="000A11BA" w:rsidRDefault="00767877" w:rsidP="002519C0">
      <w:pPr>
        <w:pStyle w:val="Nivel3SM"/>
        <w:keepNext/>
      </w:pPr>
      <w:r w:rsidRPr="002E6270">
        <w:lastRenderedPageBreak/>
        <w:t>En</w:t>
      </w:r>
      <w:r>
        <w:t xml:space="preserve"> la actualidad, </w:t>
      </w:r>
      <w:r w:rsidR="002E6270">
        <w:t xml:space="preserve">es </w:t>
      </w:r>
      <w:r>
        <w:t>el tipo de gráfico más utilizado por este tipo de inversores.</w:t>
      </w:r>
    </w:p>
    <w:p w14:paraId="0978B5A8" w14:textId="4910ECAF" w:rsidR="004227A9" w:rsidRPr="004227A9" w:rsidRDefault="004227A9" w:rsidP="004227A9">
      <w:pPr>
        <w:pStyle w:val="Ttuloimagen"/>
        <w:rPr>
          <w:smallCaps w:val="0"/>
        </w:rPr>
      </w:pPr>
      <w:r>
        <w:t>Imagen</w:t>
      </w:r>
      <w:r w:rsidR="001675F6">
        <w:t> </w:t>
      </w:r>
      <w:r>
        <w:fldChar w:fldCharType="begin"/>
      </w:r>
      <w:r>
        <w:instrText xml:space="preserve"> SEQ Ilustración \* ARABIC </w:instrText>
      </w:r>
      <w:r>
        <w:fldChar w:fldCharType="separate"/>
      </w:r>
      <w:r w:rsidR="00561B3A">
        <w:t>12</w:t>
      </w:r>
      <w:r>
        <w:fldChar w:fldCharType="end"/>
      </w:r>
      <w:r>
        <w:rPr>
          <w:smallCaps w:val="0"/>
        </w:rPr>
        <w:t xml:space="preserve">.– </w:t>
      </w:r>
      <w:r>
        <w:rPr>
          <w:i/>
          <w:iCs/>
          <w:smallCaps w:val="0"/>
        </w:rPr>
        <w:t>Gráfico de velas japonesas</w:t>
      </w:r>
    </w:p>
    <w:p w14:paraId="261AA229" w14:textId="6B66BEB2" w:rsidR="004227A9" w:rsidRDefault="004227A9" w:rsidP="004227A9">
      <w:pPr>
        <w:pStyle w:val="Imagen"/>
      </w:pPr>
      <w:r>
        <w:rPr>
          <w:rFonts w:ascii="Arial" w:hAnsi="Arial" w:cs="Arial"/>
          <w:color w:val="333333"/>
          <w:sz w:val="18"/>
          <w:szCs w:val="18"/>
          <w:bdr w:val="none" w:sz="0" w:space="0" w:color="auto" w:frame="1"/>
        </w:rPr>
        <w:drawing>
          <wp:inline distT="0" distB="0" distL="0" distR="0" wp14:anchorId="5FAE9CE9" wp14:editId="5838F983">
            <wp:extent cx="1597335" cy="1260000"/>
            <wp:effectExtent l="0" t="0" r="3175" b="0"/>
            <wp:docPr id="23" name="Imagen 23" descr="Gráfico, Gráfico de cajas y bigot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Gráfico, Gráfico de cajas y bigotes&#10;&#10;Descripción generada automáticament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97335" cy="1260000"/>
                    </a:xfrm>
                    <a:prstGeom prst="rect">
                      <a:avLst/>
                    </a:prstGeom>
                    <a:noFill/>
                    <a:ln>
                      <a:noFill/>
                    </a:ln>
                  </pic:spPr>
                </pic:pic>
              </a:graphicData>
            </a:graphic>
          </wp:inline>
        </w:drawing>
      </w:r>
    </w:p>
    <w:p w14:paraId="33D0C6C8" w14:textId="1E528343" w:rsidR="004227A9" w:rsidRDefault="004227A9" w:rsidP="004227A9">
      <w:pPr>
        <w:pStyle w:val="PiedeImagen"/>
        <w:rPr>
          <w:i w:val="0"/>
          <w:iCs/>
        </w:rPr>
      </w:pPr>
      <w:r>
        <w:t>Fuente</w:t>
      </w:r>
      <w:r>
        <w:rPr>
          <w:i w:val="0"/>
          <w:iCs/>
        </w:rPr>
        <w:t xml:space="preserve">: </w:t>
      </w:r>
      <w:r w:rsidRPr="004227A9">
        <w:rPr>
          <w:i w:val="0"/>
          <w:iCs/>
        </w:rPr>
        <w:t>Análisis</w:t>
      </w:r>
      <w:r>
        <w:t xml:space="preserve"> </w:t>
      </w:r>
      <w:r>
        <w:rPr>
          <w:i w:val="0"/>
          <w:iCs/>
        </w:rPr>
        <w:t xml:space="preserve">técnico street (2020) </w:t>
      </w:r>
      <w:r>
        <w:t>Gráfico de Velas Japonesas</w:t>
      </w:r>
      <w:r>
        <w:rPr>
          <w:i w:val="0"/>
          <w:iCs/>
        </w:rPr>
        <w:t xml:space="preserve">. </w:t>
      </w:r>
      <w:r w:rsidRPr="004227A9">
        <w:rPr>
          <w:i w:val="0"/>
          <w:iCs/>
        </w:rPr>
        <w:t>Análisis</w:t>
      </w:r>
      <w:r>
        <w:t xml:space="preserve"> </w:t>
      </w:r>
      <w:r>
        <w:rPr>
          <w:i w:val="0"/>
          <w:iCs/>
        </w:rPr>
        <w:t xml:space="preserve">técnico street. </w:t>
      </w:r>
      <w:hyperlink r:id="rId36" w:history="1">
        <w:r w:rsidRPr="00E70436">
          <w:rPr>
            <w:rStyle w:val="Hipervnculo"/>
            <w:i w:val="0"/>
            <w:iCs/>
          </w:rPr>
          <w:t>https://analisistecnicostreet.com/analisis-tecnico-academy/tipos-de-graficos/grafico-de-velas-japonesas/</w:t>
        </w:r>
      </w:hyperlink>
    </w:p>
    <w:p w14:paraId="19CDB8C2" w14:textId="77777777" w:rsidR="00FD0F1A" w:rsidRDefault="00B87B4D">
      <w:pPr>
        <w:pStyle w:val="Prrafodelista"/>
        <w:numPr>
          <w:ilvl w:val="0"/>
          <w:numId w:val="32"/>
        </w:numPr>
        <w:spacing w:after="100"/>
        <w:ind w:left="568" w:hanging="284"/>
      </w:pPr>
      <w:r w:rsidRPr="00FD0F1A">
        <w:rPr>
          <w:i/>
          <w:iCs/>
          <w:u w:val="single"/>
        </w:rPr>
        <w:t xml:space="preserve">Relative </w:t>
      </w:r>
      <w:proofErr w:type="spellStart"/>
      <w:r w:rsidRPr="00FD0F1A">
        <w:rPr>
          <w:i/>
          <w:iCs/>
          <w:u w:val="single"/>
        </w:rPr>
        <w:t>strength</w:t>
      </w:r>
      <w:proofErr w:type="spellEnd"/>
      <w:r w:rsidRPr="00FD0F1A">
        <w:rPr>
          <w:i/>
          <w:iCs/>
          <w:u w:val="single"/>
        </w:rPr>
        <w:t xml:space="preserve"> </w:t>
      </w:r>
      <w:proofErr w:type="spellStart"/>
      <w:r w:rsidRPr="00FD0F1A">
        <w:rPr>
          <w:i/>
          <w:iCs/>
          <w:u w:val="single"/>
        </w:rPr>
        <w:t>index</w:t>
      </w:r>
      <w:proofErr w:type="spellEnd"/>
      <w:r w:rsidRPr="00B87B4D">
        <w:t>: Mide la magnitud por la cual u</w:t>
      </w:r>
      <w:r>
        <w:t>n título se ha comportado mejor o peor que el mercado (o que otras acciones de la industria) típicamente en un día. Se calcula dividiendo el precio de ese activo con un índice de precios de la industria.</w:t>
      </w:r>
    </w:p>
    <w:p w14:paraId="35EB1113" w14:textId="77777777" w:rsidR="00FD0F1A" w:rsidRDefault="00B87B4D">
      <w:pPr>
        <w:pStyle w:val="Prrafodelista"/>
        <w:numPr>
          <w:ilvl w:val="0"/>
          <w:numId w:val="32"/>
        </w:numPr>
        <w:spacing w:after="100"/>
        <w:ind w:left="568" w:hanging="284"/>
      </w:pPr>
      <w:r w:rsidRPr="00FD0F1A">
        <w:rPr>
          <w:i/>
          <w:iCs/>
          <w:u w:val="single"/>
        </w:rPr>
        <w:t>Ratio put-call</w:t>
      </w:r>
      <w:r w:rsidRPr="00B87B4D">
        <w:t>:</w:t>
      </w:r>
      <w:r>
        <w:t xml:space="preserve"> Relación entre opciones put y call vendidas. Más opciones put vendidas. Agentes esperan corrección del precio.</w:t>
      </w:r>
    </w:p>
    <w:p w14:paraId="127FAF96" w14:textId="254DD4D7" w:rsidR="00B87B4D" w:rsidRPr="00B87B4D" w:rsidRDefault="00B87B4D">
      <w:pPr>
        <w:pStyle w:val="Prrafodelista"/>
        <w:numPr>
          <w:ilvl w:val="0"/>
          <w:numId w:val="32"/>
        </w:numPr>
        <w:spacing w:after="100"/>
        <w:ind w:left="568" w:hanging="284"/>
      </w:pPr>
      <w:r w:rsidRPr="00FD0F1A">
        <w:rPr>
          <w:i/>
          <w:iCs/>
          <w:u w:val="single"/>
        </w:rPr>
        <w:t>Indicadores de sentimiento</w:t>
      </w:r>
      <w:r w:rsidRPr="00B87B4D">
        <w:t>:</w:t>
      </w:r>
      <w:r>
        <w:t xml:space="preserve"> Índices de confianza. Retorno medio de bonos seguros entre retorno medio de bonos intermedios.</w:t>
      </w:r>
    </w:p>
    <w:p w14:paraId="4483AAB2" w14:textId="1578E852" w:rsidR="00D0265C" w:rsidRDefault="00D0265C" w:rsidP="00940E40">
      <w:pPr>
        <w:pStyle w:val="Nivel1SM"/>
        <w:keepNext/>
        <w:spacing w:after="0"/>
      </w:pPr>
      <w:r>
        <w:t xml:space="preserve">Tras el estudio de los mercados, los analistas técnicos suelen adoptar </w:t>
      </w:r>
      <w:r w:rsidR="007778FD">
        <w:rPr>
          <w:b/>
          <w:bCs/>
        </w:rPr>
        <w:t>2 </w:t>
      </w:r>
      <w:r w:rsidRPr="00D0265C">
        <w:rPr>
          <w:b/>
          <w:bCs/>
        </w:rPr>
        <w:t>posturas</w:t>
      </w:r>
      <w:r>
        <w:t>:</w:t>
      </w:r>
    </w:p>
    <w:p w14:paraId="4E7ED6CC" w14:textId="324DB7C7" w:rsidR="00D0265C" w:rsidRDefault="00D0265C" w:rsidP="00940E40">
      <w:pPr>
        <w:pStyle w:val="Nmero"/>
        <w:numPr>
          <w:ilvl w:val="0"/>
          <w:numId w:val="12"/>
        </w:numPr>
        <w:spacing w:after="100"/>
        <w:ind w:left="568" w:hanging="284"/>
        <w:contextualSpacing/>
      </w:pPr>
      <w:r>
        <w:rPr>
          <w:i/>
          <w:iCs/>
          <w:u w:val="single"/>
        </w:rPr>
        <w:t>La postura de opinión contraria</w:t>
      </w:r>
      <w:r>
        <w:t xml:space="preserve">: </w:t>
      </w:r>
      <w:r w:rsidR="002519C0">
        <w:t>C</w:t>
      </w:r>
      <w:r>
        <w:t xml:space="preserve">onsidera que en los mercados interviene un gran número de inversores sin conocimientos técnicos que se mueven por impulsos emotivos y que en la mayoría de los casos actúan irracionalmente. Por ello, el inversor sensato debe comportarse de forma </w:t>
      </w:r>
      <w:r>
        <w:rPr>
          <w:i/>
          <w:iCs/>
        </w:rPr>
        <w:t>contraria</w:t>
      </w:r>
      <w:r>
        <w:t xml:space="preserve"> a la mayoría.</w:t>
      </w:r>
    </w:p>
    <w:p w14:paraId="402A6082" w14:textId="329CDA08" w:rsidR="00D0265C" w:rsidRPr="00D0265C" w:rsidRDefault="00D0265C" w:rsidP="00940E40">
      <w:pPr>
        <w:pStyle w:val="Nmero"/>
        <w:numPr>
          <w:ilvl w:val="0"/>
          <w:numId w:val="12"/>
        </w:numPr>
        <w:spacing w:after="100"/>
        <w:ind w:left="568" w:hanging="284"/>
        <w:contextualSpacing/>
      </w:pPr>
      <w:r>
        <w:rPr>
          <w:i/>
          <w:iCs/>
          <w:u w:val="single"/>
        </w:rPr>
        <w:t>La postura de seguir al dinero inteligente</w:t>
      </w:r>
      <w:r>
        <w:t xml:space="preserve">: </w:t>
      </w:r>
      <w:r w:rsidR="002519C0">
        <w:t>C</w:t>
      </w:r>
      <w:r>
        <w:t xml:space="preserve">onsidera que existe un conjunto de inversores más inteligentes que el promedio de mercado (o con más información) y que tienden a obtener rentabilidades superiores, por lo que deben </w:t>
      </w:r>
      <w:r>
        <w:rPr>
          <w:i/>
          <w:iCs/>
        </w:rPr>
        <w:t>seguirse</w:t>
      </w:r>
      <w:r>
        <w:t xml:space="preserve"> sus estrategias de inversión.</w:t>
      </w:r>
    </w:p>
    <w:p w14:paraId="51A72FF0" w14:textId="44552F36" w:rsidR="00B87B4D" w:rsidRDefault="00B87B4D" w:rsidP="00B87B4D">
      <w:pPr>
        <w:pStyle w:val="Nivel1SM"/>
        <w:keepNext/>
        <w:spacing w:after="0"/>
      </w:pPr>
      <w:r>
        <w:t>El análisis técnico</w:t>
      </w:r>
      <w:r>
        <w:rPr>
          <w:b/>
          <w:bCs/>
        </w:rPr>
        <w:t xml:space="preserve"> </w:t>
      </w:r>
      <w:r w:rsidRPr="00B87B4D">
        <w:t>ha suscitado reacciones</w:t>
      </w:r>
      <w:r>
        <w:rPr>
          <w:b/>
          <w:bCs/>
        </w:rPr>
        <w:t xml:space="preserve"> mixtas</w:t>
      </w:r>
      <w:r w:rsidRPr="00B87B4D">
        <w:t>:</w:t>
      </w:r>
    </w:p>
    <w:p w14:paraId="079B9F9B" w14:textId="5F3D52A3" w:rsidR="00D0265C" w:rsidRPr="00D0265C" w:rsidRDefault="00B87B4D" w:rsidP="00B87B4D">
      <w:pPr>
        <w:pStyle w:val="Nivel2SM"/>
      </w:pPr>
      <w:r>
        <w:t>Por un lado, e</w:t>
      </w:r>
      <w:r w:rsidR="00D0265C">
        <w:t xml:space="preserve">l análisis técnico es </w:t>
      </w:r>
      <w:r w:rsidR="00D0265C">
        <w:rPr>
          <w:b/>
          <w:bCs/>
        </w:rPr>
        <w:t>relativamente sencillo</w:t>
      </w:r>
      <w:r w:rsidR="00D0265C">
        <w:t>, y sigue siendo usado hoy en día por muchos inversores</w:t>
      </w:r>
      <w:r>
        <w:t xml:space="preserve"> (de hecho este enfoque ha de ser tenido en cuenta por los inversores ya que pueden primar los chartistas a los fundamentalistas en la dirección del precio de las acciones)</w:t>
      </w:r>
      <w:r w:rsidR="00D0265C">
        <w:t>.</w:t>
      </w:r>
    </w:p>
    <w:p w14:paraId="76412A00" w14:textId="74A1AE43" w:rsidR="00B87B4D" w:rsidRPr="00B87B4D" w:rsidRDefault="00D0265C" w:rsidP="00B87B4D">
      <w:pPr>
        <w:pStyle w:val="Nivel2SM"/>
        <w:keepNext/>
        <w:spacing w:after="0"/>
        <w:rPr>
          <w:spacing w:val="-2"/>
        </w:rPr>
      </w:pPr>
      <w:r w:rsidRPr="00B87B4D">
        <w:rPr>
          <w:spacing w:val="-2"/>
        </w:rPr>
        <w:t xml:space="preserve">Sin embargo, </w:t>
      </w:r>
      <w:r w:rsidR="00B87B4D" w:rsidRPr="00B87B4D">
        <w:rPr>
          <w:spacing w:val="-2"/>
        </w:rPr>
        <w:t xml:space="preserve">por otro lado, </w:t>
      </w:r>
      <w:r w:rsidRPr="00B87B4D">
        <w:rPr>
          <w:spacing w:val="-2"/>
        </w:rPr>
        <w:t>e</w:t>
      </w:r>
      <w:r w:rsidR="0027118D" w:rsidRPr="00B87B4D">
        <w:rPr>
          <w:spacing w:val="-2"/>
        </w:rPr>
        <w:t xml:space="preserve">ste enfoque es </w:t>
      </w:r>
      <w:r w:rsidR="0027118D" w:rsidRPr="00B87B4D">
        <w:rPr>
          <w:b/>
          <w:bCs/>
          <w:spacing w:val="-2"/>
        </w:rPr>
        <w:t>criticado</w:t>
      </w:r>
      <w:r w:rsidR="0027118D" w:rsidRPr="00B87B4D">
        <w:rPr>
          <w:spacing w:val="-2"/>
        </w:rPr>
        <w:t xml:space="preserve"> por los defensores de la teoría del mercado eficiente y por los </w:t>
      </w:r>
      <w:r w:rsidR="00B87B4D">
        <w:rPr>
          <w:spacing w:val="-2"/>
        </w:rPr>
        <w:t>fundamentalistas</w:t>
      </w:r>
      <w:r w:rsidR="00B87B4D" w:rsidRPr="00B87B4D">
        <w:rPr>
          <w:spacing w:val="-2"/>
        </w:rPr>
        <w:t xml:space="preserve"> por diversos motivos:</w:t>
      </w:r>
    </w:p>
    <w:p w14:paraId="1553DA2E" w14:textId="1C6A5407" w:rsidR="00B87B4D" w:rsidRDefault="00B87B4D" w:rsidP="00B87B4D">
      <w:pPr>
        <w:pStyle w:val="Nivel3SM"/>
      </w:pPr>
      <w:r>
        <w:t xml:space="preserve">En primer lugar, </w:t>
      </w:r>
      <w:r w:rsidR="0027118D">
        <w:t>por su falta de fundamentación teórica</w:t>
      </w:r>
      <w:r w:rsidRPr="00B87B4D">
        <w:t xml:space="preserve"> </w:t>
      </w:r>
      <w:r>
        <w:t xml:space="preserve">(pues implícitamente supone comportamientos </w:t>
      </w:r>
      <w:r w:rsidRPr="00A150AF">
        <w:t>no</w:t>
      </w:r>
      <w:r>
        <w:t xml:space="preserve"> racionales de los agentes).</w:t>
      </w:r>
    </w:p>
    <w:p w14:paraId="756A5C89" w14:textId="299F9FA2" w:rsidR="0027118D" w:rsidRPr="0027118D" w:rsidRDefault="00B87B4D" w:rsidP="00B87B4D">
      <w:pPr>
        <w:pStyle w:val="Nivel3SM"/>
      </w:pPr>
      <w:r>
        <w:t>En segundo lugar</w:t>
      </w:r>
      <w:r w:rsidR="004F5114">
        <w:t>,</w:t>
      </w:r>
      <w:r>
        <w:t xml:space="preserve"> por </w:t>
      </w:r>
      <w:r w:rsidR="0027118D">
        <w:t xml:space="preserve">su inconsistencia (pues </w:t>
      </w:r>
      <w:r>
        <w:t xml:space="preserve">lejos de batir consistentemente al mercado hay quien argumenta que </w:t>
      </w:r>
      <w:r w:rsidR="006E03B0">
        <w:t xml:space="preserve">los </w:t>
      </w:r>
      <w:proofErr w:type="spellStart"/>
      <w:r w:rsidR="006E03B0">
        <w:t>chartistas</w:t>
      </w:r>
      <w:proofErr w:type="spellEnd"/>
      <w:r>
        <w:t xml:space="preserve"> adolece</w:t>
      </w:r>
      <w:r w:rsidR="006E03B0">
        <w:t>n</w:t>
      </w:r>
      <w:r>
        <w:t xml:space="preserve"> de </w:t>
      </w:r>
      <w:proofErr w:type="spellStart"/>
      <w:r>
        <w:rPr>
          <w:i/>
          <w:iCs/>
        </w:rPr>
        <w:t>cherry</w:t>
      </w:r>
      <w:proofErr w:type="spellEnd"/>
      <w:r>
        <w:rPr>
          <w:i/>
          <w:iCs/>
        </w:rPr>
        <w:t xml:space="preserve"> </w:t>
      </w:r>
      <w:proofErr w:type="spellStart"/>
      <w:r>
        <w:rPr>
          <w:i/>
          <w:iCs/>
        </w:rPr>
        <w:t>picking</w:t>
      </w:r>
      <w:proofErr w:type="spellEnd"/>
      <w:r>
        <w:t xml:space="preserve"> (i.e. sus defensores tienden a recordar los éxitos e ignorar los fracasos)</w:t>
      </w:r>
      <w:r w:rsidR="0027118D">
        <w:t>).</w:t>
      </w:r>
    </w:p>
    <w:p w14:paraId="0B41347B" w14:textId="77777777" w:rsidR="00342648" w:rsidRDefault="00342648" w:rsidP="00B9022F">
      <w:pPr>
        <w:pStyle w:val="Introduccinyconclusin"/>
      </w:pPr>
      <w:bookmarkStart w:id="106" w:name="_Toc55381922"/>
      <w:bookmarkStart w:id="107" w:name="_Toc55382057"/>
      <w:bookmarkStart w:id="108" w:name="_Toc55382092"/>
      <w:bookmarkStart w:id="109" w:name="_Toc55381923"/>
      <w:bookmarkStart w:id="110" w:name="_Toc55382058"/>
      <w:bookmarkStart w:id="111" w:name="_Toc55382093"/>
      <w:bookmarkStart w:id="112" w:name="_Toc55382521"/>
      <w:bookmarkStart w:id="113" w:name="_Toc55381924"/>
      <w:bookmarkStart w:id="114" w:name="_Toc55382059"/>
      <w:bookmarkStart w:id="115" w:name="_Toc55382094"/>
      <w:bookmarkStart w:id="116" w:name="_Toc55382522"/>
      <w:bookmarkStart w:id="117" w:name="_Toc55381925"/>
      <w:bookmarkStart w:id="118" w:name="_Toc55382060"/>
      <w:bookmarkStart w:id="119" w:name="_Toc55382095"/>
      <w:bookmarkStart w:id="120" w:name="_Toc55382523"/>
      <w:bookmarkEnd w:id="106"/>
      <w:bookmarkEnd w:id="107"/>
      <w:bookmarkEnd w:id="108"/>
      <w:bookmarkEnd w:id="109"/>
      <w:bookmarkEnd w:id="110"/>
      <w:bookmarkEnd w:id="111"/>
      <w:bookmarkEnd w:id="112"/>
      <w:bookmarkEnd w:id="113"/>
      <w:bookmarkEnd w:id="114"/>
      <w:bookmarkEnd w:id="115"/>
      <w:bookmarkEnd w:id="116"/>
      <w:r>
        <w:t>CONCLUSIÓN</w:t>
      </w:r>
      <w:bookmarkEnd w:id="117"/>
      <w:bookmarkEnd w:id="118"/>
      <w:bookmarkEnd w:id="119"/>
      <w:bookmarkEnd w:id="120"/>
    </w:p>
    <w:p w14:paraId="5F871285" w14:textId="33476CBA" w:rsidR="002E0C48" w:rsidRDefault="0053589D" w:rsidP="001675F6">
      <w:pPr>
        <w:pStyle w:val="Nivel1"/>
        <w:keepNext/>
        <w:spacing w:before="0" w:after="0"/>
      </w:pPr>
      <w:r w:rsidRPr="0053589D">
        <w:rPr>
          <w:b/>
          <w:bCs/>
          <w:i/>
          <w:iCs/>
        </w:rPr>
        <w:t>Recapitulación (</w:t>
      </w:r>
      <w:r w:rsidR="00EB707E" w:rsidRPr="0053589D">
        <w:rPr>
          <w:b/>
          <w:bCs/>
          <w:i/>
          <w:iCs/>
        </w:rPr>
        <w:t>Ideas clave</w:t>
      </w:r>
      <w:r w:rsidRPr="0053589D">
        <w:rPr>
          <w:b/>
          <w:bCs/>
          <w:i/>
          <w:iCs/>
        </w:rPr>
        <w:t>)</w:t>
      </w:r>
      <w:r w:rsidR="002E0C48">
        <w:t>:</w:t>
      </w:r>
    </w:p>
    <w:p w14:paraId="38A33C49" w14:textId="74D634A2" w:rsidR="000348F4" w:rsidRDefault="000348F4" w:rsidP="000348F4">
      <w:pPr>
        <w:pStyle w:val="Nivel2"/>
      </w:pPr>
      <w:r>
        <w:t>A lo largo de esta exposición hemos analizado los instrumentos de renta variable, tomando como punto de partida la decisión de inversión en estos instrumentos.</w:t>
      </w:r>
    </w:p>
    <w:p w14:paraId="58AE1985" w14:textId="3B158415" w:rsidR="000348F4" w:rsidRDefault="000348F4" w:rsidP="000348F4">
      <w:pPr>
        <w:pStyle w:val="Nivel2"/>
      </w:pPr>
      <w:r>
        <w:t>Se trata de un mercado de gran importancia para inversores y emisores. Además, a nivel agregado es importante debido a la generación de efectos riqueza en el consumo, lo que hace que esté conectado con la política monetaria y tenga implicaciones en materia de política macroprudencial.</w:t>
      </w:r>
    </w:p>
    <w:p w14:paraId="12619E96" w14:textId="06605184" w:rsidR="000348F4" w:rsidRDefault="000348F4" w:rsidP="004D1161">
      <w:pPr>
        <w:pStyle w:val="Nivel2"/>
        <w:keepNext/>
        <w:spacing w:after="0"/>
      </w:pPr>
      <w:r>
        <w:t xml:space="preserve">Los </w:t>
      </w:r>
      <w:r w:rsidRPr="000348F4">
        <w:rPr>
          <w:b/>
          <w:bCs/>
        </w:rPr>
        <w:t>métodos basados en la</w:t>
      </w:r>
      <w:r>
        <w:t xml:space="preserve"> </w:t>
      </w:r>
      <w:r w:rsidRPr="00AA555D">
        <w:rPr>
          <w:b/>
          <w:bCs/>
        </w:rPr>
        <w:t>teoría de la elección de carteras</w:t>
      </w:r>
      <w:r>
        <w:t xml:space="preserve"> nos muestran que los activos no deben valorarse de forma individual, sino teniendo en cuenta cómo afectan a la rentabilidad y el riesgo de una cartera. De este modo, estiman la pri</w:t>
      </w:r>
      <w:r w:rsidR="004D1161">
        <w:t>m</w:t>
      </w:r>
      <w:r>
        <w:t xml:space="preserve">a de riesgo </w:t>
      </w:r>
      <w:r w:rsidR="004D1161">
        <w:t xml:space="preserve">que hay </w:t>
      </w:r>
      <w:r w:rsidR="004D1161">
        <w:lastRenderedPageBreak/>
        <w:t>que añadir al rendimiento sin riesgo para obtener la tasa de rendimiento exigida por un inversor para un activo con riesgo, teniendo en cuenta que lo que importa es el riesgo sistemático que añade el título.</w:t>
      </w:r>
    </w:p>
    <w:p w14:paraId="3823E1D6" w14:textId="2CFEE399" w:rsidR="004D1161" w:rsidRDefault="004D1161" w:rsidP="004D1161">
      <w:pPr>
        <w:pStyle w:val="Nivel3"/>
      </w:pPr>
      <w:r>
        <w:t xml:space="preserve">Ambos métodos llevan a que por reajustes de cartera o arbitraje, los activos van a estar valorados correctamente en relación a su riesgo y por lo tanto no se podría batir al mercado y bastaría con una gestión de carteras pasiva (p.ej. invirtiendo en un fondo índice como </w:t>
      </w:r>
      <w:proofErr w:type="spellStart"/>
      <w:r>
        <w:t>Vanguard</w:t>
      </w:r>
      <w:proofErr w:type="spellEnd"/>
      <w:r>
        <w:t xml:space="preserve"> o </w:t>
      </w:r>
      <w:proofErr w:type="spellStart"/>
      <w:r>
        <w:t>Amundi</w:t>
      </w:r>
      <w:proofErr w:type="spellEnd"/>
      <w:r>
        <w:t>).</w:t>
      </w:r>
    </w:p>
    <w:p w14:paraId="2204D42F" w14:textId="77777777" w:rsidR="004D1161" w:rsidRDefault="004D1161" w:rsidP="00AA555D">
      <w:pPr>
        <w:pStyle w:val="Nivel2"/>
      </w:pPr>
      <w:r>
        <w:t>Por su parte, l</w:t>
      </w:r>
      <w:r w:rsidR="00AA555D">
        <w:t xml:space="preserve">os métodos basados en </w:t>
      </w:r>
      <w:r w:rsidR="00AA555D" w:rsidRPr="00AA555D">
        <w:rPr>
          <w:b/>
          <w:bCs/>
        </w:rPr>
        <w:t>análisis fundamental</w:t>
      </w:r>
      <w:r w:rsidR="00AA555D">
        <w:t xml:space="preserve"> </w:t>
      </w:r>
      <w:r>
        <w:t>buscan obtener información adicional mediante el estudio en profundidad de la situación económica de la empresa y de la macroeconomía en busca de comprobar la existencia de algún factor que el mercado no haya descontado en la valoración de activos. Sin embargo, esta será una tarea ardua, pues la información está disponible para todos los inversores.</w:t>
      </w:r>
    </w:p>
    <w:p w14:paraId="0E8B9217" w14:textId="1C70A097" w:rsidR="00AA555D" w:rsidRDefault="001439E8" w:rsidP="00AA555D">
      <w:pPr>
        <w:pStyle w:val="Nivel2"/>
      </w:pPr>
      <w:r>
        <w:t>Finalmente, l</w:t>
      </w:r>
      <w:r w:rsidR="00AA555D">
        <w:t xml:space="preserve">os métodos basados en </w:t>
      </w:r>
      <w:r w:rsidR="00AA555D" w:rsidRPr="001439E8">
        <w:rPr>
          <w:b/>
          <w:bCs/>
        </w:rPr>
        <w:t xml:space="preserve">análisis </w:t>
      </w:r>
      <w:r>
        <w:rPr>
          <w:b/>
          <w:bCs/>
        </w:rPr>
        <w:t>técnico</w:t>
      </w:r>
      <w:r w:rsidR="00AA555D">
        <w:t xml:space="preserve"> permiten la valoración de un título en base a su historia pasada</w:t>
      </w:r>
      <w:r>
        <w:t xml:space="preserve">, es decir, trata de buscar ganancias mediante un análisis de series temporales y tiene en cuenta los comportamientos no racionales en el mercado que muestra el </w:t>
      </w:r>
      <w:r>
        <w:rPr>
          <w:i/>
          <w:iCs/>
        </w:rPr>
        <w:t>behavioral finance</w:t>
      </w:r>
      <w:r w:rsidR="00AA555D">
        <w:t xml:space="preserve">. </w:t>
      </w:r>
      <w:r>
        <w:t>En cualquier caso,</w:t>
      </w:r>
      <w:r w:rsidR="00AA555D">
        <w:t xml:space="preserve"> se trata de una metodología fuertemente criticada por su escasa fundamentación económica, al requerir poca información para su estudio, permite a los operadores del mercado tomar decisiones de forma rápida y ágil.</w:t>
      </w:r>
    </w:p>
    <w:p w14:paraId="5BDE6F3A" w14:textId="580A4B17" w:rsidR="00EB707E" w:rsidRDefault="00BD7DC8" w:rsidP="005C51D5">
      <w:pPr>
        <w:pStyle w:val="Nivel2"/>
        <w:keepNext/>
        <w:spacing w:after="0"/>
      </w:pPr>
      <w:r>
        <w:t xml:space="preserve">Todos los enfoques adolecen ciertas críticas. En realidad resultan </w:t>
      </w:r>
      <w:r>
        <w:rPr>
          <w:b/>
          <w:bCs/>
        </w:rPr>
        <w:t>complementarios</w:t>
      </w:r>
      <w:r>
        <w:t xml:space="preserve"> a la hora realizar un análisis</w:t>
      </w:r>
      <w:r w:rsidR="001C7C0D">
        <w:t xml:space="preserve"> de los instrumentos de renta variable</w:t>
      </w:r>
      <w:r w:rsidR="00AA555D">
        <w:t>:</w:t>
      </w:r>
    </w:p>
    <w:p w14:paraId="7F5DE805" w14:textId="2B802949" w:rsidR="00EB707E" w:rsidRPr="00566944" w:rsidRDefault="00AA555D" w:rsidP="00AA555D">
      <w:pPr>
        <w:pStyle w:val="Nivel3"/>
        <w:rPr>
          <w:spacing w:val="-2"/>
        </w:rPr>
      </w:pPr>
      <w:r w:rsidRPr="00566944">
        <w:rPr>
          <w:spacing w:val="-2"/>
        </w:rPr>
        <w:t xml:space="preserve">El </w:t>
      </w:r>
      <w:r w:rsidRPr="00566944">
        <w:rPr>
          <w:b/>
          <w:bCs/>
          <w:spacing w:val="-2"/>
        </w:rPr>
        <w:t>análisis fundamental</w:t>
      </w:r>
      <w:r w:rsidRPr="00566944">
        <w:rPr>
          <w:spacing w:val="-2"/>
        </w:rPr>
        <w:t xml:space="preserve"> indicará la evolución de una compañía a medio y largo plazo;</w:t>
      </w:r>
    </w:p>
    <w:p w14:paraId="503D3F2B" w14:textId="66864E3A" w:rsidR="00AA555D" w:rsidRPr="00566944" w:rsidRDefault="00AA555D" w:rsidP="00AA555D">
      <w:pPr>
        <w:pStyle w:val="Nivel3"/>
        <w:rPr>
          <w:spacing w:val="-4"/>
        </w:rPr>
      </w:pPr>
      <w:r w:rsidRPr="00566944">
        <w:rPr>
          <w:spacing w:val="-4"/>
        </w:rPr>
        <w:t xml:space="preserve">El </w:t>
      </w:r>
      <w:r w:rsidRPr="00566944">
        <w:rPr>
          <w:b/>
          <w:bCs/>
          <w:spacing w:val="-4"/>
        </w:rPr>
        <w:t>análisis basado en la teoría de la elección de carteras</w:t>
      </w:r>
      <w:r w:rsidRPr="00566944">
        <w:rPr>
          <w:spacing w:val="-4"/>
        </w:rPr>
        <w:t xml:space="preserve"> determinará si desde la óptica del binomio rentabilidad-riesgo es bueno incorporar el activo a la cartera del inversor; y</w:t>
      </w:r>
    </w:p>
    <w:p w14:paraId="6EBC8F10" w14:textId="07D08B8D" w:rsidR="00AA555D" w:rsidRPr="00566944" w:rsidRDefault="00AA555D" w:rsidP="00AA555D">
      <w:pPr>
        <w:pStyle w:val="Nivel3"/>
        <w:rPr>
          <w:spacing w:val="-2"/>
        </w:rPr>
      </w:pPr>
      <w:r w:rsidRPr="00566944">
        <w:rPr>
          <w:spacing w:val="-2"/>
        </w:rPr>
        <w:t xml:space="preserve">El </w:t>
      </w:r>
      <w:r w:rsidRPr="00566944">
        <w:rPr>
          <w:b/>
          <w:bCs/>
          <w:spacing w:val="-2"/>
        </w:rPr>
        <w:t>análisis técnico</w:t>
      </w:r>
      <w:r w:rsidRPr="00566944">
        <w:rPr>
          <w:spacing w:val="-2"/>
        </w:rPr>
        <w:t xml:space="preserve"> nos ayuda a determinar el momento óptimo para entrar o salir de un valor.</w:t>
      </w:r>
    </w:p>
    <w:p w14:paraId="509B13DB" w14:textId="65F4B889" w:rsidR="002E0C48" w:rsidRDefault="00AA555D" w:rsidP="00C4210F">
      <w:pPr>
        <w:pStyle w:val="Nivel2"/>
      </w:pPr>
      <w:r>
        <w:t xml:space="preserve">Asimismo, debemos tener en cuenta que todos los métodos incorporan, de algún modo u otro, un elemento subjetivo que hace que las valoraciones de los agentes sean distintas aun utilizando la misma herramienta de análisis. Pero es precisamente esta diferencia en la valoración de cada uno de los individuos </w:t>
      </w:r>
      <w:r w:rsidR="00556F78">
        <w:t>lo que permite que existan mercados financiero</w:t>
      </w:r>
      <w:r w:rsidR="005C749C">
        <w:t>s</w:t>
      </w:r>
      <w:r w:rsidR="00556F78">
        <w:t xml:space="preserve"> líquido</w:t>
      </w:r>
      <w:r w:rsidR="005C749C">
        <w:t>s</w:t>
      </w:r>
      <w:r w:rsidR="00556F78">
        <w:t xml:space="preserve"> y profundos que, sin duda, favorecen el crecimiento económico a pesar de los episodios acaecidos en los últimos años.</w:t>
      </w:r>
    </w:p>
    <w:p w14:paraId="6855A521" w14:textId="77777777" w:rsidR="005E53B9" w:rsidRDefault="002E0C48" w:rsidP="001054AD">
      <w:pPr>
        <w:pStyle w:val="Nivel1"/>
        <w:keepNext/>
        <w:spacing w:after="0"/>
      </w:pPr>
      <w:r w:rsidRPr="0053589D">
        <w:rPr>
          <w:b/>
          <w:bCs/>
          <w:i/>
          <w:iCs/>
        </w:rPr>
        <w:t>Relevancia</w:t>
      </w:r>
      <w:r>
        <w:t>:</w:t>
      </w:r>
    </w:p>
    <w:p w14:paraId="38ACC465" w14:textId="77777777" w:rsidR="00502A72" w:rsidRDefault="00502A72" w:rsidP="00C4210F">
      <w:pPr>
        <w:pStyle w:val="Nivel2"/>
      </w:pPr>
    </w:p>
    <w:p w14:paraId="64D11A48" w14:textId="77777777" w:rsidR="00342648" w:rsidRDefault="002E0C48" w:rsidP="001054AD">
      <w:pPr>
        <w:pStyle w:val="Nivel1"/>
        <w:keepNext/>
        <w:spacing w:after="0"/>
      </w:pPr>
      <w:r w:rsidRPr="0053589D">
        <w:rPr>
          <w:b/>
          <w:bCs/>
          <w:i/>
          <w:iCs/>
        </w:rPr>
        <w:t>E</w:t>
      </w:r>
      <w:r w:rsidR="00EB707E" w:rsidRPr="0053589D">
        <w:rPr>
          <w:b/>
          <w:bCs/>
          <w:i/>
          <w:iCs/>
        </w:rPr>
        <w:t>xtensiones y relación con otras partes del temario</w:t>
      </w:r>
      <w:r>
        <w:t>:</w:t>
      </w:r>
    </w:p>
    <w:p w14:paraId="44EA3038" w14:textId="77777777" w:rsidR="00F2467B" w:rsidRDefault="00F2467B" w:rsidP="00C4210F">
      <w:pPr>
        <w:pStyle w:val="Nivel2"/>
      </w:pPr>
    </w:p>
    <w:p w14:paraId="6748BC0B" w14:textId="2E0A0710" w:rsidR="009E71EC" w:rsidRDefault="009E71EC" w:rsidP="001054AD">
      <w:pPr>
        <w:pStyle w:val="Nivel1"/>
        <w:keepNext/>
        <w:spacing w:after="0"/>
      </w:pPr>
      <w:r w:rsidRPr="0053589D">
        <w:rPr>
          <w:b/>
          <w:bCs/>
          <w:i/>
          <w:iCs/>
        </w:rPr>
        <w:t>Opinión</w:t>
      </w:r>
      <w:r>
        <w:t>:</w:t>
      </w:r>
    </w:p>
    <w:p w14:paraId="51BDAAE2" w14:textId="77777777" w:rsidR="00EA6095" w:rsidRDefault="00EA6095" w:rsidP="00EA6095">
      <w:pPr>
        <w:pStyle w:val="Nivel2"/>
      </w:pPr>
    </w:p>
    <w:p w14:paraId="6C62DAD2" w14:textId="13278A37" w:rsidR="00F2467B" w:rsidRDefault="0053589D" w:rsidP="001054AD">
      <w:pPr>
        <w:pStyle w:val="Nivel1"/>
        <w:keepNext/>
        <w:spacing w:after="0"/>
      </w:pPr>
      <w:r w:rsidRPr="0053589D">
        <w:rPr>
          <w:b/>
          <w:bCs/>
          <w:i/>
          <w:iCs/>
        </w:rPr>
        <w:t>Idea final (</w:t>
      </w:r>
      <w:r w:rsidR="00606E13" w:rsidRPr="0053589D">
        <w:rPr>
          <w:b/>
          <w:bCs/>
          <w:i/>
          <w:iCs/>
        </w:rPr>
        <w:t>Salida o cierre</w:t>
      </w:r>
      <w:r w:rsidRPr="0053589D">
        <w:rPr>
          <w:b/>
          <w:bCs/>
          <w:i/>
          <w:iCs/>
        </w:rPr>
        <w:t>)</w:t>
      </w:r>
      <w:r w:rsidR="00606E13">
        <w:t>:</w:t>
      </w:r>
    </w:p>
    <w:p w14:paraId="6EEE1540" w14:textId="39875259" w:rsidR="00EA6095" w:rsidRPr="005C749C" w:rsidRDefault="001439E8" w:rsidP="00EA6095">
      <w:pPr>
        <w:pStyle w:val="Nivel2"/>
        <w:rPr>
          <w:spacing w:val="-4"/>
        </w:rPr>
      </w:pPr>
      <w:r w:rsidRPr="005C749C">
        <w:rPr>
          <w:spacing w:val="-4"/>
        </w:rPr>
        <w:t>En definitiva, aunque la aproximación de la exposición ha sido la del punto de referencia del inversor (i.e. c</w:t>
      </w:r>
      <w:r w:rsidR="003653CC" w:rsidRPr="005C749C">
        <w:rPr>
          <w:spacing w:val="-4"/>
        </w:rPr>
        <w:t>ó</w:t>
      </w:r>
      <w:r w:rsidRPr="005C749C">
        <w:rPr>
          <w:spacing w:val="-4"/>
        </w:rPr>
        <w:t>mo deben valorarse los títulos de renta variable) y si se puede ganar dinero en bolsa, no debe perderse de vista que el propósito fundamental de los mercados financieros desde un punto de vista más agregado es canalizar el ahorro de una sociedad para financiar la inversión en activos fijos y de esta manera estimular el crecimiento económico.</w:t>
      </w:r>
    </w:p>
    <w:p w14:paraId="2771888D" w14:textId="77777777" w:rsidR="008233F9" w:rsidRDefault="008233F9">
      <w:r>
        <w:br w:type="page"/>
      </w:r>
    </w:p>
    <w:p w14:paraId="4990502E" w14:textId="77777777" w:rsidR="00342648" w:rsidRDefault="00342648" w:rsidP="00342648">
      <w:pPr>
        <w:pStyle w:val="Ttulo4"/>
      </w:pPr>
      <w:r>
        <w:lastRenderedPageBreak/>
        <w:t>Bibliografía</w:t>
      </w:r>
    </w:p>
    <w:p w14:paraId="4060CF13" w14:textId="76791C70" w:rsidR="00342648" w:rsidRDefault="00B14516" w:rsidP="00630D0B">
      <w:r>
        <w:t>Tema ICEX-CECO</w:t>
      </w:r>
    </w:p>
    <w:p w14:paraId="1F44DE1D" w14:textId="5D2E4897" w:rsidR="00B14516" w:rsidRPr="00E9693A" w:rsidRDefault="00B14516" w:rsidP="00630D0B">
      <w:r w:rsidRPr="00E9693A">
        <w:t>Tema A. Sahuquillo</w:t>
      </w:r>
    </w:p>
    <w:p w14:paraId="0F04087A" w14:textId="52F26F04" w:rsidR="00D97D32" w:rsidRDefault="00D97D32" w:rsidP="00630D0B">
      <w:r w:rsidRPr="00D97D32">
        <w:t xml:space="preserve">Comín </w:t>
      </w:r>
      <w:proofErr w:type="spellStart"/>
      <w:r w:rsidRPr="00D97D32">
        <w:t>Comín</w:t>
      </w:r>
      <w:proofErr w:type="spellEnd"/>
      <w:r w:rsidRPr="00D97D32">
        <w:t xml:space="preserve">, F. (2014). </w:t>
      </w:r>
      <w:r w:rsidRPr="00D97D32">
        <w:rPr>
          <w:i/>
          <w:iCs/>
        </w:rPr>
        <w:t>Historia económica mundial: De los orígenes a la actualidad</w:t>
      </w:r>
      <w:r w:rsidRPr="00D97D32">
        <w:t>. Alianza.</w:t>
      </w:r>
    </w:p>
    <w:p w14:paraId="7A409017" w14:textId="051F8B04" w:rsidR="00412724" w:rsidRDefault="00412724" w:rsidP="00630D0B">
      <w:r>
        <w:t>Tema Juan Luis Cordero Tarifa.</w:t>
      </w:r>
    </w:p>
    <w:p w14:paraId="53408347" w14:textId="3A528FB7" w:rsidR="00412724" w:rsidRDefault="00000000" w:rsidP="00412724">
      <w:hyperlink r:id="rId37" w:history="1">
        <w:r w:rsidR="00412724" w:rsidRPr="00412724">
          <w:rPr>
            <w:rStyle w:val="Hipervnculo"/>
          </w:rPr>
          <w:t>Mascareñas, J. Monografías de Juan Mascareñas sobre Finanzas Corporativas</w:t>
        </w:r>
      </w:hyperlink>
    </w:p>
    <w:p w14:paraId="6F25BECF" w14:textId="5B5CF6CC" w:rsidR="00412724" w:rsidRDefault="00B14516" w:rsidP="00630D0B">
      <w:pPr>
        <w:rPr>
          <w:rStyle w:val="Hipervnculo"/>
        </w:rPr>
      </w:pPr>
      <w:bookmarkStart w:id="121" w:name="_Hlk69203866"/>
      <w:r>
        <w:t xml:space="preserve">Apuntes Economía financiera </w:t>
      </w:r>
      <w:hyperlink r:id="rId38" w:history="1">
        <w:r w:rsidRPr="00B14516">
          <w:rPr>
            <w:rStyle w:val="Hipervnculo"/>
          </w:rPr>
          <w:t>UC3M</w:t>
        </w:r>
      </w:hyperlink>
      <w:r>
        <w:t xml:space="preserve"> y </w:t>
      </w:r>
      <w:hyperlink r:id="rId39" w:history="1">
        <w:r w:rsidRPr="00B14516">
          <w:rPr>
            <w:rStyle w:val="Hipervnculo"/>
          </w:rPr>
          <w:t>Academia Montero Espinosa</w:t>
        </w:r>
      </w:hyperlink>
    </w:p>
    <w:p w14:paraId="3CCAB77B" w14:textId="77777777" w:rsidR="0053589D" w:rsidRDefault="0053589D" w:rsidP="0053589D">
      <w:pPr>
        <w:pStyle w:val="Ttulo4"/>
      </w:pPr>
      <w:bookmarkStart w:id="122" w:name="_Hlk87989934"/>
      <w:r>
        <w:t>Preguntas de otros exámenes</w:t>
      </w:r>
    </w:p>
    <w:p w14:paraId="47EDBD61" w14:textId="77777777" w:rsidR="0053589D" w:rsidRDefault="0053589D" w:rsidP="0053589D">
      <w:pPr>
        <w:pStyle w:val="Nivel2SM"/>
        <w:ind w:hanging="142"/>
        <w:contextualSpacing w:val="0"/>
      </w:pPr>
    </w:p>
    <w:p w14:paraId="068707F6" w14:textId="77777777" w:rsidR="0053589D" w:rsidRDefault="0053589D" w:rsidP="0053589D">
      <w:pPr>
        <w:pStyle w:val="Ttulo4"/>
      </w:pPr>
      <w:r>
        <w:t>Enlace a preguntas tipo test</w:t>
      </w:r>
    </w:p>
    <w:p w14:paraId="4D775DDC" w14:textId="42D70A50" w:rsidR="0053589D" w:rsidRDefault="00000000" w:rsidP="00630D0B">
      <w:hyperlink r:id="rId40" w:history="1">
        <w:r w:rsidR="0053589D" w:rsidRPr="00741985">
          <w:rPr>
            <w:rStyle w:val="Hipervnculo"/>
          </w:rPr>
          <w:t>https://www.quia.com/quiz/6562954.html</w:t>
        </w:r>
      </w:hyperlink>
    </w:p>
    <w:bookmarkEnd w:id="121"/>
    <w:p w14:paraId="5CF4E7FD" w14:textId="77777777" w:rsidR="00342648" w:rsidRDefault="00342648" w:rsidP="00342648">
      <w:pPr>
        <w:pStyle w:val="Ttulo4"/>
      </w:pPr>
      <w:r w:rsidRPr="00342648">
        <w:t>Anexos</w:t>
      </w:r>
    </w:p>
    <w:p w14:paraId="3A74B7D1" w14:textId="18801026" w:rsidR="00342648" w:rsidRDefault="00342648" w:rsidP="0002549F">
      <w:pPr>
        <w:pStyle w:val="Ttulo5"/>
        <w:rPr>
          <w:i w:val="0"/>
          <w:iCs w:val="0"/>
          <w:u w:val="none"/>
        </w:rPr>
      </w:pPr>
      <w:r w:rsidRPr="0002549F">
        <w:t>Anexo</w:t>
      </w:r>
      <w:r w:rsidR="003653CC">
        <w:t> </w:t>
      </w:r>
      <w:r w:rsidRPr="0002549F">
        <w:t>1</w:t>
      </w:r>
      <w:r w:rsidR="00D564BC">
        <w:rPr>
          <w:i w:val="0"/>
          <w:iCs w:val="0"/>
          <w:u w:val="none"/>
        </w:rPr>
        <w:t xml:space="preserve">: </w:t>
      </w:r>
      <w:r w:rsidR="00057F26">
        <w:rPr>
          <w:i w:val="0"/>
          <w:iCs w:val="0"/>
          <w:u w:val="none"/>
        </w:rPr>
        <w:t>Tipos de acciones según su comportamiento bursátil</w:t>
      </w:r>
    </w:p>
    <w:p w14:paraId="0A51727B" w14:textId="77777777" w:rsidR="0038426F" w:rsidRPr="00057F26" w:rsidRDefault="0038426F" w:rsidP="0038426F">
      <w:pPr>
        <w:pStyle w:val="Nivel1"/>
      </w:pPr>
      <w:r w:rsidRPr="00057F26">
        <w:rPr>
          <w:i/>
          <w:iCs/>
        </w:rPr>
        <w:t>Blue chips</w:t>
      </w:r>
      <w:r w:rsidRPr="00057F26">
        <w:rPr>
          <w:sz w:val="18"/>
          <w:szCs w:val="18"/>
        </w:rPr>
        <w:t>: Valores que poseen</w:t>
      </w:r>
      <w:r>
        <w:rPr>
          <w:sz w:val="18"/>
          <w:szCs w:val="18"/>
        </w:rPr>
        <w:t xml:space="preserve"> una alta capitalización bursátil, elevada liquidez y unos buenos fundamentos económicos. Son los valores más representativos del mercado.</w:t>
      </w:r>
    </w:p>
    <w:p w14:paraId="71A19AB1" w14:textId="77777777" w:rsidR="0038426F" w:rsidRDefault="0038426F" w:rsidP="0038426F">
      <w:pPr>
        <w:pStyle w:val="Nivel1"/>
      </w:pPr>
      <w:r>
        <w:rPr>
          <w:i/>
          <w:iCs/>
        </w:rPr>
        <w:t>Acciones de carácter cíclico</w:t>
      </w:r>
      <w:r w:rsidRPr="00057F26">
        <w:rPr>
          <w:sz w:val="18"/>
          <w:szCs w:val="18"/>
        </w:rPr>
        <w:t>:</w:t>
      </w:r>
      <w:r>
        <w:rPr>
          <w:sz w:val="18"/>
          <w:szCs w:val="18"/>
        </w:rPr>
        <w:t xml:space="preserve"> p.ej. constructoras o empresas químicas.</w:t>
      </w:r>
    </w:p>
    <w:p w14:paraId="5FB8797A" w14:textId="77777777" w:rsidR="0038426F" w:rsidRPr="004F5114" w:rsidRDefault="0038426F" w:rsidP="0038426F">
      <w:pPr>
        <w:pStyle w:val="Nivel1"/>
      </w:pPr>
      <w:r>
        <w:rPr>
          <w:i/>
          <w:iCs/>
        </w:rPr>
        <w:t>Acciones de carácter defensivo</w:t>
      </w:r>
      <w:r w:rsidRPr="00057F26">
        <w:rPr>
          <w:sz w:val="18"/>
          <w:szCs w:val="18"/>
        </w:rPr>
        <w:t>: Títulos emitidos por empresas con unos beneficios muy estables.</w:t>
      </w:r>
    </w:p>
    <w:p w14:paraId="43191CDB" w14:textId="77777777" w:rsidR="0038426F" w:rsidRPr="00057F26" w:rsidRDefault="0038426F" w:rsidP="0038426F">
      <w:pPr>
        <w:pStyle w:val="Nivel1"/>
      </w:pPr>
      <w:r>
        <w:rPr>
          <w:i/>
          <w:iCs/>
        </w:rPr>
        <w:t>Acciones de carácter especulativo</w:t>
      </w:r>
      <w:r w:rsidRPr="00057F26">
        <w:rPr>
          <w:sz w:val="18"/>
          <w:szCs w:val="18"/>
        </w:rPr>
        <w:t>:</w:t>
      </w:r>
      <w:r>
        <w:rPr>
          <w:sz w:val="18"/>
          <w:szCs w:val="18"/>
        </w:rPr>
        <w:t xml:space="preserve"> Títulos emitidos por empresas de escasa capitalización y volatilidad muy acentuadas.</w:t>
      </w:r>
    </w:p>
    <w:p w14:paraId="01F359B3" w14:textId="66966081" w:rsidR="00057F26" w:rsidRDefault="0038426F" w:rsidP="0038426F">
      <w:pPr>
        <w:pStyle w:val="Ttulo5"/>
        <w:rPr>
          <w:i w:val="0"/>
          <w:iCs w:val="0"/>
          <w:u w:val="none"/>
        </w:rPr>
      </w:pPr>
      <w:r>
        <w:t>Anexo</w:t>
      </w:r>
      <w:r w:rsidR="003653CC">
        <w:t> </w:t>
      </w:r>
      <w:r>
        <w:t>2</w:t>
      </w:r>
      <w:r w:rsidRPr="0038426F">
        <w:rPr>
          <w:i w:val="0"/>
          <w:iCs w:val="0"/>
          <w:u w:val="none"/>
        </w:rPr>
        <w:t xml:space="preserve">: </w:t>
      </w:r>
      <w:r>
        <w:rPr>
          <w:i w:val="0"/>
          <w:iCs w:val="0"/>
          <w:u w:val="none"/>
        </w:rPr>
        <w:t>Rentabilidad de las acciones</w:t>
      </w:r>
    </w:p>
    <w:p w14:paraId="7A7BCE21" w14:textId="042A993E" w:rsidR="0038426F" w:rsidRPr="00057F26" w:rsidRDefault="0038426F" w:rsidP="0038426F">
      <w:pPr>
        <w:pStyle w:val="Nivel1"/>
      </w:pPr>
      <w:r>
        <w:rPr>
          <w:i/>
          <w:iCs/>
        </w:rPr>
        <w:t>Por la venta</w:t>
      </w:r>
      <w:r w:rsidRPr="00057F26">
        <w:rPr>
          <w:sz w:val="18"/>
          <w:szCs w:val="18"/>
        </w:rPr>
        <w:t xml:space="preserve">: </w:t>
      </w:r>
      <w:r>
        <w:rPr>
          <w:sz w:val="18"/>
          <w:szCs w:val="18"/>
        </w:rPr>
        <w:t>La diferencia entre el precio de compra y el de venta. Plusvalía o minusvalía.</w:t>
      </w:r>
    </w:p>
    <w:p w14:paraId="7A9FC112" w14:textId="2F6F0E75" w:rsidR="0038426F" w:rsidRDefault="0038426F" w:rsidP="0038426F">
      <w:pPr>
        <w:pStyle w:val="Nivel1"/>
      </w:pPr>
      <w:r>
        <w:rPr>
          <w:i/>
          <w:iCs/>
        </w:rPr>
        <w:t>Por dividendos</w:t>
      </w:r>
      <w:r w:rsidRPr="00057F26">
        <w:rPr>
          <w:sz w:val="18"/>
          <w:szCs w:val="18"/>
        </w:rPr>
        <w:t>:</w:t>
      </w:r>
      <w:r>
        <w:rPr>
          <w:sz w:val="18"/>
          <w:szCs w:val="18"/>
        </w:rPr>
        <w:t xml:space="preserve"> El porcentaje de beneficios que se destina al pago de dividendos se denomina </w:t>
      </w:r>
      <w:r>
        <w:rPr>
          <w:i/>
          <w:iCs/>
          <w:sz w:val="18"/>
          <w:szCs w:val="18"/>
        </w:rPr>
        <w:t>“</w:t>
      </w:r>
      <w:proofErr w:type="spellStart"/>
      <w:r>
        <w:rPr>
          <w:i/>
          <w:iCs/>
          <w:sz w:val="18"/>
          <w:szCs w:val="18"/>
        </w:rPr>
        <w:t>payout</w:t>
      </w:r>
      <w:proofErr w:type="spellEnd"/>
      <w:r>
        <w:rPr>
          <w:i/>
          <w:iCs/>
          <w:sz w:val="18"/>
          <w:szCs w:val="18"/>
        </w:rPr>
        <w:t>”</w:t>
      </w:r>
      <w:r>
        <w:rPr>
          <w:sz w:val="18"/>
          <w:szCs w:val="18"/>
        </w:rPr>
        <w:t>. El pago de dividendos tiene un efecto directo sobre el precio de la acción, procediéndose al descuento en su cotización en la sesión inmediatamente superior.</w:t>
      </w:r>
    </w:p>
    <w:p w14:paraId="7539934B" w14:textId="47D15094" w:rsidR="0038426F" w:rsidRPr="004F5114" w:rsidRDefault="0038426F" w:rsidP="0038426F">
      <w:pPr>
        <w:pStyle w:val="Nivel1"/>
      </w:pPr>
      <w:r>
        <w:rPr>
          <w:i/>
          <w:iCs/>
        </w:rPr>
        <w:t>Por toma de posiciones cortas</w:t>
      </w:r>
      <w:r w:rsidRPr="00057F26">
        <w:rPr>
          <w:sz w:val="18"/>
          <w:szCs w:val="18"/>
        </w:rPr>
        <w:t xml:space="preserve">: </w:t>
      </w:r>
      <w:r>
        <w:rPr>
          <w:sz w:val="18"/>
          <w:szCs w:val="18"/>
        </w:rPr>
        <w:t>El inversor toma prestadas las acciones para después venderlas. En la fecha de finalización del préstamo, el inversor deberá comprar el título en el mercado para devolver el préstamo inicial. Su objetivo es que el precio de compra sea inferior al precio al que inicialmente vendió los valores que tomó prestados.</w:t>
      </w:r>
      <w:bookmarkEnd w:id="122"/>
    </w:p>
    <w:sectPr w:rsidR="0038426F" w:rsidRPr="004F5114" w:rsidSect="00205253">
      <w:headerReference w:type="even" r:id="rId41"/>
      <w:headerReference w:type="default" r:id="rId42"/>
      <w:footerReference w:type="even" r:id="rId43"/>
      <w:footerReference w:type="default" r:id="rId44"/>
      <w:headerReference w:type="first" r:id="rId45"/>
      <w:footerReference w:type="first" r:id="rId46"/>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668C02" w14:textId="77777777" w:rsidR="00C0671D" w:rsidRDefault="00C0671D" w:rsidP="00B77C0F">
      <w:r>
        <w:separator/>
      </w:r>
    </w:p>
  </w:endnote>
  <w:endnote w:type="continuationSeparator" w:id="0">
    <w:p w14:paraId="77236342" w14:textId="77777777" w:rsidR="00C0671D" w:rsidRDefault="00C0671D"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3444D" w:rsidRPr="00205253" w14:paraId="1BF0895C" w14:textId="77777777" w:rsidTr="00B40204">
      <w:trPr>
        <w:trHeight w:val="138"/>
        <w:jc w:val="center"/>
      </w:trPr>
      <w:tc>
        <w:tcPr>
          <w:tcW w:w="1134" w:type="dxa"/>
          <w:vAlign w:val="center"/>
        </w:tcPr>
        <w:p w14:paraId="65A806AF" w14:textId="77777777" w:rsidR="0093444D" w:rsidRPr="00205253" w:rsidRDefault="0093444D" w:rsidP="00B40204">
          <w:pPr>
            <w:pStyle w:val="Encabezado"/>
            <w:tabs>
              <w:tab w:val="clear" w:pos="4252"/>
              <w:tab w:val="clear" w:pos="8504"/>
              <w:tab w:val="right" w:pos="924"/>
              <w:tab w:val="center" w:pos="1310"/>
            </w:tabs>
            <w:spacing w:after="0"/>
            <w:contextualSpacing/>
            <w:rPr>
              <w:i/>
              <w:iCs/>
              <w:color w:val="5F2987"/>
              <w:sz w:val="18"/>
              <w:szCs w:val="18"/>
            </w:rPr>
          </w:pPr>
          <w:r w:rsidRPr="00205253">
            <w:rPr>
              <w:b/>
              <w:bCs/>
              <w:i/>
              <w:iCs/>
              <w:color w:val="5F2987"/>
              <w:spacing w:val="-6"/>
              <w:sz w:val="18"/>
              <w:szCs w:val="18"/>
            </w:rPr>
            <w:fldChar w:fldCharType="begin"/>
          </w:r>
          <w:r w:rsidRPr="00205253">
            <w:rPr>
              <w:b/>
              <w:bCs/>
              <w:i/>
              <w:iCs/>
              <w:color w:val="5F2987"/>
              <w:spacing w:val="-6"/>
              <w:sz w:val="18"/>
              <w:szCs w:val="18"/>
            </w:rPr>
            <w:instrText>PAGE  \* Arabic  \* MERGEFORMAT</w:instrText>
          </w:r>
          <w:r w:rsidRPr="00205253">
            <w:rPr>
              <w:b/>
              <w:bCs/>
              <w:i/>
              <w:iCs/>
              <w:color w:val="5F2987"/>
              <w:spacing w:val="-6"/>
              <w:sz w:val="18"/>
              <w:szCs w:val="18"/>
            </w:rPr>
            <w:fldChar w:fldCharType="separate"/>
          </w:r>
          <w:r w:rsidRPr="00205253">
            <w:rPr>
              <w:b/>
              <w:bCs/>
              <w:i/>
              <w:iCs/>
              <w:color w:val="5F2987"/>
              <w:spacing w:val="-6"/>
              <w:sz w:val="18"/>
              <w:szCs w:val="18"/>
            </w:rPr>
            <w:t>8</w:t>
          </w:r>
          <w:r w:rsidRPr="00205253">
            <w:rPr>
              <w:b/>
              <w:bCs/>
              <w:i/>
              <w:iCs/>
              <w:color w:val="5F2987"/>
              <w:spacing w:val="-6"/>
              <w:sz w:val="18"/>
              <w:szCs w:val="18"/>
            </w:rPr>
            <w:fldChar w:fldCharType="end"/>
          </w:r>
          <w:r w:rsidRPr="00205253">
            <w:rPr>
              <w:b/>
              <w:bCs/>
              <w:i/>
              <w:iCs/>
              <w:color w:val="5F2987"/>
              <w:spacing w:val="-6"/>
              <w:sz w:val="18"/>
              <w:szCs w:val="18"/>
            </w:rPr>
            <w:t>/</w:t>
          </w:r>
          <w:r w:rsidRPr="00205253">
            <w:rPr>
              <w:b/>
              <w:bCs/>
              <w:i/>
              <w:iCs/>
              <w:color w:val="5F2987"/>
              <w:spacing w:val="-6"/>
              <w:sz w:val="18"/>
              <w:szCs w:val="18"/>
            </w:rPr>
            <w:fldChar w:fldCharType="begin"/>
          </w:r>
          <w:r w:rsidRPr="00205253">
            <w:rPr>
              <w:b/>
              <w:bCs/>
              <w:i/>
              <w:iCs/>
              <w:color w:val="5F2987"/>
              <w:spacing w:val="-6"/>
              <w:sz w:val="18"/>
              <w:szCs w:val="18"/>
            </w:rPr>
            <w:instrText>NUMPAGES  \* Arabic  \* MERGEFORMAT</w:instrText>
          </w:r>
          <w:r w:rsidRPr="00205253">
            <w:rPr>
              <w:b/>
              <w:bCs/>
              <w:i/>
              <w:iCs/>
              <w:color w:val="5F2987"/>
              <w:spacing w:val="-6"/>
              <w:sz w:val="18"/>
              <w:szCs w:val="18"/>
            </w:rPr>
            <w:fldChar w:fldCharType="separate"/>
          </w:r>
          <w:r w:rsidRPr="00205253">
            <w:rPr>
              <w:b/>
              <w:bCs/>
              <w:i/>
              <w:iCs/>
              <w:color w:val="5F2987"/>
              <w:spacing w:val="-6"/>
              <w:sz w:val="18"/>
              <w:szCs w:val="18"/>
            </w:rPr>
            <w:t>11</w:t>
          </w:r>
          <w:r w:rsidRPr="00205253">
            <w:rPr>
              <w:b/>
              <w:bCs/>
              <w:i/>
              <w:iCs/>
              <w:color w:val="5F2987"/>
              <w:spacing w:val="-6"/>
              <w:sz w:val="18"/>
              <w:szCs w:val="18"/>
            </w:rPr>
            <w:fldChar w:fldCharType="end"/>
          </w:r>
        </w:p>
      </w:tc>
      <w:tc>
        <w:tcPr>
          <w:tcW w:w="7088" w:type="dxa"/>
          <w:vAlign w:val="center"/>
        </w:tcPr>
        <w:p w14:paraId="7A155737" w14:textId="77777777" w:rsidR="0093444D" w:rsidRPr="00205253" w:rsidRDefault="0093444D" w:rsidP="00B40204">
          <w:pPr>
            <w:pStyle w:val="Encabezado"/>
            <w:spacing w:after="0"/>
            <w:ind w:right="-110"/>
            <w:contextualSpacing/>
            <w:jc w:val="center"/>
            <w:rPr>
              <w:i/>
              <w:iCs/>
              <w:color w:val="5F2987"/>
              <w:sz w:val="18"/>
              <w:szCs w:val="18"/>
            </w:rPr>
          </w:pPr>
        </w:p>
      </w:tc>
      <w:tc>
        <w:tcPr>
          <w:tcW w:w="2551" w:type="dxa"/>
          <w:vAlign w:val="center"/>
        </w:tcPr>
        <w:p w14:paraId="1FBFCB8C" w14:textId="77777777" w:rsidR="0093444D" w:rsidRPr="00205253" w:rsidRDefault="0093444D" w:rsidP="00B40204">
          <w:pPr>
            <w:pStyle w:val="Encabezado"/>
            <w:spacing w:after="0"/>
            <w:contextualSpacing/>
            <w:jc w:val="right"/>
            <w:rPr>
              <w:b/>
              <w:bCs/>
              <w:i/>
              <w:iCs/>
              <w:color w:val="5F2987"/>
              <w:spacing w:val="-6"/>
              <w:sz w:val="18"/>
              <w:szCs w:val="18"/>
            </w:rPr>
          </w:pPr>
        </w:p>
      </w:tc>
    </w:tr>
  </w:tbl>
  <w:p w14:paraId="04885E40" w14:textId="77777777" w:rsidR="001753B9" w:rsidRPr="00205253" w:rsidRDefault="001753B9" w:rsidP="0093444D">
    <w:pPr>
      <w:pStyle w:val="Piedepgina"/>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3444D" w:rsidRPr="00C44422" w14:paraId="3DBAFA01" w14:textId="77777777" w:rsidTr="00B40204">
      <w:trPr>
        <w:trHeight w:val="138"/>
        <w:jc w:val="center"/>
      </w:trPr>
      <w:tc>
        <w:tcPr>
          <w:tcW w:w="1134" w:type="dxa"/>
          <w:vAlign w:val="center"/>
        </w:tcPr>
        <w:p w14:paraId="65C5B16F" w14:textId="77777777" w:rsidR="0093444D" w:rsidRPr="00205253" w:rsidRDefault="0093444D" w:rsidP="005E31D7">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6C34CDF5" w14:textId="77777777" w:rsidR="0093444D" w:rsidRPr="00205253" w:rsidRDefault="0093444D" w:rsidP="005E31D7">
          <w:pPr>
            <w:pStyle w:val="Encabezado"/>
            <w:spacing w:after="0"/>
            <w:ind w:right="-110"/>
            <w:contextualSpacing/>
            <w:jc w:val="center"/>
            <w:rPr>
              <w:i/>
              <w:iCs/>
              <w:color w:val="5F2987"/>
              <w:sz w:val="18"/>
              <w:szCs w:val="18"/>
            </w:rPr>
          </w:pPr>
        </w:p>
      </w:tc>
      <w:tc>
        <w:tcPr>
          <w:tcW w:w="2551" w:type="dxa"/>
          <w:vAlign w:val="center"/>
        </w:tcPr>
        <w:p w14:paraId="40CE19A7" w14:textId="77777777" w:rsidR="0093444D" w:rsidRPr="00205253" w:rsidRDefault="0093444D" w:rsidP="005E31D7">
          <w:pPr>
            <w:pStyle w:val="Encabezado"/>
            <w:spacing w:after="0"/>
            <w:contextualSpacing/>
            <w:jc w:val="right"/>
            <w:rPr>
              <w:b/>
              <w:bCs/>
              <w:i/>
              <w:iCs/>
              <w:color w:val="5F2987"/>
              <w:spacing w:val="-6"/>
              <w:sz w:val="18"/>
              <w:szCs w:val="18"/>
            </w:rPr>
          </w:pPr>
          <w:r w:rsidRPr="00205253">
            <w:rPr>
              <w:b/>
              <w:bCs/>
              <w:i/>
              <w:iCs/>
              <w:color w:val="5F2987"/>
              <w:spacing w:val="-6"/>
              <w:sz w:val="18"/>
              <w:szCs w:val="18"/>
            </w:rPr>
            <w:fldChar w:fldCharType="begin"/>
          </w:r>
          <w:r w:rsidRPr="00205253">
            <w:rPr>
              <w:b/>
              <w:bCs/>
              <w:i/>
              <w:iCs/>
              <w:color w:val="5F2987"/>
              <w:spacing w:val="-6"/>
              <w:sz w:val="18"/>
              <w:szCs w:val="18"/>
            </w:rPr>
            <w:instrText>PAGE  \* Arabic  \* MERGEFORMAT</w:instrText>
          </w:r>
          <w:r w:rsidRPr="00205253">
            <w:rPr>
              <w:b/>
              <w:bCs/>
              <w:i/>
              <w:iCs/>
              <w:color w:val="5F2987"/>
              <w:spacing w:val="-6"/>
              <w:sz w:val="18"/>
              <w:szCs w:val="18"/>
            </w:rPr>
            <w:fldChar w:fldCharType="separate"/>
          </w:r>
          <w:r w:rsidRPr="00205253">
            <w:rPr>
              <w:b/>
              <w:bCs/>
              <w:i/>
              <w:iCs/>
              <w:color w:val="5F2987"/>
              <w:spacing w:val="-6"/>
              <w:sz w:val="18"/>
              <w:szCs w:val="18"/>
            </w:rPr>
            <w:t>1</w:t>
          </w:r>
          <w:r w:rsidRPr="00205253">
            <w:rPr>
              <w:b/>
              <w:bCs/>
              <w:i/>
              <w:iCs/>
              <w:color w:val="5F2987"/>
              <w:spacing w:val="-6"/>
              <w:sz w:val="18"/>
              <w:szCs w:val="18"/>
            </w:rPr>
            <w:fldChar w:fldCharType="end"/>
          </w:r>
          <w:r w:rsidRPr="00205253">
            <w:rPr>
              <w:b/>
              <w:bCs/>
              <w:i/>
              <w:iCs/>
              <w:color w:val="5F2987"/>
              <w:spacing w:val="-6"/>
              <w:sz w:val="18"/>
              <w:szCs w:val="18"/>
            </w:rPr>
            <w:t>/</w:t>
          </w:r>
          <w:r w:rsidRPr="00205253">
            <w:rPr>
              <w:b/>
              <w:bCs/>
              <w:i/>
              <w:iCs/>
              <w:color w:val="5F2987"/>
              <w:spacing w:val="-6"/>
              <w:sz w:val="18"/>
              <w:szCs w:val="18"/>
            </w:rPr>
            <w:fldChar w:fldCharType="begin"/>
          </w:r>
          <w:r w:rsidRPr="00205253">
            <w:rPr>
              <w:b/>
              <w:bCs/>
              <w:i/>
              <w:iCs/>
              <w:color w:val="5F2987"/>
              <w:spacing w:val="-6"/>
              <w:sz w:val="18"/>
              <w:szCs w:val="18"/>
            </w:rPr>
            <w:instrText>NUMPAGES  \* Arabic  \* MERGEFORMAT</w:instrText>
          </w:r>
          <w:r w:rsidRPr="00205253">
            <w:rPr>
              <w:b/>
              <w:bCs/>
              <w:i/>
              <w:iCs/>
              <w:color w:val="5F2987"/>
              <w:spacing w:val="-6"/>
              <w:sz w:val="18"/>
              <w:szCs w:val="18"/>
            </w:rPr>
            <w:fldChar w:fldCharType="separate"/>
          </w:r>
          <w:r w:rsidRPr="00205253">
            <w:rPr>
              <w:b/>
              <w:bCs/>
              <w:i/>
              <w:iCs/>
              <w:color w:val="5F2987"/>
              <w:spacing w:val="-6"/>
              <w:sz w:val="18"/>
              <w:szCs w:val="18"/>
            </w:rPr>
            <w:t>2</w:t>
          </w:r>
          <w:r w:rsidRPr="00205253">
            <w:rPr>
              <w:b/>
              <w:bCs/>
              <w:i/>
              <w:iCs/>
              <w:color w:val="5F2987"/>
              <w:spacing w:val="-6"/>
              <w:sz w:val="18"/>
              <w:szCs w:val="18"/>
            </w:rPr>
            <w:fldChar w:fldCharType="end"/>
          </w:r>
        </w:p>
      </w:tc>
    </w:tr>
  </w:tbl>
  <w:p w14:paraId="3F176E8C" w14:textId="77777777" w:rsidR="001753B9" w:rsidRPr="0093444D" w:rsidRDefault="001753B9" w:rsidP="005E31D7">
    <w:pPr>
      <w:pStyle w:val="Piedepgina"/>
      <w:tabs>
        <w:tab w:val="clear" w:pos="4252"/>
        <w:tab w:val="clear" w:pos="8504"/>
        <w:tab w:val="left" w:pos="3708"/>
      </w:tabs>
      <w:ind w:right="-449"/>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3444D" w:rsidRPr="00205253" w14:paraId="631D4680" w14:textId="77777777" w:rsidTr="00B40204">
      <w:trPr>
        <w:trHeight w:val="138"/>
        <w:jc w:val="center"/>
      </w:trPr>
      <w:tc>
        <w:tcPr>
          <w:tcW w:w="1134" w:type="dxa"/>
          <w:vAlign w:val="center"/>
        </w:tcPr>
        <w:p w14:paraId="7B18B522" w14:textId="77777777" w:rsidR="0093444D" w:rsidRPr="00205253" w:rsidRDefault="0093444D" w:rsidP="00B40204">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DE9DCD9" w14:textId="77777777" w:rsidR="0093444D" w:rsidRPr="00205253" w:rsidRDefault="0093444D" w:rsidP="00B40204">
          <w:pPr>
            <w:pStyle w:val="Encabezado"/>
            <w:spacing w:after="0"/>
            <w:ind w:right="-110"/>
            <w:contextualSpacing/>
            <w:jc w:val="center"/>
            <w:rPr>
              <w:i/>
              <w:iCs/>
              <w:color w:val="5F2987"/>
              <w:sz w:val="18"/>
              <w:szCs w:val="18"/>
            </w:rPr>
          </w:pPr>
        </w:p>
      </w:tc>
      <w:tc>
        <w:tcPr>
          <w:tcW w:w="2551" w:type="dxa"/>
          <w:vAlign w:val="center"/>
        </w:tcPr>
        <w:p w14:paraId="0FCA68A5" w14:textId="77777777" w:rsidR="0093444D" w:rsidRPr="00205253" w:rsidRDefault="0093444D" w:rsidP="00B40204">
          <w:pPr>
            <w:pStyle w:val="Encabezado"/>
            <w:spacing w:after="0"/>
            <w:contextualSpacing/>
            <w:jc w:val="right"/>
            <w:rPr>
              <w:b/>
              <w:bCs/>
              <w:i/>
              <w:iCs/>
              <w:color w:val="5F2987"/>
              <w:spacing w:val="-6"/>
              <w:sz w:val="18"/>
              <w:szCs w:val="18"/>
            </w:rPr>
          </w:pPr>
          <w:r w:rsidRPr="00205253">
            <w:rPr>
              <w:b/>
              <w:bCs/>
              <w:i/>
              <w:iCs/>
              <w:color w:val="5F2987"/>
              <w:spacing w:val="-6"/>
              <w:sz w:val="18"/>
              <w:szCs w:val="18"/>
            </w:rPr>
            <w:fldChar w:fldCharType="begin"/>
          </w:r>
          <w:r w:rsidRPr="00205253">
            <w:rPr>
              <w:b/>
              <w:bCs/>
              <w:i/>
              <w:iCs/>
              <w:color w:val="5F2987"/>
              <w:spacing w:val="-6"/>
              <w:sz w:val="18"/>
              <w:szCs w:val="18"/>
            </w:rPr>
            <w:instrText>PAGE  \* Arabic  \* MERGEFORMAT</w:instrText>
          </w:r>
          <w:r w:rsidRPr="00205253">
            <w:rPr>
              <w:b/>
              <w:bCs/>
              <w:i/>
              <w:iCs/>
              <w:color w:val="5F2987"/>
              <w:spacing w:val="-6"/>
              <w:sz w:val="18"/>
              <w:szCs w:val="18"/>
            </w:rPr>
            <w:fldChar w:fldCharType="separate"/>
          </w:r>
          <w:r w:rsidRPr="00205253">
            <w:rPr>
              <w:b/>
              <w:bCs/>
              <w:i/>
              <w:iCs/>
              <w:color w:val="5F2987"/>
              <w:spacing w:val="-6"/>
              <w:sz w:val="18"/>
              <w:szCs w:val="18"/>
            </w:rPr>
            <w:t>1</w:t>
          </w:r>
          <w:r w:rsidRPr="00205253">
            <w:rPr>
              <w:b/>
              <w:bCs/>
              <w:i/>
              <w:iCs/>
              <w:color w:val="5F2987"/>
              <w:spacing w:val="-6"/>
              <w:sz w:val="18"/>
              <w:szCs w:val="18"/>
            </w:rPr>
            <w:fldChar w:fldCharType="end"/>
          </w:r>
          <w:r w:rsidRPr="00205253">
            <w:rPr>
              <w:b/>
              <w:bCs/>
              <w:i/>
              <w:iCs/>
              <w:color w:val="5F2987"/>
              <w:spacing w:val="-6"/>
              <w:sz w:val="18"/>
              <w:szCs w:val="18"/>
            </w:rPr>
            <w:t>/</w:t>
          </w:r>
          <w:r w:rsidRPr="00205253">
            <w:rPr>
              <w:b/>
              <w:bCs/>
              <w:i/>
              <w:iCs/>
              <w:color w:val="5F2987"/>
              <w:spacing w:val="-6"/>
              <w:sz w:val="18"/>
              <w:szCs w:val="18"/>
            </w:rPr>
            <w:fldChar w:fldCharType="begin"/>
          </w:r>
          <w:r w:rsidRPr="00205253">
            <w:rPr>
              <w:b/>
              <w:bCs/>
              <w:i/>
              <w:iCs/>
              <w:color w:val="5F2987"/>
              <w:spacing w:val="-6"/>
              <w:sz w:val="18"/>
              <w:szCs w:val="18"/>
            </w:rPr>
            <w:instrText>NUMPAGES  \* Arabic  \* MERGEFORMAT</w:instrText>
          </w:r>
          <w:r w:rsidRPr="00205253">
            <w:rPr>
              <w:b/>
              <w:bCs/>
              <w:i/>
              <w:iCs/>
              <w:color w:val="5F2987"/>
              <w:spacing w:val="-6"/>
              <w:sz w:val="18"/>
              <w:szCs w:val="18"/>
            </w:rPr>
            <w:fldChar w:fldCharType="separate"/>
          </w:r>
          <w:r w:rsidRPr="00205253">
            <w:rPr>
              <w:b/>
              <w:bCs/>
              <w:i/>
              <w:iCs/>
              <w:color w:val="5F2987"/>
              <w:spacing w:val="-6"/>
              <w:sz w:val="18"/>
              <w:szCs w:val="18"/>
            </w:rPr>
            <w:t>2</w:t>
          </w:r>
          <w:r w:rsidRPr="00205253">
            <w:rPr>
              <w:b/>
              <w:bCs/>
              <w:i/>
              <w:iCs/>
              <w:color w:val="5F2987"/>
              <w:spacing w:val="-6"/>
              <w:sz w:val="18"/>
              <w:szCs w:val="18"/>
            </w:rPr>
            <w:fldChar w:fldCharType="end"/>
          </w:r>
        </w:p>
      </w:tc>
    </w:tr>
  </w:tbl>
  <w:p w14:paraId="4607DC07" w14:textId="77777777" w:rsidR="001753B9" w:rsidRPr="00BE1B62" w:rsidRDefault="001753B9" w:rsidP="0093444D">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CA063B" w14:textId="77777777" w:rsidR="00C0671D" w:rsidRPr="00417327" w:rsidRDefault="00C0671D" w:rsidP="00417327">
      <w:pPr>
        <w:spacing w:after="0" w:line="240" w:lineRule="auto"/>
        <w:rPr>
          <w:sz w:val="16"/>
          <w:szCs w:val="16"/>
        </w:rPr>
      </w:pPr>
      <w:r w:rsidRPr="00417327">
        <w:rPr>
          <w:sz w:val="16"/>
          <w:szCs w:val="16"/>
        </w:rPr>
        <w:separator/>
      </w:r>
    </w:p>
  </w:footnote>
  <w:footnote w:type="continuationSeparator" w:id="0">
    <w:p w14:paraId="1A51BFE3" w14:textId="77777777" w:rsidR="00C0671D" w:rsidRPr="005E31D7" w:rsidRDefault="00C0671D" w:rsidP="005E31D7">
      <w:pPr>
        <w:spacing w:after="0" w:line="240" w:lineRule="auto"/>
        <w:rPr>
          <w:sz w:val="16"/>
          <w:szCs w:val="16"/>
        </w:rPr>
      </w:pPr>
      <w:r w:rsidRPr="005E31D7">
        <w:rPr>
          <w:sz w:val="16"/>
          <w:szCs w:val="16"/>
        </w:rPr>
        <w:continuationSeparator/>
      </w:r>
    </w:p>
  </w:footnote>
  <w:footnote w:type="continuationNotice" w:id="1">
    <w:p w14:paraId="6F9C602F" w14:textId="77777777" w:rsidR="00C0671D" w:rsidRPr="005E31D7" w:rsidRDefault="00C0671D" w:rsidP="005E31D7">
      <w:pPr>
        <w:spacing w:after="0" w:line="240" w:lineRule="auto"/>
        <w:jc w:val="right"/>
        <w:rPr>
          <w:sz w:val="16"/>
          <w:szCs w:val="16"/>
        </w:rPr>
      </w:pPr>
      <w:r w:rsidRPr="005E31D7">
        <w:rPr>
          <w:rFonts w:ascii="Cambria Math" w:hAnsi="Cambria Math" w:cs="Cambria Math"/>
          <w:color w:val="202122"/>
          <w:sz w:val="16"/>
          <w:szCs w:val="16"/>
          <w:shd w:val="clear" w:color="auto" w:fill="FFFFFF"/>
        </w:rPr>
        <w:t>↪</w:t>
      </w:r>
    </w:p>
  </w:footnote>
  <w:footnote w:id="2">
    <w:p w14:paraId="3F01D694" w14:textId="77777777" w:rsidR="008E7480" w:rsidRDefault="008E7480" w:rsidP="008E7480">
      <w:pPr>
        <w:pStyle w:val="Textonotapie"/>
        <w:spacing w:after="0"/>
      </w:pPr>
      <w:r>
        <w:rPr>
          <w:rStyle w:val="Refdenotaalpie"/>
        </w:rPr>
        <w:footnoteRef/>
      </w:r>
      <w:r>
        <w:t xml:space="preserve"> Una </w:t>
      </w:r>
      <w:r w:rsidRPr="00FC6035">
        <w:rPr>
          <w:i/>
          <w:iCs/>
          <w:u w:val="single"/>
        </w:rPr>
        <w:t>inversión</w:t>
      </w:r>
      <w:r>
        <w:t xml:space="preserve"> es el compromiso real de dinero o de otros recursos con la </w:t>
      </w:r>
      <w:r w:rsidRPr="00330D34">
        <w:rPr>
          <w:color w:val="C00000"/>
        </w:rPr>
        <w:t>esperanza</w:t>
      </w:r>
      <w:r>
        <w:t xml:space="preserve"> de recibir beneficios </w:t>
      </w:r>
      <w:r w:rsidRPr="00330D34">
        <w:rPr>
          <w:color w:val="0070C0"/>
        </w:rPr>
        <w:t>futuros</w:t>
      </w:r>
      <w:r>
        <w:t>.</w:t>
      </w:r>
    </w:p>
    <w:p w14:paraId="4491B63F" w14:textId="77777777" w:rsidR="008E7480" w:rsidRDefault="008E7480">
      <w:pPr>
        <w:pStyle w:val="Textonotapie"/>
        <w:numPr>
          <w:ilvl w:val="1"/>
          <w:numId w:val="16"/>
        </w:numPr>
        <w:spacing w:after="0"/>
        <w:ind w:left="426" w:hanging="142"/>
      </w:pPr>
      <w:r>
        <w:t xml:space="preserve">Por lo tanto, generalmente, hay dos conceptos relacionados con la inversión: </w:t>
      </w:r>
      <w:r w:rsidRPr="00330D34">
        <w:rPr>
          <w:i/>
          <w:iCs/>
          <w:color w:val="0070C0"/>
        </w:rPr>
        <w:t>tiempo</w:t>
      </w:r>
      <w:r>
        <w:t xml:space="preserve"> y </w:t>
      </w:r>
      <w:r w:rsidRPr="00330D34">
        <w:rPr>
          <w:i/>
          <w:iCs/>
          <w:color w:val="C00000"/>
        </w:rPr>
        <w:t>riesgo</w:t>
      </w:r>
      <w:r>
        <w:t>.</w:t>
      </w:r>
    </w:p>
    <w:p w14:paraId="2509577F" w14:textId="77777777" w:rsidR="008E7480" w:rsidRDefault="008E7480">
      <w:pPr>
        <w:pStyle w:val="Textonotapie"/>
        <w:keepNext/>
        <w:numPr>
          <w:ilvl w:val="0"/>
          <w:numId w:val="16"/>
        </w:numPr>
        <w:spacing w:after="0"/>
        <w:ind w:left="113" w:hanging="113"/>
      </w:pPr>
      <w:r>
        <w:t>Distinguimos dos tipos de inversiones según el tipo de activo:</w:t>
      </w:r>
    </w:p>
    <w:p w14:paraId="726E56FC" w14:textId="77777777" w:rsidR="008E7480" w:rsidRDefault="008E7480">
      <w:pPr>
        <w:pStyle w:val="Textonotapie"/>
        <w:keepNext/>
        <w:numPr>
          <w:ilvl w:val="1"/>
          <w:numId w:val="16"/>
        </w:numPr>
        <w:spacing w:after="0"/>
        <w:ind w:left="426" w:hanging="142"/>
      </w:pPr>
      <w:r>
        <w:rPr>
          <w:i/>
          <w:iCs/>
          <w:u w:val="single"/>
        </w:rPr>
        <w:t>Activo</w:t>
      </w:r>
      <w:r w:rsidRPr="001C11F8">
        <w:rPr>
          <w:i/>
          <w:iCs/>
          <w:u w:val="single"/>
        </w:rPr>
        <w:t>s reales</w:t>
      </w:r>
      <w:r>
        <w:t>: Son los que determinan en última instancia la riqueza material de una sociedad mediante su influencia en la capacidad productiva de la economía.</w:t>
      </w:r>
    </w:p>
    <w:p w14:paraId="0E0BF610" w14:textId="0FCCFDFD" w:rsidR="008E7480" w:rsidRDefault="008E7480">
      <w:pPr>
        <w:pStyle w:val="Textonotapie"/>
        <w:numPr>
          <w:ilvl w:val="1"/>
          <w:numId w:val="16"/>
        </w:numPr>
        <w:spacing w:after="0"/>
        <w:ind w:left="426" w:hanging="142"/>
        <w:rPr>
          <w:spacing w:val="-3"/>
        </w:rPr>
      </w:pPr>
      <w:r w:rsidRPr="00DE4328">
        <w:rPr>
          <w:i/>
          <w:iCs/>
          <w:spacing w:val="-3"/>
          <w:u w:val="single"/>
        </w:rPr>
        <w:t>Activos financieros</w:t>
      </w:r>
      <w:r w:rsidRPr="00DE4328">
        <w:rPr>
          <w:spacing w:val="-3"/>
        </w:rPr>
        <w:t>: No son más que trozos de papel o anotaciones informáticas que no contribuyen de manera directa a la capacidad productiva de la economía. En realidad, estos activos financieros son derechos sobre los activos reales o los ingresos generados por ellos.</w:t>
      </w:r>
    </w:p>
    <w:p w14:paraId="4638839D" w14:textId="011DFA6D" w:rsidR="007D1E41" w:rsidRPr="007D1E41" w:rsidRDefault="007D1E41" w:rsidP="007D1E41">
      <w:pPr>
        <w:pStyle w:val="Textonotapie"/>
      </w:pPr>
      <w:r w:rsidRPr="00AE7F86">
        <w:t>Un activo real es un objeto útil que no constituye, al mismo tiempo, el pasivo de ningún otro agente; un activo financiero es un objeto útil que constituye, al mismo tiempo, el pasivo de otro agente (el deudor). Un activo financiero no puede existir para un agente económico sin ser, a la vez, el pasivo financiero de otro agente económico.</w:t>
      </w:r>
    </w:p>
  </w:footnote>
  <w:footnote w:id="3">
    <w:p w14:paraId="20B418C2" w14:textId="362C9A0B" w:rsidR="001B58C3" w:rsidRPr="001B58C3" w:rsidRDefault="001B58C3" w:rsidP="001B58C3">
      <w:pPr>
        <w:pStyle w:val="Textonotapie"/>
        <w:keepNext/>
        <w:spacing w:after="0"/>
      </w:pPr>
      <w:r>
        <w:rPr>
          <w:rStyle w:val="Refdenotaalpie"/>
        </w:rPr>
        <w:footnoteRef/>
      </w:r>
      <w:r>
        <w:t xml:space="preserve"> En la década de 1950, </w:t>
      </w:r>
      <w:r w:rsidRPr="001B58C3">
        <w:rPr>
          <w:smallCaps/>
        </w:rPr>
        <w:t>Markowitz</w:t>
      </w:r>
      <w:r w:rsidRPr="001B58C3">
        <w:t xml:space="preserve"> </w:t>
      </w:r>
      <w:r>
        <w:t>se matricula</w:t>
      </w:r>
      <w:r w:rsidRPr="001B58C3">
        <w:t xml:space="preserve"> en la Universidad de Chicago donde desarrolla sus estudios de grado, máster en matemáticas aplicadas a la economía y </w:t>
      </w:r>
      <w:r w:rsidR="00943198">
        <w:t xml:space="preserve">donde fue alumno de </w:t>
      </w:r>
      <w:r w:rsidR="00943198">
        <w:rPr>
          <w:smallCaps/>
        </w:rPr>
        <w:t>Tjalling Koopmans</w:t>
      </w:r>
      <w:r w:rsidR="00943198">
        <w:t xml:space="preserve"> y </w:t>
      </w:r>
      <w:r w:rsidR="00943198">
        <w:rPr>
          <w:smallCaps/>
        </w:rPr>
        <w:t>Milton Friedman</w:t>
      </w:r>
      <w:r w:rsidRPr="001B58C3">
        <w:t>. Las contribuciones de su tesis doctoral</w:t>
      </w:r>
      <w:r w:rsidR="00943198">
        <w:t xml:space="preserve">, defendida en 1954 y tutorizada por </w:t>
      </w:r>
      <w:r w:rsidR="00943198">
        <w:rPr>
          <w:smallCaps/>
        </w:rPr>
        <w:t>Milton Friedman</w:t>
      </w:r>
      <w:r w:rsidR="00943198">
        <w:t xml:space="preserve">, </w:t>
      </w:r>
      <w:r w:rsidRPr="001B58C3">
        <w:t xml:space="preserve">fueron tan novedosas que </w:t>
      </w:r>
      <w:r w:rsidRPr="001B58C3">
        <w:rPr>
          <w:u w:val="single"/>
        </w:rPr>
        <w:t xml:space="preserve">se hizo famoso el comentario de </w:t>
      </w:r>
      <w:r w:rsidRPr="001B58C3">
        <w:rPr>
          <w:smallCaps/>
          <w:u w:val="single"/>
        </w:rPr>
        <w:t>Milton Friedman</w:t>
      </w:r>
      <w:r w:rsidRPr="001B58C3">
        <w:rPr>
          <w:u w:val="single"/>
        </w:rPr>
        <w:t xml:space="preserve"> sugiriendo que “aquello” no era una tesis en economía y que, por tanto, no se le podía reconocer el título de doctorado</w:t>
      </w:r>
      <w:r w:rsidRPr="001B58C3">
        <w:t>.</w:t>
      </w:r>
    </w:p>
    <w:p w14:paraId="0B7E578D" w14:textId="6478BD7F" w:rsidR="001B58C3" w:rsidRPr="002B6EA4" w:rsidRDefault="002B6EA4" w:rsidP="001B58C3">
      <w:pPr>
        <w:pStyle w:val="Textonotapie"/>
        <w:jc w:val="right"/>
        <w:rPr>
          <w:spacing w:val="-6"/>
          <w:sz w:val="14"/>
          <w:szCs w:val="14"/>
        </w:rPr>
      </w:pPr>
      <w:r w:rsidRPr="002B6EA4">
        <w:rPr>
          <w:spacing w:val="-6"/>
          <w:sz w:val="14"/>
          <w:szCs w:val="14"/>
        </w:rPr>
        <w:t xml:space="preserve">Penalva, J. y Rubio, G. (2023). </w:t>
      </w:r>
      <w:r w:rsidRPr="002B6EA4">
        <w:rPr>
          <w:i/>
          <w:iCs/>
          <w:spacing w:val="-6"/>
          <w:sz w:val="14"/>
          <w:szCs w:val="14"/>
        </w:rPr>
        <w:t>Markowitz y la democratización de las finanzas</w:t>
      </w:r>
      <w:r w:rsidRPr="002B6EA4">
        <w:rPr>
          <w:spacing w:val="-6"/>
          <w:sz w:val="14"/>
          <w:szCs w:val="14"/>
        </w:rPr>
        <w:t xml:space="preserve">. Nada es Gratis. </w:t>
      </w:r>
      <w:hyperlink r:id="rId1" w:history="1">
        <w:r w:rsidRPr="002B6EA4">
          <w:rPr>
            <w:rStyle w:val="Hipervnculo"/>
            <w:spacing w:val="-6"/>
            <w:sz w:val="14"/>
            <w:szCs w:val="14"/>
          </w:rPr>
          <w:t>https://nadaesgratis.es/admin/markowitz-y-la-democratizacion-de-las-finanzas</w:t>
        </w:r>
      </w:hyperlink>
    </w:p>
  </w:footnote>
  <w:footnote w:id="4">
    <w:p w14:paraId="55BC6A52" w14:textId="77777777" w:rsidR="00894955" w:rsidRDefault="00894955" w:rsidP="00894955">
      <w:pPr>
        <w:pStyle w:val="Textonotapie"/>
      </w:pPr>
      <w:r>
        <w:rPr>
          <w:rStyle w:val="Refdenotaalpie"/>
        </w:rPr>
        <w:footnoteRef/>
      </w:r>
      <w:r>
        <w:t xml:space="preserve"> </w:t>
      </w:r>
      <w:r>
        <w:rPr>
          <w:smallCaps/>
        </w:rPr>
        <w:t>Harry Markowitz</w:t>
      </w:r>
      <w:r>
        <w:t xml:space="preserve">, </w:t>
      </w:r>
      <w:r w:rsidRPr="00CC49E0">
        <w:rPr>
          <w:smallCaps/>
        </w:rPr>
        <w:t>Merton Miller</w:t>
      </w:r>
      <w:r>
        <w:t xml:space="preserve"> y </w:t>
      </w:r>
      <w:r>
        <w:rPr>
          <w:smallCaps/>
        </w:rPr>
        <w:t>William Sharpe</w:t>
      </w:r>
      <w:r>
        <w:t xml:space="preserve"> reciben el Premio Nobel de Economía en 1990 </w:t>
      </w:r>
      <w:r w:rsidRPr="00CC49E0">
        <w:t>«Por sus trabajos pioneros para establecer la teoría de la economía financiera».</w:t>
      </w:r>
    </w:p>
    <w:p w14:paraId="3847BE0E" w14:textId="77777777" w:rsidR="00894955" w:rsidRPr="00200EDA" w:rsidRDefault="00894955" w:rsidP="00894955">
      <w:pPr>
        <w:pStyle w:val="Textonotapie"/>
      </w:pPr>
      <w:r>
        <w:t xml:space="preserve">De hecho, gracias a estos autores podemos llamar a las </w:t>
      </w:r>
      <w:r>
        <w:rPr>
          <w:i/>
          <w:iCs/>
        </w:rPr>
        <w:t>finanzas</w:t>
      </w:r>
      <w:r>
        <w:t xml:space="preserve"> con el nombre de </w:t>
      </w:r>
      <w:r w:rsidRPr="00CC49E0">
        <w:t>«economía financiera»</w:t>
      </w:r>
      <w:r>
        <w:t>, ya que introducen la teoría económica al análisis de los mercados financieros.</w:t>
      </w:r>
    </w:p>
  </w:footnote>
  <w:footnote w:id="5">
    <w:p w14:paraId="3F5250E0" w14:textId="77777777" w:rsidR="003D4D51" w:rsidRDefault="003D4D51" w:rsidP="00894955">
      <w:pPr>
        <w:pStyle w:val="Textonotapie"/>
        <w:spacing w:after="0"/>
      </w:pPr>
      <w:r>
        <w:rPr>
          <w:rStyle w:val="Refdenotaalpie"/>
        </w:rPr>
        <w:footnoteRef/>
      </w:r>
      <w:r>
        <w:t xml:space="preserve"> Las 2 modalidades más comunes de salida a bolsa son: </w:t>
      </w:r>
      <w:proofErr w:type="spellStart"/>
      <w:r>
        <w:rPr>
          <w:i/>
          <w:iCs/>
        </w:rPr>
        <w:t>Initial</w:t>
      </w:r>
      <w:proofErr w:type="spellEnd"/>
      <w:r>
        <w:rPr>
          <w:i/>
          <w:iCs/>
        </w:rPr>
        <w:t xml:space="preserve"> </w:t>
      </w:r>
      <w:proofErr w:type="spellStart"/>
      <w:r>
        <w:rPr>
          <w:i/>
          <w:iCs/>
        </w:rPr>
        <w:t>Public</w:t>
      </w:r>
      <w:proofErr w:type="spellEnd"/>
      <w:r>
        <w:rPr>
          <w:i/>
          <w:iCs/>
        </w:rPr>
        <w:t xml:space="preserve"> </w:t>
      </w:r>
      <w:proofErr w:type="spellStart"/>
      <w:r>
        <w:rPr>
          <w:i/>
          <w:iCs/>
        </w:rPr>
        <w:t>Offering</w:t>
      </w:r>
      <w:proofErr w:type="spellEnd"/>
      <w:r>
        <w:t xml:space="preserve"> (IPO) y </w:t>
      </w:r>
      <w:proofErr w:type="spellStart"/>
      <w:r>
        <w:rPr>
          <w:i/>
          <w:iCs/>
        </w:rPr>
        <w:t>Special</w:t>
      </w:r>
      <w:proofErr w:type="spellEnd"/>
      <w:r>
        <w:rPr>
          <w:i/>
          <w:iCs/>
        </w:rPr>
        <w:t xml:space="preserve"> </w:t>
      </w:r>
      <w:proofErr w:type="spellStart"/>
      <w:r>
        <w:rPr>
          <w:i/>
          <w:iCs/>
        </w:rPr>
        <w:t>Purpose</w:t>
      </w:r>
      <w:proofErr w:type="spellEnd"/>
      <w:r>
        <w:rPr>
          <w:i/>
          <w:iCs/>
        </w:rPr>
        <w:t xml:space="preserve"> </w:t>
      </w:r>
      <w:proofErr w:type="spellStart"/>
      <w:r>
        <w:rPr>
          <w:i/>
          <w:iCs/>
        </w:rPr>
        <w:t>Acquisition</w:t>
      </w:r>
      <w:proofErr w:type="spellEnd"/>
      <w:r>
        <w:rPr>
          <w:i/>
          <w:iCs/>
        </w:rPr>
        <w:t xml:space="preserve"> Company</w:t>
      </w:r>
      <w:r>
        <w:t xml:space="preserve"> (SPAC).</w:t>
      </w:r>
    </w:p>
    <w:p w14:paraId="53F56D0D" w14:textId="77777777" w:rsidR="003D4D51" w:rsidRPr="00267006" w:rsidRDefault="003D4D51" w:rsidP="003D4D51">
      <w:pPr>
        <w:pStyle w:val="Textonotapie"/>
      </w:pPr>
      <w:r>
        <w:t xml:space="preserve">La principal </w:t>
      </w:r>
      <w:r w:rsidRPr="00490C2C">
        <w:rPr>
          <w:b/>
          <w:bCs/>
        </w:rPr>
        <w:t>ventaja</w:t>
      </w:r>
      <w:r>
        <w:t xml:space="preserve"> de la salida a </w:t>
      </w:r>
      <w:r w:rsidRPr="00E80815">
        <w:rPr>
          <w:szCs w:val="16"/>
        </w:rPr>
        <w:t xml:space="preserve">bolsa (frente a los mercados de </w:t>
      </w:r>
      <w:proofErr w:type="spellStart"/>
      <w:r w:rsidRPr="00E80815">
        <w:rPr>
          <w:i/>
          <w:iCs/>
          <w:szCs w:val="16"/>
        </w:rPr>
        <w:t>private</w:t>
      </w:r>
      <w:proofErr w:type="spellEnd"/>
      <w:r w:rsidRPr="00E80815">
        <w:rPr>
          <w:i/>
          <w:iCs/>
          <w:szCs w:val="16"/>
        </w:rPr>
        <w:t xml:space="preserve"> </w:t>
      </w:r>
      <w:proofErr w:type="spellStart"/>
      <w:r w:rsidRPr="00E80815">
        <w:rPr>
          <w:i/>
          <w:iCs/>
          <w:szCs w:val="16"/>
        </w:rPr>
        <w:t>equity</w:t>
      </w:r>
      <w:proofErr w:type="spellEnd"/>
      <w:r w:rsidRPr="00E80815">
        <w:rPr>
          <w:szCs w:val="16"/>
        </w:rPr>
        <w:t xml:space="preserve">) es que permite una </w:t>
      </w:r>
      <w:r w:rsidRPr="00E80815">
        <w:rPr>
          <w:i/>
          <w:iCs/>
          <w:szCs w:val="16"/>
        </w:rPr>
        <w:t>mayor posibilidad de obtener financiación</w:t>
      </w:r>
      <w:r w:rsidRPr="00E80815">
        <w:rPr>
          <w:szCs w:val="16"/>
        </w:rPr>
        <w:t xml:space="preserve"> (se puede obtener financiación de un mayor número de agentes al salir</w:t>
      </w:r>
      <w:r>
        <w:t xml:space="preserve"> a bolsa, ya que los mercados de </w:t>
      </w:r>
      <w:proofErr w:type="spellStart"/>
      <w:r w:rsidRPr="00490C2C">
        <w:rPr>
          <w:i/>
          <w:iCs/>
        </w:rPr>
        <w:t>private</w:t>
      </w:r>
      <w:proofErr w:type="spellEnd"/>
      <w:r w:rsidRPr="00490C2C">
        <w:rPr>
          <w:i/>
          <w:iCs/>
        </w:rPr>
        <w:t xml:space="preserve"> </w:t>
      </w:r>
      <w:proofErr w:type="spellStart"/>
      <w:r w:rsidRPr="00490C2C">
        <w:rPr>
          <w:i/>
          <w:iCs/>
        </w:rPr>
        <w:t>equity</w:t>
      </w:r>
      <w:proofErr w:type="spellEnd"/>
      <w:r>
        <w:t xml:space="preserve"> están más concentrados y con menor acceso por ejemplo a inversores minoristas). Sin embargo, cuenta con el </w:t>
      </w:r>
      <w:r w:rsidRPr="00490C2C">
        <w:rPr>
          <w:b/>
          <w:bCs/>
        </w:rPr>
        <w:t>inconveniente</w:t>
      </w:r>
      <w:r>
        <w:t xml:space="preserve"> de que supone una </w:t>
      </w:r>
      <w:r>
        <w:rPr>
          <w:i/>
          <w:iCs/>
        </w:rPr>
        <w:t>pérdida de control</w:t>
      </w:r>
      <w:r>
        <w:t xml:space="preserve"> (debido a la dispersión de la propiedad de la empresa).</w:t>
      </w:r>
    </w:p>
  </w:footnote>
  <w:footnote w:id="6">
    <w:p w14:paraId="2A4B2A82" w14:textId="2AC83DEB" w:rsidR="007350CB" w:rsidRDefault="007350CB" w:rsidP="007350CB">
      <w:pPr>
        <w:pStyle w:val="Textonotapie"/>
        <w:spacing w:after="0"/>
      </w:pPr>
      <w:r>
        <w:rPr>
          <w:rStyle w:val="Refdenotaalpie"/>
        </w:rPr>
        <w:footnoteRef/>
      </w:r>
      <w:r>
        <w:t xml:space="preserve"> Se puede representar la </w:t>
      </w:r>
      <w:r w:rsidR="002C5B0F">
        <w:t>aversión</w:t>
      </w:r>
      <w:r>
        <w:t xml:space="preserve"> al riesgo del agente, mediante la siguiente gráfica, según la cual, la utilidad que proporciona la riqueza a un agente es creciente, pero la utilidad marginal de la riqueza es decreciente.</w:t>
      </w:r>
    </w:p>
    <w:p w14:paraId="20AA7700" w14:textId="1192B50F" w:rsidR="007350CB" w:rsidRDefault="007350CB" w:rsidP="007350CB">
      <w:pPr>
        <w:pStyle w:val="Textonotapie"/>
        <w:keepNext/>
        <w:spacing w:after="0"/>
      </w:pPr>
      <w:r>
        <w:t xml:space="preserve">El </w:t>
      </w:r>
      <w:r w:rsidRPr="006B34DB">
        <w:rPr>
          <w:i/>
          <w:iCs/>
        </w:rPr>
        <w:t>razonamiento</w:t>
      </w:r>
      <w:r>
        <w:t xml:space="preserve"> es el siguiente: la desutilidad de perder 1</w:t>
      </w:r>
      <w:r w:rsidR="00FA3929">
        <w:t> </w:t>
      </w:r>
      <w:r>
        <w:t xml:space="preserve">€ es mayor que la utilidad de ganarlo, por lo tanto el inversor es averso al riesgo </w:t>
      </w:r>
      <w:r w:rsidRPr="00073774">
        <w:rPr>
          <w:sz w:val="14"/>
          <w:szCs w:val="18"/>
        </w:rPr>
        <w:t>(concavidad de la función de utilidad de Bernoulli)</w:t>
      </w:r>
      <w:r>
        <w:t>.</w:t>
      </w:r>
    </w:p>
    <w:p w14:paraId="46A3F033" w14:textId="77777777" w:rsidR="007350CB" w:rsidRDefault="007350CB" w:rsidP="007350CB">
      <w:pPr>
        <w:pStyle w:val="Textonotapie"/>
        <w:jc w:val="center"/>
      </w:pPr>
      <w:r>
        <w:rPr>
          <w:noProof/>
        </w:rPr>
        <w:drawing>
          <wp:inline distT="0" distB="0" distL="0" distR="0" wp14:anchorId="6B7ACD3A" wp14:editId="61202B9F">
            <wp:extent cx="1343025" cy="937472"/>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384700" cy="966563"/>
                    </a:xfrm>
                    <a:prstGeom prst="rect">
                      <a:avLst/>
                    </a:prstGeom>
                  </pic:spPr>
                </pic:pic>
              </a:graphicData>
            </a:graphic>
          </wp:inline>
        </w:drawing>
      </w:r>
    </w:p>
  </w:footnote>
  <w:footnote w:id="7">
    <w:p w14:paraId="1A42AD05" w14:textId="77777777" w:rsidR="007350CB" w:rsidRDefault="007350CB" w:rsidP="007350CB">
      <w:pPr>
        <w:pStyle w:val="Textonotapie"/>
      </w:pPr>
      <w:r>
        <w:rPr>
          <w:rStyle w:val="Refdenotaalpie"/>
        </w:rPr>
        <w:footnoteRef/>
      </w:r>
      <w:r>
        <w:t xml:space="preserve"> Otorgamos así un componente subjetivo: el agente es averso al riesgo.</w:t>
      </w:r>
    </w:p>
  </w:footnote>
  <w:footnote w:id="8">
    <w:p w14:paraId="0AF46027" w14:textId="51AA075D" w:rsidR="007350CB" w:rsidRDefault="007350CB" w:rsidP="007350CB">
      <w:pPr>
        <w:pStyle w:val="Textonotapie"/>
        <w:keepNext/>
        <w:spacing w:after="0"/>
      </w:pPr>
      <w:r>
        <w:rPr>
          <w:rStyle w:val="Refdenotaalpie"/>
        </w:rPr>
        <w:footnoteRef/>
      </w:r>
      <w:r>
        <w:t xml:space="preserve"> El </w:t>
      </w:r>
      <w:r w:rsidRPr="00823B91">
        <w:rPr>
          <w:i/>
          <w:iCs/>
        </w:rPr>
        <w:t>rendimiento esperado de una cartera</w:t>
      </w:r>
      <w:r w:rsidR="00340499">
        <w:t> </w:t>
      </w:r>
      <m:oMath>
        <m:r>
          <m:rPr>
            <m:nor/>
          </m:rPr>
          <w:rPr>
            <w:rFonts w:eastAsia="Calibri" w:cs="Times New Roman"/>
            <w:i/>
          </w:rPr>
          <m:t>p</m:t>
        </m:r>
      </m:oMath>
      <w:r w:rsidR="00340499">
        <w:t xml:space="preserve"> </w:t>
      </w:r>
      <w:r>
        <w:t xml:space="preserve">es la suma ponderada de los rendimientos esperados de los </w:t>
      </w:r>
      <m:oMath>
        <m:r>
          <m:rPr>
            <m:nor/>
          </m:rPr>
          <w:rPr>
            <w:rFonts w:eastAsia="Calibri" w:cs="Times New Roman"/>
            <w:i/>
          </w:rPr>
          <m:t>n</m:t>
        </m:r>
      </m:oMath>
      <w:r w:rsidR="00D46625">
        <w:t> </w:t>
      </w:r>
      <w:r>
        <w:t>activos que la forman:</w:t>
      </w:r>
    </w:p>
    <w:p w14:paraId="5C1968A5" w14:textId="6CD016CB" w:rsidR="007350CB" w:rsidRPr="00CD65FC" w:rsidRDefault="007350CB" w:rsidP="007350CB">
      <w:pPr>
        <w:pStyle w:val="Textonotapie"/>
        <w:rPr>
          <w:rFonts w:eastAsiaTheme="minorEastAsia"/>
          <w:lang w:val="en-US"/>
        </w:rPr>
      </w:pPr>
      <m:oMathPara>
        <m:oMath>
          <m:r>
            <w:rPr>
              <w:rFonts w:ascii="Cambria Math" w:eastAsiaTheme="minorEastAsia" w:hAnsi="Cambria Math"/>
              <w:lang w:val="en-US"/>
            </w:rPr>
            <m:t xml:space="preserve"> </m:t>
          </m:r>
          <m:r>
            <m:rPr>
              <m:nor/>
            </m:rPr>
            <w:rPr>
              <w:rFonts w:eastAsia="Calibri" w:cs="Times New Roman"/>
              <w:i/>
              <w:lang w:val="en-US"/>
            </w:rPr>
            <m:t>E</m:t>
          </m:r>
          <m:d>
            <m:dPr>
              <m:begChr m:val="["/>
              <m:endChr m:val="]"/>
              <m:ctrlPr>
                <w:rPr>
                  <w:rFonts w:ascii="Cambria Math" w:eastAsia="Calibri" w:hAnsi="Cambria Math" w:cs="Times New Roman"/>
                  <w:i/>
                  <w:sz w:val="22"/>
                  <w:szCs w:val="22"/>
                </w:rPr>
              </m:ctrlPr>
            </m:dPr>
            <m:e>
              <m:sSub>
                <m:sSubPr>
                  <m:ctrlPr>
                    <w:rPr>
                      <w:rFonts w:ascii="Cambria Math" w:eastAsia="Calibri" w:hAnsi="Cambria Math" w:cs="Times New Roman"/>
                      <w:i/>
                    </w:rPr>
                  </m:ctrlPr>
                </m:sSubPr>
                <m:e>
                  <m:r>
                    <m:rPr>
                      <m:nor/>
                    </m:rPr>
                    <w:rPr>
                      <w:rFonts w:eastAsia="Calibri" w:cs="Times New Roman"/>
                      <w:i/>
                      <w:lang w:val="en-US"/>
                    </w:rPr>
                    <m:t>R</m:t>
                  </m:r>
                </m:e>
                <m:sub>
                  <m:r>
                    <m:rPr>
                      <m:nor/>
                    </m:rPr>
                    <w:rPr>
                      <w:rFonts w:eastAsia="Calibri" w:cs="Times New Roman"/>
                      <w:i/>
                      <w:lang w:val="en-US"/>
                    </w:rPr>
                    <m:t>p</m:t>
                  </m:r>
                </m:sub>
              </m:sSub>
            </m:e>
          </m:d>
          <m:r>
            <w:rPr>
              <w:rFonts w:ascii="Cambria Math" w:eastAsia="Calibri" w:hAnsi="Cambria Math" w:cs="Times New Roman"/>
              <w:lang w:val="en-US"/>
            </w:rPr>
            <m:t>=</m:t>
          </m:r>
          <m:nary>
            <m:naryPr>
              <m:chr m:val="∑"/>
              <m:ctrlPr>
                <w:rPr>
                  <w:rFonts w:ascii="Cambria Math" w:eastAsia="Calibri" w:hAnsi="Cambria Math" w:cs="Times New Roman"/>
                  <w:i/>
                </w:rPr>
              </m:ctrlPr>
            </m:naryPr>
            <m:sub>
              <m:r>
                <m:rPr>
                  <m:nor/>
                </m:rPr>
                <w:rPr>
                  <w:rFonts w:eastAsia="Calibri" w:cs="Times New Roman"/>
                  <w:i/>
                  <w:lang w:val="en-US"/>
                </w:rPr>
                <m:t>i=1</m:t>
              </m:r>
            </m:sub>
            <m:sup>
              <m:r>
                <m:rPr>
                  <m:nor/>
                </m:rPr>
                <w:rPr>
                  <w:rFonts w:eastAsia="Calibri" w:cs="Times New Roman"/>
                  <w:i/>
                  <w:lang w:val="en-US"/>
                </w:rPr>
                <m:t>n</m:t>
              </m:r>
            </m:sup>
            <m:e>
              <m:sSub>
                <m:sSubPr>
                  <m:ctrlPr>
                    <w:rPr>
                      <w:rFonts w:ascii="Cambria Math" w:eastAsia="Calibri" w:hAnsi="Cambria Math" w:cs="Times New Roman"/>
                      <w:i/>
                    </w:rPr>
                  </m:ctrlPr>
                </m:sSubPr>
                <m:e>
                  <m:r>
                    <m:rPr>
                      <m:nor/>
                    </m:rPr>
                    <w:rPr>
                      <w:rFonts w:eastAsia="Calibri" w:cs="Times New Roman"/>
                      <w:i/>
                      <w:lang w:val="en-US"/>
                    </w:rPr>
                    <m:t>X</m:t>
                  </m:r>
                </m:e>
                <m:sub>
                  <m:r>
                    <m:rPr>
                      <m:nor/>
                    </m:rPr>
                    <w:rPr>
                      <w:rFonts w:eastAsia="Calibri" w:cs="Times New Roman"/>
                      <w:i/>
                      <w:lang w:val="en-US"/>
                    </w:rPr>
                    <m:t>i</m:t>
                  </m:r>
                </m:sub>
              </m:sSub>
              <m:r>
                <w:rPr>
                  <w:rFonts w:ascii="Cambria Math" w:eastAsia="Calibri" w:hAnsi="Cambria Math" w:cs="Times New Roman"/>
                  <w:lang w:val="en-US"/>
                </w:rPr>
                <m:t>∙</m:t>
              </m:r>
              <m:r>
                <m:rPr>
                  <m:nor/>
                </m:rPr>
                <w:rPr>
                  <w:rFonts w:eastAsia="Calibri" w:cs="Times New Roman"/>
                  <w:i/>
                  <w:lang w:val="en-US"/>
                </w:rPr>
                <m:t>E</m:t>
              </m:r>
              <m:d>
                <m:dPr>
                  <m:begChr m:val="["/>
                  <m:endChr m:val="]"/>
                  <m:ctrlPr>
                    <w:rPr>
                      <w:rFonts w:ascii="Cambria Math" w:eastAsia="Calibri" w:hAnsi="Cambria Math" w:cs="Times New Roman"/>
                      <w:i/>
                      <w:sz w:val="22"/>
                      <w:szCs w:val="22"/>
                    </w:rPr>
                  </m:ctrlPr>
                </m:dPr>
                <m:e>
                  <m:sSub>
                    <m:sSubPr>
                      <m:ctrlPr>
                        <w:rPr>
                          <w:rFonts w:ascii="Cambria Math" w:eastAsia="Calibri" w:hAnsi="Cambria Math" w:cs="Times New Roman"/>
                          <w:i/>
                        </w:rPr>
                      </m:ctrlPr>
                    </m:sSubPr>
                    <m:e>
                      <m:r>
                        <m:rPr>
                          <m:nor/>
                        </m:rPr>
                        <w:rPr>
                          <w:rFonts w:eastAsia="Calibri" w:cs="Times New Roman"/>
                          <w:i/>
                          <w:lang w:val="en-US"/>
                        </w:rPr>
                        <m:t>R</m:t>
                      </m:r>
                    </m:e>
                    <m:sub>
                      <m:r>
                        <m:rPr>
                          <m:nor/>
                        </m:rPr>
                        <w:rPr>
                          <w:rFonts w:eastAsia="Calibri" w:cs="Times New Roman"/>
                          <w:i/>
                          <w:lang w:val="en-US"/>
                        </w:rPr>
                        <m:t>i</m:t>
                      </m:r>
                    </m:sub>
                  </m:sSub>
                </m:e>
              </m:d>
            </m:e>
          </m:nary>
        </m:oMath>
      </m:oMathPara>
    </w:p>
    <w:p w14:paraId="55D06FC9" w14:textId="77777777" w:rsidR="007350CB" w:rsidRDefault="007350CB" w:rsidP="007350CB">
      <w:pPr>
        <w:pStyle w:val="Textonotapie"/>
        <w:keepNext/>
        <w:spacing w:after="0"/>
      </w:pPr>
      <w:r w:rsidRPr="00823B91">
        <w:t xml:space="preserve">El </w:t>
      </w:r>
      <w:r w:rsidRPr="00823B91">
        <w:rPr>
          <w:i/>
          <w:iCs/>
        </w:rPr>
        <w:t>riesgo</w:t>
      </w:r>
      <w:r w:rsidRPr="00823B91">
        <w:t xml:space="preserve"> </w:t>
      </w:r>
      <w:r>
        <w:t>se mide a través de la desviación típica del rendimiento esperado (que es la raíz cuadrada de la varianza, por lo que también podemos usar la varianza). El riesgo de una cartera viene dado por:</w:t>
      </w:r>
    </w:p>
    <w:p w14:paraId="385D56CD" w14:textId="4DD7B79B" w:rsidR="007350CB" w:rsidRPr="001C0F37" w:rsidRDefault="00000000" w:rsidP="00FA3929">
      <w:pPr>
        <w:pStyle w:val="Textonotapie"/>
        <w:keepNext/>
        <w:spacing w:after="0"/>
        <w:rPr>
          <w:rFonts w:eastAsiaTheme="minorEastAsia"/>
        </w:rPr>
      </w:pPr>
      <m:oMathPara>
        <m:oMath>
          <m:sSubSup>
            <m:sSubSupPr>
              <m:ctrlPr>
                <w:rPr>
                  <w:rFonts w:ascii="Cambria Math" w:eastAsia="Calibri" w:hAnsi="Cambria Math" w:cs="Times New Roman"/>
                  <w:i/>
                </w:rPr>
              </m:ctrlPr>
            </m:sSubSupPr>
            <m:e>
              <m:r>
                <m:rPr>
                  <m:nor/>
                </m:rPr>
                <w:rPr>
                  <w:rFonts w:eastAsia="Calibri" w:cs="Times New Roman"/>
                  <w:i/>
                </w:rPr>
                <m:t>σ</m:t>
              </m:r>
            </m:e>
            <m:sub>
              <m:r>
                <m:rPr>
                  <m:nor/>
                </m:rPr>
                <w:rPr>
                  <w:rFonts w:eastAsia="Calibri" w:cs="Times New Roman"/>
                  <w:i/>
                </w:rPr>
                <m:t>p</m:t>
              </m:r>
            </m:sub>
            <m:sup>
              <m:r>
                <m:rPr>
                  <m:nor/>
                </m:rPr>
                <w:rPr>
                  <w:rFonts w:eastAsia="Calibri" w:cs="Times New Roman"/>
                  <w:i/>
                </w:rPr>
                <m:t>2</m:t>
              </m:r>
            </m:sup>
          </m:sSubSup>
          <m:r>
            <w:rPr>
              <w:rFonts w:ascii="Cambria Math" w:eastAsia="Calibri" w:hAnsi="Cambria Math" w:cs="Times New Roman"/>
            </w:rPr>
            <m:t>=</m:t>
          </m:r>
          <m:nary>
            <m:naryPr>
              <m:chr m:val="∑"/>
              <m:ctrlPr>
                <w:rPr>
                  <w:rFonts w:ascii="Cambria Math" w:eastAsia="Calibri" w:hAnsi="Cambria Math" w:cs="Times New Roman"/>
                  <w:i/>
                </w:rPr>
              </m:ctrlPr>
            </m:naryPr>
            <m:sub>
              <m:r>
                <m:rPr>
                  <m:nor/>
                </m:rPr>
                <w:rPr>
                  <w:rFonts w:eastAsia="Calibri" w:cs="Times New Roman"/>
                  <w:i/>
                </w:rPr>
                <m:t>i=1</m:t>
              </m:r>
            </m:sub>
            <m:sup>
              <m:r>
                <m:rPr>
                  <m:nor/>
                </m:rPr>
                <w:rPr>
                  <w:rFonts w:eastAsia="Calibri" w:cs="Times New Roman"/>
                  <w:i/>
                </w:rPr>
                <m:t>n</m:t>
              </m:r>
            </m:sup>
            <m:e>
              <m:nary>
                <m:naryPr>
                  <m:chr m:val="∑"/>
                  <m:ctrlPr>
                    <w:rPr>
                      <w:rFonts w:ascii="Cambria Math" w:eastAsia="Calibri" w:hAnsi="Cambria Math" w:cs="Times New Roman"/>
                      <w:i/>
                    </w:rPr>
                  </m:ctrlPr>
                </m:naryPr>
                <m:sub>
                  <m:r>
                    <m:rPr>
                      <m:nor/>
                    </m:rPr>
                    <w:rPr>
                      <w:rFonts w:eastAsia="Calibri" w:cs="Times New Roman"/>
                      <w:i/>
                    </w:rPr>
                    <m:t>j=1</m:t>
                  </m:r>
                </m:sub>
                <m:sup>
                  <m:r>
                    <m:rPr>
                      <m:nor/>
                    </m:rPr>
                    <w:rPr>
                      <w:rFonts w:eastAsia="Calibri" w:cs="Times New Roman"/>
                      <w:i/>
                    </w:rPr>
                    <m:t>n</m:t>
                  </m:r>
                </m:sup>
                <m:e>
                  <m:sSub>
                    <m:sSubPr>
                      <m:ctrlPr>
                        <w:rPr>
                          <w:rFonts w:ascii="Cambria Math" w:eastAsia="Calibri" w:hAnsi="Cambria Math" w:cs="Times New Roman"/>
                          <w:i/>
                        </w:rPr>
                      </m:ctrlPr>
                    </m:sSubPr>
                    <m:e>
                      <m:r>
                        <m:rPr>
                          <m:nor/>
                        </m:rPr>
                        <w:rPr>
                          <w:rFonts w:eastAsia="Calibri" w:cs="Times New Roman"/>
                          <w:i/>
                        </w:rPr>
                        <m:t>X</m:t>
                      </m:r>
                    </m:e>
                    <m:sub>
                      <m:r>
                        <m:rPr>
                          <m:nor/>
                        </m:rPr>
                        <w:rPr>
                          <w:rFonts w:eastAsia="Calibri" w:cs="Times New Roman"/>
                          <w:i/>
                        </w:rPr>
                        <m:t>i</m:t>
                      </m:r>
                    </m:sub>
                  </m:sSub>
                  <m:r>
                    <w:rPr>
                      <w:rFonts w:ascii="Cambria Math" w:eastAsia="Calibri" w:hAnsi="Cambria Math" w:cs="Times New Roman"/>
                    </w:rPr>
                    <m:t>∙</m:t>
                  </m:r>
                  <m:sSub>
                    <m:sSubPr>
                      <m:ctrlPr>
                        <w:rPr>
                          <w:rFonts w:ascii="Cambria Math" w:eastAsia="Calibri" w:hAnsi="Cambria Math" w:cs="Times New Roman"/>
                          <w:i/>
                        </w:rPr>
                      </m:ctrlPr>
                    </m:sSubPr>
                    <m:e>
                      <m:r>
                        <m:rPr>
                          <m:nor/>
                        </m:rPr>
                        <w:rPr>
                          <w:rFonts w:eastAsia="Calibri" w:cs="Times New Roman"/>
                          <w:i/>
                        </w:rPr>
                        <m:t>X</m:t>
                      </m:r>
                    </m:e>
                    <m:sub>
                      <m:r>
                        <m:rPr>
                          <m:nor/>
                        </m:rPr>
                        <w:rPr>
                          <w:rFonts w:eastAsia="Calibri" w:cs="Times New Roman"/>
                          <w:i/>
                        </w:rPr>
                        <m:t>j</m:t>
                      </m:r>
                    </m:sub>
                  </m:sSub>
                  <m:r>
                    <w:rPr>
                      <w:rFonts w:ascii="Cambria Math" w:eastAsia="Calibri" w:hAnsi="Cambria Math" w:cs="Times New Roman"/>
                    </w:rPr>
                    <m:t>∙</m:t>
                  </m:r>
                  <m:sSub>
                    <m:sSubPr>
                      <m:ctrlPr>
                        <w:rPr>
                          <w:rFonts w:ascii="Cambria Math" w:eastAsia="Calibri" w:hAnsi="Cambria Math" w:cs="Times New Roman"/>
                          <w:i/>
                        </w:rPr>
                      </m:ctrlPr>
                    </m:sSubPr>
                    <m:e>
                      <m:r>
                        <m:rPr>
                          <m:nor/>
                        </m:rPr>
                        <w:rPr>
                          <w:rFonts w:eastAsia="Calibri" w:cs="Times New Roman"/>
                          <w:i/>
                        </w:rPr>
                        <m:t>σ</m:t>
                      </m:r>
                    </m:e>
                    <m:sub>
                      <m:r>
                        <m:rPr>
                          <m:nor/>
                        </m:rPr>
                        <w:rPr>
                          <w:rFonts w:eastAsia="Calibri" w:cs="Times New Roman"/>
                          <w:i/>
                        </w:rPr>
                        <m:t>ij</m:t>
                      </m:r>
                    </m:sub>
                  </m:sSub>
                </m:e>
              </m:nary>
            </m:e>
          </m:nary>
        </m:oMath>
      </m:oMathPara>
    </w:p>
    <w:p w14:paraId="6FD7B5B6" w14:textId="6294EC01" w:rsidR="007350CB" w:rsidRPr="009E7F79" w:rsidRDefault="007350CB" w:rsidP="007350CB">
      <w:pPr>
        <w:pStyle w:val="Textonotapie"/>
        <w:keepNext/>
        <w:spacing w:after="0"/>
        <w:rPr>
          <w:rFonts w:eastAsiaTheme="minorEastAsia"/>
          <w:spacing w:val="-1"/>
        </w:rPr>
      </w:pPr>
      <w:r w:rsidRPr="009E7F79">
        <w:rPr>
          <w:rFonts w:eastAsiaTheme="minorEastAsia"/>
          <w:spacing w:val="-1"/>
        </w:rPr>
        <w:t xml:space="preserve">donde </w:t>
      </w:r>
      <m:oMath>
        <m:sSub>
          <m:sSubPr>
            <m:ctrlPr>
              <w:rPr>
                <w:rFonts w:ascii="Cambria Math" w:eastAsia="Calibri" w:hAnsi="Cambria Math" w:cs="Times New Roman"/>
                <w:i/>
                <w:spacing w:val="-1"/>
              </w:rPr>
            </m:ctrlPr>
          </m:sSubPr>
          <m:e>
            <m:r>
              <m:rPr>
                <m:nor/>
              </m:rPr>
              <w:rPr>
                <w:rFonts w:eastAsia="Calibri" w:cs="Times New Roman"/>
                <w:i/>
                <w:spacing w:val="-1"/>
              </w:rPr>
              <m:t>σ</m:t>
            </m:r>
          </m:e>
          <m:sub>
            <m:r>
              <m:rPr>
                <m:nor/>
              </m:rPr>
              <w:rPr>
                <w:rFonts w:eastAsia="Calibri" w:cs="Times New Roman"/>
                <w:i/>
                <w:spacing w:val="-1"/>
              </w:rPr>
              <m:t>ij</m:t>
            </m:r>
          </m:sub>
        </m:sSub>
      </m:oMath>
      <w:r w:rsidRPr="009E7F79">
        <w:rPr>
          <w:rFonts w:eastAsiaTheme="minorEastAsia"/>
          <w:spacing w:val="-1"/>
        </w:rPr>
        <w:t xml:space="preserve"> es la covarianza del rendimiento esperado del activo</w:t>
      </w:r>
      <w:r w:rsidR="001675F6">
        <w:rPr>
          <w:rFonts w:eastAsiaTheme="minorEastAsia"/>
          <w:spacing w:val="-1"/>
        </w:rPr>
        <w:t> </w:t>
      </w:r>
      <m:oMath>
        <m:r>
          <m:rPr>
            <m:nor/>
          </m:rPr>
          <w:rPr>
            <w:rFonts w:eastAsia="Calibri" w:cs="Times New Roman"/>
            <w:i/>
            <w:spacing w:val="-1"/>
          </w:rPr>
          <m:t>i</m:t>
        </m:r>
      </m:oMath>
      <w:r w:rsidRPr="009E7F79">
        <w:rPr>
          <w:rFonts w:eastAsiaTheme="minorEastAsia"/>
          <w:spacing w:val="-1"/>
        </w:rPr>
        <w:t xml:space="preserve"> con respecto al rendimiento esperado del activo</w:t>
      </w:r>
      <w:r w:rsidR="001675F6">
        <w:rPr>
          <w:rFonts w:eastAsiaTheme="minorEastAsia"/>
          <w:spacing w:val="-1"/>
        </w:rPr>
        <w:t> </w:t>
      </w:r>
      <m:oMath>
        <m:r>
          <m:rPr>
            <m:nor/>
          </m:rPr>
          <w:rPr>
            <w:rFonts w:eastAsia="Calibri" w:cs="Times New Roman"/>
            <w:i/>
            <w:spacing w:val="-1"/>
          </w:rPr>
          <m:t>j</m:t>
        </m:r>
      </m:oMath>
      <w:r w:rsidRPr="009E7F79">
        <w:rPr>
          <w:rFonts w:eastAsiaTheme="minorEastAsia"/>
          <w:spacing w:val="-1"/>
        </w:rPr>
        <w:t>, que se puede definir como el producto de las desviaciones típicas de la rentabilidad de cada activo por la correlación entre la rentabilidad esperada de los activos:</w:t>
      </w:r>
    </w:p>
    <w:p w14:paraId="4162ECA5" w14:textId="77777777" w:rsidR="007350CB" w:rsidRPr="00DE3C2B" w:rsidRDefault="00000000" w:rsidP="007350CB">
      <w:pPr>
        <w:pStyle w:val="Textonotapie"/>
        <w:rPr>
          <w:lang w:val="en-US"/>
        </w:rPr>
      </w:pPr>
      <m:oMathPara>
        <m:oMath>
          <m:sSub>
            <m:sSubPr>
              <m:ctrlPr>
                <w:rPr>
                  <w:rFonts w:ascii="Cambria Math" w:eastAsia="Calibri" w:hAnsi="Cambria Math" w:cs="Times New Roman"/>
                  <w:i/>
                </w:rPr>
              </m:ctrlPr>
            </m:sSubPr>
            <m:e>
              <m:r>
                <m:rPr>
                  <m:nor/>
                </m:rPr>
                <w:rPr>
                  <w:rFonts w:eastAsia="Calibri" w:cs="Times New Roman"/>
                  <w:i/>
                </w:rPr>
                <m:t>σ</m:t>
              </m:r>
            </m:e>
            <m:sub>
              <m:r>
                <m:rPr>
                  <m:nor/>
                </m:rPr>
                <w:rPr>
                  <w:rFonts w:eastAsia="Calibri" w:cs="Times New Roman"/>
                  <w:i/>
                  <w:lang w:val="en-US"/>
                </w:rPr>
                <m:t>ij</m:t>
              </m:r>
            </m:sub>
          </m:sSub>
          <m:r>
            <w:rPr>
              <w:rFonts w:ascii="Cambria Math" w:eastAsia="Calibri" w:hAnsi="Cambria Math" w:cs="Times New Roman"/>
              <w:lang w:val="en-US"/>
            </w:rPr>
            <m:t>=</m:t>
          </m:r>
          <m:sSub>
            <m:sSubPr>
              <m:ctrlPr>
                <w:rPr>
                  <w:rFonts w:ascii="Cambria Math" w:eastAsia="Calibri" w:hAnsi="Cambria Math" w:cs="Times New Roman"/>
                  <w:i/>
                </w:rPr>
              </m:ctrlPr>
            </m:sSubPr>
            <m:e>
              <m:r>
                <m:rPr>
                  <m:nor/>
                </m:rPr>
                <w:rPr>
                  <w:rFonts w:eastAsia="Calibri" w:cs="Times New Roman"/>
                  <w:i/>
                </w:rPr>
                <m:t>σ</m:t>
              </m:r>
            </m:e>
            <m:sub>
              <m:r>
                <m:rPr>
                  <m:nor/>
                </m:rPr>
                <w:rPr>
                  <w:rFonts w:eastAsia="Calibri" w:cs="Times New Roman"/>
                  <w:i/>
                  <w:lang w:val="en-US"/>
                </w:rPr>
                <m:t>i</m:t>
              </m:r>
            </m:sub>
          </m:sSub>
          <m:r>
            <w:rPr>
              <w:rFonts w:ascii="Cambria Math" w:eastAsia="Calibri" w:hAnsi="Cambria Math" w:cs="Times New Roman"/>
              <w:lang w:val="en-US"/>
            </w:rPr>
            <m:t>∙</m:t>
          </m:r>
          <m:sSub>
            <m:sSubPr>
              <m:ctrlPr>
                <w:rPr>
                  <w:rFonts w:ascii="Cambria Math" w:eastAsia="Calibri" w:hAnsi="Cambria Math" w:cs="Times New Roman"/>
                  <w:i/>
                </w:rPr>
              </m:ctrlPr>
            </m:sSubPr>
            <m:e>
              <m:r>
                <m:rPr>
                  <m:nor/>
                </m:rPr>
                <w:rPr>
                  <w:rFonts w:eastAsia="Calibri" w:cs="Times New Roman"/>
                  <w:i/>
                </w:rPr>
                <m:t>σ</m:t>
              </m:r>
            </m:e>
            <m:sub>
              <m:r>
                <m:rPr>
                  <m:nor/>
                </m:rPr>
                <w:rPr>
                  <w:rFonts w:eastAsia="Calibri" w:cs="Times New Roman"/>
                  <w:i/>
                  <w:lang w:val="en-US"/>
                </w:rPr>
                <m:t>j</m:t>
              </m:r>
            </m:sub>
          </m:sSub>
          <m:r>
            <w:rPr>
              <w:rFonts w:ascii="Cambria Math" w:eastAsia="Calibri" w:hAnsi="Cambria Math" w:cs="Times New Roman"/>
              <w:lang w:val="en-US"/>
            </w:rPr>
            <m:t>∙</m:t>
          </m:r>
          <m:sSub>
            <m:sSubPr>
              <m:ctrlPr>
                <w:rPr>
                  <w:rFonts w:ascii="Cambria Math" w:eastAsia="Calibri" w:hAnsi="Cambria Math" w:cs="Times New Roman"/>
                  <w:i/>
                </w:rPr>
              </m:ctrlPr>
            </m:sSubPr>
            <m:e>
              <m:r>
                <m:rPr>
                  <m:nor/>
                </m:rPr>
                <w:rPr>
                  <w:rFonts w:eastAsia="Calibri" w:cs="Times New Roman"/>
                  <w:i/>
                  <w:iCs/>
                </w:rPr>
                <m:t>ρ</m:t>
              </m:r>
            </m:e>
            <m:sub>
              <m:r>
                <m:rPr>
                  <m:nor/>
                </m:rPr>
                <w:rPr>
                  <w:rFonts w:eastAsia="Calibri" w:cs="Times New Roman"/>
                  <w:i/>
                  <w:lang w:val="en-US"/>
                </w:rPr>
                <m:t>ij</m:t>
              </m:r>
            </m:sub>
          </m:sSub>
        </m:oMath>
      </m:oMathPara>
    </w:p>
  </w:footnote>
  <w:footnote w:id="9">
    <w:p w14:paraId="62B8B827" w14:textId="77777777" w:rsidR="00E0123A" w:rsidRDefault="00E0123A" w:rsidP="00E0123A">
      <w:pPr>
        <w:pStyle w:val="Textonotapie"/>
        <w:keepNext/>
        <w:spacing w:after="0"/>
      </w:pPr>
      <w:r>
        <w:rPr>
          <w:rStyle w:val="Refdenotaalpie"/>
        </w:rPr>
        <w:footnoteRef/>
      </w:r>
      <w:r>
        <w:t xml:space="preserve"> </w:t>
      </w:r>
    </w:p>
    <w:tbl>
      <w:tblPr>
        <w:tblStyle w:val="Tablaconcuadrcula"/>
        <w:tblW w:w="0" w:type="auto"/>
        <w:tblInd w:w="851" w:type="dxa"/>
        <w:tblLook w:val="04A0" w:firstRow="1" w:lastRow="0" w:firstColumn="1" w:lastColumn="0" w:noHBand="0" w:noVBand="1"/>
      </w:tblPr>
      <w:tblGrid>
        <w:gridCol w:w="2813"/>
        <w:gridCol w:w="2812"/>
        <w:gridCol w:w="2812"/>
      </w:tblGrid>
      <w:tr w:rsidR="00E0123A" w:rsidRPr="00E0123A" w14:paraId="629FDAD6" w14:textId="77777777" w:rsidTr="002B59F7">
        <w:tc>
          <w:tcPr>
            <w:tcW w:w="8437" w:type="dxa"/>
            <w:gridSpan w:val="3"/>
          </w:tcPr>
          <w:p w14:paraId="637D8D3A" w14:textId="77777777" w:rsidR="00E0123A" w:rsidRPr="00E0123A" w:rsidRDefault="00E0123A" w:rsidP="00E0123A">
            <w:pPr>
              <w:pStyle w:val="Nmero"/>
              <w:keepNext/>
              <w:numPr>
                <w:ilvl w:val="0"/>
                <w:numId w:val="0"/>
              </w:numPr>
              <w:spacing w:after="0"/>
              <w:jc w:val="center"/>
              <w:rPr>
                <w:sz w:val="16"/>
                <w:szCs w:val="16"/>
              </w:rPr>
            </w:pPr>
            <w:r w:rsidRPr="00E0123A">
              <w:rPr>
                <w:sz w:val="16"/>
                <w:szCs w:val="16"/>
              </w:rPr>
              <w:t>¿Se puede obtener varianza nula?</w:t>
            </w:r>
          </w:p>
        </w:tc>
      </w:tr>
      <w:tr w:rsidR="00E0123A" w:rsidRPr="00E0123A" w14:paraId="22776DD6" w14:textId="77777777" w:rsidTr="002B59F7">
        <w:tc>
          <w:tcPr>
            <w:tcW w:w="2813" w:type="dxa"/>
          </w:tcPr>
          <w:p w14:paraId="299B2BBF" w14:textId="77777777" w:rsidR="00E0123A" w:rsidRPr="00E0123A" w:rsidRDefault="00E0123A" w:rsidP="00E0123A">
            <w:pPr>
              <w:pStyle w:val="Nmero"/>
              <w:keepNext/>
              <w:numPr>
                <w:ilvl w:val="0"/>
                <w:numId w:val="0"/>
              </w:numPr>
              <w:spacing w:after="0"/>
              <w:jc w:val="center"/>
              <w:rPr>
                <w:i/>
                <w:iCs/>
                <w:sz w:val="16"/>
                <w:szCs w:val="16"/>
              </w:rPr>
            </w:pPr>
            <w:r w:rsidRPr="00E0123A">
              <w:rPr>
                <w:i/>
                <w:iCs/>
                <w:sz w:val="16"/>
                <w:szCs w:val="16"/>
              </w:rPr>
              <w:t>Coeficiente de correlación lineal</w:t>
            </w:r>
          </w:p>
        </w:tc>
        <w:tc>
          <w:tcPr>
            <w:tcW w:w="2812" w:type="dxa"/>
          </w:tcPr>
          <w:p w14:paraId="40E9F65C" w14:textId="7F463F89" w:rsidR="00E0123A" w:rsidRPr="00E0123A" w:rsidRDefault="00E0123A" w:rsidP="00E0123A">
            <w:pPr>
              <w:pStyle w:val="Nmero"/>
              <w:keepNext/>
              <w:numPr>
                <w:ilvl w:val="0"/>
                <w:numId w:val="0"/>
              </w:numPr>
              <w:spacing w:after="0"/>
              <w:jc w:val="center"/>
              <w:rPr>
                <w:sz w:val="16"/>
                <w:szCs w:val="16"/>
              </w:rPr>
            </w:pPr>
            <w:r w:rsidRPr="00E0123A">
              <w:rPr>
                <w:b/>
                <w:bCs/>
                <w:sz w:val="16"/>
                <w:szCs w:val="16"/>
              </w:rPr>
              <w:t>Permitidas</w:t>
            </w:r>
            <w:r w:rsidRPr="00E0123A">
              <w:rPr>
                <w:sz w:val="16"/>
                <w:szCs w:val="16"/>
              </w:rPr>
              <w:t xml:space="preserve"> ventas </w:t>
            </w:r>
            <w:r w:rsidR="00C646E0" w:rsidRPr="00C646E0">
              <w:rPr>
                <w:sz w:val="16"/>
                <w:szCs w:val="16"/>
              </w:rPr>
              <w:t>en corto</w:t>
            </w:r>
          </w:p>
        </w:tc>
        <w:tc>
          <w:tcPr>
            <w:tcW w:w="2812" w:type="dxa"/>
          </w:tcPr>
          <w:p w14:paraId="6A9CF532" w14:textId="59333022" w:rsidR="00E0123A" w:rsidRPr="00E0123A" w:rsidRDefault="00E0123A" w:rsidP="00E0123A">
            <w:pPr>
              <w:pStyle w:val="Nmero"/>
              <w:keepNext/>
              <w:numPr>
                <w:ilvl w:val="0"/>
                <w:numId w:val="0"/>
              </w:numPr>
              <w:spacing w:after="0"/>
              <w:jc w:val="center"/>
              <w:rPr>
                <w:sz w:val="16"/>
                <w:szCs w:val="16"/>
              </w:rPr>
            </w:pPr>
            <w:r w:rsidRPr="00E0123A">
              <w:rPr>
                <w:b/>
                <w:bCs/>
                <w:sz w:val="16"/>
                <w:szCs w:val="16"/>
              </w:rPr>
              <w:t>No permitidas</w:t>
            </w:r>
            <w:r w:rsidRPr="00E0123A">
              <w:rPr>
                <w:sz w:val="16"/>
                <w:szCs w:val="16"/>
              </w:rPr>
              <w:t xml:space="preserve"> ventas </w:t>
            </w:r>
            <w:r w:rsidR="00C646E0" w:rsidRPr="00C646E0">
              <w:rPr>
                <w:sz w:val="16"/>
                <w:szCs w:val="16"/>
              </w:rPr>
              <w:t>en corto</w:t>
            </w:r>
          </w:p>
        </w:tc>
      </w:tr>
      <w:tr w:rsidR="00E0123A" w:rsidRPr="00E0123A" w14:paraId="33DD4019" w14:textId="77777777" w:rsidTr="002B59F7">
        <w:tc>
          <w:tcPr>
            <w:tcW w:w="2813" w:type="dxa"/>
          </w:tcPr>
          <w:p w14:paraId="5ABD6915" w14:textId="77777777" w:rsidR="00E0123A" w:rsidRPr="00E0123A" w:rsidRDefault="00000000" w:rsidP="00E0123A">
            <w:pPr>
              <w:pStyle w:val="Nmero"/>
              <w:keepNext/>
              <w:numPr>
                <w:ilvl w:val="0"/>
                <w:numId w:val="0"/>
              </w:numPr>
              <w:spacing w:after="0"/>
              <w:jc w:val="center"/>
              <w:rPr>
                <w:i/>
                <w:sz w:val="16"/>
                <w:szCs w:val="16"/>
              </w:rPr>
            </w:pPr>
            <m:oMathPara>
              <m:oMath>
                <m:sSub>
                  <m:sSubPr>
                    <m:ctrlPr>
                      <w:rPr>
                        <w:rFonts w:ascii="Cambria Math" w:hAnsi="Cambria Math"/>
                        <w:i/>
                        <w:sz w:val="16"/>
                        <w:szCs w:val="16"/>
                      </w:rPr>
                    </m:ctrlPr>
                  </m:sSubPr>
                  <m:e>
                    <m:r>
                      <m:rPr>
                        <m:nor/>
                      </m:rPr>
                      <w:rPr>
                        <w:rFonts w:ascii="Times New Roman" w:hAnsi="Times New Roman" w:cs="Times New Roman"/>
                        <w:i/>
                        <w:sz w:val="16"/>
                        <w:szCs w:val="16"/>
                      </w:rPr>
                      <m:t>ρ</m:t>
                    </m:r>
                  </m:e>
                  <m:sub>
                    <m:r>
                      <m:rPr>
                        <m:nor/>
                      </m:rPr>
                      <w:rPr>
                        <w:i/>
                        <w:sz w:val="16"/>
                        <w:szCs w:val="16"/>
                      </w:rPr>
                      <m:t>A,B</m:t>
                    </m:r>
                  </m:sub>
                </m:sSub>
                <m:r>
                  <m:rPr>
                    <m:nor/>
                  </m:rPr>
                  <w:rPr>
                    <w:rFonts w:ascii="Cambria Math"/>
                    <w:i/>
                    <w:sz w:val="16"/>
                    <w:szCs w:val="16"/>
                  </w:rPr>
                  <m:t xml:space="preserve"> </m:t>
                </m:r>
                <m:r>
                  <m:rPr>
                    <m:nor/>
                  </m:rPr>
                  <w:rPr>
                    <w:i/>
                    <w:sz w:val="16"/>
                    <w:szCs w:val="16"/>
                  </w:rPr>
                  <m:t>=</m:t>
                </m:r>
                <m:r>
                  <m:rPr>
                    <m:nor/>
                  </m:rPr>
                  <w:rPr>
                    <w:rFonts w:ascii="Cambria Math"/>
                    <w:i/>
                    <w:sz w:val="16"/>
                    <w:szCs w:val="16"/>
                  </w:rPr>
                  <m:t xml:space="preserve"> </m:t>
                </m:r>
                <m:r>
                  <m:rPr>
                    <m:nor/>
                  </m:rPr>
                  <w:rPr>
                    <w:i/>
                    <w:sz w:val="16"/>
                    <w:szCs w:val="16"/>
                  </w:rPr>
                  <m:t>1</m:t>
                </m:r>
              </m:oMath>
            </m:oMathPara>
          </w:p>
        </w:tc>
        <w:tc>
          <w:tcPr>
            <w:tcW w:w="2812" w:type="dxa"/>
          </w:tcPr>
          <w:p w14:paraId="2F752944" w14:textId="77777777" w:rsidR="00E0123A" w:rsidRPr="00E0123A" w:rsidRDefault="00E0123A" w:rsidP="00E0123A">
            <w:pPr>
              <w:pStyle w:val="Nmero"/>
              <w:keepNext/>
              <w:numPr>
                <w:ilvl w:val="0"/>
                <w:numId w:val="0"/>
              </w:numPr>
              <w:spacing w:after="0"/>
              <w:jc w:val="center"/>
              <w:rPr>
                <w:sz w:val="16"/>
                <w:szCs w:val="16"/>
              </w:rPr>
            </w:pPr>
            <w:r w:rsidRPr="00E0123A">
              <w:rPr>
                <w:sz w:val="16"/>
                <w:szCs w:val="16"/>
              </w:rPr>
              <w:t>Sí</w:t>
            </w:r>
          </w:p>
        </w:tc>
        <w:tc>
          <w:tcPr>
            <w:tcW w:w="2812" w:type="dxa"/>
          </w:tcPr>
          <w:p w14:paraId="3CBCD8FD" w14:textId="77777777" w:rsidR="00E0123A" w:rsidRPr="00E0123A" w:rsidRDefault="00E0123A" w:rsidP="00E0123A">
            <w:pPr>
              <w:pStyle w:val="Nmero"/>
              <w:keepNext/>
              <w:numPr>
                <w:ilvl w:val="0"/>
                <w:numId w:val="0"/>
              </w:numPr>
              <w:spacing w:after="0"/>
              <w:jc w:val="center"/>
              <w:rPr>
                <w:sz w:val="16"/>
                <w:szCs w:val="16"/>
              </w:rPr>
            </w:pPr>
            <w:r w:rsidRPr="00E0123A">
              <w:rPr>
                <w:sz w:val="16"/>
                <w:szCs w:val="16"/>
              </w:rPr>
              <w:t>No</w:t>
            </w:r>
          </w:p>
        </w:tc>
      </w:tr>
      <w:tr w:rsidR="00E0123A" w:rsidRPr="00E0123A" w14:paraId="536D21D9" w14:textId="77777777" w:rsidTr="002B59F7">
        <w:tc>
          <w:tcPr>
            <w:tcW w:w="2813" w:type="dxa"/>
          </w:tcPr>
          <w:p w14:paraId="49F0BEEC" w14:textId="77777777" w:rsidR="00E0123A" w:rsidRPr="00E0123A" w:rsidRDefault="00000000" w:rsidP="00E0123A">
            <w:pPr>
              <w:pStyle w:val="Nmero"/>
              <w:keepNext/>
              <w:numPr>
                <w:ilvl w:val="0"/>
                <w:numId w:val="0"/>
              </w:numPr>
              <w:spacing w:after="0"/>
              <w:jc w:val="center"/>
              <w:rPr>
                <w:sz w:val="16"/>
                <w:szCs w:val="16"/>
              </w:rPr>
            </w:pPr>
            <m:oMathPara>
              <m:oMath>
                <m:sSub>
                  <m:sSubPr>
                    <m:ctrlPr>
                      <w:rPr>
                        <w:rFonts w:ascii="Cambria Math" w:hAnsi="Cambria Math"/>
                        <w:i/>
                        <w:sz w:val="16"/>
                        <w:szCs w:val="16"/>
                      </w:rPr>
                    </m:ctrlPr>
                  </m:sSubPr>
                  <m:e>
                    <m:r>
                      <m:rPr>
                        <m:nor/>
                      </m:rPr>
                      <w:rPr>
                        <w:rFonts w:ascii="Times New Roman" w:hAnsi="Times New Roman" w:cs="Times New Roman"/>
                        <w:i/>
                        <w:sz w:val="16"/>
                        <w:szCs w:val="16"/>
                      </w:rPr>
                      <m:t>ρ</m:t>
                    </m:r>
                  </m:e>
                  <m:sub>
                    <m:r>
                      <m:rPr>
                        <m:nor/>
                      </m:rPr>
                      <w:rPr>
                        <w:i/>
                        <w:sz w:val="16"/>
                        <w:szCs w:val="16"/>
                      </w:rPr>
                      <m:t>A,B</m:t>
                    </m:r>
                  </m:sub>
                </m:sSub>
                <m:r>
                  <m:rPr>
                    <m:nor/>
                  </m:rPr>
                  <w:rPr>
                    <w:rFonts w:ascii="Cambria Math"/>
                    <w:i/>
                    <w:sz w:val="16"/>
                    <w:szCs w:val="16"/>
                  </w:rPr>
                  <m:t xml:space="preserve"> </m:t>
                </m:r>
                <m:r>
                  <m:rPr>
                    <m:nor/>
                  </m:rPr>
                  <w:rPr>
                    <w:i/>
                    <w:sz w:val="16"/>
                    <w:szCs w:val="16"/>
                  </w:rPr>
                  <m:t>=</m:t>
                </m:r>
                <m:r>
                  <m:rPr>
                    <m:nor/>
                  </m:rPr>
                  <w:rPr>
                    <w:rFonts w:ascii="Cambria Math"/>
                    <w:i/>
                    <w:sz w:val="16"/>
                    <w:szCs w:val="16"/>
                  </w:rPr>
                  <m:t xml:space="preserve"> </m:t>
                </m:r>
                <m:r>
                  <w:rPr>
                    <w:rFonts w:ascii="Cambria Math" w:hAnsi="Cambria Math"/>
                    <w:sz w:val="16"/>
                    <w:szCs w:val="16"/>
                  </w:rPr>
                  <m:t>-</m:t>
                </m:r>
                <m:r>
                  <m:rPr>
                    <m:nor/>
                  </m:rPr>
                  <w:rPr>
                    <w:i/>
                    <w:sz w:val="16"/>
                    <w:szCs w:val="16"/>
                  </w:rPr>
                  <m:t>1</m:t>
                </m:r>
              </m:oMath>
            </m:oMathPara>
          </w:p>
        </w:tc>
        <w:tc>
          <w:tcPr>
            <w:tcW w:w="2812" w:type="dxa"/>
          </w:tcPr>
          <w:p w14:paraId="33D93449" w14:textId="77777777" w:rsidR="00E0123A" w:rsidRPr="00E0123A" w:rsidRDefault="00E0123A" w:rsidP="00E0123A">
            <w:pPr>
              <w:pStyle w:val="Nmero"/>
              <w:keepNext/>
              <w:numPr>
                <w:ilvl w:val="0"/>
                <w:numId w:val="0"/>
              </w:numPr>
              <w:spacing w:after="0"/>
              <w:jc w:val="center"/>
              <w:rPr>
                <w:sz w:val="16"/>
                <w:szCs w:val="16"/>
              </w:rPr>
            </w:pPr>
            <w:r w:rsidRPr="00E0123A">
              <w:rPr>
                <w:sz w:val="16"/>
                <w:szCs w:val="16"/>
              </w:rPr>
              <w:t>Sí</w:t>
            </w:r>
          </w:p>
        </w:tc>
        <w:tc>
          <w:tcPr>
            <w:tcW w:w="2812" w:type="dxa"/>
          </w:tcPr>
          <w:p w14:paraId="2EB7921D" w14:textId="77777777" w:rsidR="00E0123A" w:rsidRPr="00E0123A" w:rsidRDefault="00E0123A" w:rsidP="00E0123A">
            <w:pPr>
              <w:pStyle w:val="Nmero"/>
              <w:keepNext/>
              <w:numPr>
                <w:ilvl w:val="0"/>
                <w:numId w:val="0"/>
              </w:numPr>
              <w:spacing w:after="0"/>
              <w:jc w:val="center"/>
              <w:rPr>
                <w:sz w:val="16"/>
                <w:szCs w:val="16"/>
              </w:rPr>
            </w:pPr>
            <w:r w:rsidRPr="00E0123A">
              <w:rPr>
                <w:sz w:val="16"/>
                <w:szCs w:val="16"/>
              </w:rPr>
              <w:t>Sí</w:t>
            </w:r>
          </w:p>
        </w:tc>
      </w:tr>
      <w:tr w:rsidR="00E0123A" w:rsidRPr="00E0123A" w14:paraId="41636873" w14:textId="77777777" w:rsidTr="002B59F7">
        <w:tc>
          <w:tcPr>
            <w:tcW w:w="2813" w:type="dxa"/>
          </w:tcPr>
          <w:p w14:paraId="1CB86E55" w14:textId="77777777" w:rsidR="00E0123A" w:rsidRPr="00E0123A" w:rsidRDefault="00000000" w:rsidP="00E0123A">
            <w:pPr>
              <w:pStyle w:val="Nmero"/>
              <w:numPr>
                <w:ilvl w:val="0"/>
                <w:numId w:val="0"/>
              </w:numPr>
              <w:spacing w:after="0"/>
              <w:jc w:val="center"/>
              <w:rPr>
                <w:sz w:val="16"/>
                <w:szCs w:val="16"/>
              </w:rPr>
            </w:pPr>
            <m:oMathPara>
              <m:oMath>
                <m:sSub>
                  <m:sSubPr>
                    <m:ctrlPr>
                      <w:rPr>
                        <w:rFonts w:ascii="Cambria Math" w:hAnsi="Cambria Math"/>
                        <w:i/>
                        <w:sz w:val="16"/>
                        <w:szCs w:val="16"/>
                      </w:rPr>
                    </m:ctrlPr>
                  </m:sSubPr>
                  <m:e>
                    <m:r>
                      <m:rPr>
                        <m:nor/>
                      </m:rPr>
                      <w:rPr>
                        <w:rFonts w:ascii="Times New Roman" w:hAnsi="Times New Roman" w:cs="Times New Roman"/>
                        <w:i/>
                        <w:sz w:val="16"/>
                        <w:szCs w:val="16"/>
                      </w:rPr>
                      <m:t>ρ</m:t>
                    </m:r>
                  </m:e>
                  <m:sub>
                    <m:r>
                      <m:rPr>
                        <m:nor/>
                      </m:rPr>
                      <w:rPr>
                        <w:i/>
                        <w:sz w:val="16"/>
                        <w:szCs w:val="16"/>
                      </w:rPr>
                      <m:t>A,B</m:t>
                    </m:r>
                  </m:sub>
                </m:sSub>
                <m:r>
                  <m:rPr>
                    <m:nor/>
                  </m:rPr>
                  <w:rPr>
                    <w:i/>
                    <w:iCs/>
                    <w:sz w:val="16"/>
                    <w:szCs w:val="16"/>
                  </w:rPr>
                  <m:t xml:space="preserve"> </m:t>
                </m:r>
                <m:r>
                  <m:rPr>
                    <m:nor/>
                  </m:rPr>
                  <w:rPr>
                    <w:rFonts w:ascii="Cambria" w:hAnsi="Cambria" w:cs="Cambria"/>
                    <w:i/>
                    <w:iCs/>
                    <w:sz w:val="16"/>
                    <w:szCs w:val="16"/>
                  </w:rPr>
                  <m:t>ϵ</m:t>
                </m:r>
                <m:r>
                  <m:rPr>
                    <m:nor/>
                  </m:rPr>
                  <w:rPr>
                    <w:i/>
                    <w:iCs/>
                    <w:sz w:val="16"/>
                    <w:szCs w:val="16"/>
                  </w:rPr>
                  <m:t xml:space="preserve"> </m:t>
                </m:r>
                <m:d>
                  <m:dPr>
                    <m:ctrlPr>
                      <w:rPr>
                        <w:rFonts w:ascii="Cambria Math" w:hAnsi="Cambria Math"/>
                        <w:i/>
                        <w:sz w:val="16"/>
                        <w:szCs w:val="16"/>
                      </w:rPr>
                    </m:ctrlPr>
                  </m:dPr>
                  <m:e>
                    <m:r>
                      <w:rPr>
                        <w:rFonts w:ascii="Cambria Math" w:hAnsi="Cambria Math"/>
                        <w:sz w:val="16"/>
                        <w:szCs w:val="16"/>
                      </w:rPr>
                      <m:t>-</m:t>
                    </m:r>
                    <m:r>
                      <m:rPr>
                        <m:nor/>
                      </m:rPr>
                      <w:rPr>
                        <w:i/>
                        <w:iCs/>
                        <w:sz w:val="16"/>
                        <w:szCs w:val="16"/>
                      </w:rPr>
                      <m:t>1, 1</m:t>
                    </m:r>
                  </m:e>
                </m:d>
              </m:oMath>
            </m:oMathPara>
          </w:p>
        </w:tc>
        <w:tc>
          <w:tcPr>
            <w:tcW w:w="2812" w:type="dxa"/>
          </w:tcPr>
          <w:p w14:paraId="6A6D66F4" w14:textId="77777777" w:rsidR="00E0123A" w:rsidRPr="00E0123A" w:rsidRDefault="00E0123A" w:rsidP="00E0123A">
            <w:pPr>
              <w:pStyle w:val="Nmero"/>
              <w:numPr>
                <w:ilvl w:val="0"/>
                <w:numId w:val="0"/>
              </w:numPr>
              <w:spacing w:after="0"/>
              <w:jc w:val="center"/>
              <w:rPr>
                <w:sz w:val="16"/>
                <w:szCs w:val="16"/>
              </w:rPr>
            </w:pPr>
            <w:r w:rsidRPr="00E0123A">
              <w:rPr>
                <w:sz w:val="16"/>
                <w:szCs w:val="16"/>
              </w:rPr>
              <w:t>No</w:t>
            </w:r>
          </w:p>
        </w:tc>
        <w:tc>
          <w:tcPr>
            <w:tcW w:w="2812" w:type="dxa"/>
          </w:tcPr>
          <w:p w14:paraId="021381B3" w14:textId="77777777" w:rsidR="00E0123A" w:rsidRPr="00E0123A" w:rsidRDefault="00E0123A" w:rsidP="00E0123A">
            <w:pPr>
              <w:pStyle w:val="Nmero"/>
              <w:numPr>
                <w:ilvl w:val="0"/>
                <w:numId w:val="0"/>
              </w:numPr>
              <w:spacing w:after="0"/>
              <w:jc w:val="center"/>
              <w:rPr>
                <w:sz w:val="16"/>
                <w:szCs w:val="16"/>
              </w:rPr>
            </w:pPr>
            <w:r w:rsidRPr="00E0123A">
              <w:rPr>
                <w:sz w:val="16"/>
                <w:szCs w:val="16"/>
              </w:rPr>
              <w:t>No</w:t>
            </w:r>
          </w:p>
        </w:tc>
      </w:tr>
    </w:tbl>
    <w:p w14:paraId="4D655D5B" w14:textId="5726E995" w:rsidR="00E0123A" w:rsidRDefault="00E0123A" w:rsidP="005E31D7">
      <w:pPr>
        <w:pStyle w:val="Nivel3"/>
        <w:numPr>
          <w:ilvl w:val="0"/>
          <w:numId w:val="0"/>
        </w:numPr>
        <w:spacing w:after="40"/>
        <w:ind w:left="720" w:hanging="720"/>
        <w:jc w:val="center"/>
      </w:pPr>
      <w:r>
        <w:rPr>
          <w:noProof/>
        </w:rPr>
        <w:drawing>
          <wp:inline distT="0" distB="0" distL="0" distR="0" wp14:anchorId="3DBA4DF2" wp14:editId="049DE49E">
            <wp:extent cx="2051050" cy="952695"/>
            <wp:effectExtent l="0" t="0" r="6350" b="0"/>
            <wp:docPr id="16" name="Imagen 16" descr="Gráfi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Gráfico&#10;&#10;Descripción generada automáticamente con confianza media"/>
                    <pic:cNvPicPr/>
                  </pic:nvPicPr>
                  <pic:blipFill>
                    <a:blip r:embed="rId3"/>
                    <a:stretch>
                      <a:fillRect/>
                    </a:stretch>
                  </pic:blipFill>
                  <pic:spPr>
                    <a:xfrm>
                      <a:off x="0" y="0"/>
                      <a:ext cx="2063330" cy="958399"/>
                    </a:xfrm>
                    <a:prstGeom prst="rect">
                      <a:avLst/>
                    </a:prstGeom>
                  </pic:spPr>
                </pic:pic>
              </a:graphicData>
            </a:graphic>
          </wp:inline>
        </w:drawing>
      </w:r>
    </w:p>
  </w:footnote>
  <w:footnote w:id="10">
    <w:p w14:paraId="462DEFDA" w14:textId="6862F20A" w:rsidR="00C646E0" w:rsidRDefault="00C646E0">
      <w:pPr>
        <w:pStyle w:val="Textonotapie"/>
      </w:pPr>
      <w:r>
        <w:rPr>
          <w:rStyle w:val="Refdenotaalpie"/>
        </w:rPr>
        <w:footnoteRef/>
      </w:r>
      <w:r>
        <w:t xml:space="preserve"> </w:t>
      </w:r>
      <w:r w:rsidRPr="00C646E0">
        <w:t xml:space="preserve">Las ventas en corto, también conocidas como </w:t>
      </w:r>
      <w:r>
        <w:t>“</w:t>
      </w:r>
      <w:r w:rsidRPr="00C646E0">
        <w:t>ventas a desc</w:t>
      </w:r>
      <w:r>
        <w:t>u</w:t>
      </w:r>
      <w:r w:rsidRPr="00C646E0">
        <w:t>b</w:t>
      </w:r>
      <w:r>
        <w:t>i</w:t>
      </w:r>
      <w:r w:rsidRPr="00C646E0">
        <w:t>erto</w:t>
      </w:r>
      <w:r>
        <w:t>”</w:t>
      </w:r>
      <w:r w:rsidRPr="00C646E0">
        <w:t>, son una estrategia de inversión en la que un inversor vende un activo que no posee con la esperanza de comprarlo de nuevo a un precio más bajo en el futuro. El objetivo es obtener ganancias a partir de la caída del precio del activo. Es una técnica utilizada en el mercado de valores, pero también puede aplicarse a otros mercados como el de materias primas y divisas.</w:t>
      </w:r>
    </w:p>
  </w:footnote>
  <w:footnote w:id="11">
    <w:p w14:paraId="0B1D5494" w14:textId="222A02FC" w:rsidR="007350CB" w:rsidRPr="00073774" w:rsidRDefault="007350CB" w:rsidP="007350CB">
      <w:pPr>
        <w:pStyle w:val="Textonotapie"/>
        <w:rPr>
          <w:bCs/>
          <w:szCs w:val="16"/>
        </w:rPr>
      </w:pPr>
      <w:r w:rsidRPr="00073774">
        <w:rPr>
          <w:rStyle w:val="Refdenotaalpie"/>
          <w:bCs/>
          <w:szCs w:val="16"/>
        </w:rPr>
        <w:footnoteRef/>
      </w:r>
      <w:r w:rsidRPr="00073774">
        <w:rPr>
          <w:bCs/>
          <w:szCs w:val="16"/>
        </w:rPr>
        <w:t xml:space="preserve"> Esto implica que al inversor </w:t>
      </w:r>
      <w:r w:rsidRPr="00AF02D1">
        <w:rPr>
          <w:bCs/>
          <w:szCs w:val="16"/>
        </w:rPr>
        <w:t>no</w:t>
      </w:r>
      <w:r w:rsidRPr="00073774">
        <w:rPr>
          <w:bCs/>
          <w:szCs w:val="16"/>
        </w:rPr>
        <w:t xml:space="preserve"> le interesará invertir en el activo</w:t>
      </w:r>
      <w:r w:rsidR="005E31D7">
        <w:rPr>
          <w:bCs/>
          <w:szCs w:val="16"/>
        </w:rPr>
        <w:t> </w:t>
      </w:r>
      <w:r w:rsidRPr="00073774">
        <w:rPr>
          <w:bCs/>
          <w:i/>
          <w:szCs w:val="16"/>
        </w:rPr>
        <w:t>A</w:t>
      </w:r>
      <w:r w:rsidRPr="00073774">
        <w:rPr>
          <w:bCs/>
          <w:szCs w:val="16"/>
        </w:rPr>
        <w:t xml:space="preserve"> una proporción mayor que la asociada al mínimo riesgo.</w:t>
      </w:r>
    </w:p>
  </w:footnote>
  <w:footnote w:id="12">
    <w:p w14:paraId="7F42750C" w14:textId="1F6A062F" w:rsidR="007350CB" w:rsidRPr="00BA72C5" w:rsidRDefault="007350CB" w:rsidP="007350CB">
      <w:pPr>
        <w:pStyle w:val="Textonotapie"/>
      </w:pPr>
      <w:r w:rsidRPr="00073774">
        <w:rPr>
          <w:rStyle w:val="Refdenotaalpie"/>
          <w:bCs/>
          <w:szCs w:val="16"/>
        </w:rPr>
        <w:footnoteRef/>
      </w:r>
      <w:r w:rsidRPr="00073774">
        <w:rPr>
          <w:bCs/>
          <w:szCs w:val="16"/>
        </w:rPr>
        <w:t xml:space="preserve"> Nótese que esto implica que, incluso si los rendimientos de los activos </w:t>
      </w:r>
      <w:r w:rsidRPr="00AF02D1">
        <w:rPr>
          <w:bCs/>
          <w:szCs w:val="16"/>
        </w:rPr>
        <w:t>no</w:t>
      </w:r>
      <w:r w:rsidRPr="00073774">
        <w:rPr>
          <w:bCs/>
          <w:szCs w:val="16"/>
        </w:rPr>
        <w:t xml:space="preserve"> están correlacionados (i.e. </w:t>
      </w:r>
      <m:oMath>
        <m:r>
          <m:rPr>
            <m:nor/>
          </m:rPr>
          <w:rPr>
            <w:bCs/>
            <w:i/>
            <w:iCs/>
            <w:szCs w:val="16"/>
          </w:rPr>
          <m:t>ρ</m:t>
        </m:r>
        <m:r>
          <w:rPr>
            <w:rFonts w:ascii="Cambria Math" w:hAnsi="Cambria Math"/>
            <w:szCs w:val="16"/>
          </w:rPr>
          <m:t>=</m:t>
        </m:r>
        <m:r>
          <m:rPr>
            <m:nor/>
          </m:rPr>
          <w:rPr>
            <w:bCs/>
            <w:i/>
            <w:iCs/>
            <w:szCs w:val="16"/>
          </w:rPr>
          <m:t>0</m:t>
        </m:r>
      </m:oMath>
      <w:r w:rsidRPr="00073774">
        <w:rPr>
          <w:bCs/>
          <w:szCs w:val="16"/>
        </w:rPr>
        <w:t>), habrá ventajas de diversificar.</w:t>
      </w:r>
    </w:p>
  </w:footnote>
  <w:footnote w:id="13">
    <w:p w14:paraId="43D0DAFB" w14:textId="11AEE8E2" w:rsidR="00564C62" w:rsidRPr="0002605D" w:rsidRDefault="00564C62" w:rsidP="0002605D">
      <w:pPr>
        <w:pStyle w:val="Textonotapie"/>
        <w:tabs>
          <w:tab w:val="left" w:pos="7088"/>
        </w:tabs>
        <w:rPr>
          <w:spacing w:val="-1"/>
        </w:rPr>
      </w:pPr>
      <w:r>
        <w:rPr>
          <w:rStyle w:val="Refdenotaalpie"/>
        </w:rPr>
        <w:footnoteRef/>
      </w:r>
      <w:r>
        <w:t xml:space="preserve"> </w:t>
      </w:r>
      <w:r w:rsidRPr="0002605D">
        <w:rPr>
          <w:spacing w:val="-1"/>
        </w:rPr>
        <w:t xml:space="preserve">Antes de las contribuciones de </w:t>
      </w:r>
      <w:r w:rsidRPr="0002605D">
        <w:rPr>
          <w:smallCaps/>
          <w:spacing w:val="-1"/>
        </w:rPr>
        <w:t>Markowitz</w:t>
      </w:r>
      <w:r w:rsidRPr="0002605D">
        <w:rPr>
          <w:spacing w:val="-1"/>
        </w:rPr>
        <w:t xml:space="preserve">, todo el mundo (hasta los magnates de las finanzas en sus clubs privados) ya sabían que eso de meter todos los huevos en la misma cesta no era muy buena idea. Que había que repartir las inversiones, por lo menos un poco. ¿Cuánto? Pues no sabemos, un poquito aquí, otro poquito allá. Aquí entra </w:t>
      </w:r>
      <w:r w:rsidRPr="0002605D">
        <w:rPr>
          <w:smallCaps/>
          <w:spacing w:val="-1"/>
        </w:rPr>
        <w:t>Markowitz</w:t>
      </w:r>
      <w:r w:rsidRPr="0002605D">
        <w:rPr>
          <w:spacing w:val="-1"/>
        </w:rPr>
        <w:t xml:space="preserve">. Guiado por el concepto matemático de eficiencia que le trasmitió su profesor </w:t>
      </w:r>
      <w:r w:rsidRPr="0002605D">
        <w:rPr>
          <w:smallCaps/>
          <w:spacing w:val="-1"/>
        </w:rPr>
        <w:t>Tjalling Koopmans</w:t>
      </w:r>
      <w:r w:rsidRPr="0002605D">
        <w:rPr>
          <w:spacing w:val="-1"/>
        </w:rPr>
        <w:t xml:space="preserve"> (</w:t>
      </w:r>
      <w:r w:rsidR="0002605D" w:rsidRPr="0002605D">
        <w:rPr>
          <w:spacing w:val="-1"/>
        </w:rPr>
        <w:t>P</w:t>
      </w:r>
      <w:r w:rsidRPr="0002605D">
        <w:rPr>
          <w:spacing w:val="-1"/>
        </w:rPr>
        <w:t xml:space="preserve">remio Nobel de </w:t>
      </w:r>
      <w:r w:rsidR="0002605D" w:rsidRPr="0002605D">
        <w:rPr>
          <w:spacing w:val="-1"/>
        </w:rPr>
        <w:t>E</w:t>
      </w:r>
      <w:r w:rsidRPr="0002605D">
        <w:rPr>
          <w:spacing w:val="-1"/>
        </w:rPr>
        <w:t xml:space="preserve">conomía en 1975), aplicó las matemáticas para definir el problema de inversión, </w:t>
      </w:r>
      <w:r w:rsidRPr="0002605D">
        <w:rPr>
          <w:i/>
          <w:iCs/>
          <w:spacing w:val="-1"/>
          <w:u w:val="single"/>
        </w:rPr>
        <w:t xml:space="preserve">definir un criterio objetivo para comparar cuando una cartera es </w:t>
      </w:r>
      <w:r w:rsidR="0002605D" w:rsidRPr="0002605D">
        <w:rPr>
          <w:i/>
          <w:iCs/>
          <w:spacing w:val="-1"/>
          <w:u w:val="single"/>
        </w:rPr>
        <w:t>“</w:t>
      </w:r>
      <w:r w:rsidRPr="0002605D">
        <w:rPr>
          <w:i/>
          <w:iCs/>
          <w:spacing w:val="-1"/>
          <w:u w:val="single"/>
        </w:rPr>
        <w:t>mejor</w:t>
      </w:r>
      <w:r w:rsidR="0002605D" w:rsidRPr="0002605D">
        <w:rPr>
          <w:i/>
          <w:iCs/>
          <w:spacing w:val="-1"/>
          <w:u w:val="single"/>
        </w:rPr>
        <w:t>”</w:t>
      </w:r>
      <w:r w:rsidRPr="0002605D">
        <w:rPr>
          <w:i/>
          <w:iCs/>
          <w:spacing w:val="-1"/>
          <w:u w:val="single"/>
        </w:rPr>
        <w:t xml:space="preserve"> que otra</w:t>
      </w:r>
      <w:r w:rsidRPr="0002605D">
        <w:rPr>
          <w:spacing w:val="-1"/>
        </w:rPr>
        <w:t>, y con ello establecer la mejor estrategia de inversión.</w:t>
      </w:r>
    </w:p>
    <w:p w14:paraId="09307EDB" w14:textId="63E7103B" w:rsidR="00564C62" w:rsidRDefault="00564C62" w:rsidP="00564C62">
      <w:pPr>
        <w:pStyle w:val="Textonotapie"/>
      </w:pPr>
      <w:r>
        <w:t xml:space="preserve">El símil de los huevos en la cesta no es bueno para describir la elección de empresas con cuyas acciones crear una cartera de inversión. Más apropiado sería pensar que </w:t>
      </w:r>
      <w:r w:rsidRPr="0002605D">
        <w:rPr>
          <w:u w:val="single"/>
        </w:rPr>
        <w:t>se trata de elegir qué gallinas son adecuadas para mantener un buen corral, porque el secreto no está en las empresas en sí (los huevos o gallinas), sino en cómo se relacionan los precios de las acciones de una empresa con las demás (si un tipo de gallina se lleva bien con las otras o no)</w:t>
      </w:r>
      <w:r>
        <w:t>.</w:t>
      </w:r>
    </w:p>
  </w:footnote>
  <w:footnote w:id="14">
    <w:p w14:paraId="7DFDF05D" w14:textId="45044730" w:rsidR="009F1413" w:rsidRPr="007915F3" w:rsidRDefault="009F1413" w:rsidP="009F1413">
      <w:pPr>
        <w:pStyle w:val="Textonotapie"/>
      </w:pPr>
      <w:r>
        <w:rPr>
          <w:rStyle w:val="Refdenotaalpie"/>
        </w:rPr>
        <w:footnoteRef/>
      </w:r>
      <w:r>
        <w:t xml:space="preserve"> El término </w:t>
      </w:r>
      <m:oMath>
        <m:f>
          <m:fPr>
            <m:type m:val="lin"/>
            <m:ctrlPr>
              <w:rPr>
                <w:rFonts w:ascii="Cambria Math" w:eastAsia="Calibri" w:hAnsi="Cambria Math" w:cs="Times New Roman"/>
                <w:i/>
              </w:rPr>
            </m:ctrlPr>
          </m:fPr>
          <m:num>
            <m:d>
              <m:dPr>
                <m:ctrlPr>
                  <w:rPr>
                    <w:rFonts w:ascii="Cambria Math" w:eastAsia="Calibri" w:hAnsi="Cambria Math" w:cs="Times New Roman"/>
                    <w:i/>
                  </w:rPr>
                </m:ctrlPr>
              </m:dPr>
              <m:e>
                <m:r>
                  <m:rPr>
                    <m:nor/>
                  </m:rPr>
                  <w:rPr>
                    <w:rFonts w:eastAsia="Calibri" w:cs="Times New Roman"/>
                    <w:i/>
                  </w:rPr>
                  <m:t>E</m:t>
                </m:r>
                <m:d>
                  <m:dPr>
                    <m:begChr m:val="["/>
                    <m:endChr m:val="]"/>
                    <m:ctrlPr>
                      <w:rPr>
                        <w:rFonts w:ascii="Cambria Math" w:eastAsia="Calibri" w:hAnsi="Cambria Math" w:cs="Times New Roman"/>
                        <w:i/>
                        <w:sz w:val="22"/>
                        <w:szCs w:val="22"/>
                      </w:rPr>
                    </m:ctrlPr>
                  </m:d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M</m:t>
                        </m:r>
                      </m:sub>
                    </m:sSub>
                  </m:e>
                </m:d>
                <m:r>
                  <w:rPr>
                    <w:rFonts w:ascii="Cambria Math" w:eastAsia="Calibri" w:hAnsi="Cambria Math" w:cs="Times New Roman"/>
                  </w:rPr>
                  <m:t>-</m:t>
                </m:r>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f</m:t>
                    </m:r>
                  </m:sub>
                </m:sSub>
              </m:e>
            </m:d>
          </m:num>
          <m:den>
            <m:r>
              <m:rPr>
                <m:nor/>
              </m:rPr>
              <w:rPr>
                <w:rFonts w:eastAsia="Calibri" w:cs="Times New Roman"/>
                <w:i/>
              </w:rPr>
              <m:t>σ</m:t>
            </m:r>
            <m:d>
              <m:dPr>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M</m:t>
                    </m:r>
                  </m:sub>
                </m:sSub>
              </m:e>
            </m:d>
          </m:den>
        </m:f>
      </m:oMath>
      <w:r>
        <w:rPr>
          <w:rFonts w:eastAsiaTheme="minorEastAsia"/>
        </w:rPr>
        <w:t xml:space="preserve">, es la pendiente de la Capital Market Line y se conoce como la </w:t>
      </w:r>
      <w:r>
        <w:rPr>
          <w:rFonts w:eastAsiaTheme="minorEastAsia"/>
          <w:i/>
          <w:iCs/>
        </w:rPr>
        <w:t>ratio de Sharpe</w:t>
      </w:r>
      <w:r>
        <w:rPr>
          <w:rFonts w:eastAsiaTheme="minorEastAsia"/>
        </w:rPr>
        <w:t>. Es una medida del exceso de rendimiento por unidad de riesgo de una inversión.</w:t>
      </w:r>
    </w:p>
  </w:footnote>
  <w:footnote w:id="15">
    <w:p w14:paraId="706F2C3A" w14:textId="77777777" w:rsidR="003E4AB4" w:rsidRDefault="00B1060F" w:rsidP="003E4AB4">
      <w:pPr>
        <w:pStyle w:val="Textonotapie"/>
        <w:keepNext/>
        <w:spacing w:after="0"/>
      </w:pPr>
      <w:r>
        <w:rPr>
          <w:rStyle w:val="Refdenotaalpie"/>
        </w:rPr>
        <w:footnoteRef/>
      </w:r>
      <w:r>
        <w:t xml:space="preserve"> La </w:t>
      </w:r>
      <w:r w:rsidRPr="00B1060F">
        <w:rPr>
          <w:i/>
          <w:iCs/>
        </w:rPr>
        <w:t>Capital Market Line</w:t>
      </w:r>
      <w:r>
        <w:t xml:space="preserve"> (CML) y la </w:t>
      </w:r>
      <w:r w:rsidRPr="00B1060F">
        <w:rPr>
          <w:i/>
          <w:iCs/>
        </w:rPr>
        <w:t xml:space="preserve">Capital </w:t>
      </w:r>
      <w:proofErr w:type="spellStart"/>
      <w:r w:rsidRPr="00B1060F">
        <w:rPr>
          <w:i/>
          <w:iCs/>
        </w:rPr>
        <w:t>Allocation</w:t>
      </w:r>
      <w:proofErr w:type="spellEnd"/>
      <w:r w:rsidRPr="00B1060F">
        <w:rPr>
          <w:i/>
          <w:iCs/>
        </w:rPr>
        <w:t xml:space="preserve"> Line</w:t>
      </w:r>
      <w:r>
        <w:t xml:space="preserve"> (CAL) son dos conceptos que se utilizan en finanzas para representar la relación entre el riesgo y el rendimiento de una cartera de inversión.</w:t>
      </w:r>
    </w:p>
    <w:p w14:paraId="32088EAA" w14:textId="77777777" w:rsidR="003E4AB4" w:rsidRDefault="00B1060F">
      <w:pPr>
        <w:pStyle w:val="Textonotapie"/>
        <w:numPr>
          <w:ilvl w:val="0"/>
          <w:numId w:val="35"/>
        </w:numPr>
        <w:spacing w:after="0"/>
        <w:ind w:left="283" w:hanging="113"/>
      </w:pPr>
      <w:r>
        <w:t>La CML es una línea que representa las carteras eficientes que combinan el activo libre de riesgo y el mercado de valores.</w:t>
      </w:r>
    </w:p>
    <w:p w14:paraId="5E6F3121" w14:textId="4C4945D3" w:rsidR="00B1060F" w:rsidRDefault="00B1060F">
      <w:pPr>
        <w:pStyle w:val="Textonotapie"/>
        <w:numPr>
          <w:ilvl w:val="0"/>
          <w:numId w:val="35"/>
        </w:numPr>
        <w:spacing w:after="0"/>
        <w:ind w:left="283" w:hanging="113"/>
      </w:pPr>
      <w:r>
        <w:t>Por otro lado, la CAL es una línea que representa todas las posibles combinaciones de riesgo y rentabilidad dada una cartera de inversión formada por el activo libre de riesgo y activos con riesgo.</w:t>
      </w:r>
    </w:p>
    <w:p w14:paraId="17661718" w14:textId="31D6E7F7" w:rsidR="00B1060F" w:rsidRDefault="00B1060F" w:rsidP="00B1060F">
      <w:pPr>
        <w:pStyle w:val="Textonotapie"/>
      </w:pPr>
      <w:r>
        <w:t>En resumen, la CML es un caso especial de la CAL donde la cartera de riesgo es el mercado de valores. La CAL incluye todas las posibles combinaciones de activos libres de riesgo y activos con riesgo, mientras que la CML solo incluye las carteras eficientes.</w:t>
      </w:r>
    </w:p>
  </w:footnote>
  <w:footnote w:id="16">
    <w:p w14:paraId="339151E9" w14:textId="5F549B25" w:rsidR="007350CB" w:rsidRPr="002B2D8E" w:rsidRDefault="007350CB" w:rsidP="007350CB">
      <w:pPr>
        <w:pStyle w:val="Textonotapie"/>
      </w:pPr>
      <w:r>
        <w:rPr>
          <w:rStyle w:val="Refdenotaalpie"/>
        </w:rPr>
        <w:footnoteRef/>
      </w:r>
      <w:r>
        <w:t xml:space="preserve"> </w:t>
      </w:r>
      <w:r>
        <w:rPr>
          <w:smallCaps/>
        </w:rPr>
        <w:t>Sharpe</w:t>
      </w:r>
      <w:r>
        <w:t xml:space="preserve"> (1964), </w:t>
      </w:r>
      <w:r>
        <w:rPr>
          <w:smallCaps/>
        </w:rPr>
        <w:t>Lintner</w:t>
      </w:r>
      <w:r>
        <w:t xml:space="preserve"> (1965) y </w:t>
      </w:r>
      <w:r>
        <w:rPr>
          <w:smallCaps/>
        </w:rPr>
        <w:t>Mossin</w:t>
      </w:r>
      <w:r>
        <w:t xml:space="preserve"> (1966) desarrollaron de forma simultánea e independiente el CAPM</w:t>
      </w:r>
      <w:r w:rsidR="00A1312E">
        <w:t xml:space="preserve">, </w:t>
      </w:r>
      <w:r w:rsidR="00453B21">
        <w:t>12</w:t>
      </w:r>
      <w:r w:rsidR="00A60488">
        <w:t> </w:t>
      </w:r>
      <w:r w:rsidR="00453B21">
        <w:t xml:space="preserve">años después de la publicación del modelo de </w:t>
      </w:r>
      <w:r w:rsidR="00453B21">
        <w:rPr>
          <w:smallCaps/>
        </w:rPr>
        <w:t>Markowitz</w:t>
      </w:r>
      <w:r w:rsidR="00453B21">
        <w:t xml:space="preserve"> (1952)</w:t>
      </w:r>
      <w:r>
        <w:t>.</w:t>
      </w:r>
    </w:p>
  </w:footnote>
  <w:footnote w:id="17">
    <w:p w14:paraId="68C8B625" w14:textId="3E7D5993" w:rsidR="002602EC" w:rsidRDefault="002602EC">
      <w:pPr>
        <w:pStyle w:val="Textonotapie"/>
      </w:pPr>
      <w:r>
        <w:rPr>
          <w:rStyle w:val="Refdenotaalpie"/>
        </w:rPr>
        <w:footnoteRef/>
      </w:r>
      <w:r>
        <w:t xml:space="preserve"> Por ejemplo</w:t>
      </w:r>
      <w:r w:rsidR="005A67E9">
        <w:t xml:space="preserve">, el CAPM </w:t>
      </w:r>
      <w:r>
        <w:t xml:space="preserve">nos </w:t>
      </w:r>
      <w:r w:rsidR="005A67E9">
        <w:t>v</w:t>
      </w:r>
      <w:r>
        <w:t>a a permitir evaluar el coste del capital propio de una empresa.</w:t>
      </w:r>
    </w:p>
  </w:footnote>
  <w:footnote w:id="18">
    <w:p w14:paraId="11628296" w14:textId="77777777" w:rsidR="007B72A4" w:rsidRDefault="00091792" w:rsidP="007B72A4">
      <w:pPr>
        <w:pStyle w:val="Textonotapie"/>
        <w:keepNext/>
        <w:spacing w:after="0"/>
      </w:pPr>
      <w:r>
        <w:rPr>
          <w:rStyle w:val="Refdenotaalpie"/>
        </w:rPr>
        <w:footnoteRef/>
      </w:r>
    </w:p>
    <w:p w14:paraId="4547BE6A" w14:textId="63E5F8DC" w:rsidR="00091792" w:rsidRDefault="00000000">
      <w:pPr>
        <w:pStyle w:val="Textonotapie"/>
      </w:pPr>
      <m:oMathPara>
        <m:oMath>
          <m:sSub>
            <m:sSubPr>
              <m:ctrlPr>
                <w:rPr>
                  <w:rFonts w:ascii="Cambria Math" w:hAnsi="Cambria Math"/>
                  <w:i/>
                  <w:iCs/>
                </w:rPr>
              </m:ctrlPr>
            </m:sSubPr>
            <m:e>
              <m:r>
                <m:rPr>
                  <m:nor/>
                </m:rPr>
                <w:rPr>
                  <w:i/>
                  <w:iCs/>
                </w:rPr>
                <m:t>β</m:t>
              </m:r>
            </m:e>
            <m:sub>
              <m:r>
                <m:rPr>
                  <m:nor/>
                </m:rPr>
                <w:rPr>
                  <w:i/>
                  <w:iCs/>
                </w:rPr>
                <m:t>M</m:t>
              </m:r>
            </m:sub>
          </m:sSub>
          <m:r>
            <w:rPr>
              <w:rFonts w:ascii="Cambria Math" w:hAnsi="Cambria Math"/>
            </w:rPr>
            <m:t>=</m:t>
          </m:r>
          <m:f>
            <m:fPr>
              <m:ctrlPr>
                <w:rPr>
                  <w:rFonts w:ascii="Cambria Math" w:hAnsi="Cambria Math"/>
                  <w:i/>
                  <w:iCs/>
                </w:rPr>
              </m:ctrlPr>
            </m:fPr>
            <m:num>
              <m:r>
                <m:rPr>
                  <m:nor/>
                </m:rPr>
                <w:rPr>
                  <w:i/>
                  <w:iCs/>
                </w:rPr>
                <m:t>Cov</m:t>
              </m:r>
              <m:d>
                <m:dPr>
                  <m:ctrlPr>
                    <w:rPr>
                      <w:rFonts w:ascii="Cambria Math" w:hAnsi="Cambria Math"/>
                      <w:i/>
                      <w:iCs/>
                    </w:rPr>
                  </m:ctrlPr>
                </m:dPr>
                <m:e>
                  <m:r>
                    <m:rPr>
                      <m:nor/>
                    </m:rPr>
                    <w:rPr>
                      <w:i/>
                      <w:iCs/>
                    </w:rPr>
                    <m:t>E</m:t>
                  </m:r>
                  <m:d>
                    <m:dPr>
                      <m:begChr m:val="["/>
                      <m:endChr m:val="]"/>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e>
                  </m:d>
                  <m:r>
                    <m:rPr>
                      <m:nor/>
                    </m:rPr>
                    <w:rPr>
                      <w:i/>
                      <w:iCs/>
                    </w:rPr>
                    <m:t>,</m:t>
                  </m:r>
                  <m:r>
                    <m:rPr>
                      <m:nor/>
                    </m:rPr>
                    <w:rPr>
                      <w:rFonts w:ascii="Cambria Math"/>
                      <w:i/>
                      <w:iCs/>
                    </w:rPr>
                    <m:t xml:space="preserve"> </m:t>
                  </m:r>
                  <m:r>
                    <m:rPr>
                      <m:nor/>
                    </m:rPr>
                    <w:rPr>
                      <w:i/>
                      <w:iCs/>
                    </w:rPr>
                    <m:t>E</m:t>
                  </m:r>
                  <m:d>
                    <m:dPr>
                      <m:begChr m:val="["/>
                      <m:endChr m:val="]"/>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e>
                  </m:d>
                </m:e>
              </m:d>
            </m:num>
            <m:den>
              <m:r>
                <m:rPr>
                  <m:nor/>
                </m:rPr>
                <w:rPr>
                  <w:i/>
                  <w:iCs/>
                </w:rPr>
                <m:t>Var</m:t>
              </m:r>
              <m:d>
                <m:dPr>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e>
              </m:d>
            </m:den>
          </m:f>
          <m:r>
            <w:rPr>
              <w:rFonts w:ascii="Cambria Math" w:hAnsi="Cambria Math"/>
            </w:rPr>
            <m:t>=</m:t>
          </m:r>
          <m:f>
            <m:fPr>
              <m:ctrlPr>
                <w:rPr>
                  <w:rFonts w:ascii="Cambria Math" w:hAnsi="Cambria Math"/>
                  <w:i/>
                  <w:iCs/>
                </w:rPr>
              </m:ctrlPr>
            </m:fPr>
            <m:num>
              <m:r>
                <m:rPr>
                  <m:nor/>
                </m:rPr>
                <w:rPr>
                  <w:i/>
                  <w:iCs/>
                </w:rPr>
                <m:t>Var</m:t>
              </m:r>
              <m:d>
                <m:dPr>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e>
              </m:d>
            </m:num>
            <m:den>
              <m:r>
                <m:rPr>
                  <m:nor/>
                </m:rPr>
                <w:rPr>
                  <w:i/>
                  <w:iCs/>
                </w:rPr>
                <m:t>Var</m:t>
              </m:r>
              <m:d>
                <m:dPr>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e>
              </m:d>
            </m:den>
          </m:f>
          <m:r>
            <w:rPr>
              <w:rFonts w:ascii="Cambria Math" w:eastAsiaTheme="minorEastAsia" w:hAnsi="Cambria Math"/>
              <w:noProof/>
            </w:rPr>
            <m:t>=</m:t>
          </m:r>
          <m:r>
            <m:rPr>
              <m:nor/>
            </m:rPr>
            <w:rPr>
              <w:i/>
              <w:iCs/>
            </w:rPr>
            <m:t>1</m:t>
          </m:r>
        </m:oMath>
      </m:oMathPara>
    </w:p>
  </w:footnote>
  <w:footnote w:id="19">
    <w:p w14:paraId="6900178E" w14:textId="77777777" w:rsidR="007350CB" w:rsidRDefault="007350CB" w:rsidP="007350CB">
      <w:pPr>
        <w:pStyle w:val="Textonotapie"/>
      </w:pPr>
      <w:r>
        <w:rPr>
          <w:rStyle w:val="Refdenotaalpie"/>
        </w:rPr>
        <w:footnoteRef/>
      </w:r>
      <w:r>
        <w:t xml:space="preserve"> Por lo tanto, la prima de riesgo será igual para todos los activos.</w:t>
      </w:r>
    </w:p>
  </w:footnote>
  <w:footnote w:id="20">
    <w:p w14:paraId="4394A077" w14:textId="77777777" w:rsidR="007350CB" w:rsidRDefault="007350CB" w:rsidP="007350CB">
      <w:pPr>
        <w:pStyle w:val="Textonotapie"/>
        <w:keepNext/>
        <w:tabs>
          <w:tab w:val="left" w:pos="876"/>
        </w:tabs>
        <w:spacing w:after="0"/>
        <w:rPr>
          <w:rFonts w:eastAsiaTheme="minorEastAsia"/>
          <w:iCs/>
        </w:rPr>
      </w:pPr>
      <w:r>
        <w:rPr>
          <w:rStyle w:val="Refdenotaalpie"/>
        </w:rPr>
        <w:footnoteRef/>
      </w:r>
      <w:r>
        <w:t xml:space="preserve"> La fórmula de la </w:t>
      </w:r>
      <w:r w:rsidRPr="009A6743">
        <w:rPr>
          <w:rFonts w:eastAsiaTheme="minorEastAsia"/>
          <w:i/>
        </w:rPr>
        <w:t>α</w:t>
      </w:r>
      <w:r>
        <w:rPr>
          <w:rFonts w:eastAsiaTheme="minorEastAsia"/>
          <w:iCs/>
        </w:rPr>
        <w:t xml:space="preserve"> de </w:t>
      </w:r>
      <w:r w:rsidRPr="009A6743">
        <w:rPr>
          <w:rFonts w:eastAsiaTheme="minorEastAsia"/>
          <w:iCs/>
        </w:rPr>
        <w:t>Jensen</w:t>
      </w:r>
      <w:r>
        <w:rPr>
          <w:rFonts w:eastAsiaTheme="minorEastAsia"/>
          <w:iCs/>
        </w:rPr>
        <w:t xml:space="preserve"> (</w:t>
      </w:r>
      <w:r>
        <w:rPr>
          <w:rFonts w:eastAsiaTheme="minorEastAsia"/>
          <w:iCs/>
          <w:smallCaps/>
        </w:rPr>
        <w:t>Michael Jensen</w:t>
      </w:r>
      <w:r>
        <w:rPr>
          <w:rFonts w:eastAsiaTheme="minorEastAsia"/>
          <w:iCs/>
        </w:rPr>
        <w:t>, 1968) sería la siguiente:</w:t>
      </w:r>
    </w:p>
    <w:tbl>
      <w:tblPr>
        <w:tblStyle w:val="Tablaconcuadrcula"/>
        <w:tblW w:w="102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0"/>
        <w:gridCol w:w="2712"/>
      </w:tblGrid>
      <w:tr w:rsidR="007350CB" w14:paraId="7AF2672B" w14:textId="77777777" w:rsidTr="00A15750">
        <w:tc>
          <w:tcPr>
            <w:tcW w:w="7655" w:type="dxa"/>
          </w:tcPr>
          <w:p w14:paraId="37DCD511" w14:textId="6D39FEDC" w:rsidR="007350CB" w:rsidRPr="00B72EA8" w:rsidRDefault="007350CB" w:rsidP="000B3557">
            <w:pPr>
              <w:pStyle w:val="Textonotapie"/>
              <w:keepNext/>
              <w:tabs>
                <w:tab w:val="left" w:pos="876"/>
              </w:tabs>
              <w:rPr>
                <w:rFonts w:eastAsiaTheme="minorEastAsia"/>
                <w:iCs/>
              </w:rPr>
            </w:pPr>
            <m:oMathPara>
              <m:oMath>
                <m:r>
                  <m:rPr>
                    <m:nor/>
                  </m:rPr>
                  <w:rPr>
                    <w:rFonts w:ascii="Cambria Math" w:eastAsiaTheme="minorEastAsia"/>
                  </w:rPr>
                  <m:t xml:space="preserve"> </m:t>
                </m:r>
                <m:r>
                  <m:rPr>
                    <m:nor/>
                  </m:rPr>
                  <w:rPr>
                    <w:rFonts w:eastAsiaTheme="minorEastAsia"/>
                    <w:i/>
                    <w:iCs/>
                  </w:rPr>
                  <m:t xml:space="preserve">SML: </m:t>
                </m:r>
                <m:r>
                  <m:rPr>
                    <m:nor/>
                  </m:rPr>
                  <w:rPr>
                    <w:i/>
                    <w:iCs/>
                    <w:color w:val="5F2987"/>
                  </w:rPr>
                  <m:t>E</m:t>
                </m:r>
                <m:d>
                  <m:dPr>
                    <m:begChr m:val="["/>
                    <m:endChr m:val="]"/>
                    <m:ctrlPr>
                      <w:rPr>
                        <w:rFonts w:ascii="Cambria Math" w:hAnsi="Cambria Math"/>
                        <w:i/>
                        <w:iCs/>
                        <w:color w:val="5F2987"/>
                      </w:rPr>
                    </m:ctrlPr>
                  </m:dPr>
                  <m:e>
                    <m:sSub>
                      <m:sSubPr>
                        <m:ctrlPr>
                          <w:rPr>
                            <w:rFonts w:ascii="Cambria Math" w:hAnsi="Cambria Math"/>
                            <w:i/>
                            <w:iCs/>
                            <w:color w:val="5F2987"/>
                          </w:rPr>
                        </m:ctrlPr>
                      </m:sSubPr>
                      <m:e>
                        <m:r>
                          <m:rPr>
                            <m:nor/>
                          </m:rPr>
                          <w:rPr>
                            <w:i/>
                            <w:iCs/>
                            <w:color w:val="5F2987"/>
                          </w:rPr>
                          <m:t>R</m:t>
                        </m:r>
                      </m:e>
                      <m:sub>
                        <m:r>
                          <m:rPr>
                            <m:nor/>
                          </m:rPr>
                          <w:rPr>
                            <w:i/>
                            <w:iCs/>
                            <w:color w:val="5F2987"/>
                          </w:rPr>
                          <m:t>i</m:t>
                        </m:r>
                      </m:sub>
                    </m:sSub>
                  </m:e>
                </m:d>
                <m:r>
                  <w:rPr>
                    <w:rFonts w:ascii="Cambria Math" w:hAnsi="Cambria Math"/>
                  </w:rPr>
                  <m:t>=</m:t>
                </m:r>
                <m:sSub>
                  <m:sSubPr>
                    <m:ctrlPr>
                      <w:rPr>
                        <w:rFonts w:ascii="Cambria Math" w:hAnsi="Cambria Math"/>
                        <w:i/>
                        <w:iCs/>
                        <w:color w:val="0070C0"/>
                      </w:rPr>
                    </m:ctrlPr>
                  </m:sSubPr>
                  <m:e>
                    <m:r>
                      <m:rPr>
                        <m:nor/>
                      </m:rPr>
                      <w:rPr>
                        <w:i/>
                        <w:iCs/>
                        <w:color w:val="0070C0"/>
                      </w:rPr>
                      <m:t>R</m:t>
                    </m:r>
                  </m:e>
                  <m:sub>
                    <m:r>
                      <m:rPr>
                        <m:nor/>
                      </m:rPr>
                      <w:rPr>
                        <w:i/>
                        <w:iCs/>
                        <w:color w:val="0070C0"/>
                      </w:rPr>
                      <m:t>f</m:t>
                    </m:r>
                  </m:sub>
                </m:sSub>
                <m:r>
                  <w:rPr>
                    <w:rFonts w:ascii="Cambria Math" w:hAnsi="Cambria Math"/>
                  </w:rPr>
                  <m:t>+</m:t>
                </m:r>
                <m:limUpp>
                  <m:limUppPr>
                    <m:ctrlPr>
                      <w:rPr>
                        <w:rFonts w:ascii="Cambria Math" w:hAnsi="Cambria Math"/>
                        <w:i/>
                        <w:iCs/>
                        <w:color w:val="C00000"/>
                      </w:rPr>
                    </m:ctrlPr>
                  </m:limUppPr>
                  <m:e>
                    <m:groupChr>
                      <m:groupChrPr>
                        <m:chr m:val="⏞"/>
                        <m:pos m:val="top"/>
                        <m:vertJc m:val="bot"/>
                        <m:ctrlPr>
                          <w:rPr>
                            <w:rFonts w:ascii="Cambria Math" w:hAnsi="Cambria Math"/>
                            <w:i/>
                            <w:iCs/>
                            <w:color w:val="C00000"/>
                          </w:rPr>
                        </m:ctrlPr>
                      </m:groupChrPr>
                      <m:e>
                        <m:f>
                          <m:fPr>
                            <m:ctrlPr>
                              <w:rPr>
                                <w:rFonts w:ascii="Cambria Math" w:hAnsi="Cambria Math"/>
                                <w:i/>
                                <w:iCs/>
                                <w:color w:val="C00000"/>
                              </w:rPr>
                            </m:ctrlPr>
                          </m:fPr>
                          <m:num>
                            <m:r>
                              <m:rPr>
                                <m:nor/>
                              </m:rPr>
                              <w:rPr>
                                <w:i/>
                                <w:iCs/>
                                <w:color w:val="C00000"/>
                              </w:rPr>
                              <m:t>Cov</m:t>
                            </m:r>
                            <m:d>
                              <m:dPr>
                                <m:ctrlPr>
                                  <w:rPr>
                                    <w:rFonts w:ascii="Cambria Math" w:hAnsi="Cambria Math"/>
                                    <w:i/>
                                    <w:iCs/>
                                    <w:color w:val="C00000"/>
                                  </w:rPr>
                                </m:ctrlPr>
                              </m:dPr>
                              <m:e>
                                <m:r>
                                  <m:rPr>
                                    <m:nor/>
                                  </m:rPr>
                                  <w:rPr>
                                    <w:i/>
                                    <w:iCs/>
                                    <w:color w:val="C00000"/>
                                  </w:rPr>
                                  <m:t>E</m:t>
                                </m:r>
                                <m:d>
                                  <m:dPr>
                                    <m:begChr m:val="["/>
                                    <m:endChr m:val="]"/>
                                    <m:ctrlPr>
                                      <w:rPr>
                                        <w:rFonts w:ascii="Cambria Math" w:hAnsi="Cambria Math"/>
                                        <w:i/>
                                        <w:iCs/>
                                        <w:color w:val="C00000"/>
                                      </w:rPr>
                                    </m:ctrlPr>
                                  </m:dPr>
                                  <m:e>
                                    <m:sSub>
                                      <m:sSubPr>
                                        <m:ctrlPr>
                                          <w:rPr>
                                            <w:rFonts w:ascii="Cambria Math" w:hAnsi="Cambria Math"/>
                                            <w:i/>
                                            <w:iCs/>
                                            <w:color w:val="C00000"/>
                                          </w:rPr>
                                        </m:ctrlPr>
                                      </m:sSubPr>
                                      <m:e>
                                        <m:r>
                                          <m:rPr>
                                            <m:nor/>
                                          </m:rPr>
                                          <w:rPr>
                                            <w:i/>
                                            <w:iCs/>
                                            <w:color w:val="C00000"/>
                                          </w:rPr>
                                          <m:t>R</m:t>
                                        </m:r>
                                      </m:e>
                                      <m:sub>
                                        <m:r>
                                          <m:rPr>
                                            <m:nor/>
                                          </m:rPr>
                                          <w:rPr>
                                            <w:i/>
                                            <w:iCs/>
                                            <w:color w:val="C00000"/>
                                          </w:rPr>
                                          <m:t>i</m:t>
                                        </m:r>
                                      </m:sub>
                                    </m:sSub>
                                  </m:e>
                                </m:d>
                                <m:r>
                                  <m:rPr>
                                    <m:nor/>
                                  </m:rPr>
                                  <w:rPr>
                                    <w:i/>
                                    <w:iCs/>
                                    <w:color w:val="C00000"/>
                                  </w:rPr>
                                  <m:t>,</m:t>
                                </m:r>
                                <m:r>
                                  <m:rPr>
                                    <m:nor/>
                                  </m:rPr>
                                  <w:rPr>
                                    <w:rFonts w:ascii="Cambria Math"/>
                                    <w:i/>
                                    <w:iCs/>
                                    <w:color w:val="C00000"/>
                                  </w:rPr>
                                  <m:t xml:space="preserve"> </m:t>
                                </m:r>
                                <m:r>
                                  <m:rPr>
                                    <m:nor/>
                                  </m:rPr>
                                  <w:rPr>
                                    <w:i/>
                                    <w:iCs/>
                                    <w:color w:val="C00000"/>
                                  </w:rPr>
                                  <m:t>E</m:t>
                                </m:r>
                                <m:d>
                                  <m:dPr>
                                    <m:begChr m:val="["/>
                                    <m:endChr m:val="]"/>
                                    <m:ctrlPr>
                                      <w:rPr>
                                        <w:rFonts w:ascii="Cambria Math" w:hAnsi="Cambria Math"/>
                                        <w:i/>
                                        <w:iCs/>
                                        <w:color w:val="C00000"/>
                                      </w:rPr>
                                    </m:ctrlPr>
                                  </m:dPr>
                                  <m:e>
                                    <m:sSub>
                                      <m:sSubPr>
                                        <m:ctrlPr>
                                          <w:rPr>
                                            <w:rFonts w:ascii="Cambria Math" w:hAnsi="Cambria Math"/>
                                            <w:i/>
                                            <w:iCs/>
                                            <w:color w:val="C00000"/>
                                          </w:rPr>
                                        </m:ctrlPr>
                                      </m:sSubPr>
                                      <m:e>
                                        <m:r>
                                          <m:rPr>
                                            <m:nor/>
                                          </m:rPr>
                                          <w:rPr>
                                            <w:i/>
                                            <w:iCs/>
                                            <w:color w:val="C00000"/>
                                          </w:rPr>
                                          <m:t>R</m:t>
                                        </m:r>
                                      </m:e>
                                      <m:sub>
                                        <m:r>
                                          <m:rPr>
                                            <m:nor/>
                                          </m:rPr>
                                          <w:rPr>
                                            <w:i/>
                                            <w:iCs/>
                                            <w:color w:val="C00000"/>
                                          </w:rPr>
                                          <m:t>M</m:t>
                                        </m:r>
                                      </m:sub>
                                    </m:sSub>
                                  </m:e>
                                </m:d>
                              </m:e>
                            </m:d>
                          </m:num>
                          <m:den>
                            <m:r>
                              <m:rPr>
                                <m:nor/>
                              </m:rPr>
                              <w:rPr>
                                <w:i/>
                                <w:iCs/>
                                <w:color w:val="C00000"/>
                              </w:rPr>
                              <m:t>Var</m:t>
                            </m:r>
                            <m:d>
                              <m:dPr>
                                <m:ctrlPr>
                                  <w:rPr>
                                    <w:rFonts w:ascii="Cambria Math" w:hAnsi="Cambria Math"/>
                                    <w:i/>
                                    <w:iCs/>
                                    <w:color w:val="C00000"/>
                                  </w:rPr>
                                </m:ctrlPr>
                              </m:dPr>
                              <m:e>
                                <m:sSub>
                                  <m:sSubPr>
                                    <m:ctrlPr>
                                      <w:rPr>
                                        <w:rFonts w:ascii="Cambria Math" w:hAnsi="Cambria Math"/>
                                        <w:i/>
                                        <w:iCs/>
                                        <w:color w:val="C00000"/>
                                      </w:rPr>
                                    </m:ctrlPr>
                                  </m:sSubPr>
                                  <m:e>
                                    <m:r>
                                      <m:rPr>
                                        <m:nor/>
                                      </m:rPr>
                                      <w:rPr>
                                        <w:i/>
                                        <w:iCs/>
                                        <w:color w:val="C00000"/>
                                      </w:rPr>
                                      <m:t>R</m:t>
                                    </m:r>
                                  </m:e>
                                  <m:sub>
                                    <m:r>
                                      <m:rPr>
                                        <m:nor/>
                                      </m:rPr>
                                      <w:rPr>
                                        <w:i/>
                                        <w:iCs/>
                                        <w:color w:val="C00000"/>
                                      </w:rPr>
                                      <m:t>M</m:t>
                                    </m:r>
                                  </m:sub>
                                </m:sSub>
                              </m:e>
                            </m:d>
                          </m:den>
                        </m:f>
                      </m:e>
                    </m:groupChr>
                  </m:e>
                  <m:lim>
                    <m:sSub>
                      <m:sSubPr>
                        <m:ctrlPr>
                          <w:rPr>
                            <w:rFonts w:ascii="Cambria Math" w:hAnsi="Cambria Math"/>
                            <w:i/>
                            <w:iCs/>
                            <w:color w:val="C00000"/>
                          </w:rPr>
                        </m:ctrlPr>
                      </m:sSubPr>
                      <m:e>
                        <m:r>
                          <m:rPr>
                            <m:nor/>
                          </m:rPr>
                          <w:rPr>
                            <w:i/>
                            <w:iCs/>
                            <w:color w:val="C00000"/>
                          </w:rPr>
                          <m:t>β</m:t>
                        </m:r>
                      </m:e>
                      <m:sub>
                        <m:r>
                          <m:rPr>
                            <m:nor/>
                          </m:rPr>
                          <w:rPr>
                            <w:i/>
                            <w:iCs/>
                            <w:color w:val="C00000"/>
                          </w:rPr>
                          <m:t>i</m:t>
                        </m:r>
                      </m:sub>
                    </m:sSub>
                  </m:lim>
                </m:limUpp>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d>
                          <m:dPr>
                            <m:ctrlPr>
                              <w:rPr>
                                <w:rFonts w:ascii="Cambria Math" w:hAnsi="Cambria Math"/>
                                <w:i/>
                                <w:iCs/>
                              </w:rPr>
                            </m:ctrlPr>
                          </m:dPr>
                          <m:e>
                            <m:r>
                              <m:rPr>
                                <m:nor/>
                              </m:rPr>
                              <w:rPr>
                                <w:i/>
                                <w:iCs/>
                                <w:color w:val="FC9204"/>
                              </w:rPr>
                              <m:t>E</m:t>
                            </m:r>
                            <m:d>
                              <m:dPr>
                                <m:begChr m:val="["/>
                                <m:endChr m:val="]"/>
                                <m:ctrlPr>
                                  <w:rPr>
                                    <w:rFonts w:ascii="Cambria Math" w:hAnsi="Cambria Math"/>
                                    <w:i/>
                                    <w:iCs/>
                                    <w:color w:val="FC9204"/>
                                  </w:rPr>
                                </m:ctrlPr>
                              </m:dPr>
                              <m:e>
                                <m:sSub>
                                  <m:sSubPr>
                                    <m:ctrlPr>
                                      <w:rPr>
                                        <w:rFonts w:ascii="Cambria Math" w:hAnsi="Cambria Math"/>
                                        <w:i/>
                                        <w:iCs/>
                                        <w:color w:val="FC9204"/>
                                      </w:rPr>
                                    </m:ctrlPr>
                                  </m:sSubPr>
                                  <m:e>
                                    <m:r>
                                      <m:rPr>
                                        <m:nor/>
                                      </m:rPr>
                                      <w:rPr>
                                        <w:i/>
                                        <w:iCs/>
                                        <w:color w:val="FC9204"/>
                                      </w:rPr>
                                      <m:t>R</m:t>
                                    </m:r>
                                  </m:e>
                                  <m:sub>
                                    <m:r>
                                      <m:rPr>
                                        <m:nor/>
                                      </m:rPr>
                                      <w:rPr>
                                        <w:i/>
                                        <w:iCs/>
                                        <w:color w:val="FC9204"/>
                                      </w:rPr>
                                      <m:t>M</m:t>
                                    </m:r>
                                  </m:sub>
                                </m:sSub>
                              </m:e>
                            </m:d>
                            <m:r>
                              <w:rPr>
                                <w:rFonts w:ascii="Cambria Math" w:hAnsi="Cambria Math"/>
                              </w:rPr>
                              <m:t>-</m:t>
                            </m:r>
                            <m:sSub>
                              <m:sSubPr>
                                <m:ctrlPr>
                                  <w:rPr>
                                    <w:rFonts w:ascii="Cambria Math" w:hAnsi="Cambria Math"/>
                                    <w:i/>
                                    <w:iCs/>
                                    <w:color w:val="0070C0"/>
                                  </w:rPr>
                                </m:ctrlPr>
                              </m:sSubPr>
                              <m:e>
                                <m:r>
                                  <m:rPr>
                                    <m:nor/>
                                  </m:rPr>
                                  <w:rPr>
                                    <w:i/>
                                    <w:iCs/>
                                    <w:color w:val="0070C0"/>
                                  </w:rPr>
                                  <m:t>R</m:t>
                                </m:r>
                              </m:e>
                              <m:sub>
                                <m:r>
                                  <m:rPr>
                                    <m:nor/>
                                  </m:rPr>
                                  <w:rPr>
                                    <w:i/>
                                    <w:iCs/>
                                    <w:color w:val="0070C0"/>
                                  </w:rPr>
                                  <m:t>f</m:t>
                                </m:r>
                              </m:sub>
                            </m:sSub>
                          </m:e>
                        </m:d>
                      </m:e>
                    </m:groupChr>
                  </m:e>
                  <m:lim>
                    <m:sSub>
                      <m:sSubPr>
                        <m:ctrlPr>
                          <w:rPr>
                            <w:rFonts w:ascii="Cambria Math" w:hAnsi="Cambria Math"/>
                            <w:i/>
                            <w:iCs/>
                          </w:rPr>
                        </m:ctrlPr>
                      </m:sSubPr>
                      <m:e>
                        <m:r>
                          <m:rPr>
                            <m:nor/>
                          </m:rPr>
                          <w:rPr>
                            <w:i/>
                          </w:rPr>
                          <m:t>λ</m:t>
                        </m:r>
                      </m:e>
                      <m:sub>
                        <m:r>
                          <m:rPr>
                            <m:nor/>
                          </m:rPr>
                          <w:rPr>
                            <w:i/>
                            <w:iCs/>
                          </w:rPr>
                          <m:t>M</m:t>
                        </m:r>
                      </m:sub>
                    </m:sSub>
                  </m:lim>
                </m:limUpp>
                <m:d>
                  <m:dPr>
                    <m:begChr m:val="{"/>
                    <m:endChr m:val="}"/>
                    <m:ctrlPr>
                      <w:rPr>
                        <w:rFonts w:ascii="Cambria Math" w:hAnsi="Cambria Math"/>
                        <w:i/>
                        <w:color w:val="AEAAAA" w:themeColor="background2" w:themeShade="BF"/>
                      </w:rPr>
                    </m:ctrlPr>
                  </m:dPr>
                  <m:e>
                    <m:r>
                      <w:rPr>
                        <w:rFonts w:ascii="Cambria Math" w:hAnsi="Cambria Math"/>
                        <w:color w:val="AEAAAA" w:themeColor="background2" w:themeShade="BF"/>
                      </w:rPr>
                      <m:t>+</m:t>
                    </m:r>
                    <m:r>
                      <m:rPr>
                        <m:nor/>
                      </m:rPr>
                      <w:rPr>
                        <w:i/>
                        <w:iCs/>
                        <w:color w:val="A8D08D" w:themeColor="accent6" w:themeTint="99"/>
                      </w:rPr>
                      <m:t>α</m:t>
                    </m:r>
                  </m:e>
                </m:d>
                <m:r>
                  <w:rPr>
                    <w:rFonts w:ascii="Cambria Math" w:hAnsi="Cambria Math"/>
                  </w:rPr>
                  <m:t>⟹</m:t>
                </m:r>
                <m:r>
                  <m:rPr>
                    <m:nor/>
                  </m:rPr>
                  <w:rPr>
                    <w:i/>
                    <w:iCs/>
                    <w:color w:val="00B050"/>
                  </w:rPr>
                  <m:t>α</m:t>
                </m:r>
                <m:r>
                  <w:rPr>
                    <w:rFonts w:ascii="Cambria Math" w:hAnsi="Cambria Math"/>
                  </w:rPr>
                  <m:t>=</m:t>
                </m:r>
                <m:d>
                  <m:dPr>
                    <m:ctrlPr>
                      <w:rPr>
                        <w:rFonts w:ascii="Cambria Math" w:hAnsi="Cambria Math"/>
                        <w:i/>
                        <w:iCs/>
                      </w:rPr>
                    </m:ctrlPr>
                  </m:dPr>
                  <m:e>
                    <m:r>
                      <m:rPr>
                        <m:nor/>
                      </m:rPr>
                      <w:rPr>
                        <w:i/>
                        <w:iCs/>
                        <w:color w:val="5F2987"/>
                      </w:rPr>
                      <m:t>E</m:t>
                    </m:r>
                    <m:d>
                      <m:dPr>
                        <m:begChr m:val="["/>
                        <m:endChr m:val="]"/>
                        <m:ctrlPr>
                          <w:rPr>
                            <w:rFonts w:ascii="Cambria Math" w:hAnsi="Cambria Math"/>
                            <w:i/>
                            <w:iCs/>
                            <w:color w:val="5F2987"/>
                          </w:rPr>
                        </m:ctrlPr>
                      </m:dPr>
                      <m:e>
                        <m:sSub>
                          <m:sSubPr>
                            <m:ctrlPr>
                              <w:rPr>
                                <w:rFonts w:ascii="Cambria Math" w:hAnsi="Cambria Math"/>
                                <w:i/>
                                <w:iCs/>
                                <w:color w:val="5F2987"/>
                              </w:rPr>
                            </m:ctrlPr>
                          </m:sSubPr>
                          <m:e>
                            <m:r>
                              <m:rPr>
                                <m:nor/>
                              </m:rPr>
                              <w:rPr>
                                <w:i/>
                                <w:iCs/>
                                <w:color w:val="5F2987"/>
                              </w:rPr>
                              <m:t>R</m:t>
                            </m:r>
                          </m:e>
                          <m:sub>
                            <m:r>
                              <m:rPr>
                                <m:nor/>
                              </m:rPr>
                              <w:rPr>
                                <w:i/>
                                <w:iCs/>
                                <w:color w:val="5F2987"/>
                              </w:rPr>
                              <m:t>i</m:t>
                            </m:r>
                          </m:sub>
                        </m:sSub>
                      </m:e>
                    </m:d>
                    <m:r>
                      <w:rPr>
                        <w:rFonts w:ascii="Cambria Math" w:hAnsi="Cambria Math"/>
                      </w:rPr>
                      <m:t>-</m:t>
                    </m:r>
                    <m:sSub>
                      <m:sSubPr>
                        <m:ctrlPr>
                          <w:rPr>
                            <w:rFonts w:ascii="Cambria Math" w:hAnsi="Cambria Math"/>
                            <w:i/>
                            <w:iCs/>
                            <w:color w:val="0070C0"/>
                          </w:rPr>
                        </m:ctrlPr>
                      </m:sSubPr>
                      <m:e>
                        <m:r>
                          <m:rPr>
                            <m:nor/>
                          </m:rPr>
                          <w:rPr>
                            <w:i/>
                            <w:iCs/>
                            <w:color w:val="0070C0"/>
                          </w:rPr>
                          <m:t>R</m:t>
                        </m:r>
                      </m:e>
                      <m:sub>
                        <m:r>
                          <m:rPr>
                            <m:nor/>
                          </m:rPr>
                          <w:rPr>
                            <w:i/>
                            <w:iCs/>
                            <w:color w:val="0070C0"/>
                          </w:rPr>
                          <m:t>f</m:t>
                        </m:r>
                      </m:sub>
                    </m:sSub>
                  </m:e>
                </m:d>
                <m:r>
                  <w:rPr>
                    <w:rFonts w:ascii="Cambria Math" w:hAnsi="Cambria Math"/>
                  </w:rPr>
                  <m:t>-</m:t>
                </m:r>
                <m:sSub>
                  <m:sSubPr>
                    <m:ctrlPr>
                      <w:rPr>
                        <w:rFonts w:ascii="Cambria Math" w:hAnsi="Cambria Math"/>
                        <w:i/>
                        <w:iCs/>
                        <w:color w:val="C00000"/>
                      </w:rPr>
                    </m:ctrlPr>
                  </m:sSubPr>
                  <m:e>
                    <m:r>
                      <m:rPr>
                        <m:nor/>
                      </m:rPr>
                      <w:rPr>
                        <w:i/>
                        <w:iCs/>
                        <w:color w:val="C00000"/>
                      </w:rPr>
                      <m:t>β</m:t>
                    </m:r>
                  </m:e>
                  <m:sub>
                    <m:r>
                      <m:rPr>
                        <m:nor/>
                      </m:rPr>
                      <w:rPr>
                        <w:i/>
                        <w:iCs/>
                        <w:color w:val="C00000"/>
                      </w:rPr>
                      <m:t>i</m:t>
                    </m:r>
                  </m:sub>
                </m:sSub>
                <m:r>
                  <w:rPr>
                    <w:rFonts w:ascii="Cambria Math" w:hAnsi="Cambria Math"/>
                  </w:rPr>
                  <m:t>∙</m:t>
                </m:r>
                <m:d>
                  <m:dPr>
                    <m:ctrlPr>
                      <w:rPr>
                        <w:rFonts w:ascii="Cambria Math" w:hAnsi="Cambria Math"/>
                        <w:i/>
                        <w:iCs/>
                      </w:rPr>
                    </m:ctrlPr>
                  </m:dPr>
                  <m:e>
                    <m:r>
                      <m:rPr>
                        <m:nor/>
                      </m:rPr>
                      <w:rPr>
                        <w:i/>
                        <w:iCs/>
                        <w:color w:val="FC9204"/>
                      </w:rPr>
                      <m:t>E</m:t>
                    </m:r>
                    <m:d>
                      <m:dPr>
                        <m:begChr m:val="["/>
                        <m:endChr m:val="]"/>
                        <m:ctrlPr>
                          <w:rPr>
                            <w:rFonts w:ascii="Cambria Math" w:hAnsi="Cambria Math"/>
                            <w:i/>
                            <w:iCs/>
                            <w:color w:val="FC9204"/>
                          </w:rPr>
                        </m:ctrlPr>
                      </m:dPr>
                      <m:e>
                        <m:sSub>
                          <m:sSubPr>
                            <m:ctrlPr>
                              <w:rPr>
                                <w:rFonts w:ascii="Cambria Math" w:hAnsi="Cambria Math"/>
                                <w:i/>
                                <w:iCs/>
                                <w:color w:val="FC9204"/>
                              </w:rPr>
                            </m:ctrlPr>
                          </m:sSubPr>
                          <m:e>
                            <m:r>
                              <m:rPr>
                                <m:nor/>
                              </m:rPr>
                              <w:rPr>
                                <w:i/>
                                <w:iCs/>
                                <w:color w:val="FC9204"/>
                              </w:rPr>
                              <m:t>R</m:t>
                            </m:r>
                          </m:e>
                          <m:sub>
                            <m:r>
                              <m:rPr>
                                <m:nor/>
                              </m:rPr>
                              <w:rPr>
                                <w:i/>
                                <w:iCs/>
                                <w:color w:val="FC9204"/>
                              </w:rPr>
                              <m:t>M</m:t>
                            </m:r>
                          </m:sub>
                        </m:sSub>
                      </m:e>
                    </m:d>
                    <m:r>
                      <w:rPr>
                        <w:rFonts w:ascii="Cambria Math" w:hAnsi="Cambria Math"/>
                      </w:rPr>
                      <m:t>-</m:t>
                    </m:r>
                    <m:sSub>
                      <m:sSubPr>
                        <m:ctrlPr>
                          <w:rPr>
                            <w:rFonts w:ascii="Cambria Math" w:hAnsi="Cambria Math"/>
                            <w:i/>
                            <w:iCs/>
                            <w:color w:val="0070C0"/>
                          </w:rPr>
                        </m:ctrlPr>
                      </m:sSubPr>
                      <m:e>
                        <m:r>
                          <m:rPr>
                            <m:nor/>
                          </m:rPr>
                          <w:rPr>
                            <w:i/>
                            <w:iCs/>
                            <w:color w:val="0070C0"/>
                          </w:rPr>
                          <m:t>R</m:t>
                        </m:r>
                      </m:e>
                      <m:sub>
                        <m:r>
                          <m:rPr>
                            <m:nor/>
                          </m:rPr>
                          <w:rPr>
                            <w:i/>
                            <w:iCs/>
                            <w:color w:val="0070C0"/>
                          </w:rPr>
                          <m:t>f</m:t>
                        </m:r>
                      </m:sub>
                    </m:sSub>
                  </m:e>
                </m:d>
              </m:oMath>
            </m:oMathPara>
          </w:p>
          <w:p w14:paraId="2DE6ACDE" w14:textId="77777777" w:rsidR="007350CB" w:rsidRPr="00946154" w:rsidRDefault="007350CB" w:rsidP="009A6743">
            <w:pPr>
              <w:pStyle w:val="Textonotapie"/>
              <w:keepNext/>
              <w:tabs>
                <w:tab w:val="left" w:pos="876"/>
              </w:tabs>
              <w:spacing w:after="0"/>
            </w:pPr>
            <w:r>
              <w:t xml:space="preserve">El valor de </w:t>
            </w:r>
            <m:oMath>
              <m:r>
                <m:rPr>
                  <m:nor/>
                </m:rPr>
                <w:rPr>
                  <w:i/>
                  <w:iCs/>
                  <w:color w:val="00B050"/>
                </w:rPr>
                <m:t>α</m:t>
              </m:r>
            </m:oMath>
            <w:r>
              <w:t xml:space="preserve"> puede ser </w:t>
            </w:r>
            <w:r w:rsidRPr="00946154">
              <w:rPr>
                <w:i/>
                <w:iCs/>
              </w:rPr>
              <w:t>positivo</w:t>
            </w:r>
            <w:r>
              <w:t xml:space="preserve"> (si el activo está infravalorado) o </w:t>
            </w:r>
            <w:r>
              <w:rPr>
                <w:i/>
                <w:iCs/>
              </w:rPr>
              <w:t>negativo</w:t>
            </w:r>
            <w:r>
              <w:t xml:space="preserve"> (si el activo está sobrevalorado)</w:t>
            </w:r>
          </w:p>
        </w:tc>
        <w:tc>
          <w:tcPr>
            <w:tcW w:w="2557" w:type="dxa"/>
          </w:tcPr>
          <w:p w14:paraId="05828343" w14:textId="77777777" w:rsidR="007350CB" w:rsidRDefault="007350CB" w:rsidP="009A6743">
            <w:pPr>
              <w:pStyle w:val="Textonotapie"/>
              <w:keepNext/>
              <w:tabs>
                <w:tab w:val="left" w:pos="876"/>
              </w:tabs>
              <w:spacing w:after="0"/>
            </w:pPr>
            <w:r>
              <w:rPr>
                <w:noProof/>
              </w:rPr>
              <w:drawing>
                <wp:inline distT="0" distB="0" distL="0" distR="0" wp14:anchorId="2A364EDA" wp14:editId="0FB9D082">
                  <wp:extent cx="1585515" cy="1152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4"/>
                          <a:srcRect l="11291" r="11291"/>
                          <a:stretch>
                            <a:fillRect/>
                          </a:stretch>
                        </pic:blipFill>
                        <pic:spPr bwMode="auto">
                          <a:xfrm>
                            <a:off x="0" y="0"/>
                            <a:ext cx="1585515" cy="1152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06CE7EA" w14:textId="77777777" w:rsidR="007350CB" w:rsidRPr="00946154" w:rsidRDefault="007350CB" w:rsidP="007350CB">
      <w:pPr>
        <w:pStyle w:val="Textonotapie"/>
        <w:tabs>
          <w:tab w:val="left" w:pos="876"/>
        </w:tabs>
        <w:spacing w:after="0"/>
        <w:rPr>
          <w:sz w:val="2"/>
          <w:szCs w:val="2"/>
        </w:rPr>
      </w:pPr>
    </w:p>
  </w:footnote>
  <w:footnote w:id="21">
    <w:p w14:paraId="35F007A0" w14:textId="77777777" w:rsidR="003B1839" w:rsidRPr="003B1839" w:rsidRDefault="003B1839" w:rsidP="003B1839">
      <w:pPr>
        <w:pStyle w:val="Textonotapie"/>
        <w:keepNext/>
        <w:spacing w:after="0"/>
        <w:rPr>
          <w:spacing w:val="-4"/>
        </w:rPr>
      </w:pPr>
      <w:r w:rsidRPr="003B1839">
        <w:rPr>
          <w:rStyle w:val="Refdenotaalpie"/>
          <w:spacing w:val="-4"/>
        </w:rPr>
        <w:footnoteRef/>
      </w:r>
      <w:r w:rsidRPr="003B1839">
        <w:rPr>
          <w:spacing w:val="-4"/>
        </w:rPr>
        <w:t xml:space="preserve"> La </w:t>
      </w:r>
      <w:r w:rsidRPr="003B1839">
        <w:rPr>
          <w:i/>
          <w:iCs/>
          <w:spacing w:val="-4"/>
        </w:rPr>
        <w:t>ratio de Sharpe</w:t>
      </w:r>
      <w:r w:rsidRPr="003B1839">
        <w:rPr>
          <w:spacing w:val="-4"/>
        </w:rPr>
        <w:t xml:space="preserve"> y la </w:t>
      </w:r>
      <w:r w:rsidRPr="003B1839">
        <w:rPr>
          <w:i/>
          <w:iCs/>
          <w:spacing w:val="-4"/>
        </w:rPr>
        <w:t>ratio de Treynor</w:t>
      </w:r>
      <w:r w:rsidRPr="003B1839">
        <w:rPr>
          <w:spacing w:val="-4"/>
        </w:rPr>
        <w:t xml:space="preserve"> son 2 medidas de rendimiento utilizadas en finanzas que ayudan a evaluar la rentabilidad de una inversión.</w:t>
      </w:r>
    </w:p>
    <w:p w14:paraId="54615765" w14:textId="77F5886C" w:rsidR="003B1839" w:rsidRDefault="003B1839">
      <w:pPr>
        <w:pStyle w:val="Textonotapie"/>
        <w:numPr>
          <w:ilvl w:val="0"/>
          <w:numId w:val="38"/>
        </w:numPr>
        <w:spacing w:after="0"/>
        <w:ind w:left="283" w:hanging="113"/>
      </w:pPr>
      <w:r>
        <w:t xml:space="preserve">La </w:t>
      </w:r>
      <w:r w:rsidRPr="003B1839">
        <w:rPr>
          <w:i/>
          <w:iCs/>
          <w:u w:val="single"/>
        </w:rPr>
        <w:t>ratio de Sharpe</w:t>
      </w:r>
      <w:r>
        <w:t xml:space="preserve"> se utiliza para medir el exceso de rendimiento (rendimiento por encima de la tasa libre de riesgo) por unidad de riesgo asumido. Se calcula restando la tasa libre de riesgo de la tasa de rendimiento de la inversión y dividiendo el resultado por la desviación estándar de la inversión. Una ratio de Sharpe alta indica que una inversión ha obtenido un rendimiento sólido en relación con el riesgo asumido.</w:t>
      </w:r>
    </w:p>
    <w:p w14:paraId="217F9664" w14:textId="00860EA3" w:rsidR="003B1839" w:rsidRDefault="003B1839" w:rsidP="00A15750">
      <w:pPr>
        <w:pStyle w:val="Textonotapie"/>
        <w:keepNext/>
        <w:spacing w:after="0"/>
        <w:ind w:left="284"/>
      </w:pPr>
      <m:oMathPara>
        <m:oMath>
          <m:r>
            <w:rPr>
              <w:rFonts w:ascii="Cambria Math" w:eastAsiaTheme="minorEastAsia" w:hAnsi="Cambria Math"/>
            </w:rPr>
            <m:t xml:space="preserve"> </m:t>
          </m:r>
          <m:r>
            <m:rPr>
              <m:nor/>
            </m:rPr>
            <w:rPr>
              <w:i/>
              <w:iCs/>
            </w:rPr>
            <m:t>Ratio de Sharpe</m:t>
          </m:r>
          <m:r>
            <w:rPr>
              <w:rFonts w:ascii="Cambria Math" w:hAnsi="Cambria Math"/>
            </w:rPr>
            <m:t>=</m:t>
          </m:r>
          <m:f>
            <m:fPr>
              <m:ctrlPr>
                <w:rPr>
                  <w:rFonts w:ascii="Cambria Math" w:eastAsia="Calibri" w:hAnsi="Cambria Math" w:cs="Times New Roman"/>
                  <w:i/>
                </w:rPr>
              </m:ctrlPr>
            </m:fPr>
            <m:num>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i</m:t>
                      </m:r>
                    </m:sub>
                  </m:sSub>
                </m:e>
              </m:d>
              <m:r>
                <w:rPr>
                  <w:rFonts w:ascii="Cambria Math" w:eastAsia="Calibri" w:hAnsi="Cambria Math" w:cs="Times New Roman"/>
                </w:rPr>
                <m:t>-</m:t>
              </m:r>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f</m:t>
                  </m:r>
                </m:sub>
              </m:sSub>
            </m:num>
            <m:den>
              <m:sSub>
                <m:sSubPr>
                  <m:ctrlPr>
                    <w:rPr>
                      <w:rFonts w:ascii="Cambria Math" w:hAnsi="Cambria Math"/>
                      <w:i/>
                      <w:iCs/>
                    </w:rPr>
                  </m:ctrlPr>
                </m:sSubPr>
                <m:e>
                  <m:r>
                    <m:rPr>
                      <m:nor/>
                    </m:rPr>
                    <w:rPr>
                      <w:i/>
                    </w:rPr>
                    <m:t>σ</m:t>
                  </m:r>
                </m:e>
                <m:sub>
                  <m:r>
                    <m:rPr>
                      <m:nor/>
                    </m:rPr>
                    <w:rPr>
                      <w:i/>
                    </w:rPr>
                    <m:t>i</m:t>
                  </m:r>
                </m:sub>
              </m:sSub>
            </m:den>
          </m:f>
        </m:oMath>
      </m:oMathPara>
    </w:p>
    <w:p w14:paraId="3562A877" w14:textId="1BC06ED9" w:rsidR="003B1839" w:rsidRDefault="003B1839">
      <w:pPr>
        <w:pStyle w:val="Textonotapie"/>
        <w:keepNext/>
        <w:numPr>
          <w:ilvl w:val="0"/>
          <w:numId w:val="38"/>
        </w:numPr>
        <w:spacing w:after="0"/>
        <w:ind w:left="283" w:hanging="113"/>
      </w:pPr>
      <w:r>
        <w:t xml:space="preserve">Por otro lado, la </w:t>
      </w:r>
      <w:r w:rsidRPr="003B1839">
        <w:rPr>
          <w:i/>
          <w:iCs/>
          <w:u w:val="single"/>
        </w:rPr>
        <w:t>ratio de Treynor</w:t>
      </w:r>
      <w:r>
        <w:t xml:space="preserve"> se utiliza para medir el exceso de rendimiento por unidad de riesgo sistemático asumido. El riesgo sistemático se refiere al riesgo que no se puede diversificar, como el riesgo del mercado. Se calcula restando la tasa libre de riesgo de la tasa de rendimiento de la inversión y dividiendo el resultado por el beta de la inversión (una medida de la volatilidad relativa de la inversión en relación con el mercado). Una ratio de Treynor alta indica que una inversión ha obtenido un rendimiento sólido en relación con el riesgo sistemático asumido.</w:t>
      </w:r>
    </w:p>
    <w:p w14:paraId="406928FD" w14:textId="1D809819" w:rsidR="003B1839" w:rsidRDefault="003B1839" w:rsidP="00A15750">
      <w:pPr>
        <w:pStyle w:val="Textonotapie"/>
        <w:spacing w:after="0"/>
        <w:ind w:left="283"/>
      </w:pPr>
      <m:oMathPara>
        <m:oMath>
          <m:r>
            <w:rPr>
              <w:rFonts w:ascii="Cambria Math" w:eastAsiaTheme="minorEastAsia" w:hAnsi="Cambria Math"/>
            </w:rPr>
            <m:t xml:space="preserve"> </m:t>
          </m:r>
          <m:r>
            <m:rPr>
              <m:nor/>
            </m:rPr>
            <w:rPr>
              <w:i/>
              <w:iCs/>
            </w:rPr>
            <m:t>Ratio de Treynor</m:t>
          </m:r>
          <m:r>
            <w:rPr>
              <w:rFonts w:ascii="Cambria Math" w:hAnsi="Cambria Math"/>
            </w:rPr>
            <m:t>=</m:t>
          </m:r>
          <m:f>
            <m:fPr>
              <m:ctrlPr>
                <w:rPr>
                  <w:rFonts w:ascii="Cambria Math" w:eastAsia="Calibri" w:hAnsi="Cambria Math" w:cs="Times New Roman"/>
                  <w:i/>
                </w:rPr>
              </m:ctrlPr>
            </m:fPr>
            <m:num>
              <m:r>
                <m:rPr>
                  <m:nor/>
                </m:rPr>
                <w:rPr>
                  <w:rFonts w:eastAsia="Calibri" w:cs="Times New Roman"/>
                  <w:i/>
                </w:rPr>
                <m:t>E</m:t>
              </m:r>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i</m:t>
                      </m:r>
                    </m:sub>
                  </m:sSub>
                </m:e>
              </m:d>
              <m:r>
                <w:rPr>
                  <w:rFonts w:ascii="Cambria Math" w:eastAsia="Calibri" w:hAnsi="Cambria Math" w:cs="Times New Roman"/>
                </w:rPr>
                <m:t>-</m:t>
              </m:r>
              <m:sSub>
                <m:sSubPr>
                  <m:ctrlPr>
                    <w:rPr>
                      <w:rFonts w:ascii="Cambria Math" w:eastAsia="Calibri" w:hAnsi="Cambria Math" w:cs="Times New Roman"/>
                      <w:i/>
                    </w:rPr>
                  </m:ctrlPr>
                </m:sSubPr>
                <m:e>
                  <m:r>
                    <m:rPr>
                      <m:nor/>
                    </m:rPr>
                    <w:rPr>
                      <w:rFonts w:eastAsia="Calibri" w:cs="Times New Roman"/>
                      <w:i/>
                    </w:rPr>
                    <m:t>R</m:t>
                  </m:r>
                </m:e>
                <m:sub>
                  <m:r>
                    <m:rPr>
                      <m:nor/>
                    </m:rPr>
                    <w:rPr>
                      <w:rFonts w:eastAsia="Calibri" w:cs="Times New Roman"/>
                      <w:i/>
                    </w:rPr>
                    <m:t>f</m:t>
                  </m:r>
                </m:sub>
              </m:sSub>
            </m:num>
            <m:den>
              <m:sSub>
                <m:sSubPr>
                  <m:ctrlPr>
                    <w:rPr>
                      <w:rFonts w:ascii="Cambria Math" w:hAnsi="Cambria Math"/>
                      <w:i/>
                      <w:iCs/>
                    </w:rPr>
                  </m:ctrlPr>
                </m:sSubPr>
                <m:e>
                  <m:r>
                    <m:rPr>
                      <m:nor/>
                    </m:rPr>
                    <w:rPr>
                      <w:i/>
                      <w:iCs/>
                    </w:rPr>
                    <m:t>β</m:t>
                  </m:r>
                </m:e>
                <m:sub>
                  <m:r>
                    <m:rPr>
                      <m:nor/>
                    </m:rPr>
                    <w:rPr>
                      <w:i/>
                    </w:rPr>
                    <m:t>i</m:t>
                  </m:r>
                </m:sub>
              </m:sSub>
            </m:den>
          </m:f>
        </m:oMath>
      </m:oMathPara>
    </w:p>
    <w:p w14:paraId="24E5B0DA" w14:textId="77777777" w:rsidR="003B1839" w:rsidRDefault="003B1839" w:rsidP="003B1839">
      <w:pPr>
        <w:pStyle w:val="Textonotapie"/>
      </w:pPr>
      <w:r>
        <w:t>Ambas ratios son importantes herramientas para los inversores que desean comparar el rendimiento de diferentes inversiones y tomar decisiones informadas sobre sus carteras. Sin embargo, es importante tener en cuenta que ningún ratio puede ser utilizado como medida absoluta de rentabilidad y que es necesario considerar otros factores, como el plazo de la inversión, los objetivos de inversión y la tolerancia al riesgo del inversor.</w:t>
      </w:r>
    </w:p>
  </w:footnote>
  <w:footnote w:id="22">
    <w:p w14:paraId="01C4FCD7" w14:textId="362CEF6D" w:rsidR="00986799" w:rsidRDefault="00986799" w:rsidP="00CB6104">
      <w:pPr>
        <w:pStyle w:val="Textonotapie"/>
        <w:keepNext/>
        <w:spacing w:after="0"/>
      </w:pPr>
      <w:r>
        <w:rPr>
          <w:rStyle w:val="Refdenotaalpie"/>
        </w:rPr>
        <w:footnoteRef/>
      </w:r>
      <w:r>
        <w:t xml:space="preserve"> Hay varias maneras de estimar las betas en la práctica:</w:t>
      </w:r>
    </w:p>
    <w:p w14:paraId="1651303A" w14:textId="77777777" w:rsidR="00986799" w:rsidRPr="00986799" w:rsidRDefault="00986799">
      <w:pPr>
        <w:pStyle w:val="Textonotapie"/>
        <w:numPr>
          <w:ilvl w:val="0"/>
          <w:numId w:val="24"/>
        </w:numPr>
        <w:spacing w:after="0"/>
        <w:ind w:left="284" w:hanging="57"/>
        <w:rPr>
          <w:spacing w:val="-1"/>
        </w:rPr>
      </w:pPr>
      <w:r w:rsidRPr="00986799">
        <w:rPr>
          <w:i/>
          <w:iCs/>
          <w:spacing w:val="-1"/>
        </w:rPr>
        <w:t>Regresión lineal</w:t>
      </w:r>
      <w:r w:rsidRPr="00986799">
        <w:rPr>
          <w:spacing w:val="-1"/>
        </w:rPr>
        <w:t>: Una forma común de estimar la beta es mediante el uso de regresión lineal. Para hacer esto, se toma la rendimiento de la inversión en cuestión y se compara con el rendimiento del mercado. La pendiente de la línea de regresión que se forma es la beta.</w:t>
      </w:r>
    </w:p>
    <w:p w14:paraId="009B4982" w14:textId="06D755AE" w:rsidR="00986799" w:rsidRDefault="00986799">
      <w:pPr>
        <w:pStyle w:val="Textonotapie"/>
        <w:numPr>
          <w:ilvl w:val="0"/>
          <w:numId w:val="24"/>
        </w:numPr>
        <w:spacing w:after="0"/>
        <w:ind w:left="284" w:hanging="57"/>
      </w:pPr>
      <w:r w:rsidRPr="00986799">
        <w:rPr>
          <w:i/>
          <w:iCs/>
        </w:rPr>
        <w:t>Datos históricos</w:t>
      </w:r>
      <w:r>
        <w:t>: Otra forma de estimar la beta es utilizar datos históricos de rendimiento de la inversión y del mercado. Se puede calcular la beta promedio de un per</w:t>
      </w:r>
      <w:r w:rsidR="00D46625">
        <w:t>i</w:t>
      </w:r>
      <w:r>
        <w:t>odo de tiempo determinado, como los últimos cinco años.</w:t>
      </w:r>
    </w:p>
    <w:p w14:paraId="4564DF23" w14:textId="77777777" w:rsidR="00986799" w:rsidRDefault="00986799">
      <w:pPr>
        <w:pStyle w:val="Textonotapie"/>
        <w:numPr>
          <w:ilvl w:val="0"/>
          <w:numId w:val="24"/>
        </w:numPr>
        <w:spacing w:after="0"/>
        <w:ind w:left="284" w:hanging="57"/>
      </w:pPr>
      <w:r w:rsidRPr="00986799">
        <w:rPr>
          <w:i/>
          <w:iCs/>
        </w:rPr>
        <w:t>Información de la industria</w:t>
      </w:r>
      <w:r>
        <w:t>: La beta también puede ser estimada utilizando información de la industria en la que se encuentra la inversión. Por ejemplo, si la inversión es una empresa de tecnología, su beta podría ser más alta debido a la mayor volatilidad de la industria de la tecnología en comparación con otras industrias.</w:t>
      </w:r>
    </w:p>
    <w:p w14:paraId="61C7F903" w14:textId="4D11F806" w:rsidR="00986799" w:rsidRDefault="00986799">
      <w:pPr>
        <w:pStyle w:val="Textonotapie"/>
        <w:numPr>
          <w:ilvl w:val="0"/>
          <w:numId w:val="24"/>
        </w:numPr>
        <w:ind w:left="284" w:hanging="57"/>
      </w:pPr>
      <w:r w:rsidRPr="00986799">
        <w:rPr>
          <w:i/>
          <w:iCs/>
        </w:rPr>
        <w:t>Modelos financieros</w:t>
      </w:r>
      <w:r>
        <w:t>: Por último, también se pueden utilizar modelos financieros para estimar la beta de una inversión. Estos modelos utilizan información financiera de la inversión, como el ratio de endeudamiento y el flujo de caja, para calcular la beta.</w:t>
      </w:r>
    </w:p>
  </w:footnote>
  <w:footnote w:id="23">
    <w:p w14:paraId="6D7923DE" w14:textId="093F76D5" w:rsidR="00825AB3" w:rsidRDefault="00825AB3">
      <w:pPr>
        <w:pStyle w:val="Textonotapie"/>
      </w:pPr>
      <w:r>
        <w:rPr>
          <w:rStyle w:val="Refdenotaalpie"/>
        </w:rPr>
        <w:footnoteRef/>
      </w:r>
      <w:r>
        <w:t xml:space="preserve"> Otro problema del CAPM es que sólo se remunera el riesgo sistemático porque el riesgo </w:t>
      </w:r>
      <w:r w:rsidR="001D089B">
        <w:t>idiosincrático</w:t>
      </w:r>
      <w:r>
        <w:t xml:space="preserve"> puede ser totalmente </w:t>
      </w:r>
      <w:r w:rsidR="001D089B">
        <w:t>diversificado</w:t>
      </w:r>
      <w:r>
        <w:t xml:space="preserve">. Para que esta eliminación del riesgo idiosincrático se produzca, los residuos no pueden estar correlacionados. Pero si hay correlación, habría riesgo no </w:t>
      </w:r>
      <w:r w:rsidR="001D089B">
        <w:t>diversificado</w:t>
      </w:r>
      <w:r>
        <w:t xml:space="preserve"> además del riesgo sistemático.</w:t>
      </w:r>
    </w:p>
  </w:footnote>
  <w:footnote w:id="24">
    <w:p w14:paraId="7E2CC85B" w14:textId="3FF3D7F4" w:rsidR="00CA0BF8" w:rsidRDefault="00CA0BF8" w:rsidP="00CA0BF8">
      <w:pPr>
        <w:pStyle w:val="Textonotapie"/>
      </w:pPr>
      <w:r>
        <w:rPr>
          <w:rStyle w:val="Refdenotaalpie"/>
        </w:rPr>
        <w:footnoteRef/>
      </w:r>
      <w:r>
        <w:t xml:space="preserve"> Esta ecuación será la </w:t>
      </w:r>
      <w:r w:rsidRPr="00CA0BF8">
        <w:rPr>
          <w:i/>
          <w:iCs/>
        </w:rPr>
        <w:t>relación de equilibrio del modelo</w:t>
      </w:r>
      <w:r>
        <w:t xml:space="preserve">. Dadas las características de los títulos, podremos estimar la rentabilidad esperada del título. Por ejemplo, si suponemos dos carteras con las mismas </w:t>
      </w:r>
      <m:oMath>
        <m:r>
          <m:rPr>
            <m:nor/>
          </m:rPr>
          <w:rPr>
            <w:i/>
            <w:iCs/>
            <w:lang w:val="en-US"/>
          </w:rPr>
          <m:t>β</m:t>
        </m:r>
      </m:oMath>
      <w:r>
        <w:rPr>
          <w:rFonts w:eastAsiaTheme="minorEastAsia"/>
          <w:iCs/>
        </w:rPr>
        <w:t xml:space="preserve"> y distinta</w:t>
      </w:r>
      <w:r>
        <w:t xml:space="preserve"> rentabilidad esperada se podría producir arbitraje adoptando una posición corta en la cartera de menor rentabilidad esperada y una posición larga en la misma cuantía en la cartera de mayor rentabilidad esperada. Al llevar a cabo estas operaciones, la rentabilidad de los títulos tiende a la relación de equilibrio establecida por esta ecuación.</w:t>
      </w:r>
    </w:p>
  </w:footnote>
  <w:footnote w:id="25">
    <w:p w14:paraId="54ECD244" w14:textId="15A96CCE" w:rsidR="00CA0BF8" w:rsidRDefault="00CA0BF8">
      <w:pPr>
        <w:pStyle w:val="Textonotapie"/>
      </w:pPr>
      <w:r>
        <w:rPr>
          <w:rStyle w:val="Refdenotaalpie"/>
        </w:rPr>
        <w:footnoteRef/>
      </w:r>
      <w:r>
        <w:t xml:space="preserve"> La estimación de los parámetros se realiza mediante regresiones econométricas, para lo que es necesario que existan menos factores que activos.</w:t>
      </w:r>
    </w:p>
  </w:footnote>
  <w:footnote w:id="26">
    <w:p w14:paraId="2D09C943" w14:textId="77777777" w:rsidR="007350CB" w:rsidRDefault="007350CB" w:rsidP="007350CB">
      <w:pPr>
        <w:pStyle w:val="Textonotapie"/>
      </w:pPr>
      <w:r>
        <w:rPr>
          <w:rStyle w:val="Refdenotaalpie"/>
        </w:rPr>
        <w:footnoteRef/>
      </w:r>
      <w:r>
        <w:t xml:space="preserve"> Por ejemplo, parece evidente que para determinar el precio de una acción de Repsol deberíamos considerar el precio del petróleo como un factor a tener en cuenta.</w:t>
      </w:r>
    </w:p>
  </w:footnote>
  <w:footnote w:id="27">
    <w:p w14:paraId="3DC47C5E" w14:textId="44B6C7E9" w:rsidR="00984D8C" w:rsidRDefault="00984D8C">
      <w:pPr>
        <w:pStyle w:val="Textonotapie"/>
      </w:pPr>
      <w:r>
        <w:rPr>
          <w:rStyle w:val="Refdenotaalpie"/>
        </w:rPr>
        <w:footnoteRef/>
      </w:r>
      <w:r>
        <w:t xml:space="preserve"> </w:t>
      </w:r>
      <w:r>
        <w:rPr>
          <w:smallCaps/>
        </w:rPr>
        <w:t>Eugene Fama</w:t>
      </w:r>
      <w:r>
        <w:t xml:space="preserve"> fue galardonado con el </w:t>
      </w:r>
      <w:r w:rsidRPr="008A53D4">
        <w:t>P</w:t>
      </w:r>
      <w:r>
        <w:t xml:space="preserve">remio Nobel de Economía en 2013 junto con </w:t>
      </w:r>
      <w:r>
        <w:rPr>
          <w:smallCaps/>
        </w:rPr>
        <w:t>Lars Peter Hansen</w:t>
      </w:r>
      <w:r>
        <w:t xml:space="preserve"> y </w:t>
      </w:r>
      <w:r>
        <w:rPr>
          <w:smallCaps/>
        </w:rPr>
        <w:t>Robert Shiller</w:t>
      </w:r>
      <w:r>
        <w:t xml:space="preserve"> </w:t>
      </w:r>
      <w:r w:rsidRPr="00984D8C">
        <w:t>«Por su trabajo en el análisis empírico de precios de posesiones capitales.»</w:t>
      </w:r>
    </w:p>
  </w:footnote>
  <w:footnote w:id="28">
    <w:p w14:paraId="408BAD67" w14:textId="202AE258" w:rsidR="009D3DF9" w:rsidRPr="009D3DF9" w:rsidRDefault="009D3DF9">
      <w:pPr>
        <w:pStyle w:val="Textonotapie"/>
      </w:pPr>
      <w:r>
        <w:rPr>
          <w:rStyle w:val="Refdenotaalpie"/>
        </w:rPr>
        <w:footnoteRef/>
      </w:r>
      <w:r>
        <w:t xml:space="preserve"> En el debate desarrollado en 2008 y 2009 en torno al estímulo fiscal y la política monetaria expansiva aplicada por los gobiernos para contener la crisis en el mundo occidental y en los países asiáticos, los argumentos más utilizados fueron de tipo histórico. Los polemistas reconocían que la teoría actual tenía poco (o nada) que ofrecer para solucionar la crisis. Toda la parafernalia matemática de los modelos de los mercados eficientes y de las expectativas racionales, que habían servido de base para las políticas liberales de las tres décadas previas, se derrumbaron como un castillo de naipes con la crisis iniciada en 2007. No obstante, aunque </w:t>
      </w:r>
      <w:r>
        <w:rPr>
          <w:smallCaps/>
        </w:rPr>
        <w:t>Justin Fox</w:t>
      </w:r>
      <w:r>
        <w:t xml:space="preserve"> (2009) consideró que esa teoría formulada por </w:t>
      </w:r>
      <w:r>
        <w:rPr>
          <w:smallCaps/>
        </w:rPr>
        <w:t>Eugene Fama</w:t>
      </w:r>
      <w:r>
        <w:t xml:space="preserve"> sobre los mercados eficientes, que inspiró la doctrina desreguladora de </w:t>
      </w:r>
      <w:r>
        <w:rPr>
          <w:smallCaps/>
        </w:rPr>
        <w:t>Alan Greenspan</w:t>
      </w:r>
      <w:r>
        <w:t xml:space="preserve"> y del consenso de </w:t>
      </w:r>
      <w:r w:rsidRPr="009D3DF9">
        <w:t>Was</w:t>
      </w:r>
      <w:r>
        <w:t xml:space="preserve">hington, quedó refutada por la catástrofe financiera de 2008, </w:t>
      </w:r>
      <w:r>
        <w:rPr>
          <w:smallCaps/>
        </w:rPr>
        <w:t>John Quiggin</w:t>
      </w:r>
      <w:r>
        <w:t xml:space="preserve"> (2010) la incluye entre las </w:t>
      </w:r>
      <w:r w:rsidRPr="009D3DF9">
        <w:rPr>
          <w:rFonts w:cs="Times New Roman"/>
        </w:rPr>
        <w:t>«</w:t>
      </w:r>
      <w:r>
        <w:rPr>
          <w:rFonts w:cs="Times New Roman"/>
        </w:rPr>
        <w:t>doctrinas zombie</w:t>
      </w:r>
      <w:r w:rsidRPr="009D3DF9">
        <w:rPr>
          <w:rFonts w:cs="Times New Roman"/>
        </w:rPr>
        <w:t>»</w:t>
      </w:r>
      <w:r>
        <w:rPr>
          <w:rFonts w:cs="Times New Roman"/>
        </w:rPr>
        <w:t>, caracterizadas poque siguen vivas entre los académicos universitarios, a pesar de haber sido desacreditadas por la realidad económica.</w:t>
      </w:r>
    </w:p>
  </w:footnote>
  <w:footnote w:id="29">
    <w:p w14:paraId="3E364EA4" w14:textId="77777777" w:rsidR="00C35F14" w:rsidRDefault="00C35F14" w:rsidP="00C35F14">
      <w:pPr>
        <w:pStyle w:val="Textonotapie"/>
      </w:pPr>
      <w:r>
        <w:rPr>
          <w:rStyle w:val="Refdenotaalpie"/>
        </w:rPr>
        <w:footnoteRef/>
      </w:r>
      <w:r>
        <w:t xml:space="preserve"> Que no existan posibilidades de arbitrar no quita que se puedan obtener remuneraciones positivas a largo plazo. Los agentes que mejor absorban el riesgo o que invierten a un plazo mayor podrán obtener rendimientos positivos. Sin embargo, no tendría fundamento la gestión activa de carteras.</w:t>
      </w:r>
    </w:p>
  </w:footnote>
  <w:footnote w:id="30">
    <w:p w14:paraId="29EA13A4" w14:textId="5ED03C7E" w:rsidR="00E55852" w:rsidRPr="00B23D60" w:rsidRDefault="00E55852" w:rsidP="00E55852">
      <w:pPr>
        <w:pStyle w:val="Textonotapie"/>
        <w:rPr>
          <w:iCs/>
          <w:spacing w:val="-4"/>
        </w:rPr>
      </w:pPr>
      <w:r w:rsidRPr="00B23D60">
        <w:rPr>
          <w:rStyle w:val="Refdenotaalpie"/>
          <w:spacing w:val="-4"/>
        </w:rPr>
        <w:footnoteRef/>
      </w:r>
      <w:r w:rsidRPr="00B23D60">
        <w:rPr>
          <w:spacing w:val="-4"/>
        </w:rPr>
        <w:t xml:space="preserve"> La eficiencia de los mercados como ausencia de arbitraje no requiere racionalidad de todos los agentes ni que los precios no se muevan de manera salvaje sin una relación directa con cambios en los fundamentales: se puede dar ausencia de arbitraje en cuestiones donde existen burbujas.</w:t>
      </w:r>
    </w:p>
  </w:footnote>
  <w:footnote w:id="31">
    <w:p w14:paraId="0C7E0E0E" w14:textId="23FBCE0F" w:rsidR="007F6C7E" w:rsidRPr="00E55852" w:rsidRDefault="007F6C7E">
      <w:pPr>
        <w:pStyle w:val="Textonotapie"/>
        <w:rPr>
          <w:iCs/>
        </w:rPr>
      </w:pPr>
      <w:r>
        <w:rPr>
          <w:rStyle w:val="Refdenotaalpie"/>
        </w:rPr>
        <w:footnoteRef/>
      </w:r>
      <w:r>
        <w:t xml:space="preserve"> La definición de eficiencia como ausencia de arbitraje también implica que los precios en los mercados financieros se comportan como una martingala, es decir, la esperanza del precio de mañana es el precio de hoy. Pero es una martingala peculiar, pues</w:t>
      </w:r>
      <w:r w:rsidR="00E55852">
        <w:t xml:space="preserve"> la esperanza debe ser tomada con respecto a una distribución de probabilidad específica que </w:t>
      </w:r>
      <w:r w:rsidR="00E55852">
        <w:rPr>
          <w:smallCaps/>
        </w:rPr>
        <w:t>Harrison</w:t>
      </w:r>
      <w:r w:rsidR="00E55852">
        <w:t xml:space="preserve"> y </w:t>
      </w:r>
      <w:r w:rsidR="00E55852">
        <w:rPr>
          <w:smallCaps/>
        </w:rPr>
        <w:t>Kreps</w:t>
      </w:r>
      <w:r w:rsidR="00E55852">
        <w:rPr>
          <w:iCs/>
        </w:rPr>
        <w:t xml:space="preserve"> definieron en 1979: la </w:t>
      </w:r>
      <w:r w:rsidR="00E55852" w:rsidRPr="00E55852">
        <w:rPr>
          <w:i/>
        </w:rPr>
        <w:t>medida de</w:t>
      </w:r>
      <w:r w:rsidR="00E55852">
        <w:rPr>
          <w:iCs/>
        </w:rPr>
        <w:t xml:space="preserve"> </w:t>
      </w:r>
      <w:r w:rsidR="00E55852">
        <w:rPr>
          <w:i/>
        </w:rPr>
        <w:t>martingala equivalente</w:t>
      </w:r>
      <w:r w:rsidR="00E55852">
        <w:rPr>
          <w:iCs/>
        </w:rPr>
        <w:t>. En particular, esta distribución de probabilidad permite que sea perfectamente posible tener predictibilidad en los precios de los activos ya que corrige por la tolerancia de los agentes al riesgo.</w:t>
      </w:r>
    </w:p>
  </w:footnote>
  <w:footnote w:id="32">
    <w:p w14:paraId="4473ACF0" w14:textId="2E37137C" w:rsidR="00C35F14" w:rsidRDefault="00C35F14" w:rsidP="00C35F14">
      <w:pPr>
        <w:pStyle w:val="Textonotapie"/>
      </w:pPr>
      <w:r>
        <w:rPr>
          <w:rStyle w:val="Refdenotaalpie"/>
        </w:rPr>
        <w:footnoteRef/>
      </w:r>
      <w:r>
        <w:t xml:space="preserve"> Una rama de la literatura iniciada por </w:t>
      </w:r>
      <w:r>
        <w:rPr>
          <w:smallCaps/>
        </w:rPr>
        <w:t>Roll</w:t>
      </w:r>
      <w:r>
        <w:t xml:space="preserve"> (197</w:t>
      </w:r>
      <w:r w:rsidR="00270E65">
        <w:t>7</w:t>
      </w:r>
      <w:r>
        <w:t>) mantiene que los mercados financieros internacionales son eficientes y por eso las desviaciones de la PPA (el tipo de cambio real) deben seguir un paseo aleatorio. A veces se le denomina PPA ex ante o PPA de mercados eficiente</w:t>
      </w:r>
      <w:r w:rsidR="0075520C">
        <w:t>s</w:t>
      </w:r>
      <w:r>
        <w:t>. Parte de los supuestos de expectativas racionales y cumplimiento de la PDI.</w:t>
      </w:r>
    </w:p>
    <w:p w14:paraId="24BE5858" w14:textId="63CBB0E1" w:rsidR="00C35F14" w:rsidRDefault="00C35F14" w:rsidP="00C35F14">
      <w:pPr>
        <w:pStyle w:val="Textonotapie"/>
      </w:pPr>
      <w:r>
        <w:t xml:space="preserve">Siguiendo a </w:t>
      </w:r>
      <w:r>
        <w:rPr>
          <w:smallCaps/>
        </w:rPr>
        <w:t>Roll</w:t>
      </w:r>
      <w:r>
        <w:t xml:space="preserve">, supongamos que los agentes </w:t>
      </w:r>
      <w:r w:rsidR="007D49DC">
        <w:t>f</w:t>
      </w:r>
      <w:r>
        <w:t>orm</w:t>
      </w:r>
      <w:r w:rsidR="007D49DC">
        <w:t>a</w:t>
      </w:r>
      <w:r>
        <w:t>n sus expectativas racionalmente y que participan en la compra especulativa de bienes. Un agente nacional puede comprar un bien extranjero y mantenerlo un periodo. El rendimiento nominal esperado de esa estrategia, expresado en moneda extranjera será igual a la inflación esperada en el extranjero. Para expresarlo en moneda doméstica habrá que tener en cuenta los cambios esperados en el tipo de cambio y en los precios domésticos de forma que el rendimiento esperado para un residente nacional al especular con un bien extranjero será:</w:t>
      </w:r>
    </w:p>
    <w:p w14:paraId="354FE3B0" w14:textId="798954B3" w:rsidR="00C35F14" w:rsidRPr="00270E65" w:rsidRDefault="00000000" w:rsidP="00C35F14">
      <w:pPr>
        <w:pStyle w:val="Textonotapie"/>
        <w:rPr>
          <w:rFonts w:eastAsiaTheme="minorEastAsia"/>
          <w:i/>
          <w:szCs w:val="16"/>
          <w:lang w:val="fr-FR"/>
        </w:rPr>
      </w:pPr>
      <m:oMathPara>
        <m:oMath>
          <m:sSub>
            <m:sSubPr>
              <m:ctrlPr>
                <w:rPr>
                  <w:rFonts w:ascii="Cambria Math" w:hAnsi="Cambria Math"/>
                  <w:i/>
                  <w:szCs w:val="16"/>
                </w:rPr>
              </m:ctrlPr>
            </m:sSubPr>
            <m:e>
              <m:r>
                <m:rPr>
                  <m:nor/>
                </m:rPr>
                <w:rPr>
                  <w:i/>
                  <w:szCs w:val="16"/>
                  <w:lang w:val="fr-FR"/>
                </w:rPr>
                <m:t>E</m:t>
              </m:r>
            </m:e>
            <m:sub>
              <m:r>
                <m:rPr>
                  <m:nor/>
                </m:rPr>
                <w:rPr>
                  <w:i/>
                  <w:szCs w:val="16"/>
                  <w:lang w:val="fr-FR"/>
                </w:rPr>
                <m:t>t</m:t>
              </m:r>
            </m:sub>
          </m:sSub>
          <m:d>
            <m:dPr>
              <m:begChr m:val="["/>
              <m:endChr m:val="]"/>
              <m:ctrlPr>
                <w:rPr>
                  <w:rFonts w:ascii="Cambria Math" w:hAnsi="Cambria Math"/>
                  <w:i/>
                  <w:szCs w:val="16"/>
                </w:rPr>
              </m:ctrlPr>
            </m:dPr>
            <m:e>
              <m:r>
                <m:rPr>
                  <m:nor/>
                </m:rPr>
                <w:rPr>
                  <w:szCs w:val="16"/>
                </w:rPr>
                <m:t>Δ</m:t>
              </m:r>
              <m:sSub>
                <m:sSubPr>
                  <m:ctrlPr>
                    <w:rPr>
                      <w:rFonts w:ascii="Cambria Math" w:hAnsi="Cambria Math"/>
                      <w:i/>
                      <w:szCs w:val="16"/>
                    </w:rPr>
                  </m:ctrlPr>
                </m:sSubPr>
                <m:e>
                  <m:r>
                    <m:rPr>
                      <m:nor/>
                    </m:rPr>
                    <w:rPr>
                      <w:i/>
                      <w:szCs w:val="16"/>
                      <w:lang w:val="fr-FR"/>
                    </w:rPr>
                    <m:t>p*</m:t>
                  </m:r>
                </m:e>
                <m:sub>
                  <m:r>
                    <m:rPr>
                      <m:nor/>
                    </m:rPr>
                    <w:rPr>
                      <w:i/>
                      <w:szCs w:val="16"/>
                      <w:lang w:val="fr-FR"/>
                    </w:rPr>
                    <m:t>t+1</m:t>
                  </m:r>
                </m:sub>
              </m:sSub>
            </m:e>
          </m:d>
          <m:r>
            <w:rPr>
              <w:rFonts w:ascii="Cambria Math" w:eastAsiaTheme="minorEastAsia" w:hAnsi="Cambria Math"/>
              <w:szCs w:val="16"/>
              <w:lang w:val="fr-FR"/>
            </w:rPr>
            <m:t>+</m:t>
          </m:r>
          <m:sSub>
            <m:sSubPr>
              <m:ctrlPr>
                <w:rPr>
                  <w:rFonts w:ascii="Cambria Math" w:hAnsi="Cambria Math"/>
                  <w:i/>
                  <w:szCs w:val="16"/>
                </w:rPr>
              </m:ctrlPr>
            </m:sSubPr>
            <m:e>
              <m:r>
                <m:rPr>
                  <m:nor/>
                </m:rPr>
                <w:rPr>
                  <w:i/>
                  <w:szCs w:val="16"/>
                  <w:lang w:val="fr-FR"/>
                </w:rPr>
                <m:t>E</m:t>
              </m:r>
            </m:e>
            <m:sub>
              <m:r>
                <m:rPr>
                  <m:nor/>
                </m:rPr>
                <w:rPr>
                  <w:i/>
                  <w:szCs w:val="16"/>
                  <w:lang w:val="fr-FR"/>
                </w:rPr>
                <m:t>t</m:t>
              </m:r>
            </m:sub>
          </m:sSub>
          <m:d>
            <m:dPr>
              <m:begChr m:val="["/>
              <m:endChr m:val="]"/>
              <m:ctrlPr>
                <w:rPr>
                  <w:rFonts w:ascii="Cambria Math" w:hAnsi="Cambria Math"/>
                  <w:i/>
                  <w:szCs w:val="16"/>
                </w:rPr>
              </m:ctrlPr>
            </m:dPr>
            <m:e>
              <m:r>
                <m:rPr>
                  <m:nor/>
                </m:rPr>
                <w:rPr>
                  <w:szCs w:val="16"/>
                </w:rPr>
                <m:t>Δ</m:t>
              </m:r>
              <m:sSub>
                <m:sSubPr>
                  <m:ctrlPr>
                    <w:rPr>
                      <w:rFonts w:ascii="Cambria Math" w:hAnsi="Cambria Math"/>
                      <w:i/>
                      <w:szCs w:val="16"/>
                    </w:rPr>
                  </m:ctrlPr>
                </m:sSubPr>
                <m:e>
                  <m:r>
                    <m:rPr>
                      <m:nor/>
                    </m:rPr>
                    <w:rPr>
                      <w:i/>
                      <w:szCs w:val="16"/>
                      <w:lang w:val="fr-FR"/>
                    </w:rPr>
                    <m:t>s</m:t>
                  </m:r>
                </m:e>
                <m:sub>
                  <m:r>
                    <m:rPr>
                      <m:nor/>
                    </m:rPr>
                    <w:rPr>
                      <w:i/>
                      <w:szCs w:val="16"/>
                      <w:lang w:val="fr-FR"/>
                    </w:rPr>
                    <m:t>t+1</m:t>
                  </m:r>
                </m:sub>
              </m:sSub>
            </m:e>
          </m:d>
          <m:r>
            <w:rPr>
              <w:rFonts w:ascii="Cambria Math" w:hAnsi="Cambria Math"/>
              <w:szCs w:val="16"/>
              <w:lang w:val="fr-FR"/>
            </w:rPr>
            <m:t>-</m:t>
          </m:r>
          <m:sSub>
            <m:sSubPr>
              <m:ctrlPr>
                <w:rPr>
                  <w:rFonts w:ascii="Cambria Math" w:hAnsi="Cambria Math"/>
                  <w:i/>
                  <w:szCs w:val="16"/>
                </w:rPr>
              </m:ctrlPr>
            </m:sSubPr>
            <m:e>
              <m:r>
                <m:rPr>
                  <m:nor/>
                </m:rPr>
                <w:rPr>
                  <w:i/>
                  <w:szCs w:val="16"/>
                  <w:lang w:val="fr-FR"/>
                </w:rPr>
                <m:t>E</m:t>
              </m:r>
            </m:e>
            <m:sub>
              <m:r>
                <m:rPr>
                  <m:nor/>
                </m:rPr>
                <w:rPr>
                  <w:i/>
                  <w:szCs w:val="16"/>
                  <w:lang w:val="fr-FR"/>
                </w:rPr>
                <m:t>t</m:t>
              </m:r>
            </m:sub>
          </m:sSub>
          <m:d>
            <m:dPr>
              <m:begChr m:val="["/>
              <m:endChr m:val="]"/>
              <m:ctrlPr>
                <w:rPr>
                  <w:rFonts w:ascii="Cambria Math" w:hAnsi="Cambria Math"/>
                  <w:i/>
                  <w:szCs w:val="16"/>
                </w:rPr>
              </m:ctrlPr>
            </m:dPr>
            <m:e>
              <m:r>
                <m:rPr>
                  <m:nor/>
                </m:rPr>
                <w:rPr>
                  <w:szCs w:val="16"/>
                </w:rPr>
                <m:t>Δ</m:t>
              </m:r>
              <m:sSub>
                <m:sSubPr>
                  <m:ctrlPr>
                    <w:rPr>
                      <w:rFonts w:ascii="Cambria Math" w:hAnsi="Cambria Math"/>
                      <w:i/>
                      <w:szCs w:val="16"/>
                    </w:rPr>
                  </m:ctrlPr>
                </m:sSubPr>
                <m:e>
                  <m:r>
                    <m:rPr>
                      <m:nor/>
                    </m:rPr>
                    <w:rPr>
                      <w:i/>
                      <w:szCs w:val="16"/>
                      <w:lang w:val="fr-FR"/>
                    </w:rPr>
                    <m:t>p</m:t>
                  </m:r>
                </m:e>
                <m:sub>
                  <m:r>
                    <m:rPr>
                      <m:nor/>
                    </m:rPr>
                    <w:rPr>
                      <w:i/>
                      <w:szCs w:val="16"/>
                      <w:lang w:val="fr-FR"/>
                    </w:rPr>
                    <m:t>t+1</m:t>
                  </m:r>
                </m:sub>
              </m:sSub>
            </m:e>
          </m:d>
        </m:oMath>
      </m:oMathPara>
    </w:p>
    <w:p w14:paraId="54DEA7DC" w14:textId="77777777" w:rsidR="00C35F14" w:rsidRDefault="00C35F14" w:rsidP="00C35F14">
      <w:pPr>
        <w:pStyle w:val="Textonotapie"/>
        <w:rPr>
          <w:rFonts w:eastAsiaTheme="minorEastAsia"/>
          <w:iCs/>
        </w:rPr>
      </w:pPr>
      <w:r>
        <w:rPr>
          <w:rFonts w:eastAsiaTheme="minorEastAsia"/>
          <w:iCs/>
        </w:rPr>
        <w:t xml:space="preserve">Teniendo en cuenta la definición del tipo de cambio real (en logs): </w:t>
      </w:r>
      <m:oMath>
        <m:sSub>
          <m:sSubPr>
            <m:ctrlPr>
              <w:rPr>
                <w:rFonts w:ascii="Cambria Math" w:hAnsi="Cambria Math"/>
                <w:i/>
                <w:sz w:val="22"/>
              </w:rPr>
            </m:ctrlPr>
          </m:sSubPr>
          <m:e>
            <m:r>
              <m:rPr>
                <m:nor/>
              </m:rPr>
              <w:rPr>
                <w:i/>
              </w:rPr>
              <m:t>q</m:t>
            </m:r>
          </m:e>
          <m:sub>
            <m:r>
              <m:rPr>
                <m:nor/>
              </m:rPr>
              <w:rPr>
                <w:i/>
              </w:rPr>
              <m:t>t</m:t>
            </m:r>
          </m:sub>
        </m:sSub>
        <m:r>
          <w:rPr>
            <w:rFonts w:ascii="Cambria Math" w:hAnsi="Cambria Math"/>
          </w:rPr>
          <m:t>=</m:t>
        </m:r>
        <m:sSub>
          <m:sSubPr>
            <m:ctrlPr>
              <w:rPr>
                <w:rFonts w:ascii="Cambria Math" w:hAnsi="Cambria Math"/>
                <w:i/>
                <w:sz w:val="22"/>
              </w:rPr>
            </m:ctrlPr>
          </m:sSubPr>
          <m:e>
            <m:r>
              <m:rPr>
                <m:nor/>
              </m:rPr>
              <w:rPr>
                <w:i/>
              </w:rPr>
              <m:t>s</m:t>
            </m:r>
          </m:e>
          <m:sub>
            <m:r>
              <m:rPr>
                <m:nor/>
              </m:rPr>
              <w:rPr>
                <w:i/>
              </w:rPr>
              <m:t>t</m:t>
            </m:r>
          </m:sub>
        </m:sSub>
        <m:r>
          <w:rPr>
            <w:rFonts w:ascii="Cambria Math" w:hAnsi="Cambria Math"/>
          </w:rPr>
          <m:t>-</m:t>
        </m:r>
        <m:sSub>
          <m:sSubPr>
            <m:ctrlPr>
              <w:rPr>
                <w:rFonts w:ascii="Cambria Math" w:hAnsi="Cambria Math"/>
                <w:i/>
                <w:sz w:val="22"/>
              </w:rPr>
            </m:ctrlPr>
          </m:sSubPr>
          <m:e>
            <m:r>
              <m:rPr>
                <m:nor/>
              </m:rPr>
              <w:rPr>
                <w:i/>
              </w:rPr>
              <m:t>p</m:t>
            </m:r>
          </m:e>
          <m:sub>
            <m:r>
              <m:rPr>
                <m:nor/>
              </m:rPr>
              <w:rPr>
                <w:i/>
              </w:rPr>
              <m:t>t</m:t>
            </m:r>
          </m:sub>
        </m:sSub>
        <m:r>
          <w:rPr>
            <w:rFonts w:ascii="Cambria Math" w:hAnsi="Cambria Math"/>
          </w:rPr>
          <m:t>+</m:t>
        </m:r>
        <m:sSub>
          <m:sSubPr>
            <m:ctrlPr>
              <w:rPr>
                <w:rFonts w:ascii="Cambria Math" w:hAnsi="Cambria Math"/>
                <w:i/>
                <w:sz w:val="22"/>
              </w:rPr>
            </m:ctrlPr>
          </m:sSubPr>
          <m:e>
            <m:r>
              <m:rPr>
                <m:nor/>
              </m:rPr>
              <w:rPr>
                <w:i/>
              </w:rPr>
              <m:t>p*</m:t>
            </m:r>
          </m:e>
          <m:sub>
            <m:r>
              <m:rPr>
                <m:nor/>
              </m:rPr>
              <w:rPr>
                <w:i/>
              </w:rPr>
              <m:t>t</m:t>
            </m:r>
          </m:sub>
        </m:sSub>
      </m:oMath>
      <w:r>
        <w:rPr>
          <w:rFonts w:eastAsiaTheme="minorEastAsia"/>
        </w:rPr>
        <w:t xml:space="preserve"> obtenemos:</w:t>
      </w:r>
    </w:p>
    <w:p w14:paraId="7CDA835A" w14:textId="77777777" w:rsidR="00C35F14" w:rsidRPr="00270E65" w:rsidRDefault="00000000" w:rsidP="00C35F14">
      <w:pPr>
        <w:pStyle w:val="Textonotapie"/>
        <w:rPr>
          <w:rFonts w:eastAsiaTheme="minorEastAsia"/>
          <w:i/>
          <w:szCs w:val="16"/>
        </w:rPr>
      </w:pPr>
      <m:oMathPara>
        <m:oMath>
          <m:sSub>
            <m:sSubPr>
              <m:ctrlPr>
                <w:rPr>
                  <w:rFonts w:ascii="Cambria Math" w:hAnsi="Cambria Math"/>
                  <w:i/>
                  <w:szCs w:val="16"/>
                </w:rPr>
              </m:ctrlPr>
            </m:sSubPr>
            <m:e>
              <m:r>
                <m:rPr>
                  <m:nor/>
                </m:rPr>
                <w:rPr>
                  <w:i/>
                  <w:szCs w:val="16"/>
                </w:rPr>
                <m:t>E</m:t>
              </m:r>
            </m:e>
            <m:sub>
              <m:r>
                <m:rPr>
                  <m:nor/>
                </m:rPr>
                <w:rPr>
                  <w:i/>
                  <w:szCs w:val="16"/>
                </w:rPr>
                <m:t>t</m:t>
              </m:r>
            </m:sub>
          </m:sSub>
          <m:d>
            <m:dPr>
              <m:begChr m:val="["/>
              <m:endChr m:val="]"/>
              <m:ctrlPr>
                <w:rPr>
                  <w:rFonts w:ascii="Cambria Math" w:hAnsi="Cambria Math"/>
                  <w:i/>
                  <w:szCs w:val="16"/>
                </w:rPr>
              </m:ctrlPr>
            </m:dPr>
            <m:e>
              <m:r>
                <m:rPr>
                  <m:nor/>
                </m:rPr>
                <w:rPr>
                  <w:szCs w:val="16"/>
                </w:rPr>
                <m:t>Δ</m:t>
              </m:r>
              <m:sSub>
                <m:sSubPr>
                  <m:ctrlPr>
                    <w:rPr>
                      <w:rFonts w:ascii="Cambria Math" w:hAnsi="Cambria Math"/>
                      <w:i/>
                      <w:szCs w:val="16"/>
                    </w:rPr>
                  </m:ctrlPr>
                </m:sSubPr>
                <m:e>
                  <m:r>
                    <m:rPr>
                      <m:nor/>
                    </m:rPr>
                    <w:rPr>
                      <w:i/>
                      <w:szCs w:val="16"/>
                    </w:rPr>
                    <m:t>q</m:t>
                  </m:r>
                </m:e>
                <m:sub>
                  <m:r>
                    <m:rPr>
                      <m:nor/>
                    </m:rPr>
                    <w:rPr>
                      <w:i/>
                      <w:szCs w:val="16"/>
                    </w:rPr>
                    <m:t>t+1</m:t>
                  </m:r>
                </m:sub>
              </m:sSub>
            </m:e>
          </m:d>
          <m:r>
            <w:rPr>
              <w:rFonts w:ascii="Cambria Math" w:eastAsiaTheme="minorEastAsia" w:hAnsi="Cambria Math"/>
              <w:szCs w:val="16"/>
            </w:rPr>
            <m:t>=</m:t>
          </m:r>
          <m:r>
            <m:rPr>
              <m:nor/>
            </m:rPr>
            <w:rPr>
              <w:i/>
              <w:szCs w:val="16"/>
            </w:rPr>
            <m:t>0</m:t>
          </m:r>
        </m:oMath>
      </m:oMathPara>
    </w:p>
    <w:p w14:paraId="65EE0B21" w14:textId="77777777" w:rsidR="00C35F14" w:rsidRPr="00B23D60" w:rsidRDefault="00C35F14" w:rsidP="00C35F14">
      <w:pPr>
        <w:pStyle w:val="Textonotapie"/>
        <w:rPr>
          <w:rFonts w:eastAsiaTheme="minorEastAsia"/>
          <w:spacing w:val="-5"/>
        </w:rPr>
      </w:pPr>
      <w:r w:rsidRPr="00B23D60">
        <w:rPr>
          <w:iCs/>
          <w:spacing w:val="-5"/>
        </w:rPr>
        <w:t xml:space="preserve">Lo que implica que </w:t>
      </w:r>
      <m:oMath>
        <m:sSub>
          <m:sSubPr>
            <m:ctrlPr>
              <w:rPr>
                <w:rFonts w:ascii="Cambria Math" w:hAnsi="Cambria Math"/>
                <w:i/>
                <w:spacing w:val="-5"/>
                <w:sz w:val="22"/>
              </w:rPr>
            </m:ctrlPr>
          </m:sSubPr>
          <m:e>
            <m:r>
              <m:rPr>
                <m:nor/>
              </m:rPr>
              <w:rPr>
                <w:i/>
                <w:spacing w:val="-5"/>
              </w:rPr>
              <m:t>q</m:t>
            </m:r>
          </m:e>
          <m:sub>
            <m:r>
              <m:rPr>
                <m:nor/>
              </m:rPr>
              <w:rPr>
                <w:i/>
                <w:spacing w:val="-5"/>
              </w:rPr>
              <m:t>t</m:t>
            </m:r>
          </m:sub>
        </m:sSub>
      </m:oMath>
      <w:r w:rsidRPr="00B23D60">
        <w:rPr>
          <w:rFonts w:eastAsiaTheme="minorEastAsia"/>
          <w:spacing w:val="-5"/>
        </w:rPr>
        <w:t xml:space="preserve"> sigue un paseo aleatorio: </w:t>
      </w:r>
      <m:oMath>
        <m:sSub>
          <m:sSubPr>
            <m:ctrlPr>
              <w:rPr>
                <w:rFonts w:ascii="Cambria Math" w:hAnsi="Cambria Math"/>
                <w:i/>
                <w:spacing w:val="-5"/>
                <w:sz w:val="22"/>
              </w:rPr>
            </m:ctrlPr>
          </m:sSubPr>
          <m:e>
            <m:r>
              <m:rPr>
                <m:nor/>
              </m:rPr>
              <w:rPr>
                <w:i/>
                <w:spacing w:val="-5"/>
              </w:rPr>
              <m:t>q</m:t>
            </m:r>
          </m:e>
          <m:sub>
            <m:r>
              <m:rPr>
                <m:nor/>
              </m:rPr>
              <w:rPr>
                <w:i/>
                <w:spacing w:val="-5"/>
              </w:rPr>
              <m:t>t+1</m:t>
            </m:r>
          </m:sub>
        </m:sSub>
        <m:r>
          <w:rPr>
            <w:rFonts w:ascii="Cambria Math" w:hAnsi="Cambria Math"/>
            <w:spacing w:val="-5"/>
          </w:rPr>
          <m:t>=</m:t>
        </m:r>
        <m:sSub>
          <m:sSubPr>
            <m:ctrlPr>
              <w:rPr>
                <w:rFonts w:ascii="Cambria Math" w:hAnsi="Cambria Math"/>
                <w:i/>
                <w:spacing w:val="-5"/>
                <w:sz w:val="22"/>
              </w:rPr>
            </m:ctrlPr>
          </m:sSubPr>
          <m:e>
            <m:r>
              <m:rPr>
                <m:nor/>
              </m:rPr>
              <w:rPr>
                <w:i/>
                <w:spacing w:val="-5"/>
              </w:rPr>
              <m:t>q</m:t>
            </m:r>
          </m:e>
          <m:sub>
            <m:r>
              <m:rPr>
                <m:nor/>
              </m:rPr>
              <w:rPr>
                <w:i/>
                <w:spacing w:val="-5"/>
              </w:rPr>
              <m:t>t</m:t>
            </m:r>
          </m:sub>
        </m:sSub>
        <m:r>
          <w:rPr>
            <w:rFonts w:ascii="Cambria Math" w:eastAsiaTheme="minorEastAsia" w:hAnsi="Cambria Math"/>
            <w:spacing w:val="-5"/>
          </w:rPr>
          <m:t>+</m:t>
        </m:r>
        <m:sSub>
          <m:sSubPr>
            <m:ctrlPr>
              <w:rPr>
                <w:rFonts w:ascii="Cambria Math" w:hAnsi="Cambria Math"/>
                <w:i/>
                <w:spacing w:val="-5"/>
                <w:sz w:val="22"/>
              </w:rPr>
            </m:ctrlPr>
          </m:sSubPr>
          <m:e>
            <m:r>
              <m:rPr>
                <m:nor/>
              </m:rPr>
              <w:rPr>
                <w:i/>
                <w:iCs/>
                <w:spacing w:val="-5"/>
              </w:rPr>
              <m:t>η</m:t>
            </m:r>
          </m:e>
          <m:sub>
            <m:r>
              <m:rPr>
                <m:nor/>
              </m:rPr>
              <w:rPr>
                <w:i/>
                <w:spacing w:val="-5"/>
              </w:rPr>
              <m:t>t+1</m:t>
            </m:r>
          </m:sub>
        </m:sSub>
      </m:oMath>
      <w:r w:rsidRPr="00B23D60">
        <w:rPr>
          <w:rFonts w:eastAsiaTheme="minorEastAsia"/>
          <w:spacing w:val="-5"/>
        </w:rPr>
        <w:t xml:space="preserve">, donde </w:t>
      </w:r>
      <m:oMath>
        <m:sSub>
          <m:sSubPr>
            <m:ctrlPr>
              <w:rPr>
                <w:rFonts w:ascii="Cambria Math" w:hAnsi="Cambria Math"/>
                <w:i/>
                <w:spacing w:val="-5"/>
                <w:sz w:val="22"/>
              </w:rPr>
            </m:ctrlPr>
          </m:sSubPr>
          <m:e>
            <m:r>
              <m:rPr>
                <m:nor/>
              </m:rPr>
              <w:rPr>
                <w:i/>
                <w:iCs/>
                <w:spacing w:val="-5"/>
              </w:rPr>
              <m:t>η</m:t>
            </m:r>
          </m:e>
          <m:sub>
            <m:r>
              <m:rPr>
                <m:nor/>
              </m:rPr>
              <w:rPr>
                <w:i/>
                <w:spacing w:val="-5"/>
              </w:rPr>
              <m:t>t+1</m:t>
            </m:r>
          </m:sub>
        </m:sSub>
      </m:oMath>
      <w:r w:rsidRPr="00B23D60">
        <w:rPr>
          <w:rFonts w:eastAsiaTheme="minorEastAsia"/>
          <w:spacing w:val="-5"/>
        </w:rPr>
        <w:t xml:space="preserve"> es un error de previsión con expectativas racionales tal que </w:t>
      </w:r>
      <m:oMath>
        <m:sSub>
          <m:sSubPr>
            <m:ctrlPr>
              <w:rPr>
                <w:rFonts w:ascii="Cambria Math" w:hAnsi="Cambria Math"/>
                <w:i/>
                <w:spacing w:val="-5"/>
                <w:szCs w:val="16"/>
              </w:rPr>
            </m:ctrlPr>
          </m:sSubPr>
          <m:e>
            <m:r>
              <m:rPr>
                <m:nor/>
              </m:rPr>
              <w:rPr>
                <w:i/>
                <w:spacing w:val="-5"/>
                <w:szCs w:val="16"/>
              </w:rPr>
              <m:t>E</m:t>
            </m:r>
          </m:e>
          <m:sub>
            <m:r>
              <m:rPr>
                <m:nor/>
              </m:rPr>
              <w:rPr>
                <w:i/>
                <w:spacing w:val="-5"/>
                <w:szCs w:val="16"/>
              </w:rPr>
              <m:t>t</m:t>
            </m:r>
          </m:sub>
        </m:sSub>
        <m:d>
          <m:dPr>
            <m:begChr m:val="["/>
            <m:endChr m:val="]"/>
            <m:ctrlPr>
              <w:rPr>
                <w:rFonts w:ascii="Cambria Math" w:hAnsi="Cambria Math"/>
                <w:i/>
                <w:spacing w:val="-5"/>
                <w:szCs w:val="16"/>
              </w:rPr>
            </m:ctrlPr>
          </m:dPr>
          <m:e>
            <m:sSub>
              <m:sSubPr>
                <m:ctrlPr>
                  <w:rPr>
                    <w:rFonts w:ascii="Cambria Math" w:hAnsi="Cambria Math"/>
                    <w:i/>
                    <w:spacing w:val="-5"/>
                    <w:szCs w:val="16"/>
                  </w:rPr>
                </m:ctrlPr>
              </m:sSubPr>
              <m:e>
                <m:r>
                  <m:rPr>
                    <m:nor/>
                  </m:rPr>
                  <w:rPr>
                    <w:i/>
                    <w:iCs/>
                    <w:spacing w:val="-5"/>
                    <w:szCs w:val="16"/>
                  </w:rPr>
                  <m:t>η</m:t>
                </m:r>
              </m:e>
              <m:sub>
                <m:r>
                  <m:rPr>
                    <m:nor/>
                  </m:rPr>
                  <w:rPr>
                    <w:i/>
                    <w:spacing w:val="-5"/>
                    <w:szCs w:val="16"/>
                  </w:rPr>
                  <m:t>t+1</m:t>
                </m:r>
              </m:sub>
            </m:sSub>
          </m:e>
        </m:d>
        <m:r>
          <w:rPr>
            <w:rFonts w:ascii="Cambria Math" w:eastAsiaTheme="minorEastAsia" w:hAnsi="Cambria Math"/>
            <w:spacing w:val="-5"/>
            <w:szCs w:val="16"/>
          </w:rPr>
          <m:t>=</m:t>
        </m:r>
        <m:r>
          <m:rPr>
            <m:nor/>
          </m:rPr>
          <w:rPr>
            <w:i/>
            <w:spacing w:val="-5"/>
            <w:szCs w:val="16"/>
          </w:rPr>
          <m:t>0</m:t>
        </m:r>
      </m:oMath>
      <w:r w:rsidRPr="00B23D60">
        <w:rPr>
          <w:rFonts w:eastAsiaTheme="minorEastAsia"/>
          <w:spacing w:val="-5"/>
        </w:rPr>
        <w:t>.</w:t>
      </w:r>
    </w:p>
    <w:p w14:paraId="782DDF81" w14:textId="77777777" w:rsidR="00C35F14" w:rsidRDefault="00C35F14" w:rsidP="00C35F14">
      <w:pPr>
        <w:pStyle w:val="Textonotapie"/>
        <w:rPr>
          <w:rFonts w:eastAsiaTheme="minorEastAsia"/>
        </w:rPr>
      </w:pPr>
      <w:r>
        <w:rPr>
          <w:rFonts w:eastAsiaTheme="minorEastAsia"/>
        </w:rPr>
        <w:t>Esto significa que la mejor predicción del tipo de cambio real futuro será el tipo de cambio real actual y que ante cualquier desviación de la PPA, no se producirá un proceso de reajuste o reversión a la media. Un shock que afecte al tipo de cambio real tendrá efectos permanentes. De acuerdo con este enfoque, el cumplimiento de la PPA a largo plazo sería incompatible con la eficiencia de los mercados (otros autores no comparten esta conclusión).</w:t>
      </w:r>
    </w:p>
    <w:p w14:paraId="12E454FF" w14:textId="77777777" w:rsidR="00C35F14" w:rsidRDefault="00C35F14" w:rsidP="00C35F14">
      <w:pPr>
        <w:pStyle w:val="Textonotapie"/>
        <w:rPr>
          <w:rFonts w:eastAsiaTheme="minorEastAsia"/>
        </w:rPr>
      </w:pPr>
      <w:r>
        <w:rPr>
          <w:rFonts w:eastAsiaTheme="minorEastAsia"/>
        </w:rPr>
        <w:t>Los resultados empíricos sugieren que la PPA es una buena primera aproximación al comportamiento a largo plazo de los tipos de cambio y que el proceso de ajuste hacia ese nivel parece presentar no linealidades. Estos modelos no lineales parecen la línea de trabajo más prometedora en estos momentos.</w:t>
      </w:r>
    </w:p>
    <w:p w14:paraId="5C9D7B4C" w14:textId="3B05673F" w:rsidR="00C35F14" w:rsidRDefault="00C35F14" w:rsidP="00C35F14">
      <w:pPr>
        <w:pStyle w:val="Textonotapie"/>
        <w:rPr>
          <w:rFonts w:eastAsiaTheme="minorEastAsia"/>
        </w:rPr>
      </w:pPr>
      <w:r>
        <w:rPr>
          <w:rFonts w:eastAsiaTheme="minorEastAsia"/>
        </w:rPr>
        <w:t>La mayoría de los modelos del tipo de cambio real se centran en los determinantes reales (frente a los nominales) del tipo de cambio ajustado por el nivel de precios. La PPA es una versión particularmente simple donde se supone que el tipo de cambio real es constante.</w:t>
      </w:r>
    </w:p>
    <w:p w14:paraId="56E6CCDD" w14:textId="505C2674" w:rsidR="00864BF8" w:rsidRDefault="00000000" w:rsidP="00C35F14">
      <w:pPr>
        <w:pStyle w:val="Textonotapie"/>
        <w:rPr>
          <w:rFonts w:eastAsiaTheme="minorEastAsia"/>
        </w:rPr>
      </w:pPr>
      <w:hyperlink r:id="rId5" w:history="1">
        <w:r w:rsidR="00864BF8" w:rsidRPr="00097556">
          <w:rPr>
            <w:rStyle w:val="Hipervnculo"/>
            <w:rFonts w:eastAsiaTheme="minorEastAsia"/>
          </w:rPr>
          <w:t>https://en.wikipedia.org/wiki/Roll%27s_critique</w:t>
        </w:r>
      </w:hyperlink>
      <w:r w:rsidR="00864BF8">
        <w:rPr>
          <w:rFonts w:eastAsiaTheme="minorEastAsia"/>
        </w:rPr>
        <w:t xml:space="preserve"> </w:t>
      </w:r>
    </w:p>
    <w:p w14:paraId="5956B3C7" w14:textId="67904B6A" w:rsidR="00270E65" w:rsidRPr="002A62A0" w:rsidRDefault="00000000" w:rsidP="00C35F14">
      <w:pPr>
        <w:pStyle w:val="Textonotapie"/>
        <w:rPr>
          <w:rFonts w:eastAsiaTheme="minorEastAsia"/>
        </w:rPr>
      </w:pPr>
      <w:hyperlink r:id="rId6" w:history="1">
        <w:r w:rsidR="00864BF8" w:rsidRPr="00097556">
          <w:rPr>
            <w:rStyle w:val="Hipervnculo"/>
            <w:rFonts w:eastAsiaTheme="minorEastAsia"/>
          </w:rPr>
          <w:t>https://www.investopedia.com/terms/r/rollscritique.asp</w:t>
        </w:r>
      </w:hyperlink>
    </w:p>
  </w:footnote>
  <w:footnote w:id="33">
    <w:p w14:paraId="262A44B1" w14:textId="2CC51EB1" w:rsidR="00BD6830" w:rsidRPr="00BD6830" w:rsidRDefault="00BD6830">
      <w:pPr>
        <w:pStyle w:val="Textonotapie"/>
        <w:rPr>
          <w:b/>
        </w:rPr>
      </w:pPr>
      <w:r>
        <w:rPr>
          <w:rStyle w:val="Refdenotaalpie"/>
        </w:rPr>
        <w:footnoteRef/>
      </w:r>
      <w:r>
        <w:t xml:space="preserve"> Esta crítica está muy relacionada con la </w:t>
      </w:r>
      <w:bookmarkStart w:id="85" w:name="_Hlk100770817"/>
      <w:r>
        <w:rPr>
          <w:i/>
          <w:iCs/>
        </w:rPr>
        <w:t>Prospect Theory</w:t>
      </w:r>
      <w:bookmarkEnd w:id="85"/>
      <w:r>
        <w:t xml:space="preserve"> de </w:t>
      </w:r>
      <w:r>
        <w:rPr>
          <w:smallCaps/>
        </w:rPr>
        <w:t>Daniel Kahneman</w:t>
      </w:r>
      <w:r>
        <w:t xml:space="preserve"> y </w:t>
      </w:r>
      <w:r w:rsidRPr="004457D5">
        <w:rPr>
          <w:bCs/>
          <w:smallCaps/>
        </w:rPr>
        <w:t>Am</w:t>
      </w:r>
      <w:r>
        <w:rPr>
          <w:bCs/>
          <w:smallCaps/>
        </w:rPr>
        <w:t>os Tversky</w:t>
      </w:r>
      <w:r>
        <w:rPr>
          <w:bCs/>
        </w:rPr>
        <w:t xml:space="preserve"> (1979)</w:t>
      </w:r>
      <w:r w:rsidRPr="004457D5">
        <w:rPr>
          <w:bCs/>
          <w:color w:val="767171" w:themeColor="background2" w:themeShade="80"/>
          <w:sz w:val="19"/>
          <w:szCs w:val="19"/>
        </w:rPr>
        <w:t xml:space="preserve"> </w:t>
      </w:r>
      <w:r w:rsidRPr="00BD6830">
        <w:rPr>
          <w:bCs/>
          <w:color w:val="767171" w:themeColor="background2" w:themeShade="80"/>
          <w:sz w:val="14"/>
          <w:szCs w:val="14"/>
        </w:rPr>
        <w:t>[ver tema 3.A.</w:t>
      </w:r>
      <w:r w:rsidR="00131DD7">
        <w:rPr>
          <w:bCs/>
          <w:color w:val="767171" w:themeColor="background2" w:themeShade="80"/>
          <w:sz w:val="14"/>
          <w:szCs w:val="14"/>
        </w:rPr>
        <w:t>10</w:t>
      </w:r>
      <w:r w:rsidRPr="00BD6830">
        <w:rPr>
          <w:bCs/>
          <w:color w:val="767171" w:themeColor="background2" w:themeShade="80"/>
          <w:sz w:val="14"/>
          <w:szCs w:val="14"/>
        </w:rPr>
        <w:t>]</w:t>
      </w:r>
      <w:r>
        <w:rPr>
          <w:bCs/>
        </w:rPr>
        <w:t>.</w:t>
      </w:r>
    </w:p>
  </w:footnote>
  <w:footnote w:id="34">
    <w:p w14:paraId="1875105B" w14:textId="0F2AA9AA" w:rsidR="00474755" w:rsidRDefault="00474755" w:rsidP="00474755">
      <w:pPr>
        <w:pStyle w:val="Textonotapie"/>
      </w:pPr>
      <w:r>
        <w:rPr>
          <w:rStyle w:val="Refdenotaalpie"/>
        </w:rPr>
        <w:footnoteRef/>
      </w:r>
      <w:r>
        <w:t xml:space="preserve"> El </w:t>
      </w:r>
      <w:r w:rsidRPr="00474755">
        <w:rPr>
          <w:i/>
          <w:iCs/>
        </w:rPr>
        <w:t>pensamiento ilusorio</w:t>
      </w:r>
      <w:r>
        <w:t xml:space="preserve"> es la formación de creencias y la toma de decisiones en función de lo que podría complacernos imaginar, en vez de apelar a la evidencia, a la racionalidad o a la realidad. Es el producto de resolver conflictos entre la creencia y el deseo. Las investigaciones han demostrado que, si las circunstancias permanecen iguales, los sujetos predecirán que los resultados positivos son más probables que los negativos (</w:t>
      </w:r>
      <w:r w:rsidR="00097EF6">
        <w:t xml:space="preserve">i.e. existe un </w:t>
      </w:r>
      <w:r>
        <w:t>sesgo optimista). Sin embargo, las investigaciones sugieren que, en ciertas circunstancias, como por ejemplo cuando aumentan las amenazas, ocurre el fenómeno inverso.</w:t>
      </w:r>
    </w:p>
    <w:p w14:paraId="6DA68C30" w14:textId="5A26316A" w:rsidR="00474755" w:rsidRDefault="00474755" w:rsidP="00474755">
      <w:pPr>
        <w:pStyle w:val="Textonotapie"/>
      </w:pPr>
      <w:r>
        <w:t>Algunos psicólogos creen que el pensamiento positivo puede influir positivamente sobre el comportamiento y generar, así, mejores resultados. Esto se denomina el «efecto Pigmalión».</w:t>
      </w:r>
    </w:p>
  </w:footnote>
  <w:footnote w:id="35">
    <w:p w14:paraId="4A12E807" w14:textId="6C28B0D3" w:rsidR="00A91A8B" w:rsidRDefault="00A91A8B" w:rsidP="00A91A8B">
      <w:pPr>
        <w:pStyle w:val="Textonotapie"/>
      </w:pPr>
      <w:r>
        <w:rPr>
          <w:rStyle w:val="Refdenotaalpie"/>
        </w:rPr>
        <w:footnoteRef/>
      </w:r>
      <w:r>
        <w:t xml:space="preserve"> El análisis fundamental y el </w:t>
      </w:r>
      <w:proofErr w:type="spellStart"/>
      <w:r w:rsidRPr="00A91A8B">
        <w:rPr>
          <w:i/>
          <w:iCs/>
        </w:rPr>
        <w:t>value</w:t>
      </w:r>
      <w:proofErr w:type="spellEnd"/>
      <w:r w:rsidRPr="00A91A8B">
        <w:rPr>
          <w:i/>
          <w:iCs/>
        </w:rPr>
        <w:t xml:space="preserve"> </w:t>
      </w:r>
      <w:proofErr w:type="spellStart"/>
      <w:r w:rsidRPr="00A91A8B">
        <w:rPr>
          <w:i/>
          <w:iCs/>
        </w:rPr>
        <w:t>investing</w:t>
      </w:r>
      <w:proofErr w:type="spellEnd"/>
      <w:r>
        <w:t xml:space="preserve"> son dos enfoques de inversión que a menudo van de la mano, aunque no son lo mismo.</w:t>
      </w:r>
    </w:p>
    <w:p w14:paraId="33780DC7" w14:textId="255294F1" w:rsidR="00A91A8B" w:rsidRPr="00B23D60" w:rsidRDefault="00A91A8B" w:rsidP="00A91A8B">
      <w:pPr>
        <w:pStyle w:val="Textonotapie"/>
        <w:rPr>
          <w:spacing w:val="-2"/>
        </w:rPr>
      </w:pPr>
      <w:r w:rsidRPr="00B23D60">
        <w:rPr>
          <w:spacing w:val="-2"/>
        </w:rPr>
        <w:t>El análisis fundamental es una técnica de inversión que involucra evaluar el valor de una empresa o un activo financiero a través del análisis de sus fundamentos económicos y financieros. Esto incluye examinar la situación financiera de la empresa, sus estados financieros y sus perspectivas de crecimiento a largo plazo. El objetivo del análisis fundamental es determinar si el precio de una empresa o activo financiero es justo en comparación con sus fundamentos, con el fin de tomar decisiones informadas sobre si comprar, vender o mantener el activo.</w:t>
      </w:r>
    </w:p>
    <w:p w14:paraId="0B1E303D" w14:textId="4D202EA3" w:rsidR="00A91A8B" w:rsidRDefault="00A91A8B" w:rsidP="00A91A8B">
      <w:pPr>
        <w:pStyle w:val="Textonotapie"/>
      </w:pPr>
      <w:r>
        <w:t xml:space="preserve">Por otro lado, el </w:t>
      </w:r>
      <w:proofErr w:type="spellStart"/>
      <w:r w:rsidRPr="00A91A8B">
        <w:rPr>
          <w:i/>
          <w:iCs/>
        </w:rPr>
        <w:t>value</w:t>
      </w:r>
      <w:proofErr w:type="spellEnd"/>
      <w:r w:rsidRPr="00A91A8B">
        <w:rPr>
          <w:i/>
          <w:iCs/>
        </w:rPr>
        <w:t xml:space="preserve"> </w:t>
      </w:r>
      <w:proofErr w:type="spellStart"/>
      <w:r w:rsidRPr="00A91A8B">
        <w:rPr>
          <w:i/>
          <w:iCs/>
        </w:rPr>
        <w:t>investing</w:t>
      </w:r>
      <w:proofErr w:type="spellEnd"/>
      <w:r>
        <w:t xml:space="preserve"> es un estilo de inversión que se basa en la idea de comprar acciones de empresas que se cotizan a un precio por debajo de su valor intrínseco. Los inversores de </w:t>
      </w:r>
      <w:proofErr w:type="spellStart"/>
      <w:r w:rsidRPr="00A91A8B">
        <w:rPr>
          <w:i/>
          <w:iCs/>
        </w:rPr>
        <w:t>value</w:t>
      </w:r>
      <w:proofErr w:type="spellEnd"/>
      <w:r>
        <w:t xml:space="preserve"> buscan empresas que tienen un gran potencial de crecimiento a largo plazo y que se cotizan a precios descontados en comparación con su valor fundamental. El objetivo del </w:t>
      </w:r>
      <w:proofErr w:type="spellStart"/>
      <w:r w:rsidRPr="00A91A8B">
        <w:rPr>
          <w:i/>
          <w:iCs/>
        </w:rPr>
        <w:t>value</w:t>
      </w:r>
      <w:proofErr w:type="spellEnd"/>
      <w:r w:rsidRPr="00A91A8B">
        <w:rPr>
          <w:i/>
          <w:iCs/>
        </w:rPr>
        <w:t xml:space="preserve"> </w:t>
      </w:r>
      <w:proofErr w:type="spellStart"/>
      <w:r w:rsidRPr="00A91A8B">
        <w:rPr>
          <w:i/>
          <w:iCs/>
        </w:rPr>
        <w:t>investing</w:t>
      </w:r>
      <w:proofErr w:type="spellEnd"/>
      <w:r>
        <w:t xml:space="preserve"> es obtener rendimientos superiores al mercado a largo plazo, comprando empresas a precios atractivos y esperando a que su valor se refleje en el precio de la acción a medida que el mercado lo reconozca</w:t>
      </w:r>
      <w:r w:rsidR="009936A0">
        <w:t xml:space="preserve"> (p.</w:t>
      </w:r>
      <w:r w:rsidR="009936A0" w:rsidRPr="009936A0">
        <w:t>ej</w:t>
      </w:r>
      <w:r w:rsidR="009936A0">
        <w:t>.</w:t>
      </w:r>
      <w:r w:rsidR="009936A0" w:rsidRPr="009936A0">
        <w:t xml:space="preserve"> un inversor conocido </w:t>
      </w:r>
      <w:r w:rsidR="009936A0">
        <w:t xml:space="preserve">por usar </w:t>
      </w:r>
      <w:r w:rsidR="009936A0" w:rsidRPr="009936A0">
        <w:t xml:space="preserve">esta estrategia es </w:t>
      </w:r>
      <w:r w:rsidR="009936A0" w:rsidRPr="009936A0">
        <w:rPr>
          <w:smallCaps/>
        </w:rPr>
        <w:t>Warren Buffet</w:t>
      </w:r>
      <w:r w:rsidR="009936A0">
        <w:t>;</w:t>
      </w:r>
      <w:r w:rsidR="009936A0" w:rsidRPr="009936A0">
        <w:t xml:space="preserve"> en España, el fondo más conocido que sigue esta estrategia es Bestinver)</w:t>
      </w:r>
      <w:r w:rsidR="009936A0">
        <w:t>.</w:t>
      </w:r>
    </w:p>
    <w:p w14:paraId="5CEC278C" w14:textId="36291BDB" w:rsidR="00A91A8B" w:rsidRPr="00B23D60" w:rsidRDefault="00A91A8B" w:rsidP="00A91A8B">
      <w:pPr>
        <w:pStyle w:val="Textonotapie"/>
        <w:rPr>
          <w:spacing w:val="-5"/>
        </w:rPr>
      </w:pPr>
      <w:r w:rsidRPr="00B23D60">
        <w:rPr>
          <w:spacing w:val="-5"/>
        </w:rPr>
        <w:t xml:space="preserve">En la práctica, el análisis fundamental y el </w:t>
      </w:r>
      <w:proofErr w:type="spellStart"/>
      <w:r w:rsidRPr="00B23D60">
        <w:rPr>
          <w:i/>
          <w:iCs/>
          <w:spacing w:val="-5"/>
        </w:rPr>
        <w:t>value</w:t>
      </w:r>
      <w:proofErr w:type="spellEnd"/>
      <w:r w:rsidRPr="00B23D60">
        <w:rPr>
          <w:i/>
          <w:iCs/>
          <w:spacing w:val="-5"/>
        </w:rPr>
        <w:t xml:space="preserve"> </w:t>
      </w:r>
      <w:proofErr w:type="spellStart"/>
      <w:r w:rsidRPr="00B23D60">
        <w:rPr>
          <w:i/>
          <w:iCs/>
          <w:spacing w:val="-5"/>
        </w:rPr>
        <w:t>investing</w:t>
      </w:r>
      <w:proofErr w:type="spellEnd"/>
      <w:r w:rsidRPr="00B23D60">
        <w:rPr>
          <w:spacing w:val="-5"/>
        </w:rPr>
        <w:t xml:space="preserve"> a menudo van de la mano, ya que los inversores de </w:t>
      </w:r>
      <w:proofErr w:type="spellStart"/>
      <w:r w:rsidRPr="00B23D60">
        <w:rPr>
          <w:i/>
          <w:iCs/>
          <w:spacing w:val="-5"/>
        </w:rPr>
        <w:t>value</w:t>
      </w:r>
      <w:proofErr w:type="spellEnd"/>
      <w:r w:rsidRPr="00B23D60">
        <w:rPr>
          <w:spacing w:val="-5"/>
        </w:rPr>
        <w:t xml:space="preserve"> suelen utilizar técnicas de análisis fundamental para evaluar el valor intrínseco de una empresa y determinar si es una buena opción de inversión. Sin embargo, es importante tener en cuenta que el </w:t>
      </w:r>
      <w:proofErr w:type="spellStart"/>
      <w:r w:rsidRPr="00B23D60">
        <w:rPr>
          <w:i/>
          <w:iCs/>
          <w:spacing w:val="-5"/>
        </w:rPr>
        <w:t>value</w:t>
      </w:r>
      <w:proofErr w:type="spellEnd"/>
      <w:r w:rsidRPr="00B23D60">
        <w:rPr>
          <w:i/>
          <w:iCs/>
          <w:spacing w:val="-5"/>
        </w:rPr>
        <w:t xml:space="preserve"> </w:t>
      </w:r>
      <w:proofErr w:type="spellStart"/>
      <w:r w:rsidRPr="00B23D60">
        <w:rPr>
          <w:i/>
          <w:iCs/>
          <w:spacing w:val="-5"/>
        </w:rPr>
        <w:t>investing</w:t>
      </w:r>
      <w:proofErr w:type="spellEnd"/>
      <w:r w:rsidRPr="00B23D60">
        <w:rPr>
          <w:spacing w:val="-5"/>
        </w:rPr>
        <w:t xml:space="preserve"> es solo un enfoque de inversión y no implica necesariamente el uso de técnicas de análisis fundamental.</w:t>
      </w:r>
    </w:p>
  </w:footnote>
  <w:footnote w:id="36">
    <w:p w14:paraId="58BE2A3A" w14:textId="011E9B8F" w:rsidR="00940E40" w:rsidRPr="00940E40" w:rsidRDefault="00940E40">
      <w:pPr>
        <w:pStyle w:val="Textonotapie"/>
      </w:pPr>
      <w:r>
        <w:rPr>
          <w:rStyle w:val="Refdenotaalpie"/>
        </w:rPr>
        <w:footnoteRef/>
      </w:r>
      <w:r>
        <w:t xml:space="preserve"> Posteriormente, </w:t>
      </w:r>
      <w:r>
        <w:rPr>
          <w:smallCaps/>
        </w:rPr>
        <w:t>Benjamin Graham</w:t>
      </w:r>
      <w:r>
        <w:t xml:space="preserve"> publicaría otra obra muy relevante en esta campo, </w:t>
      </w:r>
      <w:proofErr w:type="spellStart"/>
      <w:r>
        <w:rPr>
          <w:i/>
          <w:iCs/>
        </w:rPr>
        <w:t>The</w:t>
      </w:r>
      <w:proofErr w:type="spellEnd"/>
      <w:r>
        <w:rPr>
          <w:i/>
          <w:iCs/>
        </w:rPr>
        <w:t xml:space="preserve"> </w:t>
      </w:r>
      <w:proofErr w:type="spellStart"/>
      <w:r>
        <w:rPr>
          <w:i/>
          <w:iCs/>
        </w:rPr>
        <w:t>Intelligent</w:t>
      </w:r>
      <w:proofErr w:type="spellEnd"/>
      <w:r>
        <w:rPr>
          <w:i/>
          <w:iCs/>
        </w:rPr>
        <w:t xml:space="preserve"> Investor</w:t>
      </w:r>
      <w:r>
        <w:t>.</w:t>
      </w:r>
    </w:p>
  </w:footnote>
  <w:footnote w:id="37">
    <w:p w14:paraId="057E015F" w14:textId="22D90AE9" w:rsidR="00E37A54" w:rsidRPr="00E0017A" w:rsidRDefault="00E37A54" w:rsidP="00E37A54">
      <w:pPr>
        <w:pStyle w:val="Textonotapie"/>
      </w:pPr>
      <w:r>
        <w:rPr>
          <w:rStyle w:val="Refdenotaalpie"/>
        </w:rPr>
        <w:footnoteRef/>
      </w:r>
      <w:r w:rsidRPr="00E0017A">
        <w:t xml:space="preserve"> El EBIT (</w:t>
      </w:r>
      <w:proofErr w:type="spellStart"/>
      <w:r w:rsidRPr="00E0017A">
        <w:rPr>
          <w:i/>
          <w:iCs/>
        </w:rPr>
        <w:t>Earnings</w:t>
      </w:r>
      <w:proofErr w:type="spellEnd"/>
      <w:r w:rsidRPr="00E0017A">
        <w:rPr>
          <w:i/>
          <w:iCs/>
        </w:rPr>
        <w:t xml:space="preserve"> </w:t>
      </w:r>
      <w:proofErr w:type="spellStart"/>
      <w:r w:rsidRPr="00E0017A">
        <w:rPr>
          <w:i/>
          <w:iCs/>
        </w:rPr>
        <w:t>Before</w:t>
      </w:r>
      <w:proofErr w:type="spellEnd"/>
      <w:r w:rsidRPr="00E0017A">
        <w:rPr>
          <w:i/>
          <w:iCs/>
        </w:rPr>
        <w:t xml:space="preserve"> </w:t>
      </w:r>
      <w:proofErr w:type="spellStart"/>
      <w:r w:rsidRPr="00E0017A">
        <w:rPr>
          <w:i/>
          <w:iCs/>
        </w:rPr>
        <w:t>Interests</w:t>
      </w:r>
      <w:proofErr w:type="spellEnd"/>
      <w:r w:rsidRPr="00E0017A">
        <w:rPr>
          <w:i/>
          <w:iCs/>
        </w:rPr>
        <w:t xml:space="preserve"> and </w:t>
      </w:r>
      <w:proofErr w:type="spellStart"/>
      <w:r w:rsidRPr="00E0017A">
        <w:rPr>
          <w:i/>
          <w:iCs/>
        </w:rPr>
        <w:t>Taxes</w:t>
      </w:r>
      <w:proofErr w:type="spellEnd"/>
      <w:r w:rsidRPr="00E0017A">
        <w:t>) hace referencia al beneficio operativ</w:t>
      </w:r>
      <w:r w:rsidR="003E4CDF">
        <w:t>o</w:t>
      </w:r>
      <w:r w:rsidRPr="00E0017A">
        <w:t xml:space="preserve"> (es decir, antes de</w:t>
      </w:r>
      <w:r>
        <w:t xml:space="preserve"> tener en cuenta el resultado financiero y los impuestos)</w:t>
      </w:r>
      <w:r w:rsidRPr="00E0017A">
        <w:rPr>
          <w:color w:val="767171" w:themeColor="background2" w:themeShade="80"/>
          <w:sz w:val="14"/>
          <w:szCs w:val="14"/>
        </w:rPr>
        <w:t xml:space="preserve"> [</w:t>
      </w:r>
      <w:r w:rsidR="003653CC">
        <w:rPr>
          <w:color w:val="767171" w:themeColor="background2" w:themeShade="80"/>
          <w:sz w:val="14"/>
          <w:szCs w:val="14"/>
        </w:rPr>
        <w:t>v</w:t>
      </w:r>
      <w:r>
        <w:rPr>
          <w:color w:val="767171" w:themeColor="background2" w:themeShade="80"/>
          <w:sz w:val="14"/>
          <w:szCs w:val="14"/>
        </w:rPr>
        <w:t>er tema 3.B.1</w:t>
      </w:r>
      <w:r w:rsidRPr="00E0017A">
        <w:rPr>
          <w:color w:val="767171" w:themeColor="background2" w:themeShade="80"/>
          <w:sz w:val="14"/>
          <w:szCs w:val="14"/>
        </w:rPr>
        <w:t>]</w:t>
      </w:r>
      <w:r>
        <w:t>. Sin embargo, si la comparación a realizar es entre compañías sujetas a regímenes fiscales diferentes, sería más apropiado tener en cuenta un beneficio operativo neto de impuestos.</w:t>
      </w:r>
    </w:p>
  </w:footnote>
  <w:footnote w:id="38">
    <w:p w14:paraId="4E07518F" w14:textId="77777777" w:rsidR="00E37A54" w:rsidRDefault="00E37A54" w:rsidP="00E37A54">
      <w:pPr>
        <w:pStyle w:val="Textonotapie"/>
      </w:pPr>
      <w:r>
        <w:rPr>
          <w:rStyle w:val="Refdenotaalpie"/>
        </w:rPr>
        <w:footnoteRef/>
      </w:r>
      <w:r>
        <w:t xml:space="preserve"> En general, un valor de PER alto indica que el mercado estima que la empresa tiene elevadas expectativas de crecimiento, puesto que el precio de las acciones refleja las expectativas positivas sobre una empresa con precios al alza de las acciones, mientras que los beneficios aún no reflejan esas expectativas hasta meses después con incremento de los resultados. A medida que los beneficios recojan esas expectativas la relación que establece el PER irá disminuyendo, si el precio de las acciones permanece estable; o seguirá subiendo o bajando en función de las expectativas positivas o negativas, respectivamente, sobre la empresa.</w:t>
      </w:r>
    </w:p>
    <w:p w14:paraId="09D0AFB2" w14:textId="77777777" w:rsidR="00E37A54" w:rsidRDefault="00E37A54" w:rsidP="00E37A54">
      <w:pPr>
        <w:pStyle w:val="Textonotapie"/>
      </w:pPr>
      <w:r>
        <w:t>Un valor de PER bajo indica que la empresa tiene un crecimiento lento o bajo puesto que si las acciones no ascienden es como consecuencia de que la empresa tiene pocas expectativas de crecimiento de beneficios en el futuro.</w:t>
      </w:r>
    </w:p>
    <w:p w14:paraId="25F103DA" w14:textId="77777777" w:rsidR="00E37A54" w:rsidRDefault="00E37A54" w:rsidP="00E37A54">
      <w:pPr>
        <w:pStyle w:val="Textonotapie"/>
      </w:pPr>
      <w:r>
        <w:t>Pero un PER alto no significa que las acciones estén caras y, por tanto, que haya que vender las acciones de esa empresa, puesto que si las expectativas de crecimiento de la empresa son aún superiores esto implicará un PER superior; en caso contrario, sí habrá que venderlas.</w:t>
      </w:r>
    </w:p>
    <w:p w14:paraId="2A2D80E9" w14:textId="77777777" w:rsidR="00E37A54" w:rsidRDefault="00E37A54" w:rsidP="00E37A54">
      <w:pPr>
        <w:pStyle w:val="Textonotapie"/>
      </w:pPr>
      <w:r>
        <w:t>Del mismo modo, un PER bajo no significa que las acciones estén baratas y, por tanto, que haya que comprar acciones de la empresa, puesto que, posiblemente, la empresa deba tener un PER menor ante una expectativa negativa. En caso contrario, cuando existan efectivamente expectativas de crecimiento de los beneficios de la empresa pero no se estén recogiendo en la cotización sí habrá que comprar tales acciones. Todo ello dependerá de la situación de la empresa, de sus expectativas, y de la comparación con otras empresas del sector, país, etc.</w:t>
      </w:r>
    </w:p>
    <w:p w14:paraId="2EB745C2" w14:textId="77777777" w:rsidR="00E37A54" w:rsidRDefault="00E37A54" w:rsidP="00E37A54">
      <w:pPr>
        <w:pStyle w:val="Textonotapie"/>
      </w:pPr>
      <w:r>
        <w:t>Las ventajas principales de esta ratio son que permite la comparación entre empresas del mismo sector que cotizan en bolsa, entre las empresas y el mercado en el ámbito nacional e internacional (teniendo en cuenta las diversas políticas contables internacionales) y permite su cálculo aunque las empresas no paguen dividendos.</w:t>
      </w:r>
    </w:p>
    <w:p w14:paraId="47FBF885" w14:textId="77777777" w:rsidR="00E37A54" w:rsidRDefault="00E37A54" w:rsidP="00E37A54">
      <w:pPr>
        <w:pStyle w:val="Textonotapie"/>
      </w:pPr>
      <w:r>
        <w:t>Sus inconvenientes principales se deben a que relaciona dos magnitudes calculadas en momentos distintos, el Beneficio Por Acción, el cual es obtenido a partir de los estados financieros de la empresa y, por tanto, hace referencia al pasado; y el precio de las acciones en el mercado, el cual hace referencia a las expectativas que tienen los inversores para el futuro de la empresa. El modo de solucionar este inconveniente es utilizar un Beneficio por Acción estimado. Así mismo, se trata de un indicador que no se puede utilizar en empresas que no obtienen beneficios.</w:t>
      </w:r>
    </w:p>
    <w:p w14:paraId="2879E660" w14:textId="2EE384D8" w:rsidR="00E37A54" w:rsidRPr="00BF0078" w:rsidRDefault="00E37A54" w:rsidP="00E37A54">
      <w:pPr>
        <w:pStyle w:val="Textonotapie"/>
        <w:rPr>
          <w:spacing w:val="-2"/>
        </w:rPr>
      </w:pPr>
      <w:r w:rsidRPr="00BF0078">
        <w:rPr>
          <w:spacing w:val="-2"/>
        </w:rPr>
        <w:t xml:space="preserve">Una ratio que pretende ser una mejora de la ratio PER es el </w:t>
      </w:r>
      <w:r w:rsidRPr="00BF0078">
        <w:rPr>
          <w:i/>
          <w:iCs/>
          <w:spacing w:val="-2"/>
        </w:rPr>
        <w:t>Precio Cash Flow</w:t>
      </w:r>
      <w:r w:rsidR="00B736BC" w:rsidRPr="00BF0078">
        <w:rPr>
          <w:spacing w:val="-2"/>
        </w:rPr>
        <w:t xml:space="preserve">, </w:t>
      </w:r>
      <w:r w:rsidRPr="00BF0078">
        <w:rPr>
          <w:spacing w:val="-2"/>
        </w:rPr>
        <w:t xml:space="preserve">en el que el </w:t>
      </w:r>
      <w:r w:rsidRPr="00BF0078">
        <w:rPr>
          <w:i/>
          <w:iCs/>
          <w:spacing w:val="-2"/>
        </w:rPr>
        <w:t>cash-flow</w:t>
      </w:r>
      <w:r w:rsidRPr="00BF0078">
        <w:rPr>
          <w:spacing w:val="-2"/>
        </w:rPr>
        <w:t xml:space="preserve"> o flujo de caja intenta cuantificar el dinero realmente generado por la empresa, frente a la diferencia contable entre ingresos y gastos del per</w:t>
      </w:r>
      <w:r w:rsidR="00D46625" w:rsidRPr="00BF0078">
        <w:rPr>
          <w:spacing w:val="-2"/>
        </w:rPr>
        <w:t>i</w:t>
      </w:r>
      <w:r w:rsidRPr="00BF0078">
        <w:rPr>
          <w:spacing w:val="-2"/>
        </w:rPr>
        <w:t>odo, es decir, los ben</w:t>
      </w:r>
      <w:r w:rsidR="00B736BC" w:rsidRPr="00BF0078">
        <w:rPr>
          <w:spacing w:val="-2"/>
        </w:rPr>
        <w:t>e</w:t>
      </w:r>
      <w:r w:rsidRPr="00BF0078">
        <w:rPr>
          <w:spacing w:val="-2"/>
        </w:rPr>
        <w:t>fic</w:t>
      </w:r>
      <w:r w:rsidR="00BF0078">
        <w:rPr>
          <w:spacing w:val="-2"/>
        </w:rPr>
        <w:t>i</w:t>
      </w:r>
      <w:r w:rsidRPr="00BF0078">
        <w:rPr>
          <w:spacing w:val="-2"/>
        </w:rPr>
        <w:t>os contables.</w:t>
      </w:r>
    </w:p>
  </w:footnote>
  <w:footnote w:id="39">
    <w:p w14:paraId="6787C578" w14:textId="77777777" w:rsidR="00E37A54" w:rsidRDefault="00E37A54" w:rsidP="00E37A54">
      <w:pPr>
        <w:pStyle w:val="Textonotapie"/>
      </w:pPr>
      <w:r>
        <w:rPr>
          <w:rStyle w:val="Refdenotaalpie"/>
        </w:rPr>
        <w:footnoteRef/>
      </w:r>
      <w:r>
        <w:t xml:space="preserve"> Para los directivos un PER alto está bien porque implica que el mercado cree en la empresa, es decir, cree que tiene una gran expectativa de beneficio por lo que su precio de mercado está alta.</w:t>
      </w:r>
    </w:p>
  </w:footnote>
  <w:footnote w:id="40">
    <w:p w14:paraId="7D66151B" w14:textId="5D95C181" w:rsidR="00984D8C" w:rsidRDefault="00984D8C">
      <w:pPr>
        <w:pStyle w:val="Textonotapie"/>
      </w:pPr>
      <w:r>
        <w:rPr>
          <w:rStyle w:val="Refdenotaalpie"/>
        </w:rPr>
        <w:footnoteRef/>
      </w:r>
      <w:r>
        <w:t xml:space="preserve"> Otra definición utilizada para explicar el significado del PER es el tiempo en que se recupera la inversión inicial si se mantuviera invariable el mismo nivel de beneficios. Cuanto menor sea el PER, menor es el número de años en los que se recuperaría la inversión, de forma que para muchos inversores será mejor un PER bajo.</w:t>
      </w:r>
    </w:p>
  </w:footnote>
  <w:footnote w:id="41">
    <w:p w14:paraId="328F99F0" w14:textId="00D02065" w:rsidR="00984D8C" w:rsidRPr="00984D8C" w:rsidRDefault="00984D8C" w:rsidP="00984D8C">
      <w:pPr>
        <w:pStyle w:val="Textonotapie"/>
      </w:pPr>
      <w:r>
        <w:rPr>
          <w:rStyle w:val="Refdenotaalpie"/>
        </w:rPr>
        <w:footnoteRef/>
      </w:r>
      <w:r>
        <w:t xml:space="preserve"> </w:t>
      </w:r>
      <w:r>
        <w:rPr>
          <w:smallCaps/>
        </w:rPr>
        <w:t>Robert</w:t>
      </w:r>
      <w:r w:rsidR="00575F1C">
        <w:rPr>
          <w:smallCaps/>
        </w:rPr>
        <w:t xml:space="preserve"> J.</w:t>
      </w:r>
      <w:r>
        <w:rPr>
          <w:smallCaps/>
        </w:rPr>
        <w:t xml:space="preserve"> Shiller</w:t>
      </w:r>
      <w:r>
        <w:t xml:space="preserve"> fue galardonado con el </w:t>
      </w:r>
      <w:r w:rsidRPr="008A53D4">
        <w:t>P</w:t>
      </w:r>
      <w:r>
        <w:t xml:space="preserve">remio Nobel de Economía en 2013 junto con </w:t>
      </w:r>
      <w:r>
        <w:rPr>
          <w:smallCaps/>
        </w:rPr>
        <w:t>Lars Peter Hansen</w:t>
      </w:r>
      <w:r>
        <w:t xml:space="preserve"> y </w:t>
      </w:r>
      <w:r>
        <w:rPr>
          <w:smallCaps/>
        </w:rPr>
        <w:t>Eugene Fama</w:t>
      </w:r>
      <w:r>
        <w:t xml:space="preserve"> </w:t>
      </w:r>
      <w:r w:rsidRPr="00984D8C">
        <w:t>«Por su trabajo en el análisis empírico de precios de posesiones capitales.»</w:t>
      </w:r>
    </w:p>
  </w:footnote>
  <w:footnote w:id="42">
    <w:p w14:paraId="7DBB40E3" w14:textId="2F407563" w:rsidR="00690EB9" w:rsidRDefault="00690EB9">
      <w:pPr>
        <w:pStyle w:val="Textonotapie"/>
      </w:pPr>
      <w:r>
        <w:rPr>
          <w:rStyle w:val="Refdenotaalpie"/>
        </w:rPr>
        <w:footnoteRef/>
      </w:r>
      <w:r>
        <w:t xml:space="preserve"> </w:t>
      </w:r>
      <w:r w:rsidRPr="008A53D4">
        <w:t>¿Por qué beneficios promedio? Los precios son volátiles de un año a otro.</w:t>
      </w:r>
    </w:p>
  </w:footnote>
  <w:footnote w:id="43">
    <w:p w14:paraId="69623731" w14:textId="5F84047F" w:rsidR="00646BA0" w:rsidRDefault="00646BA0" w:rsidP="00646BA0">
      <w:pPr>
        <w:pStyle w:val="Textonotapie"/>
      </w:pPr>
      <w:r>
        <w:rPr>
          <w:rStyle w:val="Refdenotaalpie"/>
        </w:rPr>
        <w:footnoteRef/>
      </w:r>
      <w:r>
        <w:t xml:space="preserve"> Existen </w:t>
      </w:r>
      <w:r w:rsidR="007D1E41">
        <w:t>2 </w:t>
      </w:r>
      <w:r>
        <w:t xml:space="preserve">tipos de medias móviles: la </w:t>
      </w:r>
      <w:r>
        <w:rPr>
          <w:i/>
          <w:iCs/>
        </w:rPr>
        <w:t>m</w:t>
      </w:r>
      <w:r w:rsidRPr="00646BA0">
        <w:rPr>
          <w:i/>
          <w:iCs/>
        </w:rPr>
        <w:t>edia móvil simple</w:t>
      </w:r>
      <w:r>
        <w:t xml:space="preserve"> (SMA)</w:t>
      </w:r>
      <w:r w:rsidR="007778FD">
        <w:t xml:space="preserve"> </w:t>
      </w:r>
      <w:r>
        <w:t xml:space="preserve">y la </w:t>
      </w:r>
      <w:r>
        <w:rPr>
          <w:i/>
          <w:iCs/>
        </w:rPr>
        <w:t>m</w:t>
      </w:r>
      <w:r w:rsidRPr="00646BA0">
        <w:rPr>
          <w:i/>
          <w:iCs/>
        </w:rPr>
        <w:t>edia móvil exponencial</w:t>
      </w:r>
      <w:r>
        <w:t xml:space="preserve"> (EMA).</w:t>
      </w:r>
      <w:r w:rsidRPr="00646BA0">
        <w:t>La diferencia entre media móvil simple y exponencial es que una SMA no tiene ponderación, todos los datos se tratan de la misma manera cuando se calcula la media. Por el contrario, con la EMA se calcula una ponderación, los datos más recientes reciben mayor peso en el cálculo de la media.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753B9" w:rsidRPr="0053589D" w14:paraId="60CB2B87" w14:textId="77777777" w:rsidTr="00837B5A">
      <w:trPr>
        <w:trHeight w:val="138"/>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71F1B9B" w14:textId="479A94AA" w:rsidR="001753B9" w:rsidRPr="0053589D" w:rsidRDefault="00250AEE" w:rsidP="00FD7152">
              <w:pPr>
                <w:pStyle w:val="Encabezado"/>
                <w:tabs>
                  <w:tab w:val="clear" w:pos="4252"/>
                  <w:tab w:val="clear" w:pos="8504"/>
                  <w:tab w:val="right" w:pos="924"/>
                  <w:tab w:val="center" w:pos="1310"/>
                </w:tabs>
                <w:contextualSpacing/>
                <w:rPr>
                  <w:i/>
                  <w:iCs/>
                  <w:color w:val="5F2987"/>
                  <w:sz w:val="18"/>
                  <w:szCs w:val="18"/>
                </w:rPr>
              </w:pPr>
              <w:r>
                <w:rPr>
                  <w:b/>
                  <w:bCs/>
                  <w:i/>
                  <w:iCs/>
                  <w:caps/>
                  <w:color w:val="5F2987"/>
                  <w:sz w:val="18"/>
                  <w:szCs w:val="18"/>
                </w:rPr>
                <w:t>3.B.23</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2F72EE3D" w14:textId="09AD7678" w:rsidR="001753B9" w:rsidRPr="0053589D" w:rsidRDefault="001753B9" w:rsidP="00FD7152">
              <w:pPr>
                <w:pStyle w:val="Encabezado"/>
                <w:ind w:right="-110"/>
                <w:contextualSpacing/>
                <w:jc w:val="center"/>
                <w:rPr>
                  <w:i/>
                  <w:iCs/>
                  <w:color w:val="5F2987"/>
                  <w:sz w:val="18"/>
                  <w:szCs w:val="18"/>
                </w:rPr>
              </w:pPr>
              <w:r w:rsidRPr="0053589D">
                <w:rPr>
                  <w:i/>
                  <w:iCs/>
                  <w:color w:val="5F2987"/>
                  <w:sz w:val="18"/>
                  <w:szCs w:val="18"/>
                </w:rPr>
                <w:t>Análisis de los instrumentos financieros de renta variable. Análisis fundamental. Teoría de la elección de cartera. El modelo de valoración de activos de capital (CAPM). La teoría de valoración de activos por arbitraje (APT). Análisis técnico.</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672A6756" w14:textId="77777777" w:rsidR="001753B9" w:rsidRPr="0053589D" w:rsidRDefault="001753B9" w:rsidP="00FD7152">
              <w:pPr>
                <w:pStyle w:val="Encabezado"/>
                <w:contextualSpacing/>
                <w:jc w:val="right"/>
                <w:rPr>
                  <w:b/>
                  <w:bCs/>
                  <w:i/>
                  <w:iCs/>
                  <w:color w:val="5F2987"/>
                  <w:spacing w:val="-6"/>
                  <w:sz w:val="18"/>
                  <w:szCs w:val="18"/>
                </w:rPr>
              </w:pPr>
              <w:r w:rsidRPr="0053589D">
                <w:rPr>
                  <w:b/>
                  <w:bCs/>
                  <w:i/>
                  <w:iCs/>
                  <w:color w:val="5F2987"/>
                  <w:spacing w:val="-6"/>
                  <w:sz w:val="18"/>
                  <w:szCs w:val="18"/>
                </w:rPr>
                <w:t>Víctor Gutiérrez Marcos</w:t>
              </w:r>
            </w:p>
          </w:tc>
        </w:sdtContent>
      </w:sdt>
    </w:tr>
  </w:tbl>
  <w:p w14:paraId="6D51B959" w14:textId="77777777" w:rsidR="001753B9" w:rsidRPr="00B70943" w:rsidRDefault="001753B9"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753B9" w:rsidRPr="0053589D" w14:paraId="4E71437F" w14:textId="77777777" w:rsidTr="005438B7">
      <w:trPr>
        <w:trHeight w:val="138"/>
        <w:jc w:val="center"/>
      </w:trPr>
      <w:sdt>
        <w:sdtPr>
          <w:rPr>
            <w:b/>
            <w:bCs/>
            <w:i/>
            <w:iCs/>
            <w:caps/>
            <w:color w:val="5F2987"/>
            <w:sz w:val="18"/>
            <w:szCs w:val="18"/>
          </w:rPr>
          <w:alias w:val="Title"/>
          <w:tag w:val=""/>
          <w:id w:val="111957179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E7AD56A" w14:textId="699FD5CC" w:rsidR="001753B9" w:rsidRPr="0053589D" w:rsidRDefault="00250AEE" w:rsidP="00837B5A">
              <w:pPr>
                <w:pStyle w:val="Encabezado"/>
                <w:tabs>
                  <w:tab w:val="clear" w:pos="4252"/>
                  <w:tab w:val="clear" w:pos="8504"/>
                  <w:tab w:val="right" w:pos="924"/>
                  <w:tab w:val="center" w:pos="1310"/>
                </w:tabs>
                <w:contextualSpacing/>
                <w:rPr>
                  <w:i/>
                  <w:iCs/>
                  <w:color w:val="5F2987"/>
                  <w:sz w:val="18"/>
                  <w:szCs w:val="18"/>
                </w:rPr>
              </w:pPr>
              <w:r>
                <w:rPr>
                  <w:b/>
                  <w:bCs/>
                  <w:i/>
                  <w:iCs/>
                  <w:caps/>
                  <w:color w:val="5F2987"/>
                  <w:sz w:val="18"/>
                  <w:szCs w:val="18"/>
                </w:rPr>
                <w:t>3.B.23</w:t>
              </w:r>
            </w:p>
          </w:tc>
        </w:sdtContent>
      </w:sdt>
      <w:tc>
        <w:tcPr>
          <w:tcW w:w="7088" w:type="dxa"/>
          <w:vAlign w:val="center"/>
        </w:tcPr>
        <w:sdt>
          <w:sdtPr>
            <w:rPr>
              <w:i/>
              <w:iCs/>
              <w:color w:val="5F2987"/>
              <w:sz w:val="18"/>
              <w:szCs w:val="18"/>
            </w:rPr>
            <w:alias w:val="Subject"/>
            <w:tag w:val=""/>
            <w:id w:val="-256915046"/>
            <w:dataBinding w:prefixMappings="xmlns:ns0='http://purl.org/dc/elements/1.1/' xmlns:ns1='http://schemas.openxmlformats.org/package/2006/metadata/core-properties' " w:xpath="/ns1:coreProperties[1]/ns0:subject[1]" w:storeItemID="{6C3C8BC8-F283-45AE-878A-BAB7291924A1}"/>
            <w:text/>
          </w:sdtPr>
          <w:sdtContent>
            <w:p w14:paraId="195A0DC4" w14:textId="41656AE3" w:rsidR="001753B9" w:rsidRPr="0053589D" w:rsidRDefault="001753B9" w:rsidP="00837B5A">
              <w:pPr>
                <w:pStyle w:val="Encabezado"/>
                <w:ind w:right="-110"/>
                <w:contextualSpacing/>
                <w:jc w:val="center"/>
                <w:rPr>
                  <w:i/>
                  <w:iCs/>
                  <w:color w:val="5F2987"/>
                  <w:sz w:val="18"/>
                  <w:szCs w:val="18"/>
                </w:rPr>
              </w:pPr>
              <w:r w:rsidRPr="0053589D">
                <w:rPr>
                  <w:i/>
                  <w:iCs/>
                  <w:color w:val="5F2987"/>
                  <w:sz w:val="18"/>
                  <w:szCs w:val="18"/>
                </w:rPr>
                <w:t>Análisis de los instrumentos financieros de renta variable. Análisis fundamental. Teoría de la elección de cartera. El modelo de valoración de activos de capital (CAPM). La teoría de valoración de activos por arbitraje (APT). Análisis técnico.</w:t>
              </w:r>
            </w:p>
          </w:sdtContent>
        </w:sdt>
      </w:tc>
      <w:sdt>
        <w:sdtPr>
          <w:rPr>
            <w:b/>
            <w:bCs/>
            <w:i/>
            <w:iCs/>
            <w:color w:val="5F2987"/>
            <w:spacing w:val="-6"/>
            <w:sz w:val="18"/>
            <w:szCs w:val="18"/>
          </w:rPr>
          <w:alias w:val="Author"/>
          <w:tag w:val=""/>
          <w:id w:val="2076624147"/>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ECECBE8" w14:textId="77777777" w:rsidR="001753B9" w:rsidRPr="0053589D" w:rsidRDefault="001753B9" w:rsidP="00837B5A">
              <w:pPr>
                <w:pStyle w:val="Encabezado"/>
                <w:contextualSpacing/>
                <w:jc w:val="right"/>
                <w:rPr>
                  <w:b/>
                  <w:bCs/>
                  <w:i/>
                  <w:iCs/>
                  <w:color w:val="5F2987"/>
                  <w:spacing w:val="-6"/>
                  <w:sz w:val="18"/>
                  <w:szCs w:val="18"/>
                </w:rPr>
              </w:pPr>
              <w:r w:rsidRPr="0053589D">
                <w:rPr>
                  <w:b/>
                  <w:bCs/>
                  <w:i/>
                  <w:iCs/>
                  <w:color w:val="5F2987"/>
                  <w:spacing w:val="-6"/>
                  <w:sz w:val="18"/>
                  <w:szCs w:val="18"/>
                </w:rPr>
                <w:t>Víctor Gutiérrez Marcos</w:t>
              </w:r>
            </w:p>
          </w:tc>
        </w:sdtContent>
      </w:sdt>
    </w:tr>
  </w:tbl>
  <w:p w14:paraId="6A372C29" w14:textId="77777777" w:rsidR="001753B9" w:rsidRPr="004C465C" w:rsidRDefault="001753B9" w:rsidP="00B70943">
    <w:pPr>
      <w:pStyle w:val="Encabezado"/>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93444D" w:rsidRPr="00BE1B62" w14:paraId="62AC084A" w14:textId="77777777" w:rsidTr="00205253">
      <w:tc>
        <w:tcPr>
          <w:tcW w:w="3261" w:type="dxa"/>
          <w:tcBorders>
            <w:bottom w:val="thickThinSmallGap" w:sz="12" w:space="0" w:color="5F2987"/>
          </w:tcBorders>
        </w:tcPr>
        <w:p w14:paraId="033C718F" w14:textId="1A79DEA6" w:rsidR="0093444D" w:rsidRPr="00BE1B62" w:rsidRDefault="0093444D" w:rsidP="00B40204">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561B3A">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40DD3565" w14:textId="77777777" w:rsidR="0093444D" w:rsidRPr="00BE1B62" w:rsidRDefault="0093444D" w:rsidP="00B40204">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046375D7D73A4A7FA5DA734F33EC164F"/>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01563140" w14:textId="4A977E66" w:rsidR="0093444D" w:rsidRPr="00BE1B62" w:rsidRDefault="00250AEE" w:rsidP="00B40204">
              <w:pPr>
                <w:pStyle w:val="Encabezado"/>
                <w:spacing w:after="0"/>
                <w:jc w:val="right"/>
                <w:rPr>
                  <w:i/>
                  <w:iCs/>
                  <w:color w:val="5F2987"/>
                  <w:spacing w:val="-6"/>
                  <w:sz w:val="18"/>
                  <w:szCs w:val="18"/>
                </w:rPr>
              </w:pPr>
              <w:r>
                <w:rPr>
                  <w:i/>
                  <w:iCs/>
                  <w:color w:val="5F2987"/>
                  <w:spacing w:val="-6"/>
                  <w:sz w:val="20"/>
                  <w:szCs w:val="20"/>
                </w:rPr>
                <w:t>3.B.23</w:t>
              </w:r>
            </w:p>
          </w:tc>
        </w:sdtContent>
      </w:sdt>
    </w:tr>
  </w:tbl>
  <w:p w14:paraId="5BDA0795" w14:textId="77777777" w:rsidR="001753B9" w:rsidRPr="00BE1B62" w:rsidRDefault="001753B9" w:rsidP="0093444D">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F4CFC"/>
    <w:multiLevelType w:val="hybridMultilevel"/>
    <w:tmpl w:val="4F7EF212"/>
    <w:lvl w:ilvl="0" w:tplc="35C895C2">
      <w:start w:val="1"/>
      <w:numFmt w:val="lowerRoman"/>
      <w:lvlText w:val="%1)"/>
      <w:lvlJc w:val="right"/>
      <w:pPr>
        <w:ind w:left="720" w:hanging="360"/>
      </w:pPr>
      <w:rPr>
        <w:rFonts w:eastAsiaTheme="minorHAnsi"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8833794"/>
    <w:multiLevelType w:val="hybridMultilevel"/>
    <w:tmpl w:val="37D08CF2"/>
    <w:lvl w:ilvl="0" w:tplc="773A6D18">
      <w:start w:val="1"/>
      <w:numFmt w:val="lowerRoman"/>
      <w:lvlText w:val="%1)"/>
      <w:lvlJc w:val="right"/>
      <w:pPr>
        <w:ind w:left="1080" w:hanging="720"/>
      </w:pPr>
      <w:rPr>
        <w:rFonts w:eastAsiaTheme="minorHAnsi"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3" w15:restartNumberingAfterBreak="0">
    <w:nsid w:val="0CD618E2"/>
    <w:multiLevelType w:val="hybridMultilevel"/>
    <w:tmpl w:val="C51EBBF6"/>
    <w:lvl w:ilvl="0" w:tplc="7C820D00">
      <w:start w:val="1"/>
      <w:numFmt w:val="lowerRoman"/>
      <w:lvlText w:val="%1)"/>
      <w:lvlJc w:val="right"/>
      <w:pPr>
        <w:ind w:left="1080" w:hanging="720"/>
      </w:pPr>
      <w:rPr>
        <w:rFonts w:eastAsiaTheme="minorHAnsi"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190877"/>
    <w:multiLevelType w:val="hybridMultilevel"/>
    <w:tmpl w:val="5568EFE4"/>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63931C2"/>
    <w:multiLevelType w:val="hybridMultilevel"/>
    <w:tmpl w:val="2620ECD2"/>
    <w:lvl w:ilvl="0" w:tplc="EB325EBC">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D8E0C79"/>
    <w:multiLevelType w:val="hybridMultilevel"/>
    <w:tmpl w:val="02F6D72A"/>
    <w:lvl w:ilvl="0" w:tplc="15CA5232">
      <w:start w:val="1"/>
      <w:numFmt w:val="lowerRoman"/>
      <w:lvlText w:val="%1)"/>
      <w:lvlJc w:val="right"/>
      <w:pPr>
        <w:ind w:left="1080" w:hanging="720"/>
      </w:pPr>
      <w:rPr>
        <w:rFonts w:eastAsiaTheme="minorHAnsi" w:hint="default"/>
        <w:i/>
        <w:iCs/>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F3B553A"/>
    <w:multiLevelType w:val="hybridMultilevel"/>
    <w:tmpl w:val="DBFCCEE6"/>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2D44ACC"/>
    <w:multiLevelType w:val="hybridMultilevel"/>
    <w:tmpl w:val="C1266FE0"/>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2" w15:restartNumberingAfterBreak="0">
    <w:nsid w:val="2C545286"/>
    <w:multiLevelType w:val="hybridMultilevel"/>
    <w:tmpl w:val="38BC177C"/>
    <w:lvl w:ilvl="0" w:tplc="6668FB1A">
      <w:start w:val="1"/>
      <w:numFmt w:val="lowerLetter"/>
      <w:lvlText w:val="%1)"/>
      <w:lvlJc w:val="left"/>
      <w:pPr>
        <w:ind w:left="720" w:hanging="360"/>
      </w:pPr>
      <w:rPr>
        <w:rFonts w:hint="default"/>
        <w:i/>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E763147"/>
    <w:multiLevelType w:val="hybridMultilevel"/>
    <w:tmpl w:val="8F0C578E"/>
    <w:lvl w:ilvl="0" w:tplc="5B3CA4C8">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3631495"/>
    <w:multiLevelType w:val="hybridMultilevel"/>
    <w:tmpl w:val="21E84252"/>
    <w:lvl w:ilvl="0" w:tplc="FFFFFFFF">
      <w:start w:val="1"/>
      <w:numFmt w:val="bullet"/>
      <w:lvlText w:val=""/>
      <w:lvlJc w:val="left"/>
      <w:pPr>
        <w:ind w:left="720" w:hanging="360"/>
      </w:pPr>
      <w:rPr>
        <w:rFonts w:ascii="Wingdings" w:hAnsi="Wingdings" w:hint="default"/>
      </w:rPr>
    </w:lvl>
    <w:lvl w:ilvl="1" w:tplc="0C0A0005">
      <w:start w:val="1"/>
      <w:numFmt w:val="bullet"/>
      <w:lvlText w:val=""/>
      <w:lvlJc w:val="left"/>
      <w:pPr>
        <w:ind w:left="1440" w:hanging="360"/>
      </w:pPr>
      <w:rPr>
        <w:rFonts w:ascii="Wingdings" w:hAnsi="Wingdings" w:hint="default"/>
      </w:r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Palatino Linotype" w:hAnsi="Palatino Linotype" w:hint="default"/>
      </w:rPr>
    </w:lvl>
    <w:lvl w:ilvl="5" w:tplc="FFFFFFFF">
      <w:start w:val="1"/>
      <w:numFmt w:val="bullet"/>
      <w:lvlText w:val=""/>
      <w:lvlJc w:val="left"/>
      <w:pPr>
        <w:ind w:left="4320" w:hanging="360"/>
      </w:pPr>
      <w:rPr>
        <w:rFonts w:ascii="Symbol" w:hAnsi="Symbol" w:hint="default"/>
        <w:sz w:val="20"/>
        <w:szCs w:val="20"/>
      </w:rPr>
    </w:lvl>
    <w:lvl w:ilvl="6" w:tplc="FFFFFFFF">
      <w:start w:val="1"/>
      <w:numFmt w:val="bullet"/>
      <w:lvlText w:val=""/>
      <w:lvlJc w:val="left"/>
      <w:pPr>
        <w:ind w:left="5040" w:hanging="360"/>
      </w:pPr>
      <w:rPr>
        <w:rFonts w:ascii="Palatino Linotype" w:hAnsi="Palatino Linotype" w:hint="default"/>
        <w:b w:val="0"/>
        <w:i w:val="0"/>
        <w:color w:val="auto"/>
        <w:sz w:val="20"/>
        <w:szCs w:val="20"/>
      </w:rPr>
    </w:lvl>
    <w:lvl w:ilvl="7" w:tplc="FFFFFFFF">
      <w:start w:val="1"/>
      <w:numFmt w:val="bullet"/>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5" w15:restartNumberingAfterBreak="0">
    <w:nsid w:val="3B852EBB"/>
    <w:multiLevelType w:val="hybridMultilevel"/>
    <w:tmpl w:val="93C8CEE8"/>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6" w15:restartNumberingAfterBreak="0">
    <w:nsid w:val="40FC3D40"/>
    <w:multiLevelType w:val="hybridMultilevel"/>
    <w:tmpl w:val="7688D7C4"/>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3A25B11"/>
    <w:multiLevelType w:val="hybridMultilevel"/>
    <w:tmpl w:val="93C8CEE8"/>
    <w:lvl w:ilvl="0" w:tplc="7C6C9F38">
      <w:start w:val="1"/>
      <w:numFmt w:val="lowerLetter"/>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8"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BC76952"/>
    <w:multiLevelType w:val="hybridMultilevel"/>
    <w:tmpl w:val="61A0BF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9751A39"/>
    <w:multiLevelType w:val="hybridMultilevel"/>
    <w:tmpl w:val="B266A430"/>
    <w:lvl w:ilvl="0" w:tplc="5FF00048">
      <w:start w:val="1"/>
      <w:numFmt w:val="lowerLetter"/>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E1521EE"/>
    <w:multiLevelType w:val="hybridMultilevel"/>
    <w:tmpl w:val="58AE6E10"/>
    <w:lvl w:ilvl="0" w:tplc="FFFFFFFF">
      <w:start w:val="1"/>
      <w:numFmt w:val="decimal"/>
      <w:lvlText w:val="%1."/>
      <w:lvlJc w:val="left"/>
      <w:pPr>
        <w:ind w:left="720" w:hanging="360"/>
      </w:pPr>
      <w:rPr>
        <w:rFonts w:ascii="Palatino Linotype" w:hAnsi="Palatino Linotype"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2075F24"/>
    <w:multiLevelType w:val="hybridMultilevel"/>
    <w:tmpl w:val="5B321B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2122746"/>
    <w:multiLevelType w:val="hybridMultilevel"/>
    <w:tmpl w:val="D37E013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6D71978"/>
    <w:multiLevelType w:val="hybridMultilevel"/>
    <w:tmpl w:val="8E92F124"/>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6FD38DF"/>
    <w:multiLevelType w:val="hybridMultilevel"/>
    <w:tmpl w:val="B3DC9A62"/>
    <w:lvl w:ilvl="0" w:tplc="FFFFFFFF">
      <w:start w:val="1"/>
      <w:numFmt w:val="lowerLetter"/>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7"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8" w15:restartNumberingAfterBreak="0">
    <w:nsid w:val="6E477B99"/>
    <w:multiLevelType w:val="hybridMultilevel"/>
    <w:tmpl w:val="16F4D6B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F0E4BDF"/>
    <w:multiLevelType w:val="hybridMultilevel"/>
    <w:tmpl w:val="16A4E39A"/>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0E00950"/>
    <w:multiLevelType w:val="multilevel"/>
    <w:tmpl w:val="E91C6536"/>
    <w:lvl w:ilvl="0">
      <w:numFmt w:val="decimal"/>
      <w:lvlText w:val="%1."/>
      <w:lvlJc w:val="left"/>
      <w:pPr>
        <w:ind w:left="360" w:hanging="360"/>
      </w:pPr>
      <w:rPr>
        <w:rFonts w:hint="default"/>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31"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7D1C6DE4"/>
    <w:multiLevelType w:val="hybridMultilevel"/>
    <w:tmpl w:val="58AE6E10"/>
    <w:lvl w:ilvl="0" w:tplc="FFFFFFFF">
      <w:start w:val="1"/>
      <w:numFmt w:val="decimal"/>
      <w:lvlText w:val="%1."/>
      <w:lvlJc w:val="left"/>
      <w:pPr>
        <w:ind w:left="720" w:hanging="360"/>
      </w:pPr>
      <w:rPr>
        <w:rFonts w:ascii="Palatino Linotype" w:hAnsi="Palatino Linotype"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57926465">
    <w:abstractNumId w:val="2"/>
  </w:num>
  <w:num w:numId="2" w16cid:durableId="1371225631">
    <w:abstractNumId w:val="31"/>
  </w:num>
  <w:num w:numId="3" w16cid:durableId="1247301945">
    <w:abstractNumId w:val="10"/>
  </w:num>
  <w:num w:numId="4" w16cid:durableId="420755340">
    <w:abstractNumId w:val="27"/>
  </w:num>
  <w:num w:numId="5" w16cid:durableId="78722068">
    <w:abstractNumId w:val="11"/>
  </w:num>
  <w:num w:numId="6" w16cid:durableId="74669805">
    <w:abstractNumId w:val="18"/>
  </w:num>
  <w:num w:numId="7" w16cid:durableId="761952906">
    <w:abstractNumId w:val="11"/>
    <w:lvlOverride w:ilvl="0">
      <w:startOverride w:val="1"/>
    </w:lvlOverride>
  </w:num>
  <w:num w:numId="8" w16cid:durableId="111871546">
    <w:abstractNumId w:val="11"/>
    <w:lvlOverride w:ilvl="0">
      <w:startOverride w:val="1"/>
    </w:lvlOverride>
  </w:num>
  <w:num w:numId="9" w16cid:durableId="1657802489">
    <w:abstractNumId w:val="11"/>
    <w:lvlOverride w:ilvl="0">
      <w:startOverride w:val="1"/>
    </w:lvlOverride>
  </w:num>
  <w:num w:numId="10" w16cid:durableId="14818329">
    <w:abstractNumId w:val="11"/>
    <w:lvlOverride w:ilvl="0">
      <w:startOverride w:val="1"/>
    </w:lvlOverride>
  </w:num>
  <w:num w:numId="11" w16cid:durableId="1622569298">
    <w:abstractNumId w:val="8"/>
  </w:num>
  <w:num w:numId="12" w16cid:durableId="1638803737">
    <w:abstractNumId w:val="11"/>
    <w:lvlOverride w:ilvl="0">
      <w:startOverride w:val="1"/>
    </w:lvlOverride>
  </w:num>
  <w:num w:numId="13" w16cid:durableId="988482838">
    <w:abstractNumId w:val="5"/>
  </w:num>
  <w:num w:numId="14" w16cid:durableId="974867925">
    <w:abstractNumId w:val="6"/>
  </w:num>
  <w:num w:numId="15" w16cid:durableId="1990210343">
    <w:abstractNumId w:val="27"/>
    <w:lvlOverride w:ilvl="0">
      <w:startOverride w:val="1"/>
    </w:lvlOverride>
  </w:num>
  <w:num w:numId="16" w16cid:durableId="1107458570">
    <w:abstractNumId w:val="16"/>
  </w:num>
  <w:num w:numId="17" w16cid:durableId="1378705583">
    <w:abstractNumId w:val="30"/>
  </w:num>
  <w:num w:numId="18" w16cid:durableId="1426461373">
    <w:abstractNumId w:val="9"/>
  </w:num>
  <w:num w:numId="19" w16cid:durableId="353386518">
    <w:abstractNumId w:val="25"/>
  </w:num>
  <w:num w:numId="20" w16cid:durableId="707146159">
    <w:abstractNumId w:val="1"/>
  </w:num>
  <w:num w:numId="21" w16cid:durableId="1251088006">
    <w:abstractNumId w:val="7"/>
  </w:num>
  <w:num w:numId="22" w16cid:durableId="1179082300">
    <w:abstractNumId w:val="3"/>
  </w:num>
  <w:num w:numId="23" w16cid:durableId="1228104450">
    <w:abstractNumId w:val="14"/>
  </w:num>
  <w:num w:numId="24" w16cid:durableId="1310137651">
    <w:abstractNumId w:val="20"/>
  </w:num>
  <w:num w:numId="25" w16cid:durableId="1323583380">
    <w:abstractNumId w:val="4"/>
  </w:num>
  <w:num w:numId="26" w16cid:durableId="1037464603">
    <w:abstractNumId w:val="29"/>
  </w:num>
  <w:num w:numId="27" w16cid:durableId="1534418957">
    <w:abstractNumId w:val="28"/>
  </w:num>
  <w:num w:numId="28" w16cid:durableId="1795907064">
    <w:abstractNumId w:val="17"/>
  </w:num>
  <w:num w:numId="29" w16cid:durableId="37437258">
    <w:abstractNumId w:val="15"/>
  </w:num>
  <w:num w:numId="30" w16cid:durableId="1694961437">
    <w:abstractNumId w:val="13"/>
  </w:num>
  <w:num w:numId="31" w16cid:durableId="1380476107">
    <w:abstractNumId w:val="26"/>
  </w:num>
  <w:num w:numId="32" w16cid:durableId="1011100897">
    <w:abstractNumId w:val="12"/>
  </w:num>
  <w:num w:numId="33" w16cid:durableId="1422414327">
    <w:abstractNumId w:val="21"/>
  </w:num>
  <w:num w:numId="34" w16cid:durableId="117575796">
    <w:abstractNumId w:val="32"/>
  </w:num>
  <w:num w:numId="35" w16cid:durableId="1416778089">
    <w:abstractNumId w:val="22"/>
  </w:num>
  <w:num w:numId="36" w16cid:durableId="1223447410">
    <w:abstractNumId w:val="0"/>
  </w:num>
  <w:num w:numId="37" w16cid:durableId="1172724090">
    <w:abstractNumId w:val="23"/>
  </w:num>
  <w:num w:numId="38" w16cid:durableId="919371199">
    <w:abstractNumId w:val="19"/>
  </w:num>
  <w:num w:numId="39" w16cid:durableId="1293709943">
    <w:abstractNumId w:val="2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720"/>
    <w:rsid w:val="000002B3"/>
    <w:rsid w:val="000102B1"/>
    <w:rsid w:val="00014777"/>
    <w:rsid w:val="00016365"/>
    <w:rsid w:val="0002549F"/>
    <w:rsid w:val="0002605D"/>
    <w:rsid w:val="00026AD7"/>
    <w:rsid w:val="00031D43"/>
    <w:rsid w:val="000328E2"/>
    <w:rsid w:val="000348F4"/>
    <w:rsid w:val="00036DB8"/>
    <w:rsid w:val="0003720D"/>
    <w:rsid w:val="00040D0C"/>
    <w:rsid w:val="000418A6"/>
    <w:rsid w:val="00044055"/>
    <w:rsid w:val="000451D8"/>
    <w:rsid w:val="000464AC"/>
    <w:rsid w:val="000473A8"/>
    <w:rsid w:val="00052301"/>
    <w:rsid w:val="000523B4"/>
    <w:rsid w:val="00053449"/>
    <w:rsid w:val="0005416E"/>
    <w:rsid w:val="00057F26"/>
    <w:rsid w:val="0006593D"/>
    <w:rsid w:val="00073774"/>
    <w:rsid w:val="00081EC4"/>
    <w:rsid w:val="0008642F"/>
    <w:rsid w:val="00086E61"/>
    <w:rsid w:val="00091792"/>
    <w:rsid w:val="00091833"/>
    <w:rsid w:val="000925A6"/>
    <w:rsid w:val="00094ADF"/>
    <w:rsid w:val="00096437"/>
    <w:rsid w:val="00096C5E"/>
    <w:rsid w:val="00096FC6"/>
    <w:rsid w:val="00097EF6"/>
    <w:rsid w:val="000A0816"/>
    <w:rsid w:val="000A11BA"/>
    <w:rsid w:val="000A3137"/>
    <w:rsid w:val="000A698F"/>
    <w:rsid w:val="000B3388"/>
    <w:rsid w:val="000B3557"/>
    <w:rsid w:val="000C0CFC"/>
    <w:rsid w:val="000C34DB"/>
    <w:rsid w:val="000D24A3"/>
    <w:rsid w:val="000D31C9"/>
    <w:rsid w:val="000D46B6"/>
    <w:rsid w:val="000E3517"/>
    <w:rsid w:val="000F3F70"/>
    <w:rsid w:val="000F6413"/>
    <w:rsid w:val="001054AD"/>
    <w:rsid w:val="00115F96"/>
    <w:rsid w:val="00117C37"/>
    <w:rsid w:val="00122927"/>
    <w:rsid w:val="001235E1"/>
    <w:rsid w:val="00131DD7"/>
    <w:rsid w:val="001320CB"/>
    <w:rsid w:val="0013459D"/>
    <w:rsid w:val="00141E9D"/>
    <w:rsid w:val="001427FD"/>
    <w:rsid w:val="001439E8"/>
    <w:rsid w:val="00147B73"/>
    <w:rsid w:val="0015013E"/>
    <w:rsid w:val="00150421"/>
    <w:rsid w:val="00152E50"/>
    <w:rsid w:val="00155C88"/>
    <w:rsid w:val="00156768"/>
    <w:rsid w:val="00160C77"/>
    <w:rsid w:val="00161FF8"/>
    <w:rsid w:val="0016333D"/>
    <w:rsid w:val="00163F37"/>
    <w:rsid w:val="001644D0"/>
    <w:rsid w:val="001675F6"/>
    <w:rsid w:val="0016795D"/>
    <w:rsid w:val="00172A24"/>
    <w:rsid w:val="0017500D"/>
    <w:rsid w:val="001753B9"/>
    <w:rsid w:val="00176E76"/>
    <w:rsid w:val="00177863"/>
    <w:rsid w:val="00177B80"/>
    <w:rsid w:val="00185AA0"/>
    <w:rsid w:val="001869B6"/>
    <w:rsid w:val="00191F73"/>
    <w:rsid w:val="001926AD"/>
    <w:rsid w:val="001957CC"/>
    <w:rsid w:val="001A3650"/>
    <w:rsid w:val="001A52B5"/>
    <w:rsid w:val="001A6441"/>
    <w:rsid w:val="001B58C3"/>
    <w:rsid w:val="001C0F37"/>
    <w:rsid w:val="001C11F8"/>
    <w:rsid w:val="001C4F41"/>
    <w:rsid w:val="001C7C0D"/>
    <w:rsid w:val="001D089B"/>
    <w:rsid w:val="001D08C1"/>
    <w:rsid w:val="001D1753"/>
    <w:rsid w:val="001D70B1"/>
    <w:rsid w:val="001D7152"/>
    <w:rsid w:val="001E603F"/>
    <w:rsid w:val="001E701B"/>
    <w:rsid w:val="001E74BA"/>
    <w:rsid w:val="001F01DF"/>
    <w:rsid w:val="001F6F73"/>
    <w:rsid w:val="001F77B7"/>
    <w:rsid w:val="001F7F97"/>
    <w:rsid w:val="00200388"/>
    <w:rsid w:val="00200EDA"/>
    <w:rsid w:val="00204D34"/>
    <w:rsid w:val="00205253"/>
    <w:rsid w:val="0021774E"/>
    <w:rsid w:val="0022778F"/>
    <w:rsid w:val="00231678"/>
    <w:rsid w:val="0023271D"/>
    <w:rsid w:val="002361A4"/>
    <w:rsid w:val="00236C90"/>
    <w:rsid w:val="0023705A"/>
    <w:rsid w:val="00240AF3"/>
    <w:rsid w:val="00250AEE"/>
    <w:rsid w:val="00251618"/>
    <w:rsid w:val="002519C0"/>
    <w:rsid w:val="002546DF"/>
    <w:rsid w:val="00254714"/>
    <w:rsid w:val="002602EC"/>
    <w:rsid w:val="00270875"/>
    <w:rsid w:val="00270E65"/>
    <w:rsid w:val="0027118D"/>
    <w:rsid w:val="00272242"/>
    <w:rsid w:val="00272CFC"/>
    <w:rsid w:val="00274790"/>
    <w:rsid w:val="002756C0"/>
    <w:rsid w:val="002776F9"/>
    <w:rsid w:val="00283BE9"/>
    <w:rsid w:val="0028511D"/>
    <w:rsid w:val="00285F4B"/>
    <w:rsid w:val="00286C19"/>
    <w:rsid w:val="00287E81"/>
    <w:rsid w:val="00290E36"/>
    <w:rsid w:val="00294AD7"/>
    <w:rsid w:val="00294E92"/>
    <w:rsid w:val="00295F46"/>
    <w:rsid w:val="002A00F9"/>
    <w:rsid w:val="002A1386"/>
    <w:rsid w:val="002A17D0"/>
    <w:rsid w:val="002A1A05"/>
    <w:rsid w:val="002A3679"/>
    <w:rsid w:val="002A62A0"/>
    <w:rsid w:val="002A7603"/>
    <w:rsid w:val="002B2D8E"/>
    <w:rsid w:val="002B59F7"/>
    <w:rsid w:val="002B6EA4"/>
    <w:rsid w:val="002B71E8"/>
    <w:rsid w:val="002B7456"/>
    <w:rsid w:val="002C160D"/>
    <w:rsid w:val="002C3FB5"/>
    <w:rsid w:val="002C457A"/>
    <w:rsid w:val="002C57D4"/>
    <w:rsid w:val="002C5B0F"/>
    <w:rsid w:val="002C6439"/>
    <w:rsid w:val="002D055A"/>
    <w:rsid w:val="002D2963"/>
    <w:rsid w:val="002D2CCA"/>
    <w:rsid w:val="002D53D0"/>
    <w:rsid w:val="002E0C48"/>
    <w:rsid w:val="002E1ADA"/>
    <w:rsid w:val="002E5155"/>
    <w:rsid w:val="002E5F5F"/>
    <w:rsid w:val="002E6270"/>
    <w:rsid w:val="002F39A0"/>
    <w:rsid w:val="002F7A30"/>
    <w:rsid w:val="002F7FA3"/>
    <w:rsid w:val="00302A0E"/>
    <w:rsid w:val="00305E32"/>
    <w:rsid w:val="00307C23"/>
    <w:rsid w:val="00311BED"/>
    <w:rsid w:val="0031762E"/>
    <w:rsid w:val="00321A5E"/>
    <w:rsid w:val="00323BD1"/>
    <w:rsid w:val="00330D34"/>
    <w:rsid w:val="00331F47"/>
    <w:rsid w:val="00340499"/>
    <w:rsid w:val="0034179D"/>
    <w:rsid w:val="00342648"/>
    <w:rsid w:val="00347578"/>
    <w:rsid w:val="00351827"/>
    <w:rsid w:val="003534C5"/>
    <w:rsid w:val="003653CC"/>
    <w:rsid w:val="00370610"/>
    <w:rsid w:val="00371729"/>
    <w:rsid w:val="003739F7"/>
    <w:rsid w:val="003748D7"/>
    <w:rsid w:val="0038122E"/>
    <w:rsid w:val="0038196F"/>
    <w:rsid w:val="0038426F"/>
    <w:rsid w:val="003847B1"/>
    <w:rsid w:val="00386565"/>
    <w:rsid w:val="00386919"/>
    <w:rsid w:val="00396582"/>
    <w:rsid w:val="003A2D29"/>
    <w:rsid w:val="003A359D"/>
    <w:rsid w:val="003A3C48"/>
    <w:rsid w:val="003A4074"/>
    <w:rsid w:val="003B04F7"/>
    <w:rsid w:val="003B1839"/>
    <w:rsid w:val="003C2441"/>
    <w:rsid w:val="003C4A2C"/>
    <w:rsid w:val="003D1ADC"/>
    <w:rsid w:val="003D4D51"/>
    <w:rsid w:val="003D68AC"/>
    <w:rsid w:val="003D7A6B"/>
    <w:rsid w:val="003E2EBD"/>
    <w:rsid w:val="003E4AB4"/>
    <w:rsid w:val="003E4CDF"/>
    <w:rsid w:val="003E77BB"/>
    <w:rsid w:val="003F0C48"/>
    <w:rsid w:val="003F529B"/>
    <w:rsid w:val="003F5DD8"/>
    <w:rsid w:val="004005AD"/>
    <w:rsid w:val="00401A53"/>
    <w:rsid w:val="004122B6"/>
    <w:rsid w:val="00412724"/>
    <w:rsid w:val="00417327"/>
    <w:rsid w:val="00421B38"/>
    <w:rsid w:val="004227A9"/>
    <w:rsid w:val="00422A02"/>
    <w:rsid w:val="00422A26"/>
    <w:rsid w:val="004263AB"/>
    <w:rsid w:val="00426E6E"/>
    <w:rsid w:val="00427761"/>
    <w:rsid w:val="00431AE3"/>
    <w:rsid w:val="00434C49"/>
    <w:rsid w:val="004457D5"/>
    <w:rsid w:val="004464AC"/>
    <w:rsid w:val="00446577"/>
    <w:rsid w:val="00447376"/>
    <w:rsid w:val="00447C0F"/>
    <w:rsid w:val="0045043E"/>
    <w:rsid w:val="00453B21"/>
    <w:rsid w:val="004567F5"/>
    <w:rsid w:val="00465517"/>
    <w:rsid w:val="00466470"/>
    <w:rsid w:val="00474755"/>
    <w:rsid w:val="00477081"/>
    <w:rsid w:val="0048040B"/>
    <w:rsid w:val="00481E21"/>
    <w:rsid w:val="00482320"/>
    <w:rsid w:val="004919ED"/>
    <w:rsid w:val="0049322F"/>
    <w:rsid w:val="00493498"/>
    <w:rsid w:val="004A4750"/>
    <w:rsid w:val="004A6BE1"/>
    <w:rsid w:val="004A6FD2"/>
    <w:rsid w:val="004B42F8"/>
    <w:rsid w:val="004C0C34"/>
    <w:rsid w:val="004C465C"/>
    <w:rsid w:val="004C5DE5"/>
    <w:rsid w:val="004C71E9"/>
    <w:rsid w:val="004C75EA"/>
    <w:rsid w:val="004D1161"/>
    <w:rsid w:val="004D196A"/>
    <w:rsid w:val="004D40E8"/>
    <w:rsid w:val="004D79A6"/>
    <w:rsid w:val="004F3248"/>
    <w:rsid w:val="004F36A1"/>
    <w:rsid w:val="004F5114"/>
    <w:rsid w:val="00500D4E"/>
    <w:rsid w:val="00502A72"/>
    <w:rsid w:val="00504F63"/>
    <w:rsid w:val="00510D6F"/>
    <w:rsid w:val="00510FB5"/>
    <w:rsid w:val="0052273D"/>
    <w:rsid w:val="00522853"/>
    <w:rsid w:val="00523744"/>
    <w:rsid w:val="00524322"/>
    <w:rsid w:val="005260FE"/>
    <w:rsid w:val="00527051"/>
    <w:rsid w:val="005333D5"/>
    <w:rsid w:val="00533E58"/>
    <w:rsid w:val="0053589D"/>
    <w:rsid w:val="00536EFA"/>
    <w:rsid w:val="005438B7"/>
    <w:rsid w:val="00543A32"/>
    <w:rsid w:val="00543EE7"/>
    <w:rsid w:val="005441EC"/>
    <w:rsid w:val="00547C58"/>
    <w:rsid w:val="00550E4F"/>
    <w:rsid w:val="00554E7A"/>
    <w:rsid w:val="00555F62"/>
    <w:rsid w:val="00556F6E"/>
    <w:rsid w:val="00556F78"/>
    <w:rsid w:val="0056160F"/>
    <w:rsid w:val="00561B3A"/>
    <w:rsid w:val="00563426"/>
    <w:rsid w:val="005634C1"/>
    <w:rsid w:val="00564B8B"/>
    <w:rsid w:val="00564C62"/>
    <w:rsid w:val="00566944"/>
    <w:rsid w:val="00575F1C"/>
    <w:rsid w:val="00577330"/>
    <w:rsid w:val="00580C36"/>
    <w:rsid w:val="0058253A"/>
    <w:rsid w:val="00587B2D"/>
    <w:rsid w:val="0059192F"/>
    <w:rsid w:val="00594683"/>
    <w:rsid w:val="00594BB1"/>
    <w:rsid w:val="005A0192"/>
    <w:rsid w:val="005A67E9"/>
    <w:rsid w:val="005B08CB"/>
    <w:rsid w:val="005B2C94"/>
    <w:rsid w:val="005B4FE2"/>
    <w:rsid w:val="005C131B"/>
    <w:rsid w:val="005C248F"/>
    <w:rsid w:val="005C2827"/>
    <w:rsid w:val="005C3938"/>
    <w:rsid w:val="005C51D5"/>
    <w:rsid w:val="005C632B"/>
    <w:rsid w:val="005C749C"/>
    <w:rsid w:val="005D0D0C"/>
    <w:rsid w:val="005D1EA1"/>
    <w:rsid w:val="005E31D7"/>
    <w:rsid w:val="005E53B9"/>
    <w:rsid w:val="005E66EC"/>
    <w:rsid w:val="005E696A"/>
    <w:rsid w:val="005E7105"/>
    <w:rsid w:val="005E7CF9"/>
    <w:rsid w:val="005F0C11"/>
    <w:rsid w:val="005F38A4"/>
    <w:rsid w:val="005F4206"/>
    <w:rsid w:val="005F6235"/>
    <w:rsid w:val="005F737C"/>
    <w:rsid w:val="00602888"/>
    <w:rsid w:val="00602CB2"/>
    <w:rsid w:val="0060664A"/>
    <w:rsid w:val="00606E13"/>
    <w:rsid w:val="006143CD"/>
    <w:rsid w:val="0061567C"/>
    <w:rsid w:val="006175AE"/>
    <w:rsid w:val="00620C74"/>
    <w:rsid w:val="006225DE"/>
    <w:rsid w:val="00623334"/>
    <w:rsid w:val="00624695"/>
    <w:rsid w:val="00627A56"/>
    <w:rsid w:val="00630D0B"/>
    <w:rsid w:val="00631AF8"/>
    <w:rsid w:val="006346E6"/>
    <w:rsid w:val="00635546"/>
    <w:rsid w:val="00636938"/>
    <w:rsid w:val="00643E36"/>
    <w:rsid w:val="00646BA0"/>
    <w:rsid w:val="006479D1"/>
    <w:rsid w:val="00647E2E"/>
    <w:rsid w:val="00651229"/>
    <w:rsid w:val="00651CB4"/>
    <w:rsid w:val="00651EE1"/>
    <w:rsid w:val="00652AFB"/>
    <w:rsid w:val="00655F7F"/>
    <w:rsid w:val="0065657E"/>
    <w:rsid w:val="00656763"/>
    <w:rsid w:val="00661447"/>
    <w:rsid w:val="006640EF"/>
    <w:rsid w:val="006707B2"/>
    <w:rsid w:val="00670E0E"/>
    <w:rsid w:val="00684229"/>
    <w:rsid w:val="0068426C"/>
    <w:rsid w:val="00687B95"/>
    <w:rsid w:val="00690EB9"/>
    <w:rsid w:val="00691AE6"/>
    <w:rsid w:val="00692618"/>
    <w:rsid w:val="00693B21"/>
    <w:rsid w:val="00693E74"/>
    <w:rsid w:val="006945A4"/>
    <w:rsid w:val="006951C6"/>
    <w:rsid w:val="0069665E"/>
    <w:rsid w:val="00697F57"/>
    <w:rsid w:val="006A69EB"/>
    <w:rsid w:val="006A7327"/>
    <w:rsid w:val="006B05CB"/>
    <w:rsid w:val="006B34DB"/>
    <w:rsid w:val="006B4BFD"/>
    <w:rsid w:val="006B5720"/>
    <w:rsid w:val="006C1E08"/>
    <w:rsid w:val="006C2C3B"/>
    <w:rsid w:val="006C69B3"/>
    <w:rsid w:val="006D1659"/>
    <w:rsid w:val="006E03B0"/>
    <w:rsid w:val="006E1C40"/>
    <w:rsid w:val="006E1CC7"/>
    <w:rsid w:val="006E45C2"/>
    <w:rsid w:val="006E59AF"/>
    <w:rsid w:val="006F1C29"/>
    <w:rsid w:val="006F342D"/>
    <w:rsid w:val="00701781"/>
    <w:rsid w:val="00702046"/>
    <w:rsid w:val="00702F32"/>
    <w:rsid w:val="00704F11"/>
    <w:rsid w:val="00712127"/>
    <w:rsid w:val="00714C7A"/>
    <w:rsid w:val="00720493"/>
    <w:rsid w:val="007214DA"/>
    <w:rsid w:val="007227E7"/>
    <w:rsid w:val="00727920"/>
    <w:rsid w:val="00733FB3"/>
    <w:rsid w:val="00734731"/>
    <w:rsid w:val="007350CB"/>
    <w:rsid w:val="00737BBA"/>
    <w:rsid w:val="00741985"/>
    <w:rsid w:val="00741B8A"/>
    <w:rsid w:val="00747C42"/>
    <w:rsid w:val="00751729"/>
    <w:rsid w:val="007517AA"/>
    <w:rsid w:val="0075520C"/>
    <w:rsid w:val="00757A7C"/>
    <w:rsid w:val="00767877"/>
    <w:rsid w:val="00773553"/>
    <w:rsid w:val="007778FD"/>
    <w:rsid w:val="007819A2"/>
    <w:rsid w:val="00784095"/>
    <w:rsid w:val="007847C5"/>
    <w:rsid w:val="007915F3"/>
    <w:rsid w:val="00794E6A"/>
    <w:rsid w:val="007A1412"/>
    <w:rsid w:val="007A421F"/>
    <w:rsid w:val="007A52E1"/>
    <w:rsid w:val="007A592D"/>
    <w:rsid w:val="007B72A4"/>
    <w:rsid w:val="007C0241"/>
    <w:rsid w:val="007C13DF"/>
    <w:rsid w:val="007C3897"/>
    <w:rsid w:val="007C6252"/>
    <w:rsid w:val="007C6A08"/>
    <w:rsid w:val="007D0938"/>
    <w:rsid w:val="007D1E41"/>
    <w:rsid w:val="007D2D3B"/>
    <w:rsid w:val="007D41FA"/>
    <w:rsid w:val="007D49DC"/>
    <w:rsid w:val="007D7B56"/>
    <w:rsid w:val="007E050E"/>
    <w:rsid w:val="007E26A1"/>
    <w:rsid w:val="007E4A7C"/>
    <w:rsid w:val="007F6396"/>
    <w:rsid w:val="007F6C7E"/>
    <w:rsid w:val="008020F4"/>
    <w:rsid w:val="008067F4"/>
    <w:rsid w:val="00812700"/>
    <w:rsid w:val="008142B0"/>
    <w:rsid w:val="0081544B"/>
    <w:rsid w:val="008233F9"/>
    <w:rsid w:val="00823B91"/>
    <w:rsid w:val="00823E67"/>
    <w:rsid w:val="00825930"/>
    <w:rsid w:val="0082598E"/>
    <w:rsid w:val="00825AB3"/>
    <w:rsid w:val="008274D7"/>
    <w:rsid w:val="00827955"/>
    <w:rsid w:val="00832BC1"/>
    <w:rsid w:val="00832E50"/>
    <w:rsid w:val="00833334"/>
    <w:rsid w:val="00836505"/>
    <w:rsid w:val="00837617"/>
    <w:rsid w:val="00837B5A"/>
    <w:rsid w:val="0084152E"/>
    <w:rsid w:val="00842315"/>
    <w:rsid w:val="00842A8D"/>
    <w:rsid w:val="008444D1"/>
    <w:rsid w:val="0085199E"/>
    <w:rsid w:val="00851BEB"/>
    <w:rsid w:val="00853CF6"/>
    <w:rsid w:val="00855376"/>
    <w:rsid w:val="00856C38"/>
    <w:rsid w:val="00861583"/>
    <w:rsid w:val="00863B19"/>
    <w:rsid w:val="00864BF8"/>
    <w:rsid w:val="008653F0"/>
    <w:rsid w:val="00870845"/>
    <w:rsid w:val="00873620"/>
    <w:rsid w:val="008764F9"/>
    <w:rsid w:val="00877EC7"/>
    <w:rsid w:val="00880683"/>
    <w:rsid w:val="00891557"/>
    <w:rsid w:val="00892F7F"/>
    <w:rsid w:val="008937DA"/>
    <w:rsid w:val="00894955"/>
    <w:rsid w:val="00896224"/>
    <w:rsid w:val="008A1765"/>
    <w:rsid w:val="008A18B8"/>
    <w:rsid w:val="008A2A3D"/>
    <w:rsid w:val="008A53D4"/>
    <w:rsid w:val="008A6AAF"/>
    <w:rsid w:val="008A75A3"/>
    <w:rsid w:val="008A75E2"/>
    <w:rsid w:val="008B197A"/>
    <w:rsid w:val="008B49E3"/>
    <w:rsid w:val="008B4ADC"/>
    <w:rsid w:val="008C6268"/>
    <w:rsid w:val="008C6DF6"/>
    <w:rsid w:val="008D435E"/>
    <w:rsid w:val="008D5640"/>
    <w:rsid w:val="008D79AC"/>
    <w:rsid w:val="008D7A76"/>
    <w:rsid w:val="008E2DA4"/>
    <w:rsid w:val="008E5500"/>
    <w:rsid w:val="008E7480"/>
    <w:rsid w:val="008E7F60"/>
    <w:rsid w:val="008F5329"/>
    <w:rsid w:val="00900D26"/>
    <w:rsid w:val="00901717"/>
    <w:rsid w:val="00906596"/>
    <w:rsid w:val="00907CB8"/>
    <w:rsid w:val="00910BB3"/>
    <w:rsid w:val="0091253C"/>
    <w:rsid w:val="00914AA6"/>
    <w:rsid w:val="009179A7"/>
    <w:rsid w:val="0092474A"/>
    <w:rsid w:val="00926236"/>
    <w:rsid w:val="009272DC"/>
    <w:rsid w:val="0093444D"/>
    <w:rsid w:val="00936103"/>
    <w:rsid w:val="00940E40"/>
    <w:rsid w:val="0094148F"/>
    <w:rsid w:val="00941576"/>
    <w:rsid w:val="00943198"/>
    <w:rsid w:val="00946154"/>
    <w:rsid w:val="0095641B"/>
    <w:rsid w:val="0096186B"/>
    <w:rsid w:val="00962AB9"/>
    <w:rsid w:val="0096481D"/>
    <w:rsid w:val="00964B95"/>
    <w:rsid w:val="00971031"/>
    <w:rsid w:val="00972767"/>
    <w:rsid w:val="00974159"/>
    <w:rsid w:val="00974BF8"/>
    <w:rsid w:val="00974F5D"/>
    <w:rsid w:val="00975561"/>
    <w:rsid w:val="00981A85"/>
    <w:rsid w:val="00981D02"/>
    <w:rsid w:val="00981F11"/>
    <w:rsid w:val="00984D8C"/>
    <w:rsid w:val="00985D4A"/>
    <w:rsid w:val="00986799"/>
    <w:rsid w:val="009936A0"/>
    <w:rsid w:val="009946D2"/>
    <w:rsid w:val="0099598E"/>
    <w:rsid w:val="0099682A"/>
    <w:rsid w:val="009A250C"/>
    <w:rsid w:val="009A2FB3"/>
    <w:rsid w:val="009A6743"/>
    <w:rsid w:val="009B3B88"/>
    <w:rsid w:val="009B7267"/>
    <w:rsid w:val="009B74EB"/>
    <w:rsid w:val="009B7CCA"/>
    <w:rsid w:val="009C61AF"/>
    <w:rsid w:val="009C69E8"/>
    <w:rsid w:val="009D3627"/>
    <w:rsid w:val="009D3DF9"/>
    <w:rsid w:val="009E0D85"/>
    <w:rsid w:val="009E12D3"/>
    <w:rsid w:val="009E25C7"/>
    <w:rsid w:val="009E489B"/>
    <w:rsid w:val="009E5485"/>
    <w:rsid w:val="009E5C06"/>
    <w:rsid w:val="009E621A"/>
    <w:rsid w:val="009E71EC"/>
    <w:rsid w:val="009E7F79"/>
    <w:rsid w:val="009F1413"/>
    <w:rsid w:val="009F61B4"/>
    <w:rsid w:val="009F6ACE"/>
    <w:rsid w:val="009F71A3"/>
    <w:rsid w:val="00A011D0"/>
    <w:rsid w:val="00A01615"/>
    <w:rsid w:val="00A02FA6"/>
    <w:rsid w:val="00A04349"/>
    <w:rsid w:val="00A10C28"/>
    <w:rsid w:val="00A116B6"/>
    <w:rsid w:val="00A119C4"/>
    <w:rsid w:val="00A1312E"/>
    <w:rsid w:val="00A13227"/>
    <w:rsid w:val="00A13877"/>
    <w:rsid w:val="00A14E77"/>
    <w:rsid w:val="00A150AF"/>
    <w:rsid w:val="00A153D1"/>
    <w:rsid w:val="00A15750"/>
    <w:rsid w:val="00A16AAB"/>
    <w:rsid w:val="00A20876"/>
    <w:rsid w:val="00A20BF3"/>
    <w:rsid w:val="00A234D9"/>
    <w:rsid w:val="00A300F1"/>
    <w:rsid w:val="00A3091E"/>
    <w:rsid w:val="00A31A32"/>
    <w:rsid w:val="00A3232C"/>
    <w:rsid w:val="00A34FB9"/>
    <w:rsid w:val="00A42628"/>
    <w:rsid w:val="00A43E02"/>
    <w:rsid w:val="00A443E0"/>
    <w:rsid w:val="00A448D3"/>
    <w:rsid w:val="00A51B24"/>
    <w:rsid w:val="00A54398"/>
    <w:rsid w:val="00A576A9"/>
    <w:rsid w:val="00A576BE"/>
    <w:rsid w:val="00A60488"/>
    <w:rsid w:val="00A6505E"/>
    <w:rsid w:val="00A670C9"/>
    <w:rsid w:val="00A73A52"/>
    <w:rsid w:val="00A769CD"/>
    <w:rsid w:val="00A778CC"/>
    <w:rsid w:val="00A779CA"/>
    <w:rsid w:val="00A807F5"/>
    <w:rsid w:val="00A843B8"/>
    <w:rsid w:val="00A91A8B"/>
    <w:rsid w:val="00A921F8"/>
    <w:rsid w:val="00AA085D"/>
    <w:rsid w:val="00AA46F7"/>
    <w:rsid w:val="00AA555D"/>
    <w:rsid w:val="00AA5B39"/>
    <w:rsid w:val="00AA616D"/>
    <w:rsid w:val="00AA65E7"/>
    <w:rsid w:val="00AA6911"/>
    <w:rsid w:val="00AB003B"/>
    <w:rsid w:val="00AB1F21"/>
    <w:rsid w:val="00AB688C"/>
    <w:rsid w:val="00AC09F9"/>
    <w:rsid w:val="00AC16AC"/>
    <w:rsid w:val="00AC342A"/>
    <w:rsid w:val="00AC48A3"/>
    <w:rsid w:val="00AC5AAF"/>
    <w:rsid w:val="00AD093D"/>
    <w:rsid w:val="00AD0F6D"/>
    <w:rsid w:val="00AD16CB"/>
    <w:rsid w:val="00AD472E"/>
    <w:rsid w:val="00AD4844"/>
    <w:rsid w:val="00AD5A8C"/>
    <w:rsid w:val="00AD60B0"/>
    <w:rsid w:val="00AE0873"/>
    <w:rsid w:val="00AE7F86"/>
    <w:rsid w:val="00AF02D1"/>
    <w:rsid w:val="00AF163C"/>
    <w:rsid w:val="00AF2B6D"/>
    <w:rsid w:val="00AF4F1E"/>
    <w:rsid w:val="00AF5054"/>
    <w:rsid w:val="00AF5FB2"/>
    <w:rsid w:val="00B0080A"/>
    <w:rsid w:val="00B02613"/>
    <w:rsid w:val="00B1060F"/>
    <w:rsid w:val="00B14516"/>
    <w:rsid w:val="00B152F3"/>
    <w:rsid w:val="00B2036E"/>
    <w:rsid w:val="00B23CA3"/>
    <w:rsid w:val="00B23D60"/>
    <w:rsid w:val="00B30A9D"/>
    <w:rsid w:val="00B40204"/>
    <w:rsid w:val="00B466AE"/>
    <w:rsid w:val="00B468FF"/>
    <w:rsid w:val="00B50D06"/>
    <w:rsid w:val="00B52052"/>
    <w:rsid w:val="00B55178"/>
    <w:rsid w:val="00B57263"/>
    <w:rsid w:val="00B65156"/>
    <w:rsid w:val="00B70004"/>
    <w:rsid w:val="00B70943"/>
    <w:rsid w:val="00B72EA8"/>
    <w:rsid w:val="00B736BC"/>
    <w:rsid w:val="00B75046"/>
    <w:rsid w:val="00B7633F"/>
    <w:rsid w:val="00B76A3C"/>
    <w:rsid w:val="00B77C0F"/>
    <w:rsid w:val="00B810DE"/>
    <w:rsid w:val="00B81C1B"/>
    <w:rsid w:val="00B87B4D"/>
    <w:rsid w:val="00B9022F"/>
    <w:rsid w:val="00B904B2"/>
    <w:rsid w:val="00B939A3"/>
    <w:rsid w:val="00B949A4"/>
    <w:rsid w:val="00B979C4"/>
    <w:rsid w:val="00B97A4B"/>
    <w:rsid w:val="00BA2EC1"/>
    <w:rsid w:val="00BA488F"/>
    <w:rsid w:val="00BA5278"/>
    <w:rsid w:val="00BB0226"/>
    <w:rsid w:val="00BC1FF3"/>
    <w:rsid w:val="00BC212E"/>
    <w:rsid w:val="00BC53F1"/>
    <w:rsid w:val="00BD31A1"/>
    <w:rsid w:val="00BD4266"/>
    <w:rsid w:val="00BD6830"/>
    <w:rsid w:val="00BD7DC8"/>
    <w:rsid w:val="00BE0C6A"/>
    <w:rsid w:val="00BE165E"/>
    <w:rsid w:val="00BE1B62"/>
    <w:rsid w:val="00BE3C0E"/>
    <w:rsid w:val="00BE3DA7"/>
    <w:rsid w:val="00BE5364"/>
    <w:rsid w:val="00BE5FC6"/>
    <w:rsid w:val="00BF0078"/>
    <w:rsid w:val="00BF0F65"/>
    <w:rsid w:val="00BF1133"/>
    <w:rsid w:val="00BF2191"/>
    <w:rsid w:val="00BF244E"/>
    <w:rsid w:val="00C0121D"/>
    <w:rsid w:val="00C0671D"/>
    <w:rsid w:val="00C06FF7"/>
    <w:rsid w:val="00C11454"/>
    <w:rsid w:val="00C1210D"/>
    <w:rsid w:val="00C15172"/>
    <w:rsid w:val="00C33CF2"/>
    <w:rsid w:val="00C35F14"/>
    <w:rsid w:val="00C36605"/>
    <w:rsid w:val="00C40D9C"/>
    <w:rsid w:val="00C4210F"/>
    <w:rsid w:val="00C43AC1"/>
    <w:rsid w:val="00C46687"/>
    <w:rsid w:val="00C50C11"/>
    <w:rsid w:val="00C53396"/>
    <w:rsid w:val="00C5595E"/>
    <w:rsid w:val="00C6007E"/>
    <w:rsid w:val="00C619F5"/>
    <w:rsid w:val="00C623E2"/>
    <w:rsid w:val="00C646E0"/>
    <w:rsid w:val="00C65A83"/>
    <w:rsid w:val="00C662E3"/>
    <w:rsid w:val="00C66727"/>
    <w:rsid w:val="00C67F23"/>
    <w:rsid w:val="00C73466"/>
    <w:rsid w:val="00C73CFD"/>
    <w:rsid w:val="00C81078"/>
    <w:rsid w:val="00C81294"/>
    <w:rsid w:val="00C83185"/>
    <w:rsid w:val="00C83D29"/>
    <w:rsid w:val="00C851DA"/>
    <w:rsid w:val="00C8737F"/>
    <w:rsid w:val="00C91B99"/>
    <w:rsid w:val="00C91EA4"/>
    <w:rsid w:val="00C91F5B"/>
    <w:rsid w:val="00C925F2"/>
    <w:rsid w:val="00CA0BF8"/>
    <w:rsid w:val="00CA6A8D"/>
    <w:rsid w:val="00CA6BEA"/>
    <w:rsid w:val="00CB167C"/>
    <w:rsid w:val="00CB3F8B"/>
    <w:rsid w:val="00CB4E29"/>
    <w:rsid w:val="00CB6104"/>
    <w:rsid w:val="00CC0871"/>
    <w:rsid w:val="00CC471A"/>
    <w:rsid w:val="00CC491B"/>
    <w:rsid w:val="00CC49E0"/>
    <w:rsid w:val="00CC5839"/>
    <w:rsid w:val="00CD65FC"/>
    <w:rsid w:val="00CD6EDF"/>
    <w:rsid w:val="00CE01DE"/>
    <w:rsid w:val="00CE0A9F"/>
    <w:rsid w:val="00CE14CC"/>
    <w:rsid w:val="00CE283D"/>
    <w:rsid w:val="00CE39EC"/>
    <w:rsid w:val="00CE7571"/>
    <w:rsid w:val="00CF5E08"/>
    <w:rsid w:val="00CF6BBD"/>
    <w:rsid w:val="00CF6FE1"/>
    <w:rsid w:val="00D0265C"/>
    <w:rsid w:val="00D03C81"/>
    <w:rsid w:val="00D05D2C"/>
    <w:rsid w:val="00D14996"/>
    <w:rsid w:val="00D17090"/>
    <w:rsid w:val="00D17623"/>
    <w:rsid w:val="00D209A4"/>
    <w:rsid w:val="00D2488A"/>
    <w:rsid w:val="00D336DA"/>
    <w:rsid w:val="00D34916"/>
    <w:rsid w:val="00D3781F"/>
    <w:rsid w:val="00D4078B"/>
    <w:rsid w:val="00D40F17"/>
    <w:rsid w:val="00D44DA3"/>
    <w:rsid w:val="00D45118"/>
    <w:rsid w:val="00D458F5"/>
    <w:rsid w:val="00D46625"/>
    <w:rsid w:val="00D52A23"/>
    <w:rsid w:val="00D53570"/>
    <w:rsid w:val="00D564BC"/>
    <w:rsid w:val="00D63FC9"/>
    <w:rsid w:val="00D65AE6"/>
    <w:rsid w:val="00D66553"/>
    <w:rsid w:val="00D70C14"/>
    <w:rsid w:val="00D72101"/>
    <w:rsid w:val="00D759C8"/>
    <w:rsid w:val="00D77349"/>
    <w:rsid w:val="00D80BAC"/>
    <w:rsid w:val="00D82350"/>
    <w:rsid w:val="00D852AF"/>
    <w:rsid w:val="00D85BC8"/>
    <w:rsid w:val="00D87750"/>
    <w:rsid w:val="00D900B9"/>
    <w:rsid w:val="00D96ACF"/>
    <w:rsid w:val="00D97D32"/>
    <w:rsid w:val="00DA02BF"/>
    <w:rsid w:val="00DA5E29"/>
    <w:rsid w:val="00DA723A"/>
    <w:rsid w:val="00DB008D"/>
    <w:rsid w:val="00DB3942"/>
    <w:rsid w:val="00DC117D"/>
    <w:rsid w:val="00DC2521"/>
    <w:rsid w:val="00DC6118"/>
    <w:rsid w:val="00DC6F40"/>
    <w:rsid w:val="00DD017D"/>
    <w:rsid w:val="00DD4A39"/>
    <w:rsid w:val="00DE3C2B"/>
    <w:rsid w:val="00DE664B"/>
    <w:rsid w:val="00DE71F9"/>
    <w:rsid w:val="00DE7C2A"/>
    <w:rsid w:val="00DF027D"/>
    <w:rsid w:val="00DF0C7F"/>
    <w:rsid w:val="00DF4AC2"/>
    <w:rsid w:val="00E0017A"/>
    <w:rsid w:val="00E0123A"/>
    <w:rsid w:val="00E02765"/>
    <w:rsid w:val="00E04A5C"/>
    <w:rsid w:val="00E052DC"/>
    <w:rsid w:val="00E12B91"/>
    <w:rsid w:val="00E131D7"/>
    <w:rsid w:val="00E14EF3"/>
    <w:rsid w:val="00E20274"/>
    <w:rsid w:val="00E210A4"/>
    <w:rsid w:val="00E23599"/>
    <w:rsid w:val="00E23ABB"/>
    <w:rsid w:val="00E2756B"/>
    <w:rsid w:val="00E36A47"/>
    <w:rsid w:val="00E37A54"/>
    <w:rsid w:val="00E427D7"/>
    <w:rsid w:val="00E50725"/>
    <w:rsid w:val="00E53DC2"/>
    <w:rsid w:val="00E55852"/>
    <w:rsid w:val="00E6239C"/>
    <w:rsid w:val="00E640FF"/>
    <w:rsid w:val="00E6544F"/>
    <w:rsid w:val="00E72D23"/>
    <w:rsid w:val="00E7487F"/>
    <w:rsid w:val="00E75069"/>
    <w:rsid w:val="00E803AD"/>
    <w:rsid w:val="00E82250"/>
    <w:rsid w:val="00E85D6A"/>
    <w:rsid w:val="00E87F08"/>
    <w:rsid w:val="00E93B43"/>
    <w:rsid w:val="00E940DC"/>
    <w:rsid w:val="00E9567D"/>
    <w:rsid w:val="00E95DF4"/>
    <w:rsid w:val="00E9693A"/>
    <w:rsid w:val="00E9762B"/>
    <w:rsid w:val="00EA6095"/>
    <w:rsid w:val="00EB08B4"/>
    <w:rsid w:val="00EB2765"/>
    <w:rsid w:val="00EB35D3"/>
    <w:rsid w:val="00EB5A1D"/>
    <w:rsid w:val="00EB707E"/>
    <w:rsid w:val="00EC1D31"/>
    <w:rsid w:val="00EC5603"/>
    <w:rsid w:val="00ED10F3"/>
    <w:rsid w:val="00ED2FB1"/>
    <w:rsid w:val="00ED646B"/>
    <w:rsid w:val="00ED7809"/>
    <w:rsid w:val="00ED7D38"/>
    <w:rsid w:val="00EE76D2"/>
    <w:rsid w:val="00EF12C1"/>
    <w:rsid w:val="00EF1F1F"/>
    <w:rsid w:val="00EF2A6C"/>
    <w:rsid w:val="00EF7D11"/>
    <w:rsid w:val="00F018F3"/>
    <w:rsid w:val="00F01EC3"/>
    <w:rsid w:val="00F031C1"/>
    <w:rsid w:val="00F03B3E"/>
    <w:rsid w:val="00F045ED"/>
    <w:rsid w:val="00F13DF2"/>
    <w:rsid w:val="00F14E40"/>
    <w:rsid w:val="00F17F8F"/>
    <w:rsid w:val="00F20228"/>
    <w:rsid w:val="00F206EC"/>
    <w:rsid w:val="00F216F8"/>
    <w:rsid w:val="00F229B0"/>
    <w:rsid w:val="00F2467B"/>
    <w:rsid w:val="00F26248"/>
    <w:rsid w:val="00F31E37"/>
    <w:rsid w:val="00F328E2"/>
    <w:rsid w:val="00F35FCF"/>
    <w:rsid w:val="00F36674"/>
    <w:rsid w:val="00F37890"/>
    <w:rsid w:val="00F4119C"/>
    <w:rsid w:val="00F44649"/>
    <w:rsid w:val="00F52A40"/>
    <w:rsid w:val="00F5317F"/>
    <w:rsid w:val="00F543F4"/>
    <w:rsid w:val="00F62702"/>
    <w:rsid w:val="00F62B7D"/>
    <w:rsid w:val="00F63491"/>
    <w:rsid w:val="00F64148"/>
    <w:rsid w:val="00F653DD"/>
    <w:rsid w:val="00F65777"/>
    <w:rsid w:val="00F670C4"/>
    <w:rsid w:val="00F741DA"/>
    <w:rsid w:val="00F7460A"/>
    <w:rsid w:val="00F76E18"/>
    <w:rsid w:val="00F810B2"/>
    <w:rsid w:val="00F81B3F"/>
    <w:rsid w:val="00F830FD"/>
    <w:rsid w:val="00F8497E"/>
    <w:rsid w:val="00F85F3F"/>
    <w:rsid w:val="00F87AD1"/>
    <w:rsid w:val="00F919B8"/>
    <w:rsid w:val="00F94DDE"/>
    <w:rsid w:val="00FA3929"/>
    <w:rsid w:val="00FA6664"/>
    <w:rsid w:val="00FB1BAD"/>
    <w:rsid w:val="00FB305C"/>
    <w:rsid w:val="00FB33EB"/>
    <w:rsid w:val="00FB35DE"/>
    <w:rsid w:val="00FB379F"/>
    <w:rsid w:val="00FC6035"/>
    <w:rsid w:val="00FC7BE7"/>
    <w:rsid w:val="00FD095D"/>
    <w:rsid w:val="00FD0F1A"/>
    <w:rsid w:val="00FD7152"/>
    <w:rsid w:val="00FE0280"/>
    <w:rsid w:val="00FE0520"/>
    <w:rsid w:val="00FE0542"/>
    <w:rsid w:val="00FE0544"/>
    <w:rsid w:val="00FE3AFB"/>
    <w:rsid w:val="00FE691E"/>
    <w:rsid w:val="00FE6F1A"/>
    <w:rsid w:val="00FF0353"/>
    <w:rsid w:val="00FF164B"/>
    <w:rsid w:val="00FF4CAC"/>
    <w:rsid w:val="00FF676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A69A48"/>
  <w15:docId w15:val="{C0371369-44E2-434A-AFE5-3DD878546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227"/>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A13227"/>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A13227"/>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A13227"/>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A13227"/>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A13227"/>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A13227"/>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A13227"/>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A13227"/>
    <w:pPr>
      <w:ind w:left="993"/>
      <w:outlineLvl w:val="7"/>
    </w:pPr>
    <w:rPr>
      <w:color w:val="321547"/>
      <w:szCs w:val="22"/>
      <w:u w:val="dotDotDash"/>
    </w:rPr>
  </w:style>
  <w:style w:type="paragraph" w:styleId="Ttulo9">
    <w:name w:val="heading 9"/>
    <w:basedOn w:val="Ttulo8"/>
    <w:next w:val="Normal"/>
    <w:link w:val="Ttulo9Car"/>
    <w:uiPriority w:val="9"/>
    <w:unhideWhenUsed/>
    <w:qFormat/>
    <w:rsid w:val="00A13227"/>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A13227"/>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A13227"/>
  </w:style>
  <w:style w:type="paragraph" w:styleId="Encabezado">
    <w:name w:val="header"/>
    <w:basedOn w:val="Normal"/>
    <w:link w:val="EncabezadoCar"/>
    <w:uiPriority w:val="99"/>
    <w:unhideWhenUsed/>
    <w:rsid w:val="00A13227"/>
    <w:pPr>
      <w:tabs>
        <w:tab w:val="center" w:pos="4252"/>
        <w:tab w:val="right" w:pos="8504"/>
      </w:tabs>
    </w:pPr>
  </w:style>
  <w:style w:type="character" w:customStyle="1" w:styleId="HeaderChar">
    <w:name w:val="Header Char"/>
    <w:basedOn w:val="Fuentedeprrafopredeter"/>
    <w:uiPriority w:val="99"/>
    <w:rsid w:val="00A13227"/>
    <w:rPr>
      <w:rFonts w:ascii="Garamond" w:hAnsi="Garamond"/>
      <w:lang w:val="es-ES"/>
    </w:rPr>
  </w:style>
  <w:style w:type="paragraph" w:styleId="Piedepgina">
    <w:name w:val="footer"/>
    <w:basedOn w:val="Normal"/>
    <w:link w:val="PiedepginaCar"/>
    <w:uiPriority w:val="99"/>
    <w:unhideWhenUsed/>
    <w:qFormat/>
    <w:rsid w:val="00727920"/>
    <w:pPr>
      <w:tabs>
        <w:tab w:val="center" w:pos="4252"/>
        <w:tab w:val="right" w:pos="8504"/>
      </w:tabs>
      <w:spacing w:after="0" w:line="240" w:lineRule="auto"/>
    </w:pPr>
  </w:style>
  <w:style w:type="character" w:customStyle="1" w:styleId="FooterChar">
    <w:name w:val="Footer Char"/>
    <w:basedOn w:val="Fuentedeprrafopredeter"/>
    <w:uiPriority w:val="99"/>
    <w:rsid w:val="00A13227"/>
    <w:rPr>
      <w:rFonts w:ascii="Garamond" w:hAnsi="Garamond"/>
      <w:lang w:val="es-ES"/>
    </w:rPr>
  </w:style>
  <w:style w:type="table" w:styleId="Tablaconcuadrcula">
    <w:name w:val="Table Grid"/>
    <w:basedOn w:val="Tablanormal"/>
    <w:uiPriority w:val="39"/>
    <w:rsid w:val="00A132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A13227"/>
    <w:rPr>
      <w:color w:val="808080"/>
    </w:rPr>
  </w:style>
  <w:style w:type="paragraph" w:styleId="Ttulo">
    <w:name w:val="Title"/>
    <w:basedOn w:val="Normal"/>
    <w:next w:val="Normal"/>
    <w:link w:val="TtuloCar"/>
    <w:uiPriority w:val="10"/>
    <w:qFormat/>
    <w:rsid w:val="00A13227"/>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A13227"/>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A13227"/>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A13227"/>
    <w:pPr>
      <w:numPr>
        <w:ilvl w:val="1"/>
        <w:numId w:val="1"/>
      </w:numPr>
      <w:spacing w:after="100"/>
      <w:ind w:left="1049" w:hanging="198"/>
      <w:contextualSpacing/>
    </w:pPr>
  </w:style>
  <w:style w:type="character" w:customStyle="1" w:styleId="Heading2Char">
    <w:name w:val="Heading 2 Char"/>
    <w:basedOn w:val="Fuentedeprrafopredeter"/>
    <w:uiPriority w:val="9"/>
    <w:rsid w:val="00A13227"/>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A13227"/>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A13227"/>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A13227"/>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A13227"/>
    <w:rPr>
      <w:color w:val="0563C1" w:themeColor="hyperlink"/>
      <w:u w:val="single"/>
    </w:rPr>
  </w:style>
  <w:style w:type="character" w:customStyle="1" w:styleId="Heading3Char">
    <w:name w:val="Heading 3 Char"/>
    <w:basedOn w:val="Fuentedeprrafopredeter"/>
    <w:uiPriority w:val="9"/>
    <w:rsid w:val="00A13227"/>
    <w:rPr>
      <w:rFonts w:ascii="Garamond" w:hAnsi="Garamond"/>
      <w:i/>
      <w:iCs/>
      <w:color w:val="5F2987"/>
      <w:u w:val="single"/>
      <w:lang w:val="es-ES"/>
    </w:rPr>
  </w:style>
  <w:style w:type="paragraph" w:styleId="TDC3">
    <w:name w:val="toc 3"/>
    <w:basedOn w:val="Normal"/>
    <w:next w:val="FinTDC"/>
    <w:autoRedefine/>
    <w:uiPriority w:val="39"/>
    <w:unhideWhenUsed/>
    <w:rsid w:val="00A13227"/>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A13227"/>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A13227"/>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A13227"/>
    <w:rPr>
      <w:color w:val="FFFFFF" w:themeColor="text1" w:themeTint="80"/>
      <w:sz w:val="16"/>
    </w:rPr>
  </w:style>
  <w:style w:type="character" w:customStyle="1" w:styleId="NocantarChar">
    <w:name w:val="No cantar Char"/>
    <w:basedOn w:val="Fuentedeprrafopredeter"/>
    <w:link w:val="Nocantar"/>
    <w:rsid w:val="00A13227"/>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A13227"/>
    <w:pPr>
      <w:numPr>
        <w:numId w:val="0"/>
      </w:numPr>
      <w:ind w:firstLine="142"/>
    </w:pPr>
  </w:style>
  <w:style w:type="character" w:customStyle="1" w:styleId="IntroduccinyconclusinChar">
    <w:name w:val="Introducción y conclusión Char"/>
    <w:basedOn w:val="Ttulo1Car"/>
    <w:link w:val="Introduccinyconclusin"/>
    <w:rsid w:val="00A13227"/>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A13227"/>
    <w:pPr>
      <w:numPr>
        <w:numId w:val="3"/>
      </w:numPr>
    </w:pPr>
  </w:style>
  <w:style w:type="paragraph" w:customStyle="1" w:styleId="Nivel1">
    <w:name w:val="Nivel 1"/>
    <w:basedOn w:val="Normal"/>
    <w:qFormat/>
    <w:rsid w:val="00A13227"/>
    <w:pPr>
      <w:numPr>
        <w:numId w:val="1"/>
      </w:numPr>
      <w:spacing w:before="100" w:after="100"/>
      <w:ind w:left="623" w:hanging="198"/>
    </w:pPr>
  </w:style>
  <w:style w:type="paragraph" w:customStyle="1" w:styleId="Nivel3">
    <w:name w:val="Nivel 3"/>
    <w:basedOn w:val="Nivel2"/>
    <w:link w:val="Nivel3Car"/>
    <w:qFormat/>
    <w:rsid w:val="00A13227"/>
    <w:pPr>
      <w:numPr>
        <w:ilvl w:val="2"/>
      </w:numPr>
      <w:spacing w:after="0"/>
      <w:ind w:left="1474" w:hanging="198"/>
    </w:pPr>
  </w:style>
  <w:style w:type="paragraph" w:customStyle="1" w:styleId="Letra">
    <w:name w:val="Letra"/>
    <w:basedOn w:val="Nivel1"/>
    <w:qFormat/>
    <w:rsid w:val="00A13227"/>
    <w:pPr>
      <w:numPr>
        <w:numId w:val="4"/>
      </w:numPr>
      <w:spacing w:before="0" w:after="40"/>
      <w:ind w:left="936" w:hanging="227"/>
    </w:pPr>
  </w:style>
  <w:style w:type="paragraph" w:customStyle="1" w:styleId="Nmero">
    <w:name w:val="Número"/>
    <w:basedOn w:val="Normal"/>
    <w:qFormat/>
    <w:rsid w:val="00A13227"/>
    <w:pPr>
      <w:numPr>
        <w:numId w:val="5"/>
      </w:numPr>
      <w:spacing w:after="40"/>
      <w:ind w:left="936" w:hanging="227"/>
    </w:pPr>
  </w:style>
  <w:style w:type="paragraph" w:styleId="Textodeglobo">
    <w:name w:val="Balloon Text"/>
    <w:basedOn w:val="Normal"/>
    <w:link w:val="TextodegloboCar"/>
    <w:uiPriority w:val="99"/>
    <w:semiHidden/>
    <w:unhideWhenUsed/>
    <w:rsid w:val="00A13227"/>
    <w:rPr>
      <w:rFonts w:ascii="Segoe UI" w:hAnsi="Segoe UI" w:cs="Segoe UI"/>
      <w:sz w:val="18"/>
      <w:szCs w:val="18"/>
    </w:rPr>
  </w:style>
  <w:style w:type="character" w:customStyle="1" w:styleId="BalloonTextChar">
    <w:name w:val="Balloon Text Char"/>
    <w:basedOn w:val="Fuentedeprrafopredeter"/>
    <w:uiPriority w:val="99"/>
    <w:semiHidden/>
    <w:rsid w:val="00A13227"/>
    <w:rPr>
      <w:rFonts w:ascii="Segoe UI" w:hAnsi="Segoe UI" w:cs="Segoe UI"/>
      <w:sz w:val="18"/>
      <w:szCs w:val="18"/>
      <w:lang w:val="es-ES"/>
    </w:rPr>
  </w:style>
  <w:style w:type="paragraph" w:customStyle="1" w:styleId="Notaalopositor">
    <w:name w:val="Nota al opositor"/>
    <w:basedOn w:val="Normal"/>
    <w:link w:val="NotaalopositorChar"/>
    <w:qFormat/>
    <w:rsid w:val="00A13227"/>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A13227"/>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A13227"/>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A13227"/>
    <w:rPr>
      <w:rFonts w:ascii="Garamond" w:hAnsi="Garamond"/>
      <w:sz w:val="16"/>
      <w:szCs w:val="20"/>
      <w:lang w:val="es-ES"/>
    </w:rPr>
  </w:style>
  <w:style w:type="character" w:styleId="Refdenotaalpie">
    <w:name w:val="footnote reference"/>
    <w:basedOn w:val="Fuentedeprrafopredeter"/>
    <w:uiPriority w:val="99"/>
    <w:unhideWhenUsed/>
    <w:rsid w:val="00A13227"/>
    <w:rPr>
      <w:vertAlign w:val="superscript"/>
    </w:rPr>
  </w:style>
  <w:style w:type="character" w:customStyle="1" w:styleId="Heading6Char">
    <w:name w:val="Heading 6 Char"/>
    <w:basedOn w:val="Fuentedeprrafopredeter"/>
    <w:uiPriority w:val="9"/>
    <w:semiHidden/>
    <w:rsid w:val="00A13227"/>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A13227"/>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A13227"/>
    <w:rPr>
      <w:rFonts w:ascii="Garamond" w:eastAsiaTheme="minorEastAsia" w:hAnsi="Garamond"/>
      <w:smallCaps/>
      <w:color w:val="FFFFFF" w:themeColor="text1" w:themeTint="A5"/>
      <w:lang w:val="es-ES"/>
    </w:rPr>
  </w:style>
  <w:style w:type="paragraph" w:customStyle="1" w:styleId="Nivel1SM">
    <w:name w:val="Nivel 1 SM"/>
    <w:basedOn w:val="Nivel1"/>
    <w:qFormat/>
    <w:rsid w:val="00A13227"/>
    <w:pPr>
      <w:ind w:left="0"/>
    </w:pPr>
  </w:style>
  <w:style w:type="paragraph" w:customStyle="1" w:styleId="Nivel2SM">
    <w:name w:val="Nivel 2 SM"/>
    <w:basedOn w:val="Nivel2"/>
    <w:qFormat/>
    <w:rsid w:val="00A13227"/>
    <w:pPr>
      <w:ind w:left="567"/>
    </w:pPr>
  </w:style>
  <w:style w:type="paragraph" w:customStyle="1" w:styleId="Nivel3SM">
    <w:name w:val="Nivel 3 SM"/>
    <w:basedOn w:val="Nivel3"/>
    <w:qFormat/>
    <w:rsid w:val="00A13227"/>
    <w:pPr>
      <w:ind w:left="963"/>
    </w:pPr>
  </w:style>
  <w:style w:type="paragraph" w:styleId="Encabezadodelista">
    <w:name w:val="toa heading"/>
    <w:basedOn w:val="Normal"/>
    <w:next w:val="Normal"/>
    <w:uiPriority w:val="99"/>
    <w:semiHidden/>
    <w:unhideWhenUsed/>
    <w:rsid w:val="00A13227"/>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A13227"/>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A13227"/>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A13227"/>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A13227"/>
    <w:rPr>
      <w:rFonts w:ascii="Palatino Linotype" w:hAnsi="Palatino Linotype"/>
      <w:lang w:val="es-ES"/>
    </w:rPr>
  </w:style>
  <w:style w:type="character" w:customStyle="1" w:styleId="PiedepginaCar">
    <w:name w:val="Pie de página Car"/>
    <w:basedOn w:val="Fuentedeprrafopredeter"/>
    <w:link w:val="Piedepgina"/>
    <w:uiPriority w:val="99"/>
    <w:rsid w:val="00727920"/>
    <w:rPr>
      <w:rFonts w:ascii="Palatino Linotype" w:hAnsi="Palatino Linotype"/>
      <w:lang w:val="es-ES"/>
    </w:rPr>
  </w:style>
  <w:style w:type="character" w:customStyle="1" w:styleId="TtuloCar">
    <w:name w:val="Título Car"/>
    <w:basedOn w:val="Fuentedeprrafopredeter"/>
    <w:link w:val="Ttulo"/>
    <w:uiPriority w:val="10"/>
    <w:rsid w:val="00A13227"/>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A13227"/>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A13227"/>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A13227"/>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A13227"/>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A13227"/>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A13227"/>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A13227"/>
    <w:rPr>
      <w:rFonts w:ascii="Palatino Linotype" w:hAnsi="Palatino Linotype"/>
      <w:sz w:val="16"/>
      <w:szCs w:val="20"/>
      <w:lang w:val="es-ES"/>
    </w:rPr>
  </w:style>
  <w:style w:type="character" w:customStyle="1" w:styleId="Ttulo6Car">
    <w:name w:val="Título 6 Car"/>
    <w:basedOn w:val="Fuentedeprrafopredeter"/>
    <w:link w:val="Ttulo6"/>
    <w:uiPriority w:val="9"/>
    <w:rsid w:val="00A13227"/>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A13227"/>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A13227"/>
    <w:rPr>
      <w:color w:val="605E5C"/>
      <w:shd w:val="clear" w:color="auto" w:fill="E1DFDD"/>
    </w:rPr>
  </w:style>
  <w:style w:type="character" w:styleId="Hipervnculovisitado">
    <w:name w:val="FollowedHyperlink"/>
    <w:basedOn w:val="Fuentedeprrafopredeter"/>
    <w:uiPriority w:val="99"/>
    <w:semiHidden/>
    <w:unhideWhenUsed/>
    <w:rsid w:val="00B14516"/>
    <w:rPr>
      <w:color w:val="954F72" w:themeColor="followedHyperlink"/>
      <w:u w:val="single"/>
    </w:rPr>
  </w:style>
  <w:style w:type="paragraph" w:styleId="Prrafodelista">
    <w:name w:val="List Paragraph"/>
    <w:basedOn w:val="Normal"/>
    <w:uiPriority w:val="34"/>
    <w:rsid w:val="00A13227"/>
    <w:pPr>
      <w:ind w:left="720"/>
      <w:contextualSpacing/>
    </w:pPr>
  </w:style>
  <w:style w:type="character" w:styleId="Refdecomentario">
    <w:name w:val="annotation reference"/>
    <w:basedOn w:val="Fuentedeprrafopredeter"/>
    <w:uiPriority w:val="99"/>
    <w:semiHidden/>
    <w:unhideWhenUsed/>
    <w:rsid w:val="00620C74"/>
    <w:rPr>
      <w:sz w:val="16"/>
      <w:szCs w:val="16"/>
    </w:rPr>
  </w:style>
  <w:style w:type="paragraph" w:styleId="Textocomentario">
    <w:name w:val="annotation text"/>
    <w:basedOn w:val="Normal"/>
    <w:link w:val="TextocomentarioCar"/>
    <w:uiPriority w:val="99"/>
    <w:unhideWhenUsed/>
    <w:rsid w:val="00620C74"/>
    <w:pPr>
      <w:spacing w:line="240" w:lineRule="auto"/>
    </w:pPr>
    <w:rPr>
      <w:sz w:val="20"/>
      <w:szCs w:val="20"/>
    </w:rPr>
  </w:style>
  <w:style w:type="character" w:customStyle="1" w:styleId="TextocomentarioCar">
    <w:name w:val="Texto comentario Car"/>
    <w:basedOn w:val="Fuentedeprrafopredeter"/>
    <w:link w:val="Textocomentario"/>
    <w:uiPriority w:val="99"/>
    <w:rsid w:val="00620C74"/>
    <w:rPr>
      <w:rFonts w:ascii="Garamond" w:hAnsi="Garamond"/>
      <w:sz w:val="20"/>
      <w:szCs w:val="20"/>
      <w:lang w:val="es-ES"/>
    </w:rPr>
  </w:style>
  <w:style w:type="paragraph" w:styleId="Asuntodelcomentario">
    <w:name w:val="annotation subject"/>
    <w:basedOn w:val="Textocomentario"/>
    <w:next w:val="Textocomentario"/>
    <w:link w:val="AsuntodelcomentarioCar"/>
    <w:uiPriority w:val="99"/>
    <w:semiHidden/>
    <w:unhideWhenUsed/>
    <w:rsid w:val="00620C74"/>
    <w:rPr>
      <w:b/>
      <w:bCs/>
    </w:rPr>
  </w:style>
  <w:style w:type="character" w:customStyle="1" w:styleId="AsuntodelcomentarioCar">
    <w:name w:val="Asunto del comentario Car"/>
    <w:basedOn w:val="TextocomentarioCar"/>
    <w:link w:val="Asuntodelcomentario"/>
    <w:uiPriority w:val="99"/>
    <w:semiHidden/>
    <w:rsid w:val="00620C74"/>
    <w:rPr>
      <w:rFonts w:ascii="Garamond" w:hAnsi="Garamond"/>
      <w:b/>
      <w:bCs/>
      <w:sz w:val="20"/>
      <w:szCs w:val="20"/>
      <w:lang w:val="es-ES"/>
    </w:rPr>
  </w:style>
  <w:style w:type="character" w:customStyle="1" w:styleId="Ttulo7Car">
    <w:name w:val="Título 7 Car"/>
    <w:basedOn w:val="Fuentedeprrafopredeter"/>
    <w:link w:val="Ttulo7"/>
    <w:uiPriority w:val="9"/>
    <w:rsid w:val="00A13227"/>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A13227"/>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A13227"/>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A13227"/>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A13227"/>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A13227"/>
    <w:pPr>
      <w:spacing w:line="240" w:lineRule="auto"/>
      <w:ind w:left="567" w:hanging="567"/>
    </w:pPr>
  </w:style>
  <w:style w:type="paragraph" w:customStyle="1" w:styleId="Ttuloimagen">
    <w:name w:val="Título imagen"/>
    <w:basedOn w:val="PiedeImagen"/>
    <w:next w:val="Imagen"/>
    <w:link w:val="TtuloimagenCar"/>
    <w:qFormat/>
    <w:rsid w:val="00A13227"/>
    <w:pPr>
      <w:keepNext/>
      <w:spacing w:after="0"/>
    </w:pPr>
    <w:rPr>
      <w:i w:val="0"/>
      <w:smallCaps/>
      <w:sz w:val="20"/>
    </w:rPr>
  </w:style>
  <w:style w:type="character" w:customStyle="1" w:styleId="TtuloimagenCar">
    <w:name w:val="Título imagen Car"/>
    <w:basedOn w:val="ImagenCar"/>
    <w:link w:val="Ttuloimagen"/>
    <w:rsid w:val="00A13227"/>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A13227"/>
    <w:pPr>
      <w:ind w:left="1100"/>
    </w:pPr>
  </w:style>
  <w:style w:type="character" w:customStyle="1" w:styleId="Ttulo8Car">
    <w:name w:val="Título 8 Car"/>
    <w:basedOn w:val="Fuentedeprrafopredeter"/>
    <w:link w:val="Ttulo8"/>
    <w:uiPriority w:val="9"/>
    <w:rsid w:val="00A13227"/>
    <w:rPr>
      <w:rFonts w:ascii="Palatino Linotype" w:eastAsiaTheme="majorEastAsia" w:hAnsi="Palatino Linotype" w:cstheme="majorBidi"/>
      <w:i/>
      <w:iCs/>
      <w:color w:val="321547"/>
      <w:spacing w:val="-4"/>
      <w:u w:val="dotDotDash"/>
      <w:lang w:val="es-ES"/>
    </w:rPr>
  </w:style>
  <w:style w:type="paragraph" w:styleId="Sinespaciado">
    <w:name w:val="No Spacing"/>
    <w:link w:val="SinespaciadoCar"/>
    <w:uiPriority w:val="1"/>
    <w:qFormat/>
    <w:rsid w:val="00A13227"/>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A13227"/>
    <w:rPr>
      <w:rFonts w:eastAsiaTheme="minorEastAsia"/>
      <w:lang w:val="es-ES" w:eastAsia="es-ES"/>
    </w:rPr>
  </w:style>
  <w:style w:type="paragraph" w:customStyle="1" w:styleId="Nmeroromano">
    <w:name w:val="Número romano"/>
    <w:basedOn w:val="Prrafodelista"/>
    <w:qFormat/>
    <w:rsid w:val="00A13227"/>
    <w:pPr>
      <w:numPr>
        <w:numId w:val="39"/>
      </w:numPr>
      <w:spacing w:after="100"/>
      <w:ind w:left="567" w:hanging="113"/>
    </w:pPr>
  </w:style>
  <w:style w:type="paragraph" w:customStyle="1" w:styleId="Saltodettulos">
    <w:name w:val="Salto de títulos"/>
    <w:basedOn w:val="Normal"/>
    <w:rsid w:val="00A13227"/>
    <w:pPr>
      <w:spacing w:after="0" w:line="240" w:lineRule="auto"/>
    </w:pPr>
    <w:rPr>
      <w:color w:val="FFFFFF"/>
      <w:sz w:val="2"/>
    </w:rPr>
  </w:style>
  <w:style w:type="paragraph" w:styleId="TDC7">
    <w:name w:val="toc 7"/>
    <w:basedOn w:val="Normal"/>
    <w:next w:val="FinTDC"/>
    <w:autoRedefine/>
    <w:uiPriority w:val="39"/>
    <w:unhideWhenUsed/>
    <w:rsid w:val="00A13227"/>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A13227"/>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A13227"/>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A13227"/>
    <w:pPr>
      <w:spacing w:after="0" w:line="240" w:lineRule="auto"/>
      <w:jc w:val="left"/>
    </w:pPr>
    <w:rPr>
      <w:sz w:val="15"/>
    </w:rPr>
  </w:style>
  <w:style w:type="paragraph" w:styleId="TDC9">
    <w:name w:val="toc 9"/>
    <w:basedOn w:val="TDC8"/>
    <w:next w:val="FinTDC"/>
    <w:autoRedefine/>
    <w:uiPriority w:val="39"/>
    <w:semiHidden/>
    <w:unhideWhenUsed/>
    <w:rsid w:val="00A13227"/>
    <w:pPr>
      <w:ind w:left="1760"/>
    </w:pPr>
  </w:style>
  <w:style w:type="paragraph" w:customStyle="1" w:styleId="Apartado0">
    <w:name w:val="Apartado 0"/>
    <w:basedOn w:val="Ttulo1"/>
    <w:next w:val="Normal"/>
    <w:link w:val="Apartado0Car"/>
    <w:qFormat/>
    <w:rsid w:val="00A13227"/>
    <w:pPr>
      <w:numPr>
        <w:numId w:val="14"/>
      </w:numPr>
      <w:ind w:left="357" w:hanging="357"/>
    </w:pPr>
  </w:style>
  <w:style w:type="character" w:customStyle="1" w:styleId="Apartado0Car">
    <w:name w:val="Apartado 0 Car"/>
    <w:basedOn w:val="Ttulo1Car"/>
    <w:link w:val="Apartado0"/>
    <w:rsid w:val="00A13227"/>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A13227"/>
    <w:pPr>
      <w:numPr>
        <w:ilvl w:val="3"/>
      </w:numPr>
      <w:ind w:left="1899" w:hanging="198"/>
    </w:pPr>
  </w:style>
  <w:style w:type="paragraph" w:customStyle="1" w:styleId="Nivel5">
    <w:name w:val="Nivel 5"/>
    <w:basedOn w:val="Nivel4"/>
    <w:link w:val="Nivel5Car"/>
    <w:qFormat/>
    <w:rsid w:val="00A13227"/>
    <w:pPr>
      <w:numPr>
        <w:ilvl w:val="4"/>
      </w:numPr>
      <w:ind w:left="2155" w:hanging="170"/>
    </w:pPr>
  </w:style>
  <w:style w:type="character" w:customStyle="1" w:styleId="Nivel2Car">
    <w:name w:val="Nivel 2 Car"/>
    <w:basedOn w:val="Fuentedeprrafopredeter"/>
    <w:link w:val="Nivel2"/>
    <w:rsid w:val="00A13227"/>
    <w:rPr>
      <w:rFonts w:ascii="Palatino Linotype" w:hAnsi="Palatino Linotype"/>
      <w:lang w:val="es-ES"/>
    </w:rPr>
  </w:style>
  <w:style w:type="character" w:customStyle="1" w:styleId="Nivel3Car">
    <w:name w:val="Nivel 3 Car"/>
    <w:basedOn w:val="Nivel2Car"/>
    <w:link w:val="Nivel3"/>
    <w:rsid w:val="00A13227"/>
    <w:rPr>
      <w:rFonts w:ascii="Palatino Linotype" w:hAnsi="Palatino Linotype"/>
      <w:lang w:val="es-ES"/>
    </w:rPr>
  </w:style>
  <w:style w:type="character" w:customStyle="1" w:styleId="Nivel4Car">
    <w:name w:val="Nivel 4 Car"/>
    <w:basedOn w:val="Nivel3Car"/>
    <w:link w:val="Nivel4"/>
    <w:rsid w:val="00A13227"/>
    <w:rPr>
      <w:rFonts w:ascii="Palatino Linotype" w:hAnsi="Palatino Linotype"/>
      <w:lang w:val="es-ES"/>
    </w:rPr>
  </w:style>
  <w:style w:type="paragraph" w:customStyle="1" w:styleId="Nivel6">
    <w:name w:val="Nivel 6"/>
    <w:basedOn w:val="Nivel5"/>
    <w:link w:val="Nivel6Car"/>
    <w:qFormat/>
    <w:rsid w:val="00A13227"/>
    <w:pPr>
      <w:numPr>
        <w:ilvl w:val="5"/>
      </w:numPr>
      <w:ind w:left="2438" w:hanging="227"/>
    </w:pPr>
  </w:style>
  <w:style w:type="character" w:customStyle="1" w:styleId="Nivel5Car">
    <w:name w:val="Nivel 5 Car"/>
    <w:basedOn w:val="Nivel4Car"/>
    <w:link w:val="Nivel5"/>
    <w:rsid w:val="00A13227"/>
    <w:rPr>
      <w:rFonts w:ascii="Palatino Linotype" w:hAnsi="Palatino Linotype"/>
      <w:lang w:val="es-ES"/>
    </w:rPr>
  </w:style>
  <w:style w:type="paragraph" w:customStyle="1" w:styleId="Nivel7">
    <w:name w:val="Nivel 7"/>
    <w:basedOn w:val="Nivel5"/>
    <w:link w:val="Nivel7Car"/>
    <w:qFormat/>
    <w:rsid w:val="00A13227"/>
    <w:pPr>
      <w:numPr>
        <w:ilvl w:val="6"/>
      </w:numPr>
      <w:ind w:left="2722" w:hanging="170"/>
    </w:pPr>
  </w:style>
  <w:style w:type="character" w:customStyle="1" w:styleId="Nivel6Car">
    <w:name w:val="Nivel 6 Car"/>
    <w:basedOn w:val="Nivel5Car"/>
    <w:link w:val="Nivel6"/>
    <w:rsid w:val="00A13227"/>
    <w:rPr>
      <w:rFonts w:ascii="Palatino Linotype" w:hAnsi="Palatino Linotype"/>
      <w:lang w:val="es-ES"/>
    </w:rPr>
  </w:style>
  <w:style w:type="character" w:customStyle="1" w:styleId="Nivel7Car">
    <w:name w:val="Nivel 7 Car"/>
    <w:basedOn w:val="Nivel5Car"/>
    <w:link w:val="Nivel7"/>
    <w:rsid w:val="00A13227"/>
    <w:rPr>
      <w:rFonts w:ascii="Palatino Linotype" w:hAnsi="Palatino Linotype"/>
      <w:lang w:val="es-ES"/>
    </w:rPr>
  </w:style>
  <w:style w:type="paragraph" w:styleId="Descripcin">
    <w:name w:val="caption"/>
    <w:basedOn w:val="Normal"/>
    <w:next w:val="Normal"/>
    <w:uiPriority w:val="35"/>
    <w:unhideWhenUsed/>
    <w:qFormat/>
    <w:rsid w:val="00A13227"/>
    <w:pPr>
      <w:spacing w:after="200" w:line="240" w:lineRule="auto"/>
    </w:pPr>
    <w:rPr>
      <w:i/>
      <w:iCs/>
      <w:color w:val="44546A" w:themeColor="text2"/>
      <w:sz w:val="18"/>
      <w:szCs w:val="18"/>
    </w:rPr>
  </w:style>
  <w:style w:type="paragraph" w:customStyle="1" w:styleId="Ttulo10">
    <w:name w:val="Título 10"/>
    <w:basedOn w:val="Ttulo9"/>
    <w:link w:val="Ttulo10Car"/>
    <w:qFormat/>
    <w:rsid w:val="00A13227"/>
    <w:pPr>
      <w:ind w:left="1276"/>
    </w:pPr>
    <w:rPr>
      <w:w w:val="97"/>
      <w:sz w:val="20"/>
    </w:rPr>
  </w:style>
  <w:style w:type="character" w:customStyle="1" w:styleId="Ttulo10Car">
    <w:name w:val="Título 10 Car"/>
    <w:basedOn w:val="Ttulo9Car"/>
    <w:link w:val="Ttulo10"/>
    <w:rsid w:val="00A13227"/>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A13227"/>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A13227"/>
    <w:pPr>
      <w:numPr>
        <w:ilvl w:val="7"/>
      </w:numPr>
      <w:ind w:left="3005" w:hanging="170"/>
    </w:pPr>
  </w:style>
  <w:style w:type="character" w:customStyle="1" w:styleId="Nivel8Car">
    <w:name w:val="Nivel 8 Car"/>
    <w:basedOn w:val="Nivel7Car"/>
    <w:link w:val="Nivel8"/>
    <w:rsid w:val="00A13227"/>
    <w:rPr>
      <w:rFonts w:ascii="Palatino Linotype" w:hAnsi="Palatino Linotype"/>
      <w:lang w:val="es-ES"/>
    </w:rPr>
  </w:style>
  <w:style w:type="paragraph" w:customStyle="1" w:styleId="Advertencia">
    <w:name w:val="Advertencia"/>
    <w:basedOn w:val="Normal"/>
    <w:next w:val="Normal"/>
    <w:link w:val="AdvertenciaCar"/>
    <w:qFormat/>
    <w:rsid w:val="00A13227"/>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A13227"/>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A13227"/>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13227"/>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A13227"/>
    <w:rPr>
      <w:vertAlign w:val="superscript"/>
    </w:rPr>
  </w:style>
  <w:style w:type="character" w:customStyle="1" w:styleId="cf01">
    <w:name w:val="cf01"/>
    <w:basedOn w:val="Fuentedeprrafopredeter"/>
    <w:rsid w:val="0025161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52165">
      <w:bodyDiv w:val="1"/>
      <w:marLeft w:val="0"/>
      <w:marRight w:val="0"/>
      <w:marTop w:val="0"/>
      <w:marBottom w:val="0"/>
      <w:divBdr>
        <w:top w:val="none" w:sz="0" w:space="0" w:color="auto"/>
        <w:left w:val="none" w:sz="0" w:space="0" w:color="auto"/>
        <w:bottom w:val="none" w:sz="0" w:space="0" w:color="auto"/>
        <w:right w:val="none" w:sz="0" w:space="0" w:color="auto"/>
      </w:divBdr>
    </w:div>
    <w:div w:id="157045138">
      <w:bodyDiv w:val="1"/>
      <w:marLeft w:val="0"/>
      <w:marRight w:val="0"/>
      <w:marTop w:val="0"/>
      <w:marBottom w:val="0"/>
      <w:divBdr>
        <w:top w:val="none" w:sz="0" w:space="0" w:color="auto"/>
        <w:left w:val="none" w:sz="0" w:space="0" w:color="auto"/>
        <w:bottom w:val="none" w:sz="0" w:space="0" w:color="auto"/>
        <w:right w:val="none" w:sz="0" w:space="0" w:color="auto"/>
      </w:divBdr>
      <w:divsChild>
        <w:div w:id="119232468">
          <w:marLeft w:val="480"/>
          <w:marRight w:val="0"/>
          <w:marTop w:val="0"/>
          <w:marBottom w:val="0"/>
          <w:divBdr>
            <w:top w:val="none" w:sz="0" w:space="0" w:color="auto"/>
            <w:left w:val="none" w:sz="0" w:space="0" w:color="auto"/>
            <w:bottom w:val="none" w:sz="0" w:space="0" w:color="auto"/>
            <w:right w:val="none" w:sz="0" w:space="0" w:color="auto"/>
          </w:divBdr>
          <w:divsChild>
            <w:div w:id="85874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8850">
      <w:bodyDiv w:val="1"/>
      <w:marLeft w:val="0"/>
      <w:marRight w:val="0"/>
      <w:marTop w:val="0"/>
      <w:marBottom w:val="0"/>
      <w:divBdr>
        <w:top w:val="none" w:sz="0" w:space="0" w:color="auto"/>
        <w:left w:val="none" w:sz="0" w:space="0" w:color="auto"/>
        <w:bottom w:val="none" w:sz="0" w:space="0" w:color="auto"/>
        <w:right w:val="none" w:sz="0" w:space="0" w:color="auto"/>
      </w:divBdr>
    </w:div>
    <w:div w:id="180124279">
      <w:bodyDiv w:val="1"/>
      <w:marLeft w:val="0"/>
      <w:marRight w:val="0"/>
      <w:marTop w:val="0"/>
      <w:marBottom w:val="0"/>
      <w:divBdr>
        <w:top w:val="none" w:sz="0" w:space="0" w:color="auto"/>
        <w:left w:val="none" w:sz="0" w:space="0" w:color="auto"/>
        <w:bottom w:val="none" w:sz="0" w:space="0" w:color="auto"/>
        <w:right w:val="none" w:sz="0" w:space="0" w:color="auto"/>
      </w:divBdr>
    </w:div>
    <w:div w:id="199438129">
      <w:bodyDiv w:val="1"/>
      <w:marLeft w:val="0"/>
      <w:marRight w:val="0"/>
      <w:marTop w:val="0"/>
      <w:marBottom w:val="0"/>
      <w:divBdr>
        <w:top w:val="none" w:sz="0" w:space="0" w:color="auto"/>
        <w:left w:val="none" w:sz="0" w:space="0" w:color="auto"/>
        <w:bottom w:val="none" w:sz="0" w:space="0" w:color="auto"/>
        <w:right w:val="none" w:sz="0" w:space="0" w:color="auto"/>
      </w:divBdr>
      <w:divsChild>
        <w:div w:id="527911504">
          <w:marLeft w:val="480"/>
          <w:marRight w:val="0"/>
          <w:marTop w:val="0"/>
          <w:marBottom w:val="0"/>
          <w:divBdr>
            <w:top w:val="none" w:sz="0" w:space="0" w:color="auto"/>
            <w:left w:val="none" w:sz="0" w:space="0" w:color="auto"/>
            <w:bottom w:val="none" w:sz="0" w:space="0" w:color="auto"/>
            <w:right w:val="none" w:sz="0" w:space="0" w:color="auto"/>
          </w:divBdr>
          <w:divsChild>
            <w:div w:id="118043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895129">
      <w:bodyDiv w:val="1"/>
      <w:marLeft w:val="0"/>
      <w:marRight w:val="0"/>
      <w:marTop w:val="0"/>
      <w:marBottom w:val="0"/>
      <w:divBdr>
        <w:top w:val="none" w:sz="0" w:space="0" w:color="auto"/>
        <w:left w:val="none" w:sz="0" w:space="0" w:color="auto"/>
        <w:bottom w:val="none" w:sz="0" w:space="0" w:color="auto"/>
        <w:right w:val="none" w:sz="0" w:space="0" w:color="auto"/>
      </w:divBdr>
      <w:divsChild>
        <w:div w:id="614290054">
          <w:marLeft w:val="480"/>
          <w:marRight w:val="0"/>
          <w:marTop w:val="0"/>
          <w:marBottom w:val="0"/>
          <w:divBdr>
            <w:top w:val="none" w:sz="0" w:space="0" w:color="auto"/>
            <w:left w:val="none" w:sz="0" w:space="0" w:color="auto"/>
            <w:bottom w:val="none" w:sz="0" w:space="0" w:color="auto"/>
            <w:right w:val="none" w:sz="0" w:space="0" w:color="auto"/>
          </w:divBdr>
          <w:divsChild>
            <w:div w:id="183634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859928">
      <w:bodyDiv w:val="1"/>
      <w:marLeft w:val="0"/>
      <w:marRight w:val="0"/>
      <w:marTop w:val="0"/>
      <w:marBottom w:val="0"/>
      <w:divBdr>
        <w:top w:val="none" w:sz="0" w:space="0" w:color="auto"/>
        <w:left w:val="none" w:sz="0" w:space="0" w:color="auto"/>
        <w:bottom w:val="none" w:sz="0" w:space="0" w:color="auto"/>
        <w:right w:val="none" w:sz="0" w:space="0" w:color="auto"/>
      </w:divBdr>
      <w:divsChild>
        <w:div w:id="1427850235">
          <w:marLeft w:val="480"/>
          <w:marRight w:val="0"/>
          <w:marTop w:val="0"/>
          <w:marBottom w:val="0"/>
          <w:divBdr>
            <w:top w:val="none" w:sz="0" w:space="0" w:color="auto"/>
            <w:left w:val="none" w:sz="0" w:space="0" w:color="auto"/>
            <w:bottom w:val="none" w:sz="0" w:space="0" w:color="auto"/>
            <w:right w:val="none" w:sz="0" w:space="0" w:color="auto"/>
          </w:divBdr>
          <w:divsChild>
            <w:div w:id="39062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50355">
      <w:bodyDiv w:val="1"/>
      <w:marLeft w:val="0"/>
      <w:marRight w:val="0"/>
      <w:marTop w:val="0"/>
      <w:marBottom w:val="0"/>
      <w:divBdr>
        <w:top w:val="none" w:sz="0" w:space="0" w:color="auto"/>
        <w:left w:val="none" w:sz="0" w:space="0" w:color="auto"/>
        <w:bottom w:val="none" w:sz="0" w:space="0" w:color="auto"/>
        <w:right w:val="none" w:sz="0" w:space="0" w:color="auto"/>
      </w:divBdr>
    </w:div>
    <w:div w:id="503470183">
      <w:bodyDiv w:val="1"/>
      <w:marLeft w:val="0"/>
      <w:marRight w:val="0"/>
      <w:marTop w:val="0"/>
      <w:marBottom w:val="0"/>
      <w:divBdr>
        <w:top w:val="none" w:sz="0" w:space="0" w:color="auto"/>
        <w:left w:val="none" w:sz="0" w:space="0" w:color="auto"/>
        <w:bottom w:val="none" w:sz="0" w:space="0" w:color="auto"/>
        <w:right w:val="none" w:sz="0" w:space="0" w:color="auto"/>
      </w:divBdr>
    </w:div>
    <w:div w:id="554321327">
      <w:bodyDiv w:val="1"/>
      <w:marLeft w:val="0"/>
      <w:marRight w:val="0"/>
      <w:marTop w:val="0"/>
      <w:marBottom w:val="0"/>
      <w:divBdr>
        <w:top w:val="none" w:sz="0" w:space="0" w:color="auto"/>
        <w:left w:val="none" w:sz="0" w:space="0" w:color="auto"/>
        <w:bottom w:val="none" w:sz="0" w:space="0" w:color="auto"/>
        <w:right w:val="none" w:sz="0" w:space="0" w:color="auto"/>
      </w:divBdr>
    </w:div>
    <w:div w:id="584921992">
      <w:bodyDiv w:val="1"/>
      <w:marLeft w:val="0"/>
      <w:marRight w:val="0"/>
      <w:marTop w:val="0"/>
      <w:marBottom w:val="0"/>
      <w:divBdr>
        <w:top w:val="none" w:sz="0" w:space="0" w:color="auto"/>
        <w:left w:val="none" w:sz="0" w:space="0" w:color="auto"/>
        <w:bottom w:val="none" w:sz="0" w:space="0" w:color="auto"/>
        <w:right w:val="none" w:sz="0" w:space="0" w:color="auto"/>
      </w:divBdr>
    </w:div>
    <w:div w:id="997535181">
      <w:bodyDiv w:val="1"/>
      <w:marLeft w:val="0"/>
      <w:marRight w:val="0"/>
      <w:marTop w:val="0"/>
      <w:marBottom w:val="0"/>
      <w:divBdr>
        <w:top w:val="none" w:sz="0" w:space="0" w:color="auto"/>
        <w:left w:val="none" w:sz="0" w:space="0" w:color="auto"/>
        <w:bottom w:val="none" w:sz="0" w:space="0" w:color="auto"/>
        <w:right w:val="none" w:sz="0" w:space="0" w:color="auto"/>
      </w:divBdr>
    </w:div>
    <w:div w:id="1019356588">
      <w:bodyDiv w:val="1"/>
      <w:marLeft w:val="0"/>
      <w:marRight w:val="0"/>
      <w:marTop w:val="0"/>
      <w:marBottom w:val="0"/>
      <w:divBdr>
        <w:top w:val="none" w:sz="0" w:space="0" w:color="auto"/>
        <w:left w:val="none" w:sz="0" w:space="0" w:color="auto"/>
        <w:bottom w:val="none" w:sz="0" w:space="0" w:color="auto"/>
        <w:right w:val="none" w:sz="0" w:space="0" w:color="auto"/>
      </w:divBdr>
      <w:divsChild>
        <w:div w:id="1190485617">
          <w:marLeft w:val="480"/>
          <w:marRight w:val="0"/>
          <w:marTop w:val="0"/>
          <w:marBottom w:val="0"/>
          <w:divBdr>
            <w:top w:val="none" w:sz="0" w:space="0" w:color="auto"/>
            <w:left w:val="none" w:sz="0" w:space="0" w:color="auto"/>
            <w:bottom w:val="none" w:sz="0" w:space="0" w:color="auto"/>
            <w:right w:val="none" w:sz="0" w:space="0" w:color="auto"/>
          </w:divBdr>
          <w:divsChild>
            <w:div w:id="83329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688979">
      <w:bodyDiv w:val="1"/>
      <w:marLeft w:val="0"/>
      <w:marRight w:val="0"/>
      <w:marTop w:val="0"/>
      <w:marBottom w:val="0"/>
      <w:divBdr>
        <w:top w:val="none" w:sz="0" w:space="0" w:color="auto"/>
        <w:left w:val="none" w:sz="0" w:space="0" w:color="auto"/>
        <w:bottom w:val="none" w:sz="0" w:space="0" w:color="auto"/>
        <w:right w:val="none" w:sz="0" w:space="0" w:color="auto"/>
      </w:divBdr>
      <w:divsChild>
        <w:div w:id="1960143708">
          <w:marLeft w:val="480"/>
          <w:marRight w:val="0"/>
          <w:marTop w:val="0"/>
          <w:marBottom w:val="0"/>
          <w:divBdr>
            <w:top w:val="none" w:sz="0" w:space="0" w:color="auto"/>
            <w:left w:val="none" w:sz="0" w:space="0" w:color="auto"/>
            <w:bottom w:val="none" w:sz="0" w:space="0" w:color="auto"/>
            <w:right w:val="none" w:sz="0" w:space="0" w:color="auto"/>
          </w:divBdr>
          <w:divsChild>
            <w:div w:id="1809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767608">
      <w:bodyDiv w:val="1"/>
      <w:marLeft w:val="0"/>
      <w:marRight w:val="0"/>
      <w:marTop w:val="0"/>
      <w:marBottom w:val="0"/>
      <w:divBdr>
        <w:top w:val="none" w:sz="0" w:space="0" w:color="auto"/>
        <w:left w:val="none" w:sz="0" w:space="0" w:color="auto"/>
        <w:bottom w:val="none" w:sz="0" w:space="0" w:color="auto"/>
        <w:right w:val="none" w:sz="0" w:space="0" w:color="auto"/>
      </w:divBdr>
      <w:divsChild>
        <w:div w:id="915017077">
          <w:marLeft w:val="480"/>
          <w:marRight w:val="0"/>
          <w:marTop w:val="0"/>
          <w:marBottom w:val="0"/>
          <w:divBdr>
            <w:top w:val="none" w:sz="0" w:space="0" w:color="auto"/>
            <w:left w:val="none" w:sz="0" w:space="0" w:color="auto"/>
            <w:bottom w:val="none" w:sz="0" w:space="0" w:color="auto"/>
            <w:right w:val="none" w:sz="0" w:space="0" w:color="auto"/>
          </w:divBdr>
          <w:divsChild>
            <w:div w:id="170544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013025">
      <w:bodyDiv w:val="1"/>
      <w:marLeft w:val="0"/>
      <w:marRight w:val="0"/>
      <w:marTop w:val="0"/>
      <w:marBottom w:val="0"/>
      <w:divBdr>
        <w:top w:val="none" w:sz="0" w:space="0" w:color="auto"/>
        <w:left w:val="none" w:sz="0" w:space="0" w:color="auto"/>
        <w:bottom w:val="none" w:sz="0" w:space="0" w:color="auto"/>
        <w:right w:val="none" w:sz="0" w:space="0" w:color="auto"/>
      </w:divBdr>
    </w:div>
    <w:div w:id="1244922712">
      <w:bodyDiv w:val="1"/>
      <w:marLeft w:val="0"/>
      <w:marRight w:val="0"/>
      <w:marTop w:val="0"/>
      <w:marBottom w:val="0"/>
      <w:divBdr>
        <w:top w:val="none" w:sz="0" w:space="0" w:color="auto"/>
        <w:left w:val="none" w:sz="0" w:space="0" w:color="auto"/>
        <w:bottom w:val="none" w:sz="0" w:space="0" w:color="auto"/>
        <w:right w:val="none" w:sz="0" w:space="0" w:color="auto"/>
      </w:divBdr>
    </w:div>
    <w:div w:id="1251621641">
      <w:bodyDiv w:val="1"/>
      <w:marLeft w:val="0"/>
      <w:marRight w:val="0"/>
      <w:marTop w:val="0"/>
      <w:marBottom w:val="0"/>
      <w:divBdr>
        <w:top w:val="none" w:sz="0" w:space="0" w:color="auto"/>
        <w:left w:val="none" w:sz="0" w:space="0" w:color="auto"/>
        <w:bottom w:val="none" w:sz="0" w:space="0" w:color="auto"/>
        <w:right w:val="none" w:sz="0" w:space="0" w:color="auto"/>
      </w:divBdr>
    </w:div>
    <w:div w:id="1278486384">
      <w:bodyDiv w:val="1"/>
      <w:marLeft w:val="0"/>
      <w:marRight w:val="0"/>
      <w:marTop w:val="0"/>
      <w:marBottom w:val="0"/>
      <w:divBdr>
        <w:top w:val="none" w:sz="0" w:space="0" w:color="auto"/>
        <w:left w:val="none" w:sz="0" w:space="0" w:color="auto"/>
        <w:bottom w:val="none" w:sz="0" w:space="0" w:color="auto"/>
        <w:right w:val="none" w:sz="0" w:space="0" w:color="auto"/>
      </w:divBdr>
    </w:div>
    <w:div w:id="1378629142">
      <w:bodyDiv w:val="1"/>
      <w:marLeft w:val="0"/>
      <w:marRight w:val="0"/>
      <w:marTop w:val="0"/>
      <w:marBottom w:val="0"/>
      <w:divBdr>
        <w:top w:val="none" w:sz="0" w:space="0" w:color="auto"/>
        <w:left w:val="none" w:sz="0" w:space="0" w:color="auto"/>
        <w:bottom w:val="none" w:sz="0" w:space="0" w:color="auto"/>
        <w:right w:val="none" w:sz="0" w:space="0" w:color="auto"/>
      </w:divBdr>
    </w:div>
    <w:div w:id="1467701102">
      <w:bodyDiv w:val="1"/>
      <w:marLeft w:val="0"/>
      <w:marRight w:val="0"/>
      <w:marTop w:val="0"/>
      <w:marBottom w:val="0"/>
      <w:divBdr>
        <w:top w:val="none" w:sz="0" w:space="0" w:color="auto"/>
        <w:left w:val="none" w:sz="0" w:space="0" w:color="auto"/>
        <w:bottom w:val="none" w:sz="0" w:space="0" w:color="auto"/>
        <w:right w:val="none" w:sz="0" w:space="0" w:color="auto"/>
      </w:divBdr>
      <w:divsChild>
        <w:div w:id="273708406">
          <w:marLeft w:val="480"/>
          <w:marRight w:val="0"/>
          <w:marTop w:val="0"/>
          <w:marBottom w:val="0"/>
          <w:divBdr>
            <w:top w:val="none" w:sz="0" w:space="0" w:color="auto"/>
            <w:left w:val="none" w:sz="0" w:space="0" w:color="auto"/>
            <w:bottom w:val="none" w:sz="0" w:space="0" w:color="auto"/>
            <w:right w:val="none" w:sz="0" w:space="0" w:color="auto"/>
          </w:divBdr>
          <w:divsChild>
            <w:div w:id="91123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415085">
      <w:bodyDiv w:val="1"/>
      <w:marLeft w:val="0"/>
      <w:marRight w:val="0"/>
      <w:marTop w:val="0"/>
      <w:marBottom w:val="0"/>
      <w:divBdr>
        <w:top w:val="none" w:sz="0" w:space="0" w:color="auto"/>
        <w:left w:val="none" w:sz="0" w:space="0" w:color="auto"/>
        <w:bottom w:val="none" w:sz="0" w:space="0" w:color="auto"/>
        <w:right w:val="none" w:sz="0" w:space="0" w:color="auto"/>
      </w:divBdr>
    </w:div>
    <w:div w:id="1914312988">
      <w:bodyDiv w:val="1"/>
      <w:marLeft w:val="0"/>
      <w:marRight w:val="0"/>
      <w:marTop w:val="0"/>
      <w:marBottom w:val="0"/>
      <w:divBdr>
        <w:top w:val="none" w:sz="0" w:space="0" w:color="auto"/>
        <w:left w:val="none" w:sz="0" w:space="0" w:color="auto"/>
        <w:bottom w:val="none" w:sz="0" w:space="0" w:color="auto"/>
        <w:right w:val="none" w:sz="0" w:space="0" w:color="auto"/>
      </w:divBdr>
    </w:div>
    <w:div w:id="2024897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doi.org/10.3905/jii.2013.4.3.057" TargetMode="External"/><Relationship Id="rId26" Type="http://schemas.openxmlformats.org/officeDocument/2006/relationships/hyperlink" Target="https://www.youtube.com/watch?v=TSGvEx1cdeg" TargetMode="External"/><Relationship Id="rId39" Type="http://schemas.openxmlformats.org/officeDocument/2006/relationships/hyperlink" Target="file:///C:\Users\gmvic\AppData\Roaming\Materiales%20por%20temas\Parte%20B%20-%20Econom&#237;a%20Financiera%20e%20internacional\Tema%203.B.25\Econom&#237;a%20financiera.pdf" TargetMode="External"/><Relationship Id="rId21" Type="http://schemas.openxmlformats.org/officeDocument/2006/relationships/image" Target="media/image12.png"/><Relationship Id="rId34" Type="http://schemas.openxmlformats.org/officeDocument/2006/relationships/image" Target="media/image23.png"/><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wikipedia.org/wiki/Markowitz_model" TargetMode="External"/><Relationship Id="rId29" Type="http://schemas.openxmlformats.org/officeDocument/2006/relationships/image" Target="media/image19.png"/><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2.jpeg"/><Relationship Id="rId37" Type="http://schemas.openxmlformats.org/officeDocument/2006/relationships/hyperlink" Target="http://www.juanmascarenas.eu/monograf.htm" TargetMode="External"/><Relationship Id="rId40" Type="http://schemas.openxmlformats.org/officeDocument/2006/relationships/hyperlink" Target="https://www.quia.com/quiz/6562954.html"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4.jpg"/><Relationship Id="rId28" Type="http://schemas.openxmlformats.org/officeDocument/2006/relationships/image" Target="media/image18.png"/><Relationship Id="rId36" Type="http://schemas.openxmlformats.org/officeDocument/2006/relationships/hyperlink" Target="https://analisistecnicostreet.com/analisis-tecnico-academy/tipos-de-graficos/grafico-de-velas-japonesas/" TargetMode="External"/><Relationship Id="rId49" Type="http://schemas.openxmlformats.org/officeDocument/2006/relationships/theme" Target="theme/theme1.xml"/><Relationship Id="rId10" Type="http://schemas.openxmlformats.org/officeDocument/2006/relationships/hyperlink" Target="http://aeca.es/old/refc_1972-2013/1986/50-3.pdf" TargetMode="External"/><Relationship Id="rId19" Type="http://schemas.openxmlformats.org/officeDocument/2006/relationships/image" Target="media/image10.jpg"/><Relationship Id="rId31" Type="http://schemas.openxmlformats.org/officeDocument/2006/relationships/image" Target="media/image21.jpe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n.wikipedia.org/wiki/Roll%27s_critique" TargetMode="External"/><Relationship Id="rId14" Type="http://schemas.openxmlformats.org/officeDocument/2006/relationships/image" Target="media/image7.png"/><Relationship Id="rId22" Type="http://schemas.openxmlformats.org/officeDocument/2006/relationships/image" Target="media/image13.emf"/><Relationship Id="rId27" Type="http://schemas.openxmlformats.org/officeDocument/2006/relationships/hyperlink" Target="https://www.youtube.com/watch?v=9FOKd6AM-RY" TargetMode="External"/><Relationship Id="rId30" Type="http://schemas.openxmlformats.org/officeDocument/2006/relationships/image" Target="media/image20.png"/><Relationship Id="rId35" Type="http://schemas.openxmlformats.org/officeDocument/2006/relationships/image" Target="media/image24.png"/><Relationship Id="rId43" Type="http://schemas.openxmlformats.org/officeDocument/2006/relationships/footer" Target="footer1.xml"/><Relationship Id="rId48" Type="http://schemas.openxmlformats.org/officeDocument/2006/relationships/glossaryDocument" Target="glossary/document.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hyperlink" Target="https://www.comparativadebancos.com/soportes-resistencias-falsas-rupturas/" TargetMode="External"/><Relationship Id="rId38" Type="http://schemas.openxmlformats.org/officeDocument/2006/relationships/hyperlink" Target="file:///C:\Users\gmvic\AppData\Roaming\Materiales%20por%20temas\Parte%20B%20-%20Econom&#237;a%20Financiera%20e%20internacional\Tema%203.B.25\Econom&#237;a%20financiera%20UC3M.pdf" TargetMode="External"/><Relationship Id="rId46" Type="http://schemas.openxmlformats.org/officeDocument/2006/relationships/footer" Target="footer3.xml"/><Relationship Id="rId20" Type="http://schemas.openxmlformats.org/officeDocument/2006/relationships/image" Target="media/image11.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hyperlink" Target="https://nadaesgratis.es/admin/markowitz-y-la-democratizacion-de-las-finanzas" TargetMode="External"/><Relationship Id="rId6" Type="http://schemas.openxmlformats.org/officeDocument/2006/relationships/hyperlink" Target="https://www.investopedia.com/terms/r/rollscritique.asp" TargetMode="External"/><Relationship Id="rId5" Type="http://schemas.openxmlformats.org/officeDocument/2006/relationships/hyperlink" Target="https://en.wikipedia.org/wiki/Roll%27s_critique" TargetMode="External"/><Relationship Id="rId4" Type="http://schemas.openxmlformats.org/officeDocument/2006/relationships/image" Target="media/image16.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C3D6AB95BC545539D03FDF100C087D0"/>
        <w:category>
          <w:name w:val="General"/>
          <w:gallery w:val="placeholder"/>
        </w:category>
        <w:types>
          <w:type w:val="bbPlcHdr"/>
        </w:types>
        <w:behaviors>
          <w:behavior w:val="content"/>
        </w:behaviors>
        <w:guid w:val="{4ABF3351-A83B-4744-8970-767D5ADB26EA}"/>
      </w:docPartPr>
      <w:docPartBody>
        <w:p w:rsidR="00161158" w:rsidRDefault="00AB1DA2">
          <w:pPr>
            <w:pStyle w:val="AC3D6AB95BC545539D03FDF100C087D0"/>
          </w:pPr>
          <w:r w:rsidRPr="001B5103">
            <w:rPr>
              <w:rStyle w:val="Textodelmarcadordeposicin"/>
            </w:rPr>
            <w:t>[Title]</w:t>
          </w:r>
        </w:p>
      </w:docPartBody>
    </w:docPart>
    <w:docPart>
      <w:docPartPr>
        <w:name w:val="0C1D729B9ADA473EB7F2B4E4D7E464D3"/>
        <w:category>
          <w:name w:val="General"/>
          <w:gallery w:val="placeholder"/>
        </w:category>
        <w:types>
          <w:type w:val="bbPlcHdr"/>
        </w:types>
        <w:behaviors>
          <w:behavior w:val="content"/>
        </w:behaviors>
        <w:guid w:val="{155726DC-BE21-476B-B4B6-F17F901CD4DD}"/>
      </w:docPartPr>
      <w:docPartBody>
        <w:p w:rsidR="00161158" w:rsidRDefault="00AB1DA2">
          <w:pPr>
            <w:pStyle w:val="0C1D729B9ADA473EB7F2B4E4D7E464D3"/>
          </w:pPr>
          <w:r w:rsidRPr="001B5103">
            <w:rPr>
              <w:rStyle w:val="Textodelmarcadordeposicin"/>
            </w:rPr>
            <w:t>[Subject]</w:t>
          </w:r>
        </w:p>
      </w:docPartBody>
    </w:docPart>
    <w:docPart>
      <w:docPartPr>
        <w:name w:val="046375D7D73A4A7FA5DA734F33EC164F"/>
        <w:category>
          <w:name w:val="General"/>
          <w:gallery w:val="placeholder"/>
        </w:category>
        <w:types>
          <w:type w:val="bbPlcHdr"/>
        </w:types>
        <w:behaviors>
          <w:behavior w:val="content"/>
        </w:behaviors>
        <w:guid w:val="{5D90329B-2F10-4BAC-8568-71BD676E356D}"/>
      </w:docPartPr>
      <w:docPartBody>
        <w:p w:rsidR="00270BCE" w:rsidRDefault="003E162D" w:rsidP="003E162D">
          <w:pPr>
            <w:pStyle w:val="046375D7D73A4A7FA5DA734F33EC164F"/>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DA2"/>
    <w:rsid w:val="000473A8"/>
    <w:rsid w:val="00063456"/>
    <w:rsid w:val="000B439B"/>
    <w:rsid w:val="000D01AB"/>
    <w:rsid w:val="000D7893"/>
    <w:rsid w:val="000F2B85"/>
    <w:rsid w:val="001161D1"/>
    <w:rsid w:val="00116CA7"/>
    <w:rsid w:val="00161158"/>
    <w:rsid w:val="00173423"/>
    <w:rsid w:val="001C273F"/>
    <w:rsid w:val="001E206A"/>
    <w:rsid w:val="002238A0"/>
    <w:rsid w:val="00270BCE"/>
    <w:rsid w:val="00286C19"/>
    <w:rsid w:val="002D7763"/>
    <w:rsid w:val="00330E19"/>
    <w:rsid w:val="003452DB"/>
    <w:rsid w:val="00361E3D"/>
    <w:rsid w:val="00396E0A"/>
    <w:rsid w:val="003E162D"/>
    <w:rsid w:val="00420B98"/>
    <w:rsid w:val="004C5079"/>
    <w:rsid w:val="004C529B"/>
    <w:rsid w:val="004F6DA5"/>
    <w:rsid w:val="00542B0F"/>
    <w:rsid w:val="00547F47"/>
    <w:rsid w:val="00587465"/>
    <w:rsid w:val="00592479"/>
    <w:rsid w:val="00597125"/>
    <w:rsid w:val="005E1BBE"/>
    <w:rsid w:val="005F107F"/>
    <w:rsid w:val="006134D1"/>
    <w:rsid w:val="0061789C"/>
    <w:rsid w:val="0063157D"/>
    <w:rsid w:val="00633710"/>
    <w:rsid w:val="00633D51"/>
    <w:rsid w:val="00655DEC"/>
    <w:rsid w:val="006C505B"/>
    <w:rsid w:val="00774B2C"/>
    <w:rsid w:val="007E18DB"/>
    <w:rsid w:val="00804A0C"/>
    <w:rsid w:val="00817F78"/>
    <w:rsid w:val="00842315"/>
    <w:rsid w:val="0087508E"/>
    <w:rsid w:val="008A2F9F"/>
    <w:rsid w:val="008B310E"/>
    <w:rsid w:val="008E4C5A"/>
    <w:rsid w:val="00910764"/>
    <w:rsid w:val="00916AEF"/>
    <w:rsid w:val="00991C6B"/>
    <w:rsid w:val="009A7CEA"/>
    <w:rsid w:val="00A008EC"/>
    <w:rsid w:val="00A92A33"/>
    <w:rsid w:val="00AB1DA2"/>
    <w:rsid w:val="00AE0EB3"/>
    <w:rsid w:val="00B33FEF"/>
    <w:rsid w:val="00B641D7"/>
    <w:rsid w:val="00BA25CE"/>
    <w:rsid w:val="00BC44F1"/>
    <w:rsid w:val="00C14975"/>
    <w:rsid w:val="00C90D93"/>
    <w:rsid w:val="00CB4835"/>
    <w:rsid w:val="00CD15CD"/>
    <w:rsid w:val="00CE3D10"/>
    <w:rsid w:val="00D576FB"/>
    <w:rsid w:val="00DC7CA1"/>
    <w:rsid w:val="00DD0244"/>
    <w:rsid w:val="00E51233"/>
    <w:rsid w:val="00EA4E08"/>
    <w:rsid w:val="00EC190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14975"/>
    <w:rPr>
      <w:color w:val="808080"/>
    </w:rPr>
  </w:style>
  <w:style w:type="paragraph" w:customStyle="1" w:styleId="AC3D6AB95BC545539D03FDF100C087D0">
    <w:name w:val="AC3D6AB95BC545539D03FDF100C087D0"/>
  </w:style>
  <w:style w:type="paragraph" w:customStyle="1" w:styleId="0C1D729B9ADA473EB7F2B4E4D7E464D3">
    <w:name w:val="0C1D729B9ADA473EB7F2B4E4D7E464D3"/>
  </w:style>
  <w:style w:type="paragraph" w:customStyle="1" w:styleId="046375D7D73A4A7FA5DA734F33EC164F">
    <w:name w:val="046375D7D73A4A7FA5DA734F33EC164F"/>
    <w:rsid w:val="003E16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6</TotalTime>
  <Pages>1</Pages>
  <Words>15988</Words>
  <Characters>87940</Characters>
  <Application>Microsoft Office Word</Application>
  <DocSecurity>0</DocSecurity>
  <Lines>732</Lines>
  <Paragraphs>207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3.B.23</vt:lpstr>
      <vt:lpstr>TEMA E.P.NN</vt:lpstr>
    </vt:vector>
  </TitlesOfParts>
  <Company/>
  <LinksUpToDate>false</LinksUpToDate>
  <CharactersWithSpaces>103721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3.B.23</dc:title>
  <dc:subject>Análisis de los instrumentos financieros de renta variable. Análisis fundamental. Teoría de la elección de cartera. El modelo de valoración de activos de capital (CAPM). La teoría de valoración de activos por arbitraje (APT). Análisis técnico.</dc:subject>
  <dc:creator>Víctor Gutiérrez Marcos</dc:creator>
  <cp:keywords/>
  <dc:description/>
  <cp:lastModifiedBy>Víctor Gutiérrez Marcos</cp:lastModifiedBy>
  <dcterms:created xsi:type="dcterms:W3CDTF">2024-07-31T21:32:00Z</dcterms:created>
  <dcterms:modified xsi:type="dcterms:W3CDTF">2024-08-10T20:38:00Z</dcterms:modified>
</cp:coreProperties>
</file>