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931CD1" w14:textId="7E28B6E1" w:rsidR="00307C23" w:rsidRDefault="00000000" w:rsidP="004C0C34">
      <w:pPr>
        <w:pStyle w:val="Ttulo"/>
      </w:pPr>
      <w:sdt>
        <w:sdtPr>
          <w:rPr>
            <w:i/>
            <w:iCs w:val="0"/>
            <w:u w:val="single"/>
          </w:rPr>
          <w:alias w:val="Title"/>
          <w:tag w:val=""/>
          <w:id w:val="-780801520"/>
          <w:placeholder>
            <w:docPart w:val="F242BAD2A0354AA782966B9BDE269D2B"/>
          </w:placeholder>
          <w:dataBinding w:prefixMappings="xmlns:ns0='http://purl.org/dc/elements/1.1/' xmlns:ns1='http://schemas.openxmlformats.org/package/2006/metadata/core-properties' " w:xpath="/ns1:coreProperties[1]/ns0:title[1]" w:storeItemID="{6C3C8BC8-F283-45AE-878A-BAB7291924A1}"/>
          <w:text/>
        </w:sdtPr>
        <w:sdtContent>
          <w:r w:rsidR="008F4B2D">
            <w:rPr>
              <w:i/>
              <w:iCs w:val="0"/>
              <w:u w:val="single"/>
            </w:rPr>
            <w:t>3.B.</w:t>
          </w:r>
          <w:r w:rsidR="00114D4F">
            <w:rPr>
              <w:i/>
              <w:iCs w:val="0"/>
              <w:u w:val="single"/>
            </w:rPr>
            <w:t>19</w:t>
          </w:r>
        </w:sdtContent>
      </w:sdt>
      <w:r w:rsidR="00C851DA">
        <w:t xml:space="preserve"> :</w:t>
      </w:r>
      <w:r w:rsidR="00C81078" w:rsidRPr="004C0C34">
        <w:t xml:space="preserve"> </w:t>
      </w:r>
      <w:sdt>
        <w:sdtPr>
          <w:alias w:val="Subject"/>
          <w:tag w:val=""/>
          <w:id w:val="-1903059896"/>
          <w:placeholder>
            <w:docPart w:val="BE707097988E46D2B4770390AAEB81A7"/>
          </w:placeholder>
          <w:dataBinding w:prefixMappings="xmlns:ns0='http://purl.org/dc/elements/1.1/' xmlns:ns1='http://schemas.openxmlformats.org/package/2006/metadata/core-properties' " w:xpath="/ns1:coreProperties[1]/ns0:subject[1]" w:storeItemID="{6C3C8BC8-F283-45AE-878A-BAB7291924A1}"/>
          <w:text/>
        </w:sdtPr>
        <w:sdtContent>
          <w:r w:rsidR="008F4B2D">
            <w:t>La coordinación internacional de políticas económicas</w:t>
          </w:r>
          <w:r w:rsidR="00114D4F">
            <w:t>. Aspectos teóricos y prácticos. El G-20, la OCDE y otros foros internacionales.</w:t>
          </w:r>
        </w:sdtContent>
      </w:sdt>
    </w:p>
    <w:p w14:paraId="4E318926" w14:textId="77777777" w:rsidR="00710F47" w:rsidRDefault="00710F47" w:rsidP="00710F47">
      <w:pPr>
        <w:pStyle w:val="Notaalopositor"/>
        <w:spacing w:after="0"/>
      </w:pPr>
      <w:bookmarkStart w:id="0" w:name="_Hlk111398052"/>
      <w:r>
        <w:t>Con el cambio de temario, a partir de la convocatoria de 2023 este tema pasará a ser:</w:t>
      </w:r>
    </w:p>
    <w:p w14:paraId="5D674A0C" w14:textId="3AE5076F" w:rsidR="00710F47" w:rsidRDefault="00710F47" w:rsidP="00710F47">
      <w:pPr>
        <w:pStyle w:val="Notaalopositor"/>
      </w:pPr>
      <w:r>
        <w:t>3.B.19: La coordinación internacional de las políticas económicas. Aspectos teóricos y prácticos. El G-20, la OCDE y otros foros internacionales.</w:t>
      </w:r>
    </w:p>
    <w:p w14:paraId="5E90A6FE" w14:textId="0BC004D4" w:rsidR="00710F47" w:rsidRDefault="00710F47" w:rsidP="00710F47">
      <w:pPr>
        <w:pStyle w:val="Notaalopositor"/>
        <w:spacing w:after="0"/>
      </w:pPr>
      <w:r>
        <w:t xml:space="preserve">De este modo, con lo escrito en este documento este tema </w:t>
      </w:r>
      <w:r>
        <w:rPr>
          <w:b/>
          <w:bCs/>
        </w:rPr>
        <w:t xml:space="preserve">habría que </w:t>
      </w:r>
      <w:r w:rsidR="00A34E8F">
        <w:rPr>
          <w:b/>
          <w:bCs/>
        </w:rPr>
        <w:t>cambiarlo para que siga el esquema propuesto en la guía de aquí debajo</w:t>
      </w:r>
      <w:r w:rsidRPr="00CC188F">
        <w:rPr>
          <w:bCs/>
        </w:rPr>
        <w:t>.</w:t>
      </w:r>
      <w:r w:rsidR="00CD1668">
        <w:rPr>
          <w:bCs/>
        </w:rPr>
        <w:t xml:space="preserve"> Por tanto, hay que meter lo del G-20 y la OCDE del antiguo tema 3.B.36 (nuevo 3.B.35).</w:t>
      </w:r>
    </w:p>
    <w:bookmarkEnd w:id="0"/>
    <w:p w14:paraId="61A148A1" w14:textId="3E9E2FD3" w:rsidR="00710F47" w:rsidRDefault="00710F47" w:rsidP="00710F47">
      <w:pPr>
        <w:pStyle w:val="Notaalopositor"/>
        <w:jc w:val="center"/>
      </w:pPr>
      <w:r w:rsidRPr="00710F47">
        <w:rPr>
          <w:noProof/>
        </w:rPr>
        <w:drawing>
          <wp:inline distT="0" distB="0" distL="0" distR="0" wp14:anchorId="559D796F" wp14:editId="0B792254">
            <wp:extent cx="2880000" cy="2322181"/>
            <wp:effectExtent l="0" t="0" r="0" b="254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8"/>
                    <a:stretch>
                      <a:fillRect/>
                    </a:stretch>
                  </pic:blipFill>
                  <pic:spPr>
                    <a:xfrm>
                      <a:off x="0" y="0"/>
                      <a:ext cx="2880000" cy="2322181"/>
                    </a:xfrm>
                    <a:prstGeom prst="rect">
                      <a:avLst/>
                    </a:prstGeom>
                  </pic:spPr>
                </pic:pic>
              </a:graphicData>
            </a:graphic>
          </wp:inline>
        </w:drawing>
      </w:r>
    </w:p>
    <w:p w14:paraId="21C5591E" w14:textId="692AC33F" w:rsidR="0021774E" w:rsidRPr="00E37AC1" w:rsidRDefault="0021774E" w:rsidP="00B9022F">
      <w:pPr>
        <w:pStyle w:val="Introduccinyconclusin"/>
        <w:rPr>
          <w:rStyle w:val="IntroduccinyconclusinChar"/>
          <w:b/>
          <w:bCs/>
          <w:caps/>
          <w:shd w:val="clear" w:color="auto" w:fill="auto"/>
          <w:lang w:val="en-US"/>
        </w:rPr>
      </w:pPr>
      <w:bookmarkStart w:id="1" w:name="_Toc55382054"/>
      <w:bookmarkStart w:id="2" w:name="_Toc55382089"/>
      <w:bookmarkStart w:id="3" w:name="_Toc55382517"/>
      <w:bookmarkStart w:id="4" w:name="_Toc55382751"/>
      <w:r w:rsidRPr="00E37AC1">
        <w:rPr>
          <w:lang w:val="en-US"/>
        </w:rPr>
        <w:t>I</w:t>
      </w:r>
      <w:r w:rsidRPr="00E37AC1">
        <w:rPr>
          <w:rStyle w:val="IntroduccinyconclusinChar"/>
          <w:b/>
          <w:bCs/>
          <w:caps/>
          <w:shd w:val="clear" w:color="auto" w:fill="auto"/>
          <w:lang w:val="en-US"/>
        </w:rPr>
        <w:t>NTRODUCCIÓN</w:t>
      </w:r>
      <w:bookmarkEnd w:id="1"/>
      <w:bookmarkEnd w:id="2"/>
      <w:bookmarkEnd w:id="3"/>
      <w:bookmarkEnd w:id="4"/>
    </w:p>
    <w:p w14:paraId="700ECA17" w14:textId="5415C83E" w:rsidR="00D476D9" w:rsidRDefault="00D476D9" w:rsidP="00CD1668">
      <w:pPr>
        <w:pStyle w:val="Cajadeanotaciones"/>
        <w:jc w:val="left"/>
        <w:rPr>
          <w:i/>
          <w:iCs/>
          <w:lang w:val="en-US"/>
        </w:rPr>
      </w:pPr>
      <w:proofErr w:type="spellStart"/>
      <w:r w:rsidRPr="00D476D9">
        <w:rPr>
          <w:i/>
          <w:iCs/>
          <w:smallCaps/>
          <w:lang w:val="en-US"/>
        </w:rPr>
        <w:t>Hélene</w:t>
      </w:r>
      <w:proofErr w:type="spellEnd"/>
      <w:r w:rsidRPr="00D476D9">
        <w:rPr>
          <w:i/>
          <w:iCs/>
          <w:smallCaps/>
          <w:lang w:val="en-US"/>
        </w:rPr>
        <w:t xml:space="preserve"> Rey</w:t>
      </w:r>
      <w:r w:rsidRPr="00D476D9">
        <w:rPr>
          <w:i/>
          <w:iCs/>
          <w:lang w:val="en-US"/>
        </w:rPr>
        <w:t xml:space="preserve"> on monetary p</w:t>
      </w:r>
      <w:r>
        <w:rPr>
          <w:i/>
          <w:iCs/>
          <w:lang w:val="en-US"/>
        </w:rPr>
        <w:t>olicy and international capital flows (the global financial cycle).</w:t>
      </w:r>
      <w:r w:rsidR="00CD1668" w:rsidRPr="00CD1668">
        <w:rPr>
          <w:lang w:val="en-US"/>
        </w:rPr>
        <w:t xml:space="preserve"> </w:t>
      </w:r>
      <w:r w:rsidR="00000000">
        <w:fldChar w:fldCharType="begin"/>
      </w:r>
      <w:r w:rsidR="00000000" w:rsidRPr="00E37AC1">
        <w:rPr>
          <w:lang w:val="en-US"/>
        </w:rPr>
        <w:instrText>HYPERLINK "https://youtu.be/h8qKjkssTy0?t=225"</w:instrText>
      </w:r>
      <w:r w:rsidR="00000000">
        <w:fldChar w:fldCharType="separate"/>
      </w:r>
      <w:r w:rsidR="00CD1668" w:rsidRPr="00D62D49">
        <w:rPr>
          <w:rStyle w:val="Hipervnculo"/>
          <w:lang w:val="en-US"/>
        </w:rPr>
        <w:t>https://youtu.be/h8qKjkssTy0?t=225</w:t>
      </w:r>
      <w:r w:rsidR="00000000">
        <w:rPr>
          <w:rStyle w:val="Hipervnculo"/>
          <w:lang w:val="en-US"/>
        </w:rPr>
        <w:fldChar w:fldCharType="end"/>
      </w:r>
    </w:p>
    <w:p w14:paraId="16D87D6E" w14:textId="5E00FA30" w:rsidR="00D476D9" w:rsidRDefault="00D476D9" w:rsidP="00D476D9">
      <w:pPr>
        <w:pStyle w:val="Cajadeanotaciones"/>
        <w:tabs>
          <w:tab w:val="left" w:pos="6753"/>
        </w:tabs>
        <w:rPr>
          <w:i/>
          <w:iCs/>
        </w:rPr>
      </w:pPr>
      <w:r w:rsidRPr="00D476D9">
        <w:rPr>
          <w:i/>
          <w:iCs/>
        </w:rPr>
        <w:t xml:space="preserve">Según </w:t>
      </w:r>
      <w:r w:rsidRPr="00D476D9">
        <w:rPr>
          <w:i/>
          <w:iCs/>
          <w:smallCaps/>
        </w:rPr>
        <w:t>Hélène Rey</w:t>
      </w:r>
      <w:r w:rsidRPr="00D476D9">
        <w:rPr>
          <w:i/>
          <w:iCs/>
        </w:rPr>
        <w:t xml:space="preserve"> existe un </w:t>
      </w:r>
      <w:r w:rsidRPr="00D476D9">
        <w:rPr>
          <w:i/>
          <w:iCs/>
          <w:u w:val="single"/>
        </w:rPr>
        <w:t>ciclo financiero global</w:t>
      </w:r>
      <w:r w:rsidRPr="00D476D9">
        <w:rPr>
          <w:i/>
          <w:iCs/>
        </w:rPr>
        <w:t xml:space="preserve"> (</w:t>
      </w:r>
      <w:r>
        <w:rPr>
          <w:i/>
          <w:iCs/>
        </w:rPr>
        <w:t xml:space="preserve">definido como la existencia de fuertes </w:t>
      </w:r>
      <w:proofErr w:type="spellStart"/>
      <w:r>
        <w:rPr>
          <w:i/>
          <w:iCs/>
        </w:rPr>
        <w:t>comovimientos</w:t>
      </w:r>
      <w:proofErr w:type="spellEnd"/>
      <w:r>
        <w:rPr>
          <w:i/>
          <w:iCs/>
        </w:rPr>
        <w:t xml:space="preserve"> en </w:t>
      </w:r>
      <w:proofErr w:type="spellStart"/>
      <w:r>
        <w:rPr>
          <w:i/>
          <w:iCs/>
        </w:rPr>
        <w:t>gross</w:t>
      </w:r>
      <w:proofErr w:type="spellEnd"/>
      <w:r>
        <w:rPr>
          <w:i/>
          <w:iCs/>
        </w:rPr>
        <w:t xml:space="preserve"> capital </w:t>
      </w:r>
      <w:proofErr w:type="spellStart"/>
      <w:r>
        <w:rPr>
          <w:i/>
          <w:iCs/>
        </w:rPr>
        <w:t>inflows</w:t>
      </w:r>
      <w:proofErr w:type="spellEnd"/>
      <w:r>
        <w:rPr>
          <w:i/>
          <w:iCs/>
        </w:rPr>
        <w:t xml:space="preserve"> </w:t>
      </w:r>
      <w:proofErr w:type="spellStart"/>
      <w:r>
        <w:rPr>
          <w:i/>
          <w:iCs/>
        </w:rPr>
        <w:t>into</w:t>
      </w:r>
      <w:proofErr w:type="spellEnd"/>
      <w:r>
        <w:rPr>
          <w:i/>
          <w:iCs/>
        </w:rPr>
        <w:t xml:space="preserve"> </w:t>
      </w:r>
      <w:proofErr w:type="spellStart"/>
      <w:r>
        <w:rPr>
          <w:i/>
          <w:iCs/>
        </w:rPr>
        <w:t>various</w:t>
      </w:r>
      <w:proofErr w:type="spellEnd"/>
      <w:r>
        <w:rPr>
          <w:i/>
          <w:iCs/>
        </w:rPr>
        <w:t xml:space="preserve"> </w:t>
      </w:r>
      <w:proofErr w:type="spellStart"/>
      <w:r>
        <w:rPr>
          <w:i/>
          <w:iCs/>
        </w:rPr>
        <w:t>parts</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world</w:t>
      </w:r>
      <w:proofErr w:type="spellEnd"/>
      <w:r>
        <w:rPr>
          <w:i/>
          <w:iCs/>
        </w:rPr>
        <w:t xml:space="preserve"> and </w:t>
      </w:r>
      <w:proofErr w:type="spellStart"/>
      <w:r>
        <w:rPr>
          <w:i/>
          <w:iCs/>
        </w:rPr>
        <w:t>various</w:t>
      </w:r>
      <w:proofErr w:type="spellEnd"/>
      <w:r>
        <w:rPr>
          <w:i/>
          <w:iCs/>
        </w:rPr>
        <w:t xml:space="preserve"> </w:t>
      </w:r>
      <w:proofErr w:type="spellStart"/>
      <w:r>
        <w:rPr>
          <w:i/>
          <w:iCs/>
        </w:rPr>
        <w:t>types</w:t>
      </w:r>
      <w:proofErr w:type="spellEnd"/>
      <w:r>
        <w:rPr>
          <w:i/>
          <w:iCs/>
        </w:rPr>
        <w:t xml:space="preserve"> </w:t>
      </w:r>
      <w:proofErr w:type="spellStart"/>
      <w:r>
        <w:rPr>
          <w:i/>
          <w:iCs/>
        </w:rPr>
        <w:t>of</w:t>
      </w:r>
      <w:proofErr w:type="spellEnd"/>
      <w:r>
        <w:rPr>
          <w:i/>
          <w:iCs/>
        </w:rPr>
        <w:t xml:space="preserve"> </w:t>
      </w:r>
      <w:proofErr w:type="spellStart"/>
      <w:r>
        <w:rPr>
          <w:i/>
          <w:iCs/>
        </w:rPr>
        <w:t>assets</w:t>
      </w:r>
      <w:proofErr w:type="spellEnd"/>
      <w:r>
        <w:rPr>
          <w:i/>
          <w:iCs/>
        </w:rPr>
        <w:t xml:space="preserve"> and </w:t>
      </w:r>
      <w:proofErr w:type="spellStart"/>
      <w:r>
        <w:rPr>
          <w:i/>
          <w:iCs/>
        </w:rPr>
        <w:t>also</w:t>
      </w:r>
      <w:proofErr w:type="spellEnd"/>
      <w:r>
        <w:rPr>
          <w:i/>
          <w:iCs/>
        </w:rPr>
        <w:t xml:space="preserve"> a </w:t>
      </w:r>
      <w:proofErr w:type="spellStart"/>
      <w:r>
        <w:rPr>
          <w:i/>
          <w:iCs/>
        </w:rPr>
        <w:t>very</w:t>
      </w:r>
      <w:proofErr w:type="spellEnd"/>
      <w:r>
        <w:rPr>
          <w:i/>
          <w:iCs/>
        </w:rPr>
        <w:t xml:space="preserve"> </w:t>
      </w:r>
      <w:proofErr w:type="spellStart"/>
      <w:r>
        <w:rPr>
          <w:i/>
          <w:iCs/>
        </w:rPr>
        <w:t>important</w:t>
      </w:r>
      <w:proofErr w:type="spellEnd"/>
      <w:r>
        <w:rPr>
          <w:i/>
          <w:iCs/>
        </w:rPr>
        <w:t xml:space="preserve"> </w:t>
      </w:r>
      <w:proofErr w:type="spellStart"/>
      <w:r>
        <w:rPr>
          <w:i/>
          <w:iCs/>
        </w:rPr>
        <w:t>comovement</w:t>
      </w:r>
      <w:proofErr w:type="spellEnd"/>
      <w:r>
        <w:rPr>
          <w:i/>
          <w:iCs/>
        </w:rPr>
        <w:t xml:space="preserve"> in </w:t>
      </w:r>
      <w:proofErr w:type="spellStart"/>
      <w:r>
        <w:rPr>
          <w:i/>
          <w:iCs/>
        </w:rPr>
        <w:t>various</w:t>
      </w:r>
      <w:proofErr w:type="spellEnd"/>
      <w:r>
        <w:rPr>
          <w:i/>
          <w:iCs/>
        </w:rPr>
        <w:t xml:space="preserve"> </w:t>
      </w:r>
      <w:proofErr w:type="spellStart"/>
      <w:r>
        <w:rPr>
          <w:i/>
          <w:iCs/>
        </w:rPr>
        <w:t>risky</w:t>
      </w:r>
      <w:proofErr w:type="spellEnd"/>
      <w:r>
        <w:rPr>
          <w:i/>
          <w:iCs/>
        </w:rPr>
        <w:t xml:space="preserve"> </w:t>
      </w:r>
      <w:proofErr w:type="spellStart"/>
      <w:r>
        <w:rPr>
          <w:i/>
          <w:iCs/>
        </w:rPr>
        <w:t>asset</w:t>
      </w:r>
      <w:proofErr w:type="spellEnd"/>
      <w:r>
        <w:rPr>
          <w:i/>
          <w:iCs/>
        </w:rPr>
        <w:t xml:space="preserve"> </w:t>
      </w:r>
      <w:proofErr w:type="spellStart"/>
      <w:r>
        <w:rPr>
          <w:i/>
          <w:iCs/>
        </w:rPr>
        <w:t>prices</w:t>
      </w:r>
      <w:proofErr w:type="spellEnd"/>
      <w:r>
        <w:rPr>
          <w:i/>
          <w:iCs/>
        </w:rPr>
        <w:t xml:space="preserve"> </w:t>
      </w:r>
      <w:proofErr w:type="spellStart"/>
      <w:r>
        <w:rPr>
          <w:i/>
          <w:iCs/>
        </w:rPr>
        <w:t>around</w:t>
      </w:r>
      <w:proofErr w:type="spellEnd"/>
      <w:r>
        <w:rPr>
          <w:i/>
          <w:iCs/>
        </w:rPr>
        <w:t xml:space="preserve"> </w:t>
      </w:r>
      <w:proofErr w:type="spellStart"/>
      <w:r>
        <w:rPr>
          <w:i/>
          <w:iCs/>
        </w:rPr>
        <w:t>the</w:t>
      </w:r>
      <w:proofErr w:type="spellEnd"/>
      <w:r>
        <w:rPr>
          <w:i/>
          <w:iCs/>
        </w:rPr>
        <w:t xml:space="preserve"> </w:t>
      </w:r>
      <w:proofErr w:type="spellStart"/>
      <w:r>
        <w:rPr>
          <w:i/>
          <w:iCs/>
        </w:rPr>
        <w:t>world</w:t>
      </w:r>
      <w:proofErr w:type="spellEnd"/>
      <w:r w:rsidRPr="00D476D9">
        <w:rPr>
          <w:i/>
          <w:iCs/>
        </w:rPr>
        <w:t>)</w:t>
      </w:r>
      <w:r>
        <w:rPr>
          <w:i/>
          <w:iCs/>
        </w:rPr>
        <w:t>,</w:t>
      </w:r>
      <w:r w:rsidRPr="00D476D9">
        <w:rPr>
          <w:i/>
          <w:iCs/>
        </w:rPr>
        <w:t xml:space="preserve"> determinado por los flujos de capital internacionales</w:t>
      </w:r>
      <w:r>
        <w:rPr>
          <w:i/>
          <w:iCs/>
        </w:rPr>
        <w:t>, en el que la política monetaria de la Reserva Federal juega un papel clave (aunque existen otros determinantes). Encuentra que cambios en los tipos de interés fijados por la Reserva Federal no sólo afectan a las variables macroeconómicas estadounidenses sino que también tienen un impactos sobre variables macroeconómicas a nivel global.</w:t>
      </w:r>
    </w:p>
    <w:p w14:paraId="3100190D" w14:textId="3335C748" w:rsidR="00D004AC" w:rsidRDefault="00D004AC" w:rsidP="00D476D9">
      <w:pPr>
        <w:pStyle w:val="Cajadeanotaciones"/>
        <w:tabs>
          <w:tab w:val="left" w:pos="6753"/>
        </w:tabs>
        <w:rPr>
          <w:i/>
          <w:iCs/>
        </w:rPr>
      </w:pPr>
      <w:r>
        <w:rPr>
          <w:i/>
          <w:iCs/>
        </w:rPr>
        <w:t>Si existen efectos spillovers (i.e. externalidades), estos deben ser internalizados mediante algún tipo de coordinación económica, pero la política monetaria es un mandato nacional y la Reserva Federal buscará perseguir sus propios intereses (sólo debería tenerlo en cuenta si existiesen efectos de segunda ronda que recayeran en la actividad nacional).</w:t>
      </w:r>
    </w:p>
    <w:p w14:paraId="17846B9C" w14:textId="723A0894" w:rsidR="00D004AC" w:rsidRDefault="00D004AC" w:rsidP="00D476D9">
      <w:pPr>
        <w:pStyle w:val="Cajadeanotaciones"/>
        <w:tabs>
          <w:tab w:val="left" w:pos="6753"/>
        </w:tabs>
        <w:rPr>
          <w:i/>
          <w:iCs/>
          <w:lang w:val="en-US"/>
        </w:rPr>
      </w:pPr>
      <w:r w:rsidRPr="00D004AC">
        <w:rPr>
          <w:i/>
          <w:iCs/>
          <w:lang w:val="en-US"/>
        </w:rPr>
        <w:t xml:space="preserve">Policy coordination was a major theme in international macroeconomics in the 1980s (see, e.g. </w:t>
      </w:r>
      <w:r w:rsidRPr="00D004AC">
        <w:rPr>
          <w:i/>
          <w:iCs/>
          <w:smallCaps/>
          <w:lang w:val="en-US"/>
        </w:rPr>
        <w:t>Buiter</w:t>
      </w:r>
      <w:r w:rsidRPr="00D004AC">
        <w:rPr>
          <w:i/>
          <w:iCs/>
          <w:lang w:val="en-US"/>
        </w:rPr>
        <w:t xml:space="preserve"> and </w:t>
      </w:r>
      <w:r w:rsidRPr="00D004AC">
        <w:rPr>
          <w:i/>
          <w:iCs/>
          <w:smallCaps/>
          <w:lang w:val="en-US"/>
        </w:rPr>
        <w:t>Marston</w:t>
      </w:r>
      <w:r w:rsidRPr="00D004AC">
        <w:rPr>
          <w:i/>
          <w:iCs/>
          <w:lang w:val="en-US"/>
        </w:rPr>
        <w:t xml:space="preserve"> (1985) and </w:t>
      </w:r>
      <w:r w:rsidRPr="00D004AC">
        <w:rPr>
          <w:i/>
          <w:iCs/>
          <w:smallCaps/>
          <w:lang w:val="en-US"/>
        </w:rPr>
        <w:t>Bryant</w:t>
      </w:r>
      <w:r w:rsidRPr="00D004AC">
        <w:rPr>
          <w:i/>
          <w:iCs/>
          <w:lang w:val="en-US"/>
        </w:rPr>
        <w:t xml:space="preserve"> and </w:t>
      </w:r>
      <w:r w:rsidRPr="00D004AC">
        <w:rPr>
          <w:i/>
          <w:iCs/>
          <w:smallCaps/>
          <w:lang w:val="en-US"/>
        </w:rPr>
        <w:t>Portes</w:t>
      </w:r>
      <w:r w:rsidRPr="00D004AC">
        <w:rPr>
          <w:i/>
          <w:iCs/>
          <w:lang w:val="en-US"/>
        </w:rPr>
        <w:t xml:space="preserve"> (1987)). The G7 summits of 1986 (Tokyo) and 1987 (Venice) emphasized multilateral surveillance. To this day, however neither the economic analysis nor the policy pronouncements have had any observable effect on actual monetary policies.</w:t>
      </w:r>
    </w:p>
    <w:p w14:paraId="63C88BFC" w14:textId="650C0632" w:rsidR="00D004AC" w:rsidRPr="00D004AC" w:rsidRDefault="00000000" w:rsidP="00D476D9">
      <w:pPr>
        <w:pStyle w:val="Cajadeanotaciones"/>
        <w:tabs>
          <w:tab w:val="left" w:pos="6753"/>
        </w:tabs>
        <w:rPr>
          <w:sz w:val="19"/>
          <w:szCs w:val="19"/>
          <w:lang w:val="en-US"/>
        </w:rPr>
      </w:pPr>
      <w:r>
        <w:fldChar w:fldCharType="begin"/>
      </w:r>
      <w:r w:rsidRPr="00E37AC1">
        <w:rPr>
          <w:lang w:val="en-US"/>
        </w:rPr>
        <w:instrText>HYPERLINK "http://www.helenerey.eu/AjaxRequestHandler.ashx?Function=GetSecuredDOC&amp;DOCUrl=App_Data/helenerey_eu/Published-Papers_en-GB/_Documents_2015-16/147802013_67186463733_jacksonholedraftweb.pdf"</w:instrText>
      </w:r>
      <w:r>
        <w:fldChar w:fldCharType="separate"/>
      </w:r>
      <w:r w:rsidR="00D004AC" w:rsidRPr="00D004AC">
        <w:rPr>
          <w:rStyle w:val="Hipervnculo"/>
          <w:sz w:val="19"/>
          <w:szCs w:val="19"/>
          <w:lang w:val="en-US"/>
        </w:rPr>
        <w:t>http://www.helenerey.eu/AjaxRequestHandler.ashx?Function=GetSecuredDOC&amp;DOCUrl=App_Data/helenerey_eu/Published-Papers_en-GB/_Documents_2015-16/147802013_67186463733_jacksonholedraftweb.pdf</w:t>
      </w:r>
      <w:r>
        <w:rPr>
          <w:rStyle w:val="Hipervnculo"/>
          <w:sz w:val="19"/>
          <w:szCs w:val="19"/>
          <w:lang w:val="en-US"/>
        </w:rPr>
        <w:fldChar w:fldCharType="end"/>
      </w:r>
    </w:p>
    <w:p w14:paraId="05D89C1B" w14:textId="640CFFC0" w:rsidR="003B1517" w:rsidRDefault="00B77C0F" w:rsidP="00F657E9">
      <w:pPr>
        <w:pStyle w:val="Nivel1"/>
        <w:keepNext/>
        <w:spacing w:before="0" w:after="0"/>
      </w:pPr>
      <w:r w:rsidRPr="003B1517">
        <w:rPr>
          <w:b/>
          <w:bCs/>
          <w:i/>
          <w:iCs/>
        </w:rPr>
        <w:t>Enganche</w:t>
      </w:r>
      <w:r>
        <w:t>:</w:t>
      </w:r>
    </w:p>
    <w:p w14:paraId="61BC5ADD" w14:textId="477D73E6" w:rsidR="009A5497" w:rsidRDefault="009808CE" w:rsidP="009808CE">
      <w:pPr>
        <w:pStyle w:val="Nivel2"/>
        <w:keepNext/>
        <w:spacing w:after="0"/>
      </w:pPr>
      <w:r>
        <w:t>En la segunda mitad del siglo</w:t>
      </w:r>
      <w:r w:rsidR="00C455F7">
        <w:t> </w:t>
      </w:r>
      <w:r>
        <w:t xml:space="preserve">XX se han producido </w:t>
      </w:r>
      <w:r w:rsidR="00C455F7">
        <w:t>2 </w:t>
      </w:r>
      <w:r>
        <w:t>hechos fundamentales que vamos a abordar en la presente exposición:</w:t>
      </w:r>
    </w:p>
    <w:p w14:paraId="703C36C0" w14:textId="1D61318D" w:rsidR="009808CE" w:rsidRDefault="009808CE">
      <w:pPr>
        <w:pStyle w:val="Prrafodelista"/>
        <w:keepNext/>
        <w:numPr>
          <w:ilvl w:val="0"/>
          <w:numId w:val="8"/>
        </w:numPr>
        <w:spacing w:after="0"/>
        <w:ind w:left="1560" w:hanging="284"/>
      </w:pPr>
      <w:r>
        <w:t>En primer lugar, ha tenido lugar una mayor integración comercial y financiera a raíz de la segunda globalización.</w:t>
      </w:r>
    </w:p>
    <w:p w14:paraId="34B6B34F" w14:textId="30E595C2" w:rsidR="009808CE" w:rsidRDefault="009808CE" w:rsidP="009808CE">
      <w:pPr>
        <w:pStyle w:val="Nivel4"/>
      </w:pPr>
      <w:r>
        <w:t xml:space="preserve">En efecto, los países actualmente son mucho más abiertos al comercio y a los capitales extranjeros y esto se hizo evidente en la crisis del COVID, donde en </w:t>
      </w:r>
      <w:r>
        <w:lastRenderedPageBreak/>
        <w:t>marzo y abril de 2020 asistimos a unos flujos de capital sin precedentes desde países en desarrollo hacia países desarrollados</w:t>
      </w:r>
      <w:r w:rsidR="00A9399D">
        <w:rPr>
          <w:rStyle w:val="Refdenotaalpie"/>
        </w:rPr>
        <w:footnoteReference w:id="2"/>
      </w:r>
      <w:r>
        <w:t>.</w:t>
      </w:r>
    </w:p>
    <w:p w14:paraId="3DA8DBBF" w14:textId="4AC11DC6" w:rsidR="009808CE" w:rsidRDefault="009808CE">
      <w:pPr>
        <w:pStyle w:val="Prrafodelista"/>
        <w:keepNext/>
        <w:numPr>
          <w:ilvl w:val="0"/>
          <w:numId w:val="8"/>
        </w:numPr>
        <w:spacing w:after="0"/>
        <w:ind w:left="1560" w:hanging="284"/>
      </w:pPr>
      <w:r>
        <w:t>En segundo lugar, esta mayor globalización implica que las políticas económicas n</w:t>
      </w:r>
      <w:r w:rsidR="00E272DD">
        <w:t>o </w:t>
      </w:r>
      <w:r>
        <w:t>s</w:t>
      </w:r>
      <w:r w:rsidR="008D01B1">
        <w:t>ó</w:t>
      </w:r>
      <w:r>
        <w:t>lo afectan al país que la</w:t>
      </w:r>
      <w:r w:rsidR="008D01B1">
        <w:t>s</w:t>
      </w:r>
      <w:r>
        <w:t xml:space="preserve"> realiza sino a otros países a través de varios canales.</w:t>
      </w:r>
    </w:p>
    <w:p w14:paraId="35492130" w14:textId="554CC086" w:rsidR="009808CE" w:rsidRPr="00E272DD" w:rsidRDefault="009808CE" w:rsidP="003B6BBD">
      <w:pPr>
        <w:pStyle w:val="Nivel4"/>
        <w:keepNext/>
        <w:rPr>
          <w:spacing w:val="-1"/>
        </w:rPr>
      </w:pPr>
      <w:r w:rsidRPr="00E272DD">
        <w:rPr>
          <w:spacing w:val="-1"/>
        </w:rPr>
        <w:t xml:space="preserve">Estos </w:t>
      </w:r>
      <w:r w:rsidRPr="00E272DD">
        <w:rPr>
          <w:i/>
          <w:iCs/>
          <w:spacing w:val="-1"/>
        </w:rPr>
        <w:t>spillovers</w:t>
      </w:r>
      <w:r w:rsidRPr="00E272DD">
        <w:rPr>
          <w:spacing w:val="-1"/>
        </w:rPr>
        <w:t xml:space="preserve"> de la política económica podrían justificar </w:t>
      </w:r>
      <w:r w:rsidR="004969E1" w:rsidRPr="00E272DD">
        <w:rPr>
          <w:spacing w:val="-1"/>
        </w:rPr>
        <w:t>su</w:t>
      </w:r>
      <w:r w:rsidRPr="00E272DD">
        <w:rPr>
          <w:spacing w:val="-1"/>
        </w:rPr>
        <w:t xml:space="preserve"> coordinación</w:t>
      </w:r>
      <w:r w:rsidR="003B6BBD" w:rsidRPr="00E272DD">
        <w:rPr>
          <w:spacing w:val="-1"/>
        </w:rPr>
        <w:t>, ya que:</w:t>
      </w:r>
    </w:p>
    <w:p w14:paraId="740A9932" w14:textId="03F6236A" w:rsidR="003B6BBD" w:rsidRDefault="003B6BBD">
      <w:pPr>
        <w:pStyle w:val="Prrafodelista"/>
        <w:numPr>
          <w:ilvl w:val="0"/>
          <w:numId w:val="10"/>
        </w:numPr>
        <w:spacing w:after="0"/>
        <w:ind w:left="2269" w:hanging="284"/>
      </w:pPr>
      <w:r>
        <w:t>Altera la eficacia de la política económica doméstica.</w:t>
      </w:r>
    </w:p>
    <w:p w14:paraId="14B94BA3" w14:textId="69480689" w:rsidR="003B6BBD" w:rsidRDefault="003B6BBD">
      <w:pPr>
        <w:pStyle w:val="Prrafodelista"/>
        <w:numPr>
          <w:ilvl w:val="0"/>
          <w:numId w:val="10"/>
        </w:numPr>
        <w:spacing w:after="0"/>
        <w:ind w:left="2269" w:hanging="284"/>
      </w:pPr>
      <w:r>
        <w:t>Limita el grado de autonomía de la política económica.</w:t>
      </w:r>
    </w:p>
    <w:p w14:paraId="0B2FB2C1" w14:textId="3639A3EF" w:rsidR="003B6BBD" w:rsidRDefault="003B6BBD">
      <w:pPr>
        <w:pStyle w:val="Prrafodelista"/>
        <w:numPr>
          <w:ilvl w:val="0"/>
          <w:numId w:val="10"/>
        </w:numPr>
        <w:spacing w:after="0"/>
        <w:ind w:left="2269" w:hanging="284"/>
      </w:pPr>
      <w:r>
        <w:t>Desemboca en resultados subóptimos si se actúa de forma independiente</w:t>
      </w:r>
      <w:r w:rsidR="00E34041">
        <w:rPr>
          <w:rStyle w:val="Refdenotaalpie"/>
        </w:rPr>
        <w:footnoteReference w:id="3"/>
      </w:r>
      <w:r w:rsidR="00461E8E">
        <w:t>.</w:t>
      </w:r>
    </w:p>
    <w:p w14:paraId="18151E01" w14:textId="26A8728A" w:rsidR="009808CE" w:rsidRDefault="009808CE" w:rsidP="009808CE">
      <w:pPr>
        <w:pStyle w:val="Nivel2"/>
        <w:keepNext/>
        <w:spacing w:after="0"/>
      </w:pPr>
      <w:r w:rsidRPr="009808CE">
        <w:rPr>
          <w:i/>
          <w:iCs/>
        </w:rPr>
        <w:t>En esta exposición</w:t>
      </w:r>
      <w:r>
        <w:t>, vamos a abordar la cuestión de la deseabilidad de la coordinación internacional de las políticas económicas.</w:t>
      </w:r>
    </w:p>
    <w:p w14:paraId="273EE2D7" w14:textId="38D8EBAC" w:rsidR="009808CE" w:rsidRDefault="009808CE" w:rsidP="009808CE">
      <w:pPr>
        <w:pStyle w:val="Nivel3"/>
      </w:pPr>
      <w:r>
        <w:t xml:space="preserve">La </w:t>
      </w:r>
      <w:r w:rsidRPr="009808CE">
        <w:rPr>
          <w:b/>
          <w:bCs/>
        </w:rPr>
        <w:t>coordinación</w:t>
      </w:r>
      <w:r>
        <w:t xml:space="preserve"> puede definirse como la </w:t>
      </w:r>
      <w:r>
        <w:rPr>
          <w:i/>
          <w:iCs/>
        </w:rPr>
        <w:t>forma más rigurosa de cooperación</w:t>
      </w:r>
      <w:r w:rsidR="00F3015F">
        <w:rPr>
          <w:rStyle w:val="Refdenotaalpie"/>
        </w:rPr>
        <w:footnoteReference w:id="4"/>
      </w:r>
      <w:r>
        <w:t>, pues comprende modificaciones mutuamente acordadas en las políticas nacionales de los países que participen en ella.</w:t>
      </w:r>
    </w:p>
    <w:p w14:paraId="68093026" w14:textId="5FFA93EB" w:rsidR="009808CE" w:rsidRDefault="009808CE" w:rsidP="009808CE">
      <w:pPr>
        <w:pStyle w:val="Nivel3"/>
        <w:keepNext/>
      </w:pPr>
      <w:r>
        <w:t>Podemos clasificar la coordinación en función de:</w:t>
      </w:r>
    </w:p>
    <w:p w14:paraId="27BCEB88" w14:textId="6368934E" w:rsidR="009808CE" w:rsidRDefault="009808CE" w:rsidP="009808CE">
      <w:pPr>
        <w:pStyle w:val="Nivel4"/>
        <w:keepNext/>
      </w:pPr>
      <w:r>
        <w:t>Si es puntual o permanente:</w:t>
      </w:r>
    </w:p>
    <w:p w14:paraId="2B098A1F" w14:textId="6BAF99AA" w:rsidR="009808CE" w:rsidRDefault="009808CE" w:rsidP="009808CE">
      <w:pPr>
        <w:pStyle w:val="Nivel5"/>
      </w:pPr>
      <w:r>
        <w:t xml:space="preserve">Por un lado, la coordinación puede implicar una vinculación explícita con un cierto grado de permanencia asumida </w:t>
      </w:r>
      <w:r w:rsidRPr="003B6BBD">
        <w:rPr>
          <w:sz w:val="19"/>
          <w:szCs w:val="19"/>
        </w:rPr>
        <w:t>(p.ej. fijación de un tipo de cambio en el contexto de Bretton Woods)</w:t>
      </w:r>
      <w:r>
        <w:t>.</w:t>
      </w:r>
    </w:p>
    <w:p w14:paraId="16E8AF8C" w14:textId="7C83AD5D" w:rsidR="009808CE" w:rsidRDefault="009808CE" w:rsidP="009808CE">
      <w:pPr>
        <w:pStyle w:val="Nivel5"/>
      </w:pPr>
      <w:r>
        <w:t xml:space="preserve">Por otro lado, la coordinación puede hacer referencia a una acción puntual </w:t>
      </w:r>
      <w:r w:rsidRPr="003B6BBD">
        <w:rPr>
          <w:sz w:val="19"/>
          <w:szCs w:val="19"/>
        </w:rPr>
        <w:t>(p.ej. la realización de una expansión fiscal conjunta tras la cumbre del G-20 en 2009)</w:t>
      </w:r>
      <w:r>
        <w:t>.</w:t>
      </w:r>
    </w:p>
    <w:p w14:paraId="508EA0A4" w14:textId="00F50758" w:rsidR="009808CE" w:rsidRDefault="009808CE" w:rsidP="009808CE">
      <w:pPr>
        <w:pStyle w:val="Nivel4"/>
        <w:keepNext/>
      </w:pPr>
      <w:r>
        <w:t>Si hace referencia a políticas de demanda o a políticas de oferta:</w:t>
      </w:r>
    </w:p>
    <w:p w14:paraId="5327678D" w14:textId="596A87BD" w:rsidR="009808CE" w:rsidRDefault="00BF5604" w:rsidP="009808CE">
      <w:pPr>
        <w:pStyle w:val="Nivel5"/>
      </w:pPr>
      <w:r>
        <w:t xml:space="preserve">La coordinación internacional de políticas puede ser de políticas de demanda </w:t>
      </w:r>
      <w:r w:rsidRPr="003B6BBD">
        <w:rPr>
          <w:sz w:val="19"/>
          <w:szCs w:val="19"/>
        </w:rPr>
        <w:t>(p.ej. política fiscal o política monetaria)</w:t>
      </w:r>
      <w:r>
        <w:t>.</w:t>
      </w:r>
    </w:p>
    <w:p w14:paraId="07180CD4" w14:textId="43F1BD24" w:rsidR="00BF5604" w:rsidRDefault="00BF5604" w:rsidP="00F04D1D">
      <w:pPr>
        <w:pStyle w:val="Nivel5"/>
        <w:keepNext/>
      </w:pPr>
      <w:r>
        <w:t xml:space="preserve">Sin embargo, también puede ser para políticas de oferta </w:t>
      </w:r>
      <w:r w:rsidRPr="003B6BBD">
        <w:rPr>
          <w:sz w:val="19"/>
          <w:szCs w:val="19"/>
        </w:rPr>
        <w:t>(p.ej. la liberalización comercial en el seno de la OMC)</w:t>
      </w:r>
      <w:r>
        <w:t>.</w:t>
      </w:r>
    </w:p>
    <w:p w14:paraId="4CAFF44D" w14:textId="4EE0382E" w:rsidR="00BF5604" w:rsidRDefault="00BF5604" w:rsidP="00BF5604">
      <w:pPr>
        <w:pStyle w:val="Nivel6"/>
      </w:pPr>
      <w:r>
        <w:t>En esta exposición nos centraremos en la coordinación internacional de las políticas de demanda.</w:t>
      </w:r>
    </w:p>
    <w:p w14:paraId="0CBD641B" w14:textId="5B81CF87" w:rsidR="003B1517" w:rsidRDefault="003B1517" w:rsidP="003B1517">
      <w:pPr>
        <w:pStyle w:val="Nivel1"/>
        <w:keepNext/>
        <w:spacing w:after="0"/>
      </w:pPr>
      <w:r>
        <w:rPr>
          <w:b/>
          <w:bCs/>
          <w:i/>
          <w:iCs/>
        </w:rPr>
        <w:t>Relevancia</w:t>
      </w:r>
      <w:r>
        <w:t>:</w:t>
      </w:r>
    </w:p>
    <w:p w14:paraId="1E03518D" w14:textId="77777777" w:rsidR="003B1517" w:rsidRPr="003B1517" w:rsidRDefault="003B1517" w:rsidP="003B1517">
      <w:pPr>
        <w:pStyle w:val="Nivel2"/>
      </w:pPr>
    </w:p>
    <w:p w14:paraId="1BC19BCD" w14:textId="48EFED71" w:rsidR="00A51B24" w:rsidRDefault="003B1517" w:rsidP="003B1517">
      <w:pPr>
        <w:pStyle w:val="Nivel1"/>
        <w:keepNext/>
        <w:spacing w:after="0"/>
      </w:pPr>
      <w:r w:rsidRPr="003B1517">
        <w:rPr>
          <w:b/>
          <w:bCs/>
          <w:i/>
          <w:iCs/>
        </w:rPr>
        <w:lastRenderedPageBreak/>
        <w:t>Contextualización</w:t>
      </w:r>
      <w:r w:rsidR="00A51B24">
        <w:t>:</w:t>
      </w:r>
    </w:p>
    <w:p w14:paraId="3774E9AF" w14:textId="30E58A7F" w:rsidR="00675C7C" w:rsidRDefault="009808CE" w:rsidP="009808CE">
      <w:pPr>
        <w:pStyle w:val="Nivel2"/>
        <w:keepNext/>
        <w:spacing w:after="0"/>
      </w:pPr>
      <w:r>
        <w:rPr>
          <w:i/>
          <w:iCs/>
        </w:rPr>
        <w:t>Desde un punto de vista histórico</w:t>
      </w:r>
      <w:r>
        <w:t>,</w:t>
      </w:r>
    </w:p>
    <w:p w14:paraId="2F690343" w14:textId="511124A4" w:rsidR="00E32D86" w:rsidRPr="00E32D86" w:rsidRDefault="009808CE" w:rsidP="00BD54B0">
      <w:pPr>
        <w:pStyle w:val="Nivel3"/>
        <w:keepNext/>
        <w:keepLines/>
        <w:rPr>
          <w:spacing w:val="-2"/>
        </w:rPr>
      </w:pPr>
      <w:r w:rsidRPr="00E32D86">
        <w:rPr>
          <w:spacing w:val="-2"/>
        </w:rPr>
        <w:t xml:space="preserve">Una de las primeras aportaciones fue en contra de dicha coordinación. </w:t>
      </w:r>
      <w:r w:rsidRPr="00E32D86">
        <w:rPr>
          <w:smallCaps/>
          <w:spacing w:val="-2"/>
        </w:rPr>
        <w:t>Milton Friedman</w:t>
      </w:r>
      <w:r w:rsidRPr="00E32D86">
        <w:rPr>
          <w:spacing w:val="-2"/>
        </w:rPr>
        <w:t xml:space="preserve">, en su ensayo </w:t>
      </w:r>
      <w:proofErr w:type="spellStart"/>
      <w:r w:rsidRPr="00E32D86">
        <w:rPr>
          <w:i/>
          <w:iCs/>
          <w:spacing w:val="-2"/>
        </w:rPr>
        <w:t>The</w:t>
      </w:r>
      <w:proofErr w:type="spellEnd"/>
      <w:r w:rsidRPr="00E32D86">
        <w:rPr>
          <w:i/>
          <w:iCs/>
          <w:spacing w:val="-2"/>
        </w:rPr>
        <w:t xml:space="preserve"> Case </w:t>
      </w:r>
      <w:proofErr w:type="spellStart"/>
      <w:r w:rsidRPr="00E32D86">
        <w:rPr>
          <w:i/>
          <w:iCs/>
          <w:spacing w:val="-2"/>
        </w:rPr>
        <w:t>for</w:t>
      </w:r>
      <w:proofErr w:type="spellEnd"/>
      <w:r w:rsidRPr="00E32D86">
        <w:rPr>
          <w:i/>
          <w:iCs/>
          <w:spacing w:val="-2"/>
        </w:rPr>
        <w:t xml:space="preserve"> Flexible Exchange Rates</w:t>
      </w:r>
      <w:r w:rsidRPr="00E32D86">
        <w:rPr>
          <w:spacing w:val="-2"/>
        </w:rPr>
        <w:t xml:space="preserve"> </w:t>
      </w:r>
      <w:r w:rsidR="006532D2" w:rsidRPr="00E32D86">
        <w:rPr>
          <w:spacing w:val="-2"/>
        </w:rPr>
        <w:t xml:space="preserve">(1969) </w:t>
      </w:r>
      <w:r w:rsidRPr="00E32D86">
        <w:rPr>
          <w:spacing w:val="-2"/>
        </w:rPr>
        <w:t>sostuvo que se podía confiar en las fuerzas del mercado para conseguir resultados deseables sin necesidad de, por ejemplo, una coordinación de política económica vía tipos de cambio fijos</w:t>
      </w:r>
      <w:r w:rsidR="001147E2">
        <w:rPr>
          <w:rStyle w:val="Refdenotaalpie"/>
          <w:spacing w:val="-2"/>
        </w:rPr>
        <w:footnoteReference w:id="5"/>
      </w:r>
      <w:r w:rsidRPr="00E32D86">
        <w:rPr>
          <w:spacing w:val="-2"/>
        </w:rPr>
        <w:t>.</w:t>
      </w:r>
    </w:p>
    <w:p w14:paraId="70FF0792" w14:textId="389B0DB1" w:rsidR="009808CE" w:rsidRDefault="009808CE" w:rsidP="00E32D86">
      <w:pPr>
        <w:pStyle w:val="Nivel4"/>
      </w:pPr>
      <w:r>
        <w:t xml:space="preserve">Los movimientos del tipo de cambio para </w:t>
      </w:r>
      <w:r>
        <w:rPr>
          <w:smallCaps/>
        </w:rPr>
        <w:t>Friedman</w:t>
      </w:r>
      <w:r>
        <w:t xml:space="preserve"> podrían ser una forma de ajustar diversos </w:t>
      </w:r>
      <w:r>
        <w:rPr>
          <w:i/>
          <w:iCs/>
        </w:rPr>
        <w:t>shocks</w:t>
      </w:r>
      <w:r>
        <w:t>, de tal manera que dejando al tipo de cambio fluctuar, no era necesaria una coordinación entre países.</w:t>
      </w:r>
    </w:p>
    <w:p w14:paraId="04AA2B2C" w14:textId="0B1A2BB5" w:rsidR="009808CE" w:rsidRPr="009808CE" w:rsidRDefault="009808CE" w:rsidP="009808CE">
      <w:pPr>
        <w:pStyle w:val="Nivel3"/>
      </w:pPr>
      <w:r>
        <w:t>En contraposición, economistas de corte keynesiano sí van a encontrar justificaciones teóricas para explotar dicha coordinación.</w:t>
      </w:r>
    </w:p>
    <w:p w14:paraId="3F2F8042" w14:textId="16F927F0" w:rsidR="003B1517" w:rsidRDefault="00B77C0F" w:rsidP="003B1517">
      <w:pPr>
        <w:pStyle w:val="Nivel1"/>
        <w:keepNext/>
        <w:spacing w:after="0"/>
      </w:pPr>
      <w:r w:rsidRPr="003B1517">
        <w:rPr>
          <w:b/>
          <w:bCs/>
          <w:i/>
          <w:iCs/>
        </w:rPr>
        <w:t>Problemática</w:t>
      </w:r>
      <w:r w:rsidR="003B1517" w:rsidRPr="003B1517">
        <w:rPr>
          <w:b/>
          <w:bCs/>
          <w:i/>
          <w:iCs/>
        </w:rPr>
        <w:t xml:space="preserve"> (Preguntas clave)</w:t>
      </w:r>
      <w:r w:rsidRPr="000A3137">
        <w:t>:</w:t>
      </w:r>
    </w:p>
    <w:p w14:paraId="470735C5" w14:textId="3FAA3E2C" w:rsidR="00483D1A" w:rsidRDefault="00483D1A" w:rsidP="00483D1A">
      <w:pPr>
        <w:pStyle w:val="Nivel2"/>
        <w:keepNext/>
        <w:spacing w:after="0"/>
      </w:pPr>
      <w:r>
        <w:t>¿Cómo se justifica la necesidad de coordinación de políticas macroeconómicas?</w:t>
      </w:r>
    </w:p>
    <w:p w14:paraId="38D9D72E" w14:textId="382D0CF7" w:rsidR="00F26527" w:rsidRDefault="00483D1A" w:rsidP="00483D1A">
      <w:pPr>
        <w:pStyle w:val="Nivel3"/>
      </w:pPr>
      <w:r>
        <w:t>¿</w:t>
      </w:r>
      <w:r w:rsidR="00F26527">
        <w:t>Cuándo deben coordinarse las políticas macroeconómicas?</w:t>
      </w:r>
    </w:p>
    <w:p w14:paraId="1820E1DF" w14:textId="77777777" w:rsidR="00F26527" w:rsidRDefault="00F26527" w:rsidP="00483D1A">
      <w:pPr>
        <w:pStyle w:val="Nivel3"/>
      </w:pPr>
      <w:r>
        <w:t>¿Cómo pueden coordinarse las políticas macroeconómicas?</w:t>
      </w:r>
    </w:p>
    <w:p w14:paraId="4085D98A" w14:textId="77777777" w:rsidR="00F26527" w:rsidRDefault="00F26527" w:rsidP="00483D1A">
      <w:pPr>
        <w:pStyle w:val="Nivel2"/>
        <w:keepNext/>
        <w:spacing w:after="0"/>
      </w:pPr>
      <w:r>
        <w:t>¿En qué contextos es deseable la cooperación macroeconómica?</w:t>
      </w:r>
    </w:p>
    <w:p w14:paraId="69F75F71" w14:textId="77777777" w:rsidR="00F26527" w:rsidRDefault="00F26527" w:rsidP="00483D1A">
      <w:pPr>
        <w:pStyle w:val="Nivel3"/>
      </w:pPr>
      <w:r>
        <w:t>¿De qué factores depende que la cooperación macroeconómica sea deseable?</w:t>
      </w:r>
    </w:p>
    <w:p w14:paraId="521569DC" w14:textId="77777777" w:rsidR="00F26527" w:rsidRDefault="00F26527" w:rsidP="00F26527">
      <w:pPr>
        <w:pStyle w:val="Nivel2"/>
      </w:pPr>
      <w:r>
        <w:t>¿En qué situaciones no es deseable la cooperación macroeconómica?</w:t>
      </w:r>
    </w:p>
    <w:p w14:paraId="0FEAD9DA" w14:textId="1A8B07C6" w:rsidR="00A42628" w:rsidRPr="000A3137" w:rsidRDefault="00F26527" w:rsidP="00F26527">
      <w:pPr>
        <w:pStyle w:val="Nivel2"/>
      </w:pPr>
      <w:r>
        <w:t>¿En qué momentos se han coordinado?</w:t>
      </w:r>
    </w:p>
    <w:p w14:paraId="3FB43D0A" w14:textId="2AC33508" w:rsidR="00A42628" w:rsidRPr="000A3137" w:rsidRDefault="003B1517" w:rsidP="003B1517">
      <w:pPr>
        <w:pStyle w:val="Nivel1"/>
        <w:keepNext/>
        <w:spacing w:after="0"/>
      </w:pPr>
      <w:r w:rsidRPr="003B1517">
        <w:rPr>
          <w:b/>
          <w:bCs/>
          <w:i/>
          <w:iCs/>
        </w:rPr>
        <w:lastRenderedPageBreak/>
        <w:t>Estructura</w:t>
      </w:r>
      <w:r w:rsidR="00B77C0F" w:rsidRPr="000A3137">
        <w:t>:</w:t>
      </w:r>
    </w:p>
    <w:tbl>
      <w:tblPr>
        <w:tblStyle w:val="Tablaconcuadrcula"/>
        <w:tblW w:w="9354" w:type="dxa"/>
        <w:tblInd w:w="846" w:type="dxa"/>
        <w:tblLook w:val="04A0" w:firstRow="1" w:lastRow="0" w:firstColumn="1" w:lastColumn="0" w:noHBand="0" w:noVBand="1"/>
      </w:tblPr>
      <w:tblGrid>
        <w:gridCol w:w="9354"/>
      </w:tblGrid>
      <w:tr w:rsidR="0021774E" w14:paraId="729574F6" w14:textId="77777777" w:rsidTr="00F33AC7">
        <w:trPr>
          <w:hidden/>
        </w:trPr>
        <w:tc>
          <w:tcPr>
            <w:tcW w:w="9354"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3A7AAD46" w14:textId="77777777" w:rsidR="0081544B" w:rsidRPr="00CD1668" w:rsidRDefault="0081544B" w:rsidP="00CD1668">
      <w:pPr>
        <w:spacing w:after="0"/>
        <w:jc w:val="left"/>
        <w:rPr>
          <w:sz w:val="2"/>
          <w:szCs w:val="2"/>
          <w:highlight w:val="lightGray"/>
        </w:rPr>
      </w:pPr>
      <w:r w:rsidRPr="00CD1668">
        <w:rPr>
          <w:sz w:val="2"/>
          <w:szCs w:val="2"/>
          <w:highlight w:val="lightGray"/>
        </w:rPr>
        <w:br w:type="page"/>
      </w:r>
    </w:p>
    <w:p w14:paraId="6F921CCC" w14:textId="23A2DBCF" w:rsidR="00711F29" w:rsidRDefault="00711F29" w:rsidP="00711F29">
      <w:pPr>
        <w:pStyle w:val="Ttulo1"/>
      </w:pPr>
      <w:bookmarkStart w:id="5" w:name="_Toc173970566"/>
      <w:r>
        <w:lastRenderedPageBreak/>
        <w:t>ANÁLISIS TEÓRICO: SPILLOVERS Y DESEABILIDAD DE LA COORDINACIÓN</w:t>
      </w:r>
      <w:bookmarkEnd w:id="5"/>
    </w:p>
    <w:p w14:paraId="454AB71C" w14:textId="4A67D840" w:rsidR="007F7398" w:rsidRPr="007F7398" w:rsidRDefault="007F7398" w:rsidP="007F7398">
      <w:pPr>
        <w:pStyle w:val="Nivel1SM"/>
        <w:spacing w:before="0"/>
      </w:pPr>
      <w:r>
        <w:t>En esta sección consideraremos la justificación y la deseabilidad de la coordinación internacional de las políticas macroeconómicas.</w:t>
      </w:r>
    </w:p>
    <w:p w14:paraId="541741DC" w14:textId="5AE29BA4" w:rsidR="00E304C3" w:rsidRDefault="005B4C3B" w:rsidP="008F49BA">
      <w:pPr>
        <w:pStyle w:val="Ttulo2"/>
      </w:pPr>
      <w:bookmarkStart w:id="6" w:name="_Toc173970567"/>
      <w:r w:rsidRPr="007F7398">
        <w:t>Justificación de la coordinación internacional</w:t>
      </w:r>
      <w:r w:rsidR="007F7398" w:rsidRPr="007F7398">
        <w:t xml:space="preserve"> de las políticas macroeconómicas.</w:t>
      </w:r>
      <w:r w:rsidR="00E304C3" w:rsidRPr="007F7398">
        <w:br/>
      </w:r>
      <w:r w:rsidRPr="007F7398">
        <w:t xml:space="preserve">Condición </w:t>
      </w:r>
      <w:r w:rsidR="005A2451" w:rsidRPr="007F7398">
        <w:t>necesaria</w:t>
      </w:r>
      <w:r w:rsidRPr="007F7398">
        <w:t xml:space="preserve">: </w:t>
      </w:r>
      <w:r w:rsidR="00100B7B" w:rsidRPr="007F7398">
        <w:t>Efectos desbordamiento</w:t>
      </w:r>
      <w:r w:rsidRPr="007F7398">
        <w:t>.</w:t>
      </w:r>
      <w:bookmarkEnd w:id="6"/>
    </w:p>
    <w:p w14:paraId="05BE805E" w14:textId="0E76DA66" w:rsidR="007F7398" w:rsidRDefault="007F7398" w:rsidP="007F7398">
      <w:pPr>
        <w:pStyle w:val="Nivel1SM"/>
        <w:keepNext/>
        <w:spacing w:before="0" w:after="0"/>
      </w:pPr>
      <w:r>
        <w:t>Existen 2 motivos principales por los que la coordinación de políticas macroeconómicas puede ser justificada:</w:t>
      </w:r>
    </w:p>
    <w:p w14:paraId="5F160520" w14:textId="1F0EB3D9" w:rsidR="007F7398" w:rsidRDefault="007F7398">
      <w:pPr>
        <w:pStyle w:val="Prrafodelista"/>
        <w:numPr>
          <w:ilvl w:val="0"/>
          <w:numId w:val="34"/>
        </w:numPr>
        <w:spacing w:after="100"/>
        <w:ind w:left="567" w:hanging="113"/>
      </w:pPr>
      <w:r>
        <w:t>Efectos desbordamiento (</w:t>
      </w:r>
      <w:r w:rsidRPr="007F7398">
        <w:rPr>
          <w:i/>
          <w:iCs/>
        </w:rPr>
        <w:t>policy</w:t>
      </w:r>
      <w:r>
        <w:t xml:space="preserve"> </w:t>
      </w:r>
      <w:r>
        <w:rPr>
          <w:i/>
          <w:iCs/>
        </w:rPr>
        <w:t>spillovers</w:t>
      </w:r>
      <w:r>
        <w:t>); y</w:t>
      </w:r>
    </w:p>
    <w:p w14:paraId="0F317F96" w14:textId="4B1DCE57" w:rsidR="007F7398" w:rsidRPr="007F7398" w:rsidRDefault="007F7398">
      <w:pPr>
        <w:pStyle w:val="Prrafodelista"/>
        <w:numPr>
          <w:ilvl w:val="0"/>
          <w:numId w:val="34"/>
        </w:numPr>
        <w:spacing w:after="100"/>
        <w:ind w:left="567" w:hanging="113"/>
      </w:pPr>
      <w:r w:rsidRPr="007F7398">
        <w:t>Promover la mutualización de riesgos internacionales (</w:t>
      </w:r>
      <w:proofErr w:type="spellStart"/>
      <w:r w:rsidRPr="007F7398">
        <w:rPr>
          <w:i/>
          <w:iCs/>
        </w:rPr>
        <w:t>international</w:t>
      </w:r>
      <w:proofErr w:type="spellEnd"/>
      <w:r w:rsidRPr="007F7398">
        <w:rPr>
          <w:i/>
          <w:iCs/>
        </w:rPr>
        <w:t xml:space="preserve"> </w:t>
      </w:r>
      <w:proofErr w:type="spellStart"/>
      <w:r w:rsidRPr="007F7398">
        <w:rPr>
          <w:i/>
          <w:iCs/>
        </w:rPr>
        <w:t>risk</w:t>
      </w:r>
      <w:proofErr w:type="spellEnd"/>
      <w:r w:rsidRPr="007F7398">
        <w:rPr>
          <w:i/>
          <w:iCs/>
        </w:rPr>
        <w:t xml:space="preserve"> </w:t>
      </w:r>
      <w:proofErr w:type="spellStart"/>
      <w:r w:rsidRPr="007F7398">
        <w:rPr>
          <w:i/>
          <w:iCs/>
        </w:rPr>
        <w:t>sharing</w:t>
      </w:r>
      <w:proofErr w:type="spellEnd"/>
      <w:r w:rsidRPr="007F7398">
        <w:t>).</w:t>
      </w:r>
    </w:p>
    <w:p w14:paraId="396FA456" w14:textId="77777777" w:rsidR="007F7398" w:rsidRDefault="007F7398" w:rsidP="007F7398">
      <w:pPr>
        <w:pStyle w:val="Nivel1SM"/>
        <w:keepNext/>
        <w:spacing w:after="0"/>
        <w:rPr>
          <w:lang w:val="en-US"/>
        </w:rPr>
      </w:pPr>
      <w:r w:rsidRPr="007F7398">
        <w:rPr>
          <w:lang w:val="en-US"/>
        </w:rPr>
        <w:t>One motivation for policy coordin</w:t>
      </w:r>
      <w:r>
        <w:rPr>
          <w:lang w:val="en-US"/>
        </w:rPr>
        <w:t>ation is the possibility that the effects of policy spill over national borders to affect the macroeconomies of trading partners.</w:t>
      </w:r>
    </w:p>
    <w:p w14:paraId="38AE1C97" w14:textId="61970E55" w:rsidR="007F7398" w:rsidRDefault="007F7398" w:rsidP="002A6CFF">
      <w:pPr>
        <w:pStyle w:val="Nivel2SM"/>
        <w:keepNext/>
        <w:spacing w:after="0"/>
        <w:rPr>
          <w:lang w:val="en-US"/>
        </w:rPr>
      </w:pPr>
      <w:r>
        <w:rPr>
          <w:lang w:val="en-US"/>
        </w:rPr>
        <w:t xml:space="preserve">For example, suppose there is a global shock that lowers global demand below some desirable level, such as a wave of pessimistic expectations that lowers investment expenditure. This might be undesirable, to the degree the excess inventories may lead to recession, with a scaling back of production and lower levels of employment. Keynesian theory indicates that </w:t>
      </w:r>
      <w:proofErr w:type="gramStart"/>
      <w:r>
        <w:rPr>
          <w:lang w:val="en-US"/>
        </w:rPr>
        <w:t>one way</w:t>
      </w:r>
      <w:proofErr w:type="gramEnd"/>
      <w:r>
        <w:rPr>
          <w:lang w:val="en-US"/>
        </w:rPr>
        <w:t xml:space="preserve"> policymakers can combat such a shortfall</w:t>
      </w:r>
      <w:r w:rsidR="00C0213F">
        <w:rPr>
          <w:lang w:val="en-US"/>
        </w:rPr>
        <w:t xml:space="preserve"> in demand is through expansionary </w:t>
      </w:r>
      <w:r w:rsidR="00C0213F" w:rsidRPr="002A6CFF">
        <w:rPr>
          <w:i/>
          <w:iCs/>
          <w:u w:val="single"/>
          <w:lang w:val="en-US"/>
        </w:rPr>
        <w:t>fiscal policy</w:t>
      </w:r>
      <w:r w:rsidR="00C0213F">
        <w:rPr>
          <w:lang w:val="en-US"/>
        </w:rPr>
        <w:t>, with a rise in government expenditure or a cut in taxes to stimulate private consumption demand. However, globalization affects this policy prescription. National policymakers may fail to respond if they fear that some of the benefit will leak abroad: a fiscal expansion may lead to a currency appreciation, making domestic goods less competitive than foreign goods. As a result, some of the increase in demand generated by domestic government debt will be used to purchase foreign goods and employ foreign workers.</w:t>
      </w:r>
    </w:p>
    <w:p w14:paraId="333ABFA0" w14:textId="69BD8E1F" w:rsidR="00C0213F" w:rsidRPr="00C0213F" w:rsidRDefault="00C0213F" w:rsidP="002A6CFF">
      <w:pPr>
        <w:pStyle w:val="Nivel3SM"/>
        <w:rPr>
          <w:lang w:val="en-US"/>
        </w:rPr>
      </w:pPr>
      <w:r w:rsidRPr="00C0213F">
        <w:rPr>
          <w:lang w:val="en-US"/>
        </w:rPr>
        <w:t>Coordination of policymakers across countries may provide a way of eliminating the problem created by this externality. If a mechanism of coordination existed to make sure that all countries symmetrically expanded government spending, each government could be reassured that it would benefit from spillovers of demand from abroad, to compensate for the negative spillover of demand leaking abroad. A coordinated global fiscal expansion, the theory says, is an effective</w:t>
      </w:r>
      <w:r>
        <w:rPr>
          <w:lang w:val="en-US"/>
        </w:rPr>
        <w:t xml:space="preserve"> </w:t>
      </w:r>
      <w:r w:rsidRPr="00C0213F">
        <w:rPr>
          <w:lang w:val="en-US"/>
        </w:rPr>
        <w:t>way of combating a global shortfall in demand.</w:t>
      </w:r>
    </w:p>
    <w:p w14:paraId="1BD25EE1" w14:textId="77777777" w:rsidR="00C0213F" w:rsidRDefault="00C0213F" w:rsidP="002A6CFF">
      <w:pPr>
        <w:pStyle w:val="Nivel2SM"/>
        <w:keepNext/>
        <w:spacing w:after="0"/>
        <w:rPr>
          <w:lang w:val="en-US"/>
        </w:rPr>
      </w:pPr>
      <w:r w:rsidRPr="00C0213F">
        <w:rPr>
          <w:lang w:val="en-US"/>
        </w:rPr>
        <w:t xml:space="preserve">Externalities also apply to </w:t>
      </w:r>
      <w:r w:rsidRPr="002A6CFF">
        <w:rPr>
          <w:i/>
          <w:iCs/>
          <w:u w:val="single"/>
          <w:lang w:val="en-US"/>
        </w:rPr>
        <w:t>monetary policy</w:t>
      </w:r>
      <w:r w:rsidRPr="00C0213F">
        <w:rPr>
          <w:lang w:val="en-US"/>
        </w:rPr>
        <w:t xml:space="preserve">. Monetary expansions tend to cause currency depreciations that make domestic goods more competitive compared to foreign goods. The use of such policy to shift demand from foreign goods toward home goods to raise domestic production at the expense of lower foreign production is labelled </w:t>
      </w:r>
      <w:r w:rsidRPr="00C0213F">
        <w:rPr>
          <w:i/>
          <w:iCs/>
          <w:lang w:val="en-US"/>
        </w:rPr>
        <w:t>‘beggar-thy-</w:t>
      </w:r>
      <w:proofErr w:type="spellStart"/>
      <w:r w:rsidRPr="00C0213F">
        <w:rPr>
          <w:i/>
          <w:iCs/>
          <w:lang w:val="en-US"/>
        </w:rPr>
        <w:t>neighbour</w:t>
      </w:r>
      <w:proofErr w:type="spellEnd"/>
      <w:r w:rsidRPr="00C0213F">
        <w:rPr>
          <w:i/>
          <w:iCs/>
          <w:lang w:val="en-US"/>
        </w:rPr>
        <w:t>’</w:t>
      </w:r>
      <w:r w:rsidRPr="00C0213F">
        <w:rPr>
          <w:lang w:val="en-US"/>
        </w:rPr>
        <w:t>. One might imagine repeated rounds of such policies, with each country progressively increasing money supply to regain competitiveness. In the end competing policies will have no net effect on the exchange rate and competitiveness, but the net rise in the money</w:t>
      </w:r>
      <w:r>
        <w:rPr>
          <w:lang w:val="en-US"/>
        </w:rPr>
        <w:t xml:space="preserve"> </w:t>
      </w:r>
      <w:r w:rsidRPr="00C0213F">
        <w:rPr>
          <w:lang w:val="en-US"/>
        </w:rPr>
        <w:t>supply of each country would produce the undesirable outcome of excessive inflation.</w:t>
      </w:r>
    </w:p>
    <w:p w14:paraId="6FFC54F0" w14:textId="2D3B67E2" w:rsidR="00C0213F" w:rsidRPr="00C0213F" w:rsidRDefault="00C0213F" w:rsidP="002A6CFF">
      <w:pPr>
        <w:pStyle w:val="Nivel3SM"/>
        <w:rPr>
          <w:lang w:val="en-US"/>
        </w:rPr>
      </w:pPr>
      <w:r w:rsidRPr="00C0213F">
        <w:rPr>
          <w:lang w:val="en-US"/>
        </w:rPr>
        <w:t>Coordination agreements may commit countries to avoid such policy outcomes; they may agree to forswear beggar-thy-</w:t>
      </w:r>
      <w:proofErr w:type="spellStart"/>
      <w:r w:rsidRPr="00C0213F">
        <w:rPr>
          <w:lang w:val="en-US"/>
        </w:rPr>
        <w:t>neighbour</w:t>
      </w:r>
      <w:proofErr w:type="spellEnd"/>
      <w:r w:rsidRPr="00C0213F">
        <w:rPr>
          <w:lang w:val="en-US"/>
        </w:rPr>
        <w:t xml:space="preserve"> policies if there is a credible commitment from other countries to do the</w:t>
      </w:r>
      <w:r>
        <w:rPr>
          <w:lang w:val="en-US"/>
        </w:rPr>
        <w:t xml:space="preserve"> </w:t>
      </w:r>
      <w:r w:rsidRPr="00C0213F">
        <w:rPr>
          <w:lang w:val="en-US"/>
        </w:rPr>
        <w:t xml:space="preserve">same. </w:t>
      </w:r>
      <w:proofErr w:type="gramStart"/>
      <w:r w:rsidRPr="00C0213F">
        <w:rPr>
          <w:lang w:val="en-US"/>
        </w:rPr>
        <w:t>The end result</w:t>
      </w:r>
      <w:proofErr w:type="gramEnd"/>
      <w:r w:rsidRPr="00C0213F">
        <w:rPr>
          <w:lang w:val="en-US"/>
        </w:rPr>
        <w:t xml:space="preserve"> is a better outcome for all.</w:t>
      </w:r>
    </w:p>
    <w:p w14:paraId="3BC3106B" w14:textId="77777777" w:rsidR="002A6CFF" w:rsidRDefault="00C0213F" w:rsidP="002A6CFF">
      <w:pPr>
        <w:pStyle w:val="Nivel2SM"/>
        <w:keepNext/>
        <w:spacing w:after="0"/>
        <w:rPr>
          <w:lang w:val="en-US"/>
        </w:rPr>
      </w:pPr>
      <w:r w:rsidRPr="00C0213F">
        <w:rPr>
          <w:lang w:val="en-US"/>
        </w:rPr>
        <w:t xml:space="preserve">The spillover argument in </w:t>
      </w:r>
      <w:proofErr w:type="spellStart"/>
      <w:r w:rsidRPr="00C0213F">
        <w:rPr>
          <w:lang w:val="en-US"/>
        </w:rPr>
        <w:t>favour</w:t>
      </w:r>
      <w:proofErr w:type="spellEnd"/>
      <w:r w:rsidRPr="00C0213F">
        <w:rPr>
          <w:lang w:val="en-US"/>
        </w:rPr>
        <w:t xml:space="preserve"> of coordination clearly </w:t>
      </w:r>
      <w:r w:rsidRPr="002A6CFF">
        <w:rPr>
          <w:i/>
          <w:iCs/>
          <w:lang w:val="en-US"/>
        </w:rPr>
        <w:t>depends on the degree to which the private economies are interdependent internationally</w:t>
      </w:r>
      <w:r w:rsidRPr="00C0213F">
        <w:rPr>
          <w:lang w:val="en-US"/>
        </w:rPr>
        <w:t>.</w:t>
      </w:r>
    </w:p>
    <w:p w14:paraId="4B3F813B" w14:textId="77777777" w:rsidR="002A6CFF" w:rsidRDefault="00C0213F" w:rsidP="002A6CFF">
      <w:pPr>
        <w:pStyle w:val="Nivel3SM"/>
        <w:rPr>
          <w:lang w:val="en-US"/>
        </w:rPr>
      </w:pPr>
      <w:r w:rsidRPr="00C0213F">
        <w:rPr>
          <w:lang w:val="en-US"/>
        </w:rPr>
        <w:t>Consider goods market integration. If exports tend to be a small fraction of a country’s GDP, a currency depreciation raising exports a certain percentage will have a small effect on GDP in absolute terms. The international implications of any policy just wouldn’t matter very much.</w:t>
      </w:r>
    </w:p>
    <w:p w14:paraId="56548444" w14:textId="37517698" w:rsidR="00C0213F" w:rsidRPr="00C0213F" w:rsidRDefault="00C0213F" w:rsidP="002A6CFF">
      <w:pPr>
        <w:pStyle w:val="Nivel3SM"/>
        <w:rPr>
          <w:lang w:val="en-US"/>
        </w:rPr>
      </w:pPr>
      <w:r w:rsidRPr="00C0213F">
        <w:rPr>
          <w:lang w:val="en-US"/>
        </w:rPr>
        <w:t xml:space="preserve">Asset market integration also has been found to be important. If asset markets do not view government debt issued by different countries as equivalent, then a fiscal expansion that </w:t>
      </w:r>
      <w:r w:rsidRPr="00C0213F">
        <w:rPr>
          <w:lang w:val="en-US"/>
        </w:rPr>
        <w:lastRenderedPageBreak/>
        <w:t>raises the issue of debt in one currency could cause a currency depreciation rather than an appreciation, reversing the direction of the fiscal spillovers described</w:t>
      </w:r>
      <w:r>
        <w:rPr>
          <w:lang w:val="en-US"/>
        </w:rPr>
        <w:t xml:space="preserve"> </w:t>
      </w:r>
      <w:r w:rsidRPr="00C0213F">
        <w:rPr>
          <w:lang w:val="en-US"/>
        </w:rPr>
        <w:t>above.</w:t>
      </w:r>
    </w:p>
    <w:p w14:paraId="3090C785" w14:textId="27A3DB0D" w:rsidR="00157E9E" w:rsidRDefault="00100B7B" w:rsidP="00BC7353">
      <w:pPr>
        <w:pStyle w:val="Ttulo3"/>
        <w:spacing w:before="0"/>
      </w:pPr>
      <w:bookmarkStart w:id="7" w:name="_Toc173970568"/>
      <w:r>
        <w:t>Análisis desde un modelo con expectativas estáticas</w:t>
      </w:r>
      <w:r w:rsidR="005A2451">
        <w:t xml:space="preserve"> (m</w:t>
      </w:r>
      <w:r>
        <w:t>odelo Mundell-Fleming (IS-LM-BP)</w:t>
      </w:r>
      <w:r w:rsidR="005A2451">
        <w:t>)</w:t>
      </w:r>
      <w:bookmarkEnd w:id="7"/>
    </w:p>
    <w:p w14:paraId="48AA038C" w14:textId="517DF2CA" w:rsidR="00BC7353" w:rsidRDefault="00BC7353" w:rsidP="00BC7353">
      <w:pPr>
        <w:pStyle w:val="Ttulo6"/>
        <w:spacing w:before="0"/>
      </w:pPr>
      <w:bookmarkStart w:id="8" w:name="_Toc173970569"/>
      <w:bookmarkStart w:id="9" w:name="_Hlk130302928"/>
      <w:r>
        <w:t>Idea</w:t>
      </w:r>
      <w:bookmarkEnd w:id="8"/>
    </w:p>
    <w:p w14:paraId="18509030" w14:textId="7E0CBDA1" w:rsidR="005B4C3B" w:rsidRDefault="005B4C3B" w:rsidP="005B4C3B">
      <w:pPr>
        <w:pStyle w:val="Nivel1SM"/>
        <w:spacing w:before="0"/>
      </w:pPr>
      <w:r>
        <w:t xml:space="preserve">Para poder </w:t>
      </w:r>
      <w:r w:rsidRPr="005B4C3B">
        <w:rPr>
          <w:b/>
          <w:bCs/>
        </w:rPr>
        <w:t>justificar</w:t>
      </w:r>
      <w:r>
        <w:t xml:space="preserve"> que la coordinación internacional </w:t>
      </w:r>
      <w:r w:rsidR="0043291F">
        <w:t xml:space="preserve">es </w:t>
      </w:r>
      <w:r>
        <w:t>deseable, primero es necesario demostrar que las decisiones de política económica de un país tienen efectos sobre terceros países.</w:t>
      </w:r>
    </w:p>
    <w:p w14:paraId="24919C6B" w14:textId="78B379B2" w:rsidR="005B4C3B" w:rsidRDefault="005B4C3B" w:rsidP="005B4C3B">
      <w:pPr>
        <w:pStyle w:val="Nivel1SM"/>
        <w:keepNext/>
        <w:spacing w:after="0"/>
      </w:pPr>
      <w:r>
        <w:t xml:space="preserve">La </w:t>
      </w:r>
      <w:r w:rsidRPr="00F912A7">
        <w:rPr>
          <w:b/>
          <w:bCs/>
        </w:rPr>
        <w:t>interdependencia económica</w:t>
      </w:r>
      <w:r>
        <w:t xml:space="preserve"> puede manifestarse a través de </w:t>
      </w:r>
      <w:r w:rsidRPr="00F912A7">
        <w:rPr>
          <w:b/>
          <w:bCs/>
        </w:rPr>
        <w:t>4</w:t>
      </w:r>
      <w:r>
        <w:rPr>
          <w:b/>
          <w:bCs/>
        </w:rPr>
        <w:t> </w:t>
      </w:r>
      <w:r w:rsidRPr="00F912A7">
        <w:rPr>
          <w:b/>
          <w:bCs/>
        </w:rPr>
        <w:t>canales de transmisión</w:t>
      </w:r>
      <w:r>
        <w:t>:</w:t>
      </w:r>
    </w:p>
    <w:p w14:paraId="012A8307" w14:textId="77777777" w:rsidR="005B4C3B" w:rsidRDefault="005B4C3B">
      <w:pPr>
        <w:pStyle w:val="Prrafodelista"/>
        <w:keepNext/>
        <w:numPr>
          <w:ilvl w:val="0"/>
          <w:numId w:val="11"/>
        </w:numPr>
        <w:spacing w:after="0"/>
        <w:ind w:left="568" w:hanging="284"/>
      </w:pPr>
      <w:r w:rsidRPr="00F912A7">
        <w:rPr>
          <w:i/>
          <w:iCs/>
          <w:u w:val="single"/>
        </w:rPr>
        <w:t>Vía renta</w:t>
      </w:r>
      <w:r>
        <w:t xml:space="preserve"> (el conocido como “efecto locomotora”):</w:t>
      </w:r>
    </w:p>
    <w:p w14:paraId="56F141F6" w14:textId="77777777" w:rsidR="005B4C3B" w:rsidRDefault="005B4C3B" w:rsidP="005B4C3B">
      <w:pPr>
        <w:pStyle w:val="Nivel3SM"/>
      </w:pPr>
      <w:r>
        <w:t xml:space="preserve">Opera a través de la </w:t>
      </w:r>
      <w:r>
        <w:rPr>
          <w:i/>
          <w:iCs/>
        </w:rPr>
        <w:t>cuenta corriente</w:t>
      </w:r>
      <w:r>
        <w:t>.</w:t>
      </w:r>
    </w:p>
    <w:p w14:paraId="007C70D6" w14:textId="77777777" w:rsidR="005B4C3B" w:rsidRPr="00F912A7" w:rsidRDefault="005B4C3B" w:rsidP="005B4C3B">
      <w:pPr>
        <w:pStyle w:val="Nivel3SM"/>
      </w:pPr>
      <w:r>
        <w:t>En una economía abierta, el impacto doméstico de las políticas económicas es menor que en una economía cerrada, pues el aumento de la renta se pierde parcialmente a través del aumento de las importaciones, lo que hace que aumenten las exportaciones de los socios comerciales.</w:t>
      </w:r>
    </w:p>
    <w:p w14:paraId="410160FD" w14:textId="77777777" w:rsidR="005B4C3B" w:rsidRDefault="005B4C3B">
      <w:pPr>
        <w:pStyle w:val="Prrafodelista"/>
        <w:keepNext/>
        <w:numPr>
          <w:ilvl w:val="0"/>
          <w:numId w:val="11"/>
        </w:numPr>
        <w:spacing w:after="0"/>
        <w:ind w:left="568" w:hanging="284"/>
      </w:pPr>
      <w:r w:rsidRPr="00F912A7">
        <w:rPr>
          <w:i/>
          <w:iCs/>
          <w:u w:val="single"/>
        </w:rPr>
        <w:t>Vía tipo de interés</w:t>
      </w:r>
      <w:r>
        <w:t>:</w:t>
      </w:r>
    </w:p>
    <w:p w14:paraId="6CF299EF" w14:textId="77777777" w:rsidR="005B4C3B" w:rsidRDefault="005B4C3B" w:rsidP="005B4C3B">
      <w:pPr>
        <w:pStyle w:val="Nivel3SM"/>
      </w:pPr>
      <w:r>
        <w:t xml:space="preserve">Opera a través de la </w:t>
      </w:r>
      <w:r>
        <w:rPr>
          <w:i/>
          <w:iCs/>
        </w:rPr>
        <w:t>cuenta financiera</w:t>
      </w:r>
      <w:r>
        <w:t>.</w:t>
      </w:r>
    </w:p>
    <w:p w14:paraId="32084AD4" w14:textId="77777777" w:rsidR="005B4C3B" w:rsidRDefault="005B4C3B" w:rsidP="005B4C3B">
      <w:pPr>
        <w:pStyle w:val="Nivel3SM"/>
      </w:pPr>
      <w:r>
        <w:t>En una economía abierta, un aumento del tipo de interés atraerá capitales extranjeros, lo cual afectará a la inversión nacional y al tipo de cambio.</w:t>
      </w:r>
    </w:p>
    <w:p w14:paraId="032B7B2A" w14:textId="77777777" w:rsidR="005B4C3B" w:rsidRDefault="005B4C3B">
      <w:pPr>
        <w:pStyle w:val="Prrafodelista"/>
        <w:keepNext/>
        <w:numPr>
          <w:ilvl w:val="0"/>
          <w:numId w:val="11"/>
        </w:numPr>
        <w:spacing w:after="0"/>
        <w:ind w:left="568" w:hanging="284"/>
      </w:pPr>
      <w:r>
        <w:rPr>
          <w:i/>
          <w:iCs/>
          <w:u w:val="single"/>
        </w:rPr>
        <w:t>Vía tipo de cambio</w:t>
      </w:r>
      <w:r>
        <w:t>:</w:t>
      </w:r>
    </w:p>
    <w:p w14:paraId="3620AD0F" w14:textId="77777777" w:rsidR="005B4C3B" w:rsidRDefault="005B4C3B" w:rsidP="005B4C3B">
      <w:pPr>
        <w:pStyle w:val="Nivel3SM"/>
        <w:keepNext/>
      </w:pPr>
      <w:r>
        <w:t xml:space="preserve">Opera tanto a través de la </w:t>
      </w:r>
      <w:r>
        <w:rPr>
          <w:i/>
          <w:iCs/>
        </w:rPr>
        <w:t>cuenta corriente</w:t>
      </w:r>
      <w:r>
        <w:t xml:space="preserve"> como de la </w:t>
      </w:r>
      <w:r>
        <w:rPr>
          <w:i/>
          <w:iCs/>
        </w:rPr>
        <w:t>cuenta financiera</w:t>
      </w:r>
      <w:r>
        <w:t>.</w:t>
      </w:r>
    </w:p>
    <w:p w14:paraId="1E9BF823" w14:textId="77777777" w:rsidR="005B4C3B" w:rsidRDefault="005B4C3B" w:rsidP="005B4C3B">
      <w:pPr>
        <w:pStyle w:val="Nivel4"/>
        <w:ind w:left="1474"/>
      </w:pPr>
      <w:r>
        <w:rPr>
          <w:i/>
          <w:iCs/>
        </w:rPr>
        <w:t>Cuenta corriente</w:t>
      </w:r>
      <w:r>
        <w:t>: Una depreciación del tipo de cambio aumenta las exportaciones netas (pues, en términos de moneda nacional, las importaciones son más caras para los nacionales, y las exportaciones más baratas para los extranjeros).</w:t>
      </w:r>
    </w:p>
    <w:p w14:paraId="608B1F78" w14:textId="77777777" w:rsidR="005B4C3B" w:rsidRPr="00F912A7" w:rsidRDefault="005B4C3B" w:rsidP="005B4C3B">
      <w:pPr>
        <w:pStyle w:val="Nivel4"/>
        <w:ind w:left="1474"/>
      </w:pPr>
      <w:r>
        <w:rPr>
          <w:i/>
          <w:iCs/>
        </w:rPr>
        <w:t>Cuenta financiera</w:t>
      </w:r>
      <w:r>
        <w:t>: Por la paridad descubierta de intereses, sabemos que un inversor que quiera colocar su dinero en un activo extranjero y convertirlo en moneda nacional tiene dos fuentes de rentabilidad: el rendimiento del propio activo y la tasa de depreciación esperada de la moneda nacional frente a la divisa (pues el retorno de la inversión en moneda extranjera se podrá cambiar por más moneda nacional).</w:t>
      </w:r>
    </w:p>
    <w:p w14:paraId="544326BE" w14:textId="77777777" w:rsidR="005B4C3B" w:rsidRDefault="005B4C3B">
      <w:pPr>
        <w:pStyle w:val="Prrafodelista"/>
        <w:keepNext/>
        <w:numPr>
          <w:ilvl w:val="0"/>
          <w:numId w:val="11"/>
        </w:numPr>
        <w:spacing w:after="0"/>
        <w:ind w:left="568" w:hanging="284"/>
      </w:pPr>
      <w:r>
        <w:rPr>
          <w:i/>
          <w:iCs/>
          <w:u w:val="single"/>
        </w:rPr>
        <w:t>Vía precios</w:t>
      </w:r>
      <w:r w:rsidRPr="00F912A7">
        <w:t>:</w:t>
      </w:r>
    </w:p>
    <w:p w14:paraId="2F32334C" w14:textId="77777777" w:rsidR="005B4C3B" w:rsidRDefault="005B4C3B" w:rsidP="005B4C3B">
      <w:pPr>
        <w:pStyle w:val="Nivel3SM"/>
      </w:pPr>
      <w:r>
        <w:t xml:space="preserve">Opera tanto a través de la </w:t>
      </w:r>
      <w:r>
        <w:rPr>
          <w:i/>
          <w:iCs/>
        </w:rPr>
        <w:t>cuenta corriente</w:t>
      </w:r>
      <w:r>
        <w:t xml:space="preserve"> como de la </w:t>
      </w:r>
      <w:r>
        <w:rPr>
          <w:i/>
          <w:iCs/>
        </w:rPr>
        <w:t>cuenta financiera</w:t>
      </w:r>
      <w:r>
        <w:t>.</w:t>
      </w:r>
    </w:p>
    <w:p w14:paraId="33E6B025" w14:textId="77777777" w:rsidR="005B4C3B" w:rsidRPr="00711F29" w:rsidRDefault="005B4C3B" w:rsidP="005B4C3B">
      <w:pPr>
        <w:pStyle w:val="Nivel3SM"/>
        <w:spacing w:after="100"/>
      </w:pPr>
      <w:r>
        <w:t xml:space="preserve">Los precios afectan al </w:t>
      </w:r>
      <w:r>
        <w:rPr>
          <w:i/>
          <w:iCs/>
        </w:rPr>
        <w:t>tipo de cambio real</w:t>
      </w:r>
      <w:r>
        <w:t>, lo que afecta tanto a los flujos comerciales como a los flujos de capitales.</w:t>
      </w:r>
    </w:p>
    <w:p w14:paraId="5D344F43" w14:textId="61E72E4D" w:rsidR="00BC7353" w:rsidRPr="00BC7353" w:rsidRDefault="005B4C3B" w:rsidP="00BC7353">
      <w:pPr>
        <w:pStyle w:val="Nivel1SM"/>
        <w:keepNext/>
        <w:spacing w:before="0" w:after="0"/>
        <w:rPr>
          <w:spacing w:val="-2"/>
        </w:rPr>
      </w:pPr>
      <w:r w:rsidRPr="00BC7353">
        <w:rPr>
          <w:spacing w:val="-2"/>
        </w:rPr>
        <w:t>Analizaremos estos canales de transmisión a través de un modelo muy estilizado</w:t>
      </w:r>
      <w:r w:rsidR="00BC7353" w:rsidRPr="00BC7353">
        <w:rPr>
          <w:spacing w:val="-2"/>
        </w:rPr>
        <w:t xml:space="preserve">: el </w:t>
      </w:r>
      <w:r w:rsidR="00BC7353" w:rsidRPr="00BC7353">
        <w:rPr>
          <w:i/>
          <w:iCs/>
          <w:spacing w:val="-2"/>
        </w:rPr>
        <w:t>modelo IS-LM-BP</w:t>
      </w:r>
      <w:r w:rsidRPr="00BC7353">
        <w:rPr>
          <w:spacing w:val="-2"/>
        </w:rPr>
        <w:t>.</w:t>
      </w:r>
    </w:p>
    <w:p w14:paraId="638CFCE3" w14:textId="75746675" w:rsidR="005B4C3B" w:rsidRDefault="005B4C3B" w:rsidP="00BC7353">
      <w:pPr>
        <w:pStyle w:val="Nivel2SM"/>
      </w:pPr>
      <w:r>
        <w:t xml:space="preserve">El valor de estos modelos es meramente poner de relieve los </w:t>
      </w:r>
      <w:r w:rsidRPr="00BC7353">
        <w:t>canales por los qu</w:t>
      </w:r>
      <w:r w:rsidR="00BC7353">
        <w:t>e</w:t>
      </w:r>
      <w:r w:rsidRPr="00BC7353">
        <w:t xml:space="preserve"> existe interdependencia</w:t>
      </w:r>
      <w:r>
        <w:t xml:space="preserve"> de las políticas económicas.</w:t>
      </w:r>
    </w:p>
    <w:p w14:paraId="32CE8547" w14:textId="77777777" w:rsidR="005B4C3B" w:rsidRDefault="005B4C3B" w:rsidP="00BC7353">
      <w:pPr>
        <w:pStyle w:val="Nivel2SM"/>
        <w:keepNext/>
        <w:spacing w:after="0"/>
      </w:pPr>
      <w:r>
        <w:t xml:space="preserve">Se trata de un modelo muy </w:t>
      </w:r>
      <w:r w:rsidRPr="00BC7353">
        <w:t>relevante</w:t>
      </w:r>
      <w:r>
        <w:t xml:space="preserve"> en la literatura económica por diversos motivos:</w:t>
      </w:r>
    </w:p>
    <w:p w14:paraId="37DBD574" w14:textId="77777777" w:rsidR="005B4C3B" w:rsidRDefault="005B4C3B" w:rsidP="005B4C3B">
      <w:pPr>
        <w:pStyle w:val="Nivel3SM"/>
      </w:pPr>
      <w:r>
        <w:t>Modelo dominante en la macroeconomía keynesiana entre los 40 y los 70 que analiza la interacción entre las variables macroeconómicas.</w:t>
      </w:r>
    </w:p>
    <w:p w14:paraId="079882C2" w14:textId="77777777" w:rsidR="005B4C3B" w:rsidRDefault="005B4C3B" w:rsidP="005B4C3B">
      <w:pPr>
        <w:pStyle w:val="Nivel3SM"/>
      </w:pPr>
      <w:r>
        <w:t xml:space="preserve">Es una de las razones por las que </w:t>
      </w:r>
      <w:r>
        <w:rPr>
          <w:smallCaps/>
        </w:rPr>
        <w:t>Robert Mundell</w:t>
      </w:r>
      <w:r>
        <w:t xml:space="preserve"> recibe el Premio Nobel en 1999</w:t>
      </w:r>
      <w:r>
        <w:rPr>
          <w:rStyle w:val="Refdenotaalpie"/>
        </w:rPr>
        <w:footnoteReference w:id="6"/>
      </w:r>
      <w:r>
        <w:t>.</w:t>
      </w:r>
    </w:p>
    <w:p w14:paraId="00DD0820" w14:textId="77777777" w:rsidR="005B4C3B" w:rsidRDefault="005B4C3B" w:rsidP="005B4C3B">
      <w:pPr>
        <w:pStyle w:val="Nivel3SM"/>
      </w:pPr>
      <w:r>
        <w:t>La popularidad del modelo es tal, que aún se enseña en las universidades de todo el mundo por su simplicidad, facilidad de interpretación e identificación de mecanismos de transmisión adecuados.</w:t>
      </w:r>
    </w:p>
    <w:p w14:paraId="3A8D5737" w14:textId="77777777" w:rsidR="005B4C3B" w:rsidRDefault="005B4C3B" w:rsidP="005B4C3B">
      <w:pPr>
        <w:pStyle w:val="Nivel3SM"/>
      </w:pPr>
      <w:r>
        <w:t>A pesar de su antigüedad, la mayoría de los modelos desarrollados por la OCDE, el FMI y los bancos centrales confirman efectos desbordamiento de las políticas análogos a los que predice el modelo. No sólo podemos aplicar el modelo para analizar las políticas económicas de un país, sino los efectos de políticas económicas de otros países.</w:t>
      </w:r>
    </w:p>
    <w:p w14:paraId="3400447F" w14:textId="77777777" w:rsidR="005B4C3B" w:rsidRDefault="005B4C3B" w:rsidP="005B4C3B">
      <w:pPr>
        <w:pStyle w:val="Ttulo6"/>
      </w:pPr>
      <w:bookmarkStart w:id="10" w:name="_Toc173970570"/>
      <w:r>
        <w:lastRenderedPageBreak/>
        <w:t>Modelo</w:t>
      </w:r>
      <w:bookmarkEnd w:id="10"/>
    </w:p>
    <w:p w14:paraId="095099CD" w14:textId="77777777" w:rsidR="005B4C3B" w:rsidRDefault="005B4C3B" w:rsidP="005B4C3B">
      <w:pPr>
        <w:pStyle w:val="Ttulo7"/>
        <w:spacing w:before="0"/>
      </w:pPr>
      <w:bookmarkStart w:id="11" w:name="_Toc173970571"/>
      <w:r>
        <w:t>Supuestos</w:t>
      </w:r>
      <w:bookmarkEnd w:id="11"/>
    </w:p>
    <w:p w14:paraId="742902E5" w14:textId="77777777" w:rsidR="005B4C3B" w:rsidRDefault="005B4C3B" w:rsidP="005B4C3B">
      <w:pPr>
        <w:pStyle w:val="Nivel1SM"/>
        <w:keepNext/>
        <w:spacing w:before="0" w:after="0"/>
      </w:pPr>
      <w:r w:rsidRPr="00CE47B3">
        <w:t xml:space="preserve">El modelo IS-LM-BP parte </w:t>
      </w:r>
      <w:r>
        <w:t xml:space="preserve">de los siguientes </w:t>
      </w:r>
      <w:r w:rsidRPr="00CE47B3">
        <w:rPr>
          <w:b/>
          <w:bCs/>
        </w:rPr>
        <w:t>supuestos</w:t>
      </w:r>
      <w:r>
        <w:t>:</w:t>
      </w:r>
    </w:p>
    <w:p w14:paraId="6460F896" w14:textId="77777777" w:rsidR="005B4C3B" w:rsidRDefault="005B4C3B">
      <w:pPr>
        <w:pStyle w:val="Prrafodelista"/>
        <w:numPr>
          <w:ilvl w:val="0"/>
          <w:numId w:val="13"/>
        </w:numPr>
        <w:spacing w:after="100"/>
        <w:ind w:left="568" w:hanging="284"/>
      </w:pPr>
      <w:r>
        <w:t xml:space="preserve">Es un </w:t>
      </w:r>
      <w:r w:rsidRPr="00A9722A">
        <w:rPr>
          <w:i/>
          <w:iCs/>
          <w:u w:val="single"/>
        </w:rPr>
        <w:t>modelo estático</w:t>
      </w:r>
      <w:r>
        <w:rPr>
          <w:rStyle w:val="Refdenotaalpie"/>
        </w:rPr>
        <w:footnoteReference w:id="7"/>
      </w:r>
      <w:r>
        <w:t>.</w:t>
      </w:r>
    </w:p>
    <w:p w14:paraId="772D73D2" w14:textId="22E924C9" w:rsidR="005B4C3B" w:rsidRDefault="005B4C3B">
      <w:pPr>
        <w:pStyle w:val="Prrafodelista"/>
        <w:numPr>
          <w:ilvl w:val="0"/>
          <w:numId w:val="13"/>
        </w:numPr>
        <w:spacing w:after="100"/>
        <w:ind w:left="568" w:hanging="284"/>
      </w:pPr>
      <w:r>
        <w:t xml:space="preserve">Incluye </w:t>
      </w:r>
      <w:r w:rsidRPr="00A9722A">
        <w:rPr>
          <w:i/>
          <w:iCs/>
          <w:u w:val="single"/>
        </w:rPr>
        <w:t>fricciones de precios y salarios</w:t>
      </w:r>
      <w:r>
        <w:t xml:space="preserve"> que impiden que los mercados funcion</w:t>
      </w:r>
      <w:r w:rsidR="00981B1B">
        <w:t>e</w:t>
      </w:r>
      <w:r>
        <w:t>n perfectamente (recursos ociosos y precios fijos). Esto implica que:</w:t>
      </w:r>
    </w:p>
    <w:p w14:paraId="25C13D9F" w14:textId="77777777" w:rsidR="005B4C3B" w:rsidRDefault="005B4C3B">
      <w:pPr>
        <w:pStyle w:val="Prrafodelista"/>
        <w:numPr>
          <w:ilvl w:val="1"/>
          <w:numId w:val="13"/>
        </w:numPr>
        <w:spacing w:after="100"/>
        <w:ind w:left="1135" w:hanging="284"/>
      </w:pPr>
      <w:r>
        <w:t>La oferta es horizontal para el nivel de precios fijado, y que el nivel de renta vendrá determinado por la demanda agregada.</w:t>
      </w:r>
    </w:p>
    <w:p w14:paraId="0165B9D5" w14:textId="77777777" w:rsidR="005B4C3B" w:rsidRDefault="005B4C3B">
      <w:pPr>
        <w:pStyle w:val="Prrafodelista"/>
        <w:numPr>
          <w:ilvl w:val="1"/>
          <w:numId w:val="13"/>
        </w:numPr>
        <w:spacing w:after="100"/>
        <w:ind w:left="1135" w:hanging="284"/>
      </w:pPr>
      <w:r>
        <w:t xml:space="preserve">Además, al ser los precios fijos no habrá expectativas de inflación, por lo que </w:t>
      </w:r>
      <m:oMath>
        <m:r>
          <m:rPr>
            <m:nor/>
          </m:rPr>
          <w:rPr>
            <w:i/>
            <w:iCs/>
          </w:rPr>
          <m:t>i</m:t>
        </m:r>
        <m:r>
          <w:rPr>
            <w:rFonts w:ascii="Cambria Math" w:hAnsi="Cambria Math"/>
          </w:rPr>
          <m:t>=</m:t>
        </m:r>
        <m:r>
          <m:rPr>
            <m:nor/>
          </m:rPr>
          <w:rPr>
            <w:i/>
            <w:iCs/>
          </w:rPr>
          <m:t>r</m:t>
        </m:r>
      </m:oMath>
      <w:r>
        <w:rPr>
          <w:rFonts w:eastAsiaTheme="minorEastAsia"/>
        </w:rPr>
        <w:t>.</w:t>
      </w:r>
    </w:p>
    <w:p w14:paraId="3696D547" w14:textId="77777777" w:rsidR="005B4C3B" w:rsidRDefault="005B4C3B">
      <w:pPr>
        <w:pStyle w:val="Prrafodelista"/>
        <w:numPr>
          <w:ilvl w:val="0"/>
          <w:numId w:val="13"/>
        </w:numPr>
        <w:spacing w:after="100"/>
        <w:ind w:left="568" w:hanging="284"/>
      </w:pPr>
      <w:r>
        <w:t xml:space="preserve">Se supone la existencia de </w:t>
      </w:r>
      <w:r>
        <w:rPr>
          <w:i/>
          <w:iCs/>
          <w:u w:val="single"/>
        </w:rPr>
        <w:t>2 </w:t>
      </w:r>
      <w:r w:rsidRPr="00A9722A">
        <w:rPr>
          <w:i/>
          <w:iCs/>
          <w:u w:val="single"/>
        </w:rPr>
        <w:t>países</w:t>
      </w:r>
      <w:r>
        <w:t>: nacional (</w:t>
      </w:r>
      <w:r w:rsidRPr="00A9722A">
        <w:rPr>
          <w:i/>
          <w:iCs/>
        </w:rPr>
        <w:t>A</w:t>
      </w:r>
      <w:r>
        <w:t>) y extranjero (</w:t>
      </w:r>
      <w:r w:rsidRPr="00A9722A">
        <w:rPr>
          <w:i/>
          <w:iCs/>
        </w:rPr>
        <w:t>B</w:t>
      </w:r>
      <w:r>
        <w:t>).</w:t>
      </w:r>
    </w:p>
    <w:p w14:paraId="5380E7C6" w14:textId="77777777" w:rsidR="005B4C3B" w:rsidRDefault="005B4C3B">
      <w:pPr>
        <w:pStyle w:val="Prrafodelista"/>
        <w:numPr>
          <w:ilvl w:val="0"/>
          <w:numId w:val="13"/>
        </w:numPr>
        <w:spacing w:after="100"/>
        <w:ind w:left="568" w:hanging="284"/>
      </w:pPr>
      <w:r w:rsidRPr="00A9722A">
        <w:rPr>
          <w:i/>
          <w:iCs/>
          <w:u w:val="single"/>
        </w:rPr>
        <w:t>Tipo de cambio directo</w:t>
      </w:r>
      <w:r>
        <w:t>.</w:t>
      </w:r>
    </w:p>
    <w:p w14:paraId="13487A36" w14:textId="2507C4C0" w:rsidR="005B4C3B" w:rsidRDefault="005B4C3B">
      <w:pPr>
        <w:pStyle w:val="Prrafodelista"/>
        <w:numPr>
          <w:ilvl w:val="0"/>
          <w:numId w:val="13"/>
        </w:numPr>
        <w:spacing w:after="100"/>
        <w:ind w:left="568" w:hanging="284"/>
      </w:pPr>
      <w:r>
        <w:t xml:space="preserve">Se cumple la </w:t>
      </w:r>
      <w:r w:rsidRPr="00A9722A">
        <w:rPr>
          <w:i/>
          <w:iCs/>
          <w:u w:val="single"/>
        </w:rPr>
        <w:t>condición de Marshall-Lerner</w:t>
      </w:r>
      <w:r>
        <w:t xml:space="preserve"> </w:t>
      </w:r>
      <w:r w:rsidRPr="00A9722A">
        <w:rPr>
          <w:color w:val="767171" w:themeColor="background2" w:themeShade="80"/>
          <w:sz w:val="19"/>
          <w:szCs w:val="19"/>
        </w:rPr>
        <w:t>[ver tema 3.B.1</w:t>
      </w:r>
      <w:r w:rsidR="00CD1668">
        <w:rPr>
          <w:color w:val="767171" w:themeColor="background2" w:themeShade="80"/>
          <w:sz w:val="19"/>
          <w:szCs w:val="19"/>
        </w:rPr>
        <w:t>2</w:t>
      </w:r>
      <w:r w:rsidRPr="00A9722A">
        <w:rPr>
          <w:color w:val="767171" w:themeColor="background2" w:themeShade="80"/>
          <w:sz w:val="19"/>
          <w:szCs w:val="19"/>
        </w:rPr>
        <w:t>]</w:t>
      </w:r>
      <w:r>
        <w:t>, es decir, una pérdida de valor de la moneda mejora el saldo comercial.</w:t>
      </w:r>
    </w:p>
    <w:p w14:paraId="60D62AC3" w14:textId="77777777" w:rsidR="009111EB" w:rsidRPr="00534452" w:rsidRDefault="009111EB">
      <w:pPr>
        <w:pStyle w:val="Prrafodelista"/>
        <w:numPr>
          <w:ilvl w:val="0"/>
          <w:numId w:val="13"/>
        </w:numPr>
        <w:spacing w:after="100"/>
        <w:ind w:left="568" w:hanging="284"/>
      </w:pPr>
      <w:r w:rsidRPr="00534452">
        <w:rPr>
          <w:i/>
          <w:iCs/>
          <w:u w:val="single"/>
        </w:rPr>
        <w:t>Movilidad perfecta de capitales</w:t>
      </w:r>
      <w:r>
        <w:t xml:space="preserve"> (i.e. curva BP perfectamente elástica).</w:t>
      </w:r>
    </w:p>
    <w:p w14:paraId="5E8536F1" w14:textId="77777777" w:rsidR="005B4C3B" w:rsidRDefault="005B4C3B">
      <w:pPr>
        <w:pStyle w:val="Prrafodelista"/>
        <w:numPr>
          <w:ilvl w:val="0"/>
          <w:numId w:val="13"/>
        </w:numPr>
        <w:spacing w:after="100"/>
        <w:ind w:left="568" w:hanging="284"/>
      </w:pPr>
      <w:r w:rsidRPr="00C12AAF">
        <w:rPr>
          <w:i/>
          <w:iCs/>
          <w:u w:val="single"/>
        </w:rPr>
        <w:t>Sustituibilidad perfecta</w:t>
      </w:r>
      <w:r>
        <w:t xml:space="preserve"> de los activos (bonos) nacionales y extranjeros.</w:t>
      </w:r>
    </w:p>
    <w:p w14:paraId="3799A6C6" w14:textId="77777777" w:rsidR="005B4C3B" w:rsidRDefault="005B4C3B">
      <w:pPr>
        <w:pStyle w:val="Prrafodelista"/>
        <w:numPr>
          <w:ilvl w:val="0"/>
          <w:numId w:val="13"/>
        </w:numPr>
        <w:spacing w:after="100"/>
        <w:ind w:left="568" w:hanging="284"/>
      </w:pPr>
      <w:r>
        <w:rPr>
          <w:i/>
          <w:iCs/>
          <w:u w:val="single"/>
        </w:rPr>
        <w:t>Neutralidad al riesgo</w:t>
      </w:r>
      <w:r>
        <w:t xml:space="preserve"> de los agentes (pues de lo contrario habría que contemplar una prima de riesgo).</w:t>
      </w:r>
    </w:p>
    <w:p w14:paraId="3A21A306" w14:textId="77777777" w:rsidR="005B4C3B" w:rsidRDefault="005B4C3B">
      <w:pPr>
        <w:pStyle w:val="Prrafodelista"/>
        <w:numPr>
          <w:ilvl w:val="0"/>
          <w:numId w:val="13"/>
        </w:numPr>
        <w:spacing w:after="100"/>
        <w:ind w:left="568" w:hanging="284"/>
      </w:pPr>
      <w:r w:rsidRPr="00A9722A">
        <w:rPr>
          <w:i/>
          <w:iCs/>
          <w:u w:val="single"/>
        </w:rPr>
        <w:t>Expectativas sobre el tipo de cambio estáticas</w:t>
      </w:r>
      <w:r>
        <w:rPr>
          <w:rStyle w:val="Refdenotaalpie"/>
          <w:i/>
          <w:iCs/>
          <w:u w:val="single"/>
        </w:rPr>
        <w:footnoteReference w:id="8"/>
      </w:r>
      <w:r>
        <w:t>.</w:t>
      </w:r>
    </w:p>
    <w:p w14:paraId="3777F599" w14:textId="77777777" w:rsidR="005B4C3B" w:rsidRDefault="005B4C3B" w:rsidP="005B4C3B">
      <w:pPr>
        <w:pStyle w:val="Ttulo7"/>
      </w:pPr>
      <w:bookmarkStart w:id="12" w:name="_Toc173970572"/>
      <w:r>
        <w:t>Desarrollo</w:t>
      </w:r>
      <w:bookmarkEnd w:id="12"/>
    </w:p>
    <w:p w14:paraId="1015AEF3" w14:textId="77777777" w:rsidR="005B4C3B" w:rsidRPr="002F0A7A" w:rsidRDefault="005B4C3B" w:rsidP="005B4C3B">
      <w:pPr>
        <w:pStyle w:val="Ttulo8"/>
        <w:spacing w:before="0"/>
      </w:pPr>
      <w:bookmarkStart w:id="13" w:name="_Toc173970573"/>
      <w:r>
        <w:t>Marco IS-LM-BP</w:t>
      </w:r>
      <w:bookmarkEnd w:id="13"/>
    </w:p>
    <w:p w14:paraId="2AE554E1" w14:textId="77777777" w:rsidR="005B4C3B" w:rsidRDefault="005B4C3B" w:rsidP="005B4C3B">
      <w:pPr>
        <w:pStyle w:val="Nivel1SM"/>
        <w:keepNext/>
        <w:spacing w:before="0" w:after="0"/>
      </w:pPr>
      <w:r>
        <w:t xml:space="preserve">El modelo se basa en la existencia de </w:t>
      </w:r>
      <w:r w:rsidRPr="00DA3D77">
        <w:rPr>
          <w:b/>
          <w:bCs/>
        </w:rPr>
        <w:t>equilibrio</w:t>
      </w:r>
      <w:r>
        <w:t xml:space="preserve"> en los mercados de bienes, dinero y bonos y en el sector exterior para las dos economías. Para cada mercado podemos representar el equilibrio gráficamente mediante </w:t>
      </w:r>
      <w:r w:rsidRPr="00DA3D77">
        <w:rPr>
          <w:b/>
          <w:bCs/>
        </w:rPr>
        <w:t>3</w:t>
      </w:r>
      <w:r>
        <w:rPr>
          <w:b/>
          <w:bCs/>
        </w:rPr>
        <w:t> </w:t>
      </w:r>
      <w:r w:rsidRPr="00DA3D77">
        <w:rPr>
          <w:b/>
          <w:bCs/>
        </w:rPr>
        <w:t>curvas</w:t>
      </w:r>
      <w:r>
        <w:t xml:space="preserve"> en el plano renta-tipos de interés:</w:t>
      </w:r>
    </w:p>
    <w:p w14:paraId="3AF602D9" w14:textId="0E4CE2AB" w:rsidR="005B4C3B" w:rsidRPr="001B3BC2" w:rsidRDefault="005B4C3B">
      <w:pPr>
        <w:pStyle w:val="Prrafodelista"/>
        <w:keepNext/>
        <w:numPr>
          <w:ilvl w:val="0"/>
          <w:numId w:val="12"/>
        </w:numPr>
        <w:spacing w:after="0"/>
        <w:ind w:left="568" w:hanging="284"/>
        <w:rPr>
          <w:color w:val="5F2987"/>
        </w:rPr>
      </w:pPr>
      <w:r w:rsidRPr="001B3BC2">
        <w:rPr>
          <w:i/>
          <w:iCs/>
          <w:color w:val="5F2987"/>
          <w:u w:val="single"/>
        </w:rPr>
        <w:t>Curva</w:t>
      </w:r>
      <w:r w:rsidR="00247347">
        <w:rPr>
          <w:i/>
          <w:iCs/>
          <w:color w:val="5F2987"/>
          <w:u w:val="single"/>
        </w:rPr>
        <w:t> </w:t>
      </w:r>
      <w:r w:rsidRPr="001B3BC2">
        <w:rPr>
          <w:i/>
          <w:iCs/>
          <w:color w:val="5F2987"/>
          <w:u w:val="single"/>
        </w:rPr>
        <w:t>IS</w:t>
      </w:r>
      <w:r w:rsidRPr="001B3BC2">
        <w:rPr>
          <w:color w:val="5F2987"/>
        </w:rPr>
        <w:t xml:space="preserve"> (</w:t>
      </w:r>
      <w:proofErr w:type="spellStart"/>
      <w:r w:rsidRPr="001B3BC2">
        <w:rPr>
          <w:i/>
          <w:iCs/>
          <w:color w:val="5F2987"/>
        </w:rPr>
        <w:t>Investment-Saving</w:t>
      </w:r>
      <w:proofErr w:type="spellEnd"/>
      <w:r w:rsidRPr="001B3BC2">
        <w:rPr>
          <w:color w:val="5F2987"/>
        </w:rPr>
        <w:t>)</w:t>
      </w:r>
    </w:p>
    <w:p w14:paraId="0AD800C6" w14:textId="6607B1D8" w:rsidR="005B4C3B" w:rsidRDefault="005B4C3B" w:rsidP="005B4C3B">
      <w:pPr>
        <w:pStyle w:val="Nivel3SM"/>
      </w:pPr>
      <w:r>
        <w:t>La curva</w:t>
      </w:r>
      <w:r w:rsidR="00247347">
        <w:t> </w:t>
      </w:r>
      <w:r w:rsidRPr="003509D3">
        <w:rPr>
          <w:i/>
          <w:iCs/>
        </w:rPr>
        <w:t>IS</w:t>
      </w:r>
      <w:r>
        <w:t xml:space="preserve"> representa los pares de renta y tipo de interés que representan el equilibrio en el mercado de bienes.</w:t>
      </w:r>
    </w:p>
    <w:p w14:paraId="1BA2596A" w14:textId="77777777" w:rsidR="005B4C3B" w:rsidRDefault="005B4C3B" w:rsidP="005B4C3B">
      <w:pPr>
        <w:pStyle w:val="Nivel3SM"/>
      </w:pPr>
      <w:r>
        <w:t>Muestra la economía determinada por el lado de la demanda (i.e. aumentos de los componentes de la demanda elevan el output):</w:t>
      </w:r>
    </w:p>
    <w:p w14:paraId="3E4CF4CD" w14:textId="77777777" w:rsidR="005B4C3B" w:rsidRPr="00835DDE" w:rsidRDefault="00000000" w:rsidP="005B4C3B">
      <w:pPr>
        <w:pStyle w:val="Nivel3SM"/>
        <w:numPr>
          <w:ilvl w:val="0"/>
          <w:numId w:val="0"/>
        </w:numPr>
        <w:ind w:left="963"/>
      </w:pPr>
      <m:oMathPara>
        <m:oMath>
          <m:m>
            <m:mPr>
              <m:mcs>
                <m:mc>
                  <m:mcPr>
                    <m:count m:val="1"/>
                    <m:mcJc m:val="center"/>
                  </m:mcPr>
                </m:mc>
              </m:mcs>
              <m:ctrlPr>
                <w:rPr>
                  <w:rFonts w:ascii="Cambria Math" w:hAnsi="Cambria Math"/>
                  <w:i/>
                  <w:iCs/>
                </w:rPr>
              </m:ctrlPr>
            </m:mPr>
            <m:mr>
              <m:e>
                <m:r>
                  <m:rPr>
                    <m:nor/>
                  </m:rPr>
                  <w:rPr>
                    <w:i/>
                    <w:iCs/>
                  </w:rPr>
                  <m:t>Y</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iCs/>
                              </w:rPr>
                            </m:ctrlPr>
                          </m:accPr>
                          <m:e>
                            <m:r>
                              <m:rPr>
                                <m:nor/>
                              </m:rPr>
                              <w:rPr>
                                <w:i/>
                                <w:iCs/>
                              </w:rPr>
                              <m:t>C</m:t>
                            </m:r>
                          </m:e>
                        </m:acc>
                        <m:r>
                          <w:rPr>
                            <w:rFonts w:ascii="Cambria Math" w:hAnsi="Cambria Math"/>
                          </w:rPr>
                          <m:t>+</m:t>
                        </m:r>
                        <m:r>
                          <m:rPr>
                            <m:nor/>
                          </m:rPr>
                          <w:rPr>
                            <w:i/>
                            <w:iCs/>
                          </w:rPr>
                          <m:t>c</m:t>
                        </m:r>
                        <m:r>
                          <w:rPr>
                            <w:rFonts w:ascii="Cambria Math" w:hAnsi="Cambria Math"/>
                          </w:rPr>
                          <m:t>∙</m:t>
                        </m:r>
                        <m:r>
                          <m:rPr>
                            <m:nor/>
                          </m:rPr>
                          <w:rPr>
                            <w:i/>
                            <w:iCs/>
                          </w:rPr>
                          <m:t>Y</m:t>
                        </m:r>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t</m:t>
                            </m:r>
                          </m:e>
                        </m:d>
                      </m:e>
                    </m:groupChr>
                  </m:e>
                  <m:lim>
                    <m:r>
                      <m:rPr>
                        <m:nor/>
                      </m:rPr>
                      <w:rPr>
                        <w:i/>
                        <w:iCs/>
                      </w:rPr>
                      <m:t>C</m:t>
                    </m: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iCs/>
                              </w:rPr>
                            </m:ctrlPr>
                          </m:accPr>
                          <m:e>
                            <m:r>
                              <m:rPr>
                                <m:nor/>
                              </m:rPr>
                              <w:rPr>
                                <w:i/>
                                <w:iCs/>
                              </w:rPr>
                              <m:t>I</m:t>
                            </m:r>
                          </m:e>
                        </m:acc>
                        <m:r>
                          <w:rPr>
                            <w:rFonts w:ascii="Cambria Math" w:hAnsi="Cambria Math"/>
                          </w:rPr>
                          <m:t>-</m:t>
                        </m:r>
                        <m:r>
                          <m:rPr>
                            <m:nor/>
                          </m:rPr>
                          <w:rPr>
                            <w:i/>
                            <w:iCs/>
                          </w:rPr>
                          <m:t>v</m:t>
                        </m:r>
                        <m:r>
                          <w:rPr>
                            <w:rFonts w:ascii="Cambria Math" w:hAnsi="Cambria Math"/>
                          </w:rPr>
                          <m:t>∙</m:t>
                        </m:r>
                        <m:r>
                          <m:rPr>
                            <m:nor/>
                          </m:rPr>
                          <w:rPr>
                            <w:i/>
                            <w:iCs/>
                          </w:rPr>
                          <m:t>i</m:t>
                        </m:r>
                      </m:e>
                    </m:groupChr>
                  </m:e>
                  <m:lim>
                    <m:r>
                      <m:rPr>
                        <m:nor/>
                      </m:rPr>
                      <w:rPr>
                        <w:i/>
                        <w:iCs/>
                      </w:rPr>
                      <m:t>I</m:t>
                    </m: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iCs/>
                              </w:rPr>
                            </m:ctrlPr>
                          </m:accPr>
                          <m:e>
                            <m:r>
                              <m:rPr>
                                <m:nor/>
                              </m:rPr>
                              <w:rPr>
                                <w:i/>
                                <w:iCs/>
                              </w:rPr>
                              <m:t>G</m:t>
                            </m:r>
                          </m:e>
                        </m:acc>
                      </m:e>
                    </m:groupChr>
                  </m:e>
                  <m:lim>
                    <m:r>
                      <m:rPr>
                        <m:nor/>
                      </m:rPr>
                      <w:rPr>
                        <w:i/>
                        <w:iCs/>
                      </w:rPr>
                      <m:t>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iCs/>
                          </w:rPr>
                          <m:t>x</m:t>
                        </m:r>
                        <m:r>
                          <w:rPr>
                            <w:rFonts w:ascii="Cambria Math" w:hAnsi="Cambria Math"/>
                          </w:rPr>
                          <m:t>∙</m:t>
                        </m:r>
                        <m:r>
                          <m:rPr>
                            <m:nor/>
                          </m:rPr>
                          <w:rPr>
                            <w:i/>
                            <w:iCs/>
                          </w:rPr>
                          <m:t>Y*</m:t>
                        </m:r>
                        <m:r>
                          <w:rPr>
                            <w:rFonts w:ascii="Cambria Math" w:hAnsi="Cambria Math"/>
                          </w:rPr>
                          <m:t>-</m:t>
                        </m:r>
                        <m:r>
                          <m:rPr>
                            <m:nor/>
                          </m:rPr>
                          <w:rPr>
                            <w:i/>
                            <w:iCs/>
                          </w:rPr>
                          <m:t>m</m:t>
                        </m:r>
                        <m:r>
                          <w:rPr>
                            <w:rFonts w:ascii="Cambria Math" w:hAnsi="Cambria Math"/>
                          </w:rPr>
                          <m:t>∙</m:t>
                        </m:r>
                        <m:r>
                          <m:rPr>
                            <m:nor/>
                          </m:rPr>
                          <w:rPr>
                            <w:i/>
                            <w:iCs/>
                          </w:rPr>
                          <m:t>Y</m:t>
                        </m:r>
                        <m:r>
                          <w:rPr>
                            <w:rFonts w:ascii="Cambria Math" w:hAnsi="Cambria Math"/>
                          </w:rPr>
                          <m:t>+</m:t>
                        </m:r>
                        <m:r>
                          <m:rPr>
                            <m:nor/>
                          </m:rPr>
                          <w:rPr>
                            <w:i/>
                            <w:iCs/>
                          </w:rPr>
                          <m:t>ϕ</m:t>
                        </m:r>
                        <m:r>
                          <w:rPr>
                            <w:rFonts w:ascii="Cambria Math" w:hAnsi="Cambria Math"/>
                          </w:rPr>
                          <m:t>∙</m:t>
                        </m:r>
                        <m:r>
                          <m:rPr>
                            <m:nor/>
                          </m:rPr>
                          <w:rPr>
                            <w:i/>
                          </w:rPr>
                          <m:t>ϰ</m:t>
                        </m:r>
                      </m:e>
                    </m:groupChr>
                  </m:e>
                  <m:lim>
                    <m:r>
                      <m:rPr>
                        <m:nor/>
                      </m:rPr>
                      <w:rPr>
                        <w:i/>
                        <w:iCs/>
                      </w:rPr>
                      <m:t>XN</m:t>
                    </m:r>
                  </m:lim>
                </m:limLow>
              </m:e>
            </m:mr>
            <m:mr>
              <m:e>
                <m:r>
                  <w:rPr>
                    <w:rFonts w:ascii="Cambria Math" w:hAnsi="Cambria Math"/>
                  </w:rPr>
                  <m:t>⇓</m:t>
                </m:r>
              </m:e>
            </m:mr>
            <m:mr>
              <m:e>
                <m:borderBox>
                  <m:borderBoxPr>
                    <m:ctrlPr>
                      <w:rPr>
                        <w:rFonts w:ascii="Cambria Math" w:hAnsi="Cambria Math"/>
                        <w:i/>
                        <w:iCs/>
                        <w:color w:val="5F2987"/>
                      </w:rPr>
                    </m:ctrlPr>
                  </m:borderBoxPr>
                  <m:e>
                    <m:r>
                      <m:rPr>
                        <m:nor/>
                      </m:rPr>
                      <w:rPr>
                        <w:i/>
                        <w:iCs/>
                        <w:color w:val="5F2987"/>
                      </w:rPr>
                      <m:t>Y</m:t>
                    </m:r>
                    <m:r>
                      <w:rPr>
                        <w:rFonts w:ascii="Cambria Math" w:hAnsi="Cambria Math"/>
                        <w:color w:val="5F2987"/>
                      </w:rPr>
                      <m:t>=</m:t>
                    </m:r>
                    <m:f>
                      <m:fPr>
                        <m:ctrlPr>
                          <w:rPr>
                            <w:rFonts w:ascii="Cambria Math" w:hAnsi="Cambria Math"/>
                            <w:i/>
                            <w:color w:val="5F2987"/>
                          </w:rPr>
                        </m:ctrlPr>
                      </m:fPr>
                      <m:num>
                        <m:acc>
                          <m:accPr>
                            <m:chr m:val="̅"/>
                            <m:ctrlPr>
                              <w:rPr>
                                <w:rFonts w:ascii="Cambria Math" w:hAnsi="Cambria Math"/>
                                <w:i/>
                                <w:iCs/>
                                <w:color w:val="5F2987"/>
                              </w:rPr>
                            </m:ctrlPr>
                          </m:accPr>
                          <m:e>
                            <m:r>
                              <m:rPr>
                                <m:nor/>
                              </m:rPr>
                              <w:rPr>
                                <w:i/>
                                <w:iCs/>
                                <w:color w:val="5F2987"/>
                              </w:rPr>
                              <m:t>C</m:t>
                            </m:r>
                          </m:e>
                        </m:acc>
                        <m:r>
                          <w:rPr>
                            <w:rFonts w:ascii="Cambria Math" w:hAnsi="Cambria Math"/>
                            <w:color w:val="5F2987"/>
                          </w:rPr>
                          <m:t>+</m:t>
                        </m:r>
                        <m:acc>
                          <m:accPr>
                            <m:chr m:val="̅"/>
                            <m:ctrlPr>
                              <w:rPr>
                                <w:rFonts w:ascii="Cambria Math" w:hAnsi="Cambria Math"/>
                                <w:i/>
                                <w:iCs/>
                                <w:color w:val="5F2987"/>
                              </w:rPr>
                            </m:ctrlPr>
                          </m:accPr>
                          <m:e>
                            <m:r>
                              <m:rPr>
                                <m:nor/>
                              </m:rPr>
                              <w:rPr>
                                <w:i/>
                                <w:iCs/>
                                <w:color w:val="5F2987"/>
                              </w:rPr>
                              <m:t>I</m:t>
                            </m:r>
                          </m:e>
                        </m:acc>
                        <m:r>
                          <w:rPr>
                            <w:rFonts w:ascii="Cambria Math" w:hAnsi="Cambria Math"/>
                            <w:color w:val="5F2987"/>
                          </w:rPr>
                          <m:t>-</m:t>
                        </m:r>
                        <m:r>
                          <m:rPr>
                            <m:nor/>
                          </m:rPr>
                          <w:rPr>
                            <w:i/>
                            <w:iCs/>
                            <w:color w:val="5F2987"/>
                          </w:rPr>
                          <m:t>v</m:t>
                        </m:r>
                        <m:r>
                          <w:rPr>
                            <w:rFonts w:ascii="Cambria Math" w:hAnsi="Cambria Math"/>
                            <w:color w:val="5F2987"/>
                          </w:rPr>
                          <m:t>∙</m:t>
                        </m:r>
                        <m:r>
                          <m:rPr>
                            <m:nor/>
                          </m:rPr>
                          <w:rPr>
                            <w:i/>
                            <w:iCs/>
                            <w:color w:val="5F2987"/>
                          </w:rPr>
                          <m:t>i</m:t>
                        </m:r>
                        <m:r>
                          <w:rPr>
                            <w:rFonts w:ascii="Cambria Math" w:eastAsiaTheme="minorEastAsia" w:hAnsi="Cambria Math"/>
                            <w:color w:val="5F2987"/>
                          </w:rPr>
                          <m:t>+</m:t>
                        </m:r>
                        <m:acc>
                          <m:accPr>
                            <m:chr m:val="̅"/>
                            <m:ctrlPr>
                              <w:rPr>
                                <w:rFonts w:ascii="Cambria Math" w:hAnsi="Cambria Math"/>
                                <w:i/>
                                <w:iCs/>
                                <w:color w:val="5F2987"/>
                              </w:rPr>
                            </m:ctrlPr>
                          </m:accPr>
                          <m:e>
                            <m:r>
                              <m:rPr>
                                <m:nor/>
                              </m:rPr>
                              <w:rPr>
                                <w:i/>
                                <w:iCs/>
                                <w:color w:val="5F2987"/>
                              </w:rPr>
                              <m:t>G</m:t>
                            </m:r>
                          </m:e>
                        </m:acc>
                        <m:r>
                          <w:rPr>
                            <w:rFonts w:ascii="Cambria Math" w:hAnsi="Cambria Math"/>
                            <w:color w:val="5F2987"/>
                          </w:rPr>
                          <m:t>+</m:t>
                        </m:r>
                        <m:r>
                          <m:rPr>
                            <m:nor/>
                          </m:rPr>
                          <w:rPr>
                            <w:i/>
                            <w:iCs/>
                            <w:color w:val="5F2987"/>
                          </w:rPr>
                          <m:t>x</m:t>
                        </m:r>
                        <m:r>
                          <w:rPr>
                            <w:rFonts w:ascii="Cambria Math" w:hAnsi="Cambria Math"/>
                            <w:color w:val="5F2987"/>
                          </w:rPr>
                          <m:t>∙</m:t>
                        </m:r>
                        <m:r>
                          <m:rPr>
                            <m:nor/>
                          </m:rPr>
                          <w:rPr>
                            <w:i/>
                            <w:iCs/>
                            <w:color w:val="5F2987"/>
                          </w:rPr>
                          <m:t>Y*</m:t>
                        </m:r>
                        <m:r>
                          <w:rPr>
                            <w:rFonts w:ascii="Cambria Math" w:hAnsi="Cambria Math"/>
                            <w:color w:val="5F2987"/>
                          </w:rPr>
                          <m:t>+</m:t>
                        </m:r>
                        <m:r>
                          <m:rPr>
                            <m:nor/>
                          </m:rPr>
                          <w:rPr>
                            <w:i/>
                            <w:iCs/>
                            <w:color w:val="5F2987"/>
                          </w:rPr>
                          <m:t>ϕ</m:t>
                        </m:r>
                        <m:r>
                          <w:rPr>
                            <w:rFonts w:ascii="Cambria Math" w:hAnsi="Cambria Math"/>
                            <w:color w:val="5F2987"/>
                          </w:rPr>
                          <m:t>∙</m:t>
                        </m:r>
                        <m:r>
                          <m:rPr>
                            <m:nor/>
                          </m:rPr>
                          <w:rPr>
                            <w:i/>
                            <w:color w:val="5F2987"/>
                          </w:rPr>
                          <m:t>ϰ</m:t>
                        </m:r>
                      </m:num>
                      <m:den>
                        <m:r>
                          <m:rPr>
                            <m:nor/>
                          </m:rPr>
                          <w:rPr>
                            <w:i/>
                            <w:iCs/>
                            <w:color w:val="5F2987"/>
                          </w:rPr>
                          <m:t>1</m:t>
                        </m:r>
                        <m:r>
                          <w:rPr>
                            <w:rFonts w:ascii="Cambria Math" w:hAnsi="Cambria Math"/>
                            <w:color w:val="5F2987"/>
                          </w:rPr>
                          <m:t>-</m:t>
                        </m:r>
                        <m:r>
                          <m:rPr>
                            <m:nor/>
                          </m:rPr>
                          <w:rPr>
                            <w:i/>
                            <w:iCs/>
                            <w:color w:val="5F2987"/>
                          </w:rPr>
                          <m:t>c</m:t>
                        </m:r>
                        <m:r>
                          <w:rPr>
                            <w:rFonts w:ascii="Cambria Math" w:hAnsi="Cambria Math"/>
                            <w:color w:val="5F2987"/>
                          </w:rPr>
                          <m:t>∙</m:t>
                        </m:r>
                        <m:d>
                          <m:dPr>
                            <m:ctrlPr>
                              <w:rPr>
                                <w:rFonts w:ascii="Cambria Math" w:hAnsi="Cambria Math"/>
                                <w:i/>
                                <w:color w:val="5F2987"/>
                              </w:rPr>
                            </m:ctrlPr>
                          </m:dPr>
                          <m:e>
                            <m:r>
                              <m:rPr>
                                <m:nor/>
                              </m:rPr>
                              <w:rPr>
                                <w:i/>
                                <w:iCs/>
                                <w:color w:val="5F2987"/>
                              </w:rPr>
                              <m:t>1</m:t>
                            </m:r>
                            <m:r>
                              <w:rPr>
                                <w:rFonts w:ascii="Cambria Math" w:hAnsi="Cambria Math"/>
                                <w:color w:val="5F2987"/>
                              </w:rPr>
                              <m:t>-</m:t>
                            </m:r>
                            <m:r>
                              <m:rPr>
                                <m:nor/>
                              </m:rPr>
                              <w:rPr>
                                <w:i/>
                                <w:iCs/>
                                <w:color w:val="5F2987"/>
                              </w:rPr>
                              <m:t>t</m:t>
                            </m:r>
                          </m:e>
                        </m:d>
                        <m:r>
                          <w:rPr>
                            <w:rFonts w:ascii="Cambria Math" w:hAnsi="Cambria Math"/>
                            <w:color w:val="5F2987"/>
                          </w:rPr>
                          <m:t>+</m:t>
                        </m:r>
                        <m:r>
                          <m:rPr>
                            <m:nor/>
                          </m:rPr>
                          <w:rPr>
                            <w:i/>
                            <w:iCs/>
                            <w:color w:val="5F2987"/>
                          </w:rPr>
                          <m:t>m</m:t>
                        </m:r>
                      </m:den>
                    </m:f>
                  </m:e>
                </m:borderBox>
              </m:e>
            </m:mr>
          </m:m>
        </m:oMath>
      </m:oMathPara>
    </w:p>
    <w:p w14:paraId="29582647" w14:textId="0F1BFF2F" w:rsidR="005B4C3B" w:rsidRDefault="005B4C3B" w:rsidP="005B4C3B">
      <w:pPr>
        <w:pStyle w:val="Nivel3SM"/>
      </w:pPr>
      <w:r>
        <w:t>La curva</w:t>
      </w:r>
      <w:r w:rsidR="008B3D40">
        <w:t> </w:t>
      </w:r>
      <w:r w:rsidRPr="003509D3">
        <w:rPr>
          <w:i/>
          <w:iCs/>
        </w:rPr>
        <w:t>IS</w:t>
      </w:r>
      <w:r>
        <w:t xml:space="preserve"> es decreciente en el plano </w:t>
      </w:r>
      <w:r>
        <w:rPr>
          <w:i/>
          <w:iCs/>
        </w:rPr>
        <w:t>Y</w:t>
      </w:r>
      <w:r w:rsidRPr="00A03A0E">
        <w:t>-</w:t>
      </w:r>
      <w:r>
        <w:rPr>
          <w:i/>
          <w:iCs/>
        </w:rPr>
        <w:t>i</w:t>
      </w:r>
      <w:r>
        <w:t xml:space="preserve"> porque aumentos del tipo de interés reducen la inversión y por lo tanto la renta.</w:t>
      </w:r>
    </w:p>
    <w:p w14:paraId="35C14869" w14:textId="68367E2C" w:rsidR="005B4C3B" w:rsidRPr="001B3BC2" w:rsidRDefault="005B4C3B">
      <w:pPr>
        <w:pStyle w:val="Prrafodelista"/>
        <w:keepNext/>
        <w:numPr>
          <w:ilvl w:val="0"/>
          <w:numId w:val="12"/>
        </w:numPr>
        <w:spacing w:after="0"/>
        <w:ind w:left="568" w:hanging="284"/>
        <w:rPr>
          <w:color w:val="00B050"/>
        </w:rPr>
      </w:pPr>
      <w:r w:rsidRPr="001B3BC2">
        <w:rPr>
          <w:i/>
          <w:iCs/>
          <w:color w:val="00B050"/>
          <w:u w:val="single"/>
        </w:rPr>
        <w:t>Curva</w:t>
      </w:r>
      <w:r w:rsidR="00247347">
        <w:rPr>
          <w:i/>
          <w:iCs/>
          <w:color w:val="00B050"/>
          <w:u w:val="single"/>
        </w:rPr>
        <w:t> </w:t>
      </w:r>
      <w:r w:rsidRPr="001B3BC2">
        <w:rPr>
          <w:i/>
          <w:iCs/>
          <w:color w:val="00B050"/>
          <w:u w:val="single"/>
        </w:rPr>
        <w:t>LM</w:t>
      </w:r>
      <w:r w:rsidRPr="001B3BC2">
        <w:rPr>
          <w:color w:val="00B050"/>
        </w:rPr>
        <w:t xml:space="preserve"> (</w:t>
      </w:r>
      <w:proofErr w:type="spellStart"/>
      <w:r w:rsidRPr="001B3BC2">
        <w:rPr>
          <w:i/>
          <w:iCs/>
          <w:color w:val="00B050"/>
        </w:rPr>
        <w:t>Liquidity</w:t>
      </w:r>
      <w:proofErr w:type="spellEnd"/>
      <w:r w:rsidRPr="001B3BC2">
        <w:rPr>
          <w:i/>
          <w:iCs/>
          <w:color w:val="00B050"/>
        </w:rPr>
        <w:t>-Money</w:t>
      </w:r>
      <w:r w:rsidRPr="001B3BC2">
        <w:rPr>
          <w:color w:val="00B050"/>
        </w:rPr>
        <w:t>)</w:t>
      </w:r>
    </w:p>
    <w:p w14:paraId="5303BD15" w14:textId="1801D732" w:rsidR="005B4C3B" w:rsidRDefault="005B4C3B" w:rsidP="005B4C3B">
      <w:pPr>
        <w:pStyle w:val="Nivel3SM"/>
      </w:pPr>
      <w:r>
        <w:t xml:space="preserve">La </w:t>
      </w:r>
      <w:r w:rsidRPr="008B3D40">
        <w:t>curva</w:t>
      </w:r>
      <w:r w:rsidR="008B3D40">
        <w:rPr>
          <w:i/>
          <w:iCs/>
        </w:rPr>
        <w:t> </w:t>
      </w:r>
      <w:r w:rsidRPr="003509D3">
        <w:rPr>
          <w:i/>
          <w:iCs/>
        </w:rPr>
        <w:t>LM</w:t>
      </w:r>
      <w:r>
        <w:t xml:space="preserve"> representa los pares de renta y tipo de interés que representan el equilibrio en el mercado de dinero y en el mercado de bonos.</w:t>
      </w:r>
    </w:p>
    <w:p w14:paraId="5179BFC5" w14:textId="77777777" w:rsidR="005B4C3B" w:rsidRDefault="005B4C3B" w:rsidP="005B4C3B">
      <w:pPr>
        <w:pStyle w:val="Nivel3SM"/>
        <w:keepNext/>
      </w:pPr>
      <w:r>
        <w:lastRenderedPageBreak/>
        <w:t>Se supone que la oferta monetaria viene dada exógenamente y la demanda de dinero sigue una función que depende positivamente de la renta y negativamente del tipo de interés:</w:t>
      </w:r>
    </w:p>
    <w:p w14:paraId="46BECD0C" w14:textId="77777777" w:rsidR="005B4C3B" w:rsidRPr="00887161" w:rsidRDefault="00000000" w:rsidP="005B4C3B">
      <w:pPr>
        <w:pStyle w:val="Nivel3SM"/>
        <w:numPr>
          <w:ilvl w:val="0"/>
          <w:numId w:val="0"/>
        </w:numPr>
        <w:ind w:left="963"/>
        <w:rPr>
          <w:lang w:val="en-US"/>
        </w:rPr>
      </w:pPr>
      <m:oMathPara>
        <m:oMath>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r>
            <w:rPr>
              <w:rFonts w:ascii="Cambria Math" w:hAnsi="Cambria Math"/>
              <w:lang w:val="en-US"/>
            </w:rPr>
            <m:t>=</m:t>
          </m:r>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r>
            <m:rPr>
              <m:nor/>
            </m:rPr>
            <w:rPr>
              <w:i/>
              <w:iCs/>
              <w:lang w:val="en-US"/>
            </w:rPr>
            <m:t>h</m:t>
          </m:r>
          <m:r>
            <w:rPr>
              <w:rFonts w:ascii="Cambria Math" w:hAnsi="Cambria Math"/>
              <w:lang w:val="en-US"/>
            </w:rPr>
            <m:t>∙</m:t>
          </m:r>
          <m:r>
            <m:rPr>
              <m:nor/>
            </m:rPr>
            <w:rPr>
              <w:i/>
              <w:iCs/>
              <w:lang w:val="en-US"/>
            </w:rPr>
            <m:t>i</m:t>
          </m:r>
          <m:r>
            <w:rPr>
              <w:rFonts w:ascii="Cambria Math" w:eastAsiaTheme="minorEastAsia" w:hAnsi="Cambria Math"/>
            </w:rPr>
            <m:t>⟹</m:t>
          </m:r>
          <m:borderBox>
            <m:borderBoxPr>
              <m:ctrlPr>
                <w:rPr>
                  <w:rFonts w:ascii="Cambria Math" w:eastAsiaTheme="minorEastAsia" w:hAnsi="Cambria Math"/>
                  <w:i/>
                  <w:iCs/>
                  <w:color w:val="00B050"/>
                </w:rPr>
              </m:ctrlPr>
            </m:borderBoxPr>
            <m:e>
              <m:r>
                <m:rPr>
                  <m:nor/>
                </m:rPr>
                <w:rPr>
                  <w:i/>
                  <w:iCs/>
                  <w:color w:val="00B050"/>
                  <w:lang w:val="en-US"/>
                </w:rPr>
                <m:t>i</m:t>
              </m:r>
              <m:r>
                <w:rPr>
                  <w:rFonts w:ascii="Cambria Math" w:hAnsi="Cambria Math"/>
                  <w:color w:val="00B050"/>
                  <w:lang w:val="en-US"/>
                </w:rPr>
                <m:t>=</m:t>
              </m:r>
              <m:f>
                <m:fPr>
                  <m:ctrlPr>
                    <w:rPr>
                      <w:rFonts w:ascii="Cambria Math" w:hAnsi="Cambria Math"/>
                      <w:i/>
                      <w:color w:val="00B050"/>
                    </w:rPr>
                  </m:ctrlPr>
                </m:fPr>
                <m:num>
                  <m:r>
                    <m:rPr>
                      <m:nor/>
                    </m:rPr>
                    <w:rPr>
                      <w:i/>
                      <w:iCs/>
                      <w:color w:val="00B050"/>
                      <w:lang w:val="en-US"/>
                    </w:rPr>
                    <m:t>1</m:t>
                  </m:r>
                </m:num>
                <m:den>
                  <m:r>
                    <m:rPr>
                      <m:nor/>
                    </m:rPr>
                    <w:rPr>
                      <w:i/>
                      <w:iCs/>
                      <w:color w:val="00B050"/>
                      <w:lang w:val="en-US"/>
                    </w:rPr>
                    <m:t>h</m:t>
                  </m:r>
                </m:den>
              </m:f>
              <m:r>
                <w:rPr>
                  <w:rFonts w:ascii="Cambria Math" w:hAnsi="Cambria Math"/>
                  <w:color w:val="00B050"/>
                  <w:lang w:val="en-US"/>
                </w:rPr>
                <m:t>∙</m:t>
              </m:r>
              <m:d>
                <m:dPr>
                  <m:ctrlPr>
                    <w:rPr>
                      <w:rFonts w:ascii="Cambria Math" w:hAnsi="Cambria Math"/>
                      <w:i/>
                      <w:iCs/>
                      <w:color w:val="00B050"/>
                    </w:rPr>
                  </m:ctrlPr>
                </m:dPr>
                <m:e>
                  <m:r>
                    <m:rPr>
                      <m:nor/>
                    </m:rPr>
                    <w:rPr>
                      <w:i/>
                      <w:iCs/>
                      <w:color w:val="00B050"/>
                      <w:lang w:val="en-US"/>
                    </w:rPr>
                    <m:t>k</m:t>
                  </m:r>
                  <m:r>
                    <w:rPr>
                      <w:rFonts w:ascii="Cambria Math" w:hAnsi="Cambria Math"/>
                      <w:color w:val="00B050"/>
                      <w:lang w:val="en-US"/>
                    </w:rPr>
                    <m:t>∙</m:t>
                  </m:r>
                  <m:r>
                    <m:rPr>
                      <m:nor/>
                    </m:rPr>
                    <w:rPr>
                      <w:i/>
                      <w:iCs/>
                      <w:color w:val="00B050"/>
                      <w:lang w:val="en-US"/>
                    </w:rPr>
                    <m:t>Y</m:t>
                  </m:r>
                  <m:r>
                    <w:rPr>
                      <w:rFonts w:ascii="Cambria Math" w:hAnsi="Cambria Math"/>
                      <w:color w:val="00B050"/>
                      <w:lang w:val="en-US"/>
                    </w:rPr>
                    <m:t>-</m:t>
                  </m:r>
                  <m:d>
                    <m:dPr>
                      <m:ctrlPr>
                        <w:rPr>
                          <w:rFonts w:ascii="Cambria Math" w:hAnsi="Cambria Math"/>
                          <w:i/>
                          <w:iCs/>
                          <w:color w:val="00B050"/>
                          <w:lang w:val="en-US"/>
                        </w:rPr>
                      </m:ctrlPr>
                    </m:dPr>
                    <m:e>
                      <m:f>
                        <m:fPr>
                          <m:ctrlPr>
                            <w:rPr>
                              <w:rFonts w:ascii="Cambria Math" w:hAnsi="Cambria Math"/>
                              <w:i/>
                              <w:iCs/>
                              <w:color w:val="00B050"/>
                              <w:lang w:val="en-US"/>
                            </w:rPr>
                          </m:ctrlPr>
                        </m:fPr>
                        <m:num>
                          <m:sSup>
                            <m:sSupPr>
                              <m:ctrlPr>
                                <w:rPr>
                                  <w:rFonts w:ascii="Cambria Math" w:hAnsi="Cambria Math"/>
                                  <w:i/>
                                  <w:iCs/>
                                  <w:color w:val="00B050"/>
                                  <w:lang w:val="en-US"/>
                                </w:rPr>
                              </m:ctrlPr>
                            </m:sSupPr>
                            <m:e>
                              <m:r>
                                <m:rPr>
                                  <m:nor/>
                                </m:rPr>
                                <w:rPr>
                                  <w:i/>
                                  <w:iCs/>
                                  <w:color w:val="00B050"/>
                                  <w:lang w:val="en-US"/>
                                </w:rPr>
                                <m:t>M</m:t>
                              </m:r>
                            </m:e>
                            <m:sup>
                              <m:r>
                                <m:rPr>
                                  <m:nor/>
                                </m:rPr>
                                <w:rPr>
                                  <w:i/>
                                  <w:iCs/>
                                  <w:color w:val="00B050"/>
                                  <w:lang w:val="en-US"/>
                                </w:rPr>
                                <m:t>S</m:t>
                              </m:r>
                            </m:sup>
                          </m:sSup>
                        </m:num>
                        <m:den>
                          <m:r>
                            <m:rPr>
                              <m:nor/>
                            </m:rPr>
                            <w:rPr>
                              <w:i/>
                              <w:iCs/>
                              <w:color w:val="00B050"/>
                              <w:lang w:val="en-US"/>
                            </w:rPr>
                            <m:t>P</m:t>
                          </m:r>
                        </m:den>
                      </m:f>
                    </m:e>
                  </m:d>
                </m:e>
              </m:d>
            </m:e>
          </m:borderBox>
        </m:oMath>
      </m:oMathPara>
    </w:p>
    <w:p w14:paraId="20CD0F17" w14:textId="03015108" w:rsidR="005B4C3B" w:rsidRPr="00D66B55" w:rsidRDefault="005B4C3B" w:rsidP="005B4C3B">
      <w:pPr>
        <w:pStyle w:val="Nivel3SM"/>
      </w:pPr>
      <w:r>
        <w:t>La curva</w:t>
      </w:r>
      <w:r w:rsidR="00247347">
        <w:t> </w:t>
      </w:r>
      <w:r w:rsidRPr="003509D3">
        <w:rPr>
          <w:i/>
          <w:iCs/>
        </w:rPr>
        <w:t>LM</w:t>
      </w:r>
      <w:r>
        <w:t xml:space="preserve"> será creciente con el tipo de interés, pues un aumento de la renta requiere un aumento del tipo de interés para reequilibrar el mercado monetario.</w:t>
      </w:r>
    </w:p>
    <w:p w14:paraId="75C8B500" w14:textId="762DAE8F" w:rsidR="005B4C3B" w:rsidRPr="001B3BC2" w:rsidRDefault="005B4C3B">
      <w:pPr>
        <w:pStyle w:val="Prrafodelista"/>
        <w:keepNext/>
        <w:numPr>
          <w:ilvl w:val="0"/>
          <w:numId w:val="12"/>
        </w:numPr>
        <w:spacing w:after="0"/>
        <w:ind w:left="568" w:hanging="284"/>
        <w:rPr>
          <w:color w:val="FF6600"/>
          <w:lang w:val="en-US"/>
        </w:rPr>
      </w:pPr>
      <w:r w:rsidRPr="001B3BC2">
        <w:rPr>
          <w:i/>
          <w:iCs/>
          <w:color w:val="FF6600"/>
          <w:u w:val="single"/>
          <w:lang w:val="en-US"/>
        </w:rPr>
        <w:t>Curva</w:t>
      </w:r>
      <w:r w:rsidR="00247347">
        <w:rPr>
          <w:i/>
          <w:iCs/>
          <w:color w:val="FF6600"/>
          <w:u w:val="single"/>
          <w:lang w:val="en-US"/>
        </w:rPr>
        <w:t> </w:t>
      </w:r>
      <w:r w:rsidRPr="001B3BC2">
        <w:rPr>
          <w:i/>
          <w:iCs/>
          <w:color w:val="FF6600"/>
          <w:u w:val="single"/>
          <w:lang w:val="en-US"/>
        </w:rPr>
        <w:t>BP</w:t>
      </w:r>
      <w:r w:rsidRPr="001B3BC2">
        <w:rPr>
          <w:color w:val="FF6600"/>
          <w:lang w:val="en-US"/>
        </w:rPr>
        <w:t xml:space="preserve"> (</w:t>
      </w:r>
      <w:r w:rsidRPr="001B3BC2">
        <w:rPr>
          <w:i/>
          <w:iCs/>
          <w:color w:val="FF6600"/>
          <w:lang w:val="en-US"/>
        </w:rPr>
        <w:t>Balance of Payments</w:t>
      </w:r>
      <w:r w:rsidRPr="001B3BC2">
        <w:rPr>
          <w:color w:val="FF6600"/>
          <w:lang w:val="en-US"/>
        </w:rPr>
        <w:t>)</w:t>
      </w:r>
    </w:p>
    <w:p w14:paraId="2FD4C46D" w14:textId="448EB7DA" w:rsidR="005B4C3B" w:rsidRDefault="005B4C3B" w:rsidP="005B4C3B">
      <w:pPr>
        <w:pStyle w:val="Nivel3SM"/>
      </w:pPr>
      <w:r>
        <w:t>La curva</w:t>
      </w:r>
      <w:r w:rsidR="00247347">
        <w:t> </w:t>
      </w:r>
      <w:r w:rsidRPr="003509D3">
        <w:rPr>
          <w:i/>
          <w:iCs/>
        </w:rPr>
        <w:t>BP</w:t>
      </w:r>
      <w:r>
        <w:t xml:space="preserve"> representa los pares de renta y tipo de interés que representan el equilibrio en el sector exterior (i.e. equilibrio de balanza de pagos).</w:t>
      </w:r>
    </w:p>
    <w:p w14:paraId="10805428" w14:textId="77777777" w:rsidR="005B4C3B" w:rsidRDefault="005B4C3B" w:rsidP="005B4C3B">
      <w:pPr>
        <w:pStyle w:val="Nivel3SM"/>
        <w:keepNext/>
      </w:pPr>
      <w:r>
        <w:t>Suponemos que la balanza de pagos queda definida de la siguiente manera</w:t>
      </w:r>
      <w:r>
        <w:rPr>
          <w:rStyle w:val="Refdenotaalpie"/>
        </w:rPr>
        <w:footnoteReference w:id="9"/>
      </w:r>
      <w:r>
        <w:t>:</w:t>
      </w:r>
    </w:p>
    <w:p w14:paraId="26292BBE" w14:textId="58FE9F51" w:rsidR="005B4C3B" w:rsidRPr="00887161" w:rsidRDefault="00000000" w:rsidP="005B4C3B">
      <w:pPr>
        <w:pStyle w:val="Nivel3SM"/>
        <w:numPr>
          <w:ilvl w:val="0"/>
          <w:numId w:val="0"/>
        </w:numPr>
        <w:ind w:left="963"/>
        <w:rPr>
          <w:rFonts w:eastAsiaTheme="minorEastAsia"/>
        </w:rPr>
      </w:pPr>
      <m:oMathPara>
        <m:oMath>
          <m:m>
            <m:mPr>
              <m:mcs>
                <m:mc>
                  <m:mcPr>
                    <m:count m:val="1"/>
                    <m:mcJc m:val="center"/>
                  </m:mcPr>
                </m:mc>
              </m:mcs>
              <m:ctrlPr>
                <w:rPr>
                  <w:rFonts w:ascii="Cambria Math" w:hAnsi="Cambria Math"/>
                  <w:i/>
                </w:rPr>
              </m:ctrlPr>
            </m:mPr>
            <m:mr>
              <m:e>
                <m:limLow>
                  <m:limLowPr>
                    <m:ctrlPr>
                      <w:rPr>
                        <w:rFonts w:ascii="Cambria Math" w:hAnsi="Cambria Math"/>
                        <w:i/>
                      </w:rPr>
                    </m:ctrlPr>
                  </m:limLowPr>
                  <m:e>
                    <m:groupChr>
                      <m:groupChrPr>
                        <m:ctrlPr>
                          <w:rPr>
                            <w:rFonts w:ascii="Cambria Math" w:hAnsi="Cambria Math"/>
                            <w:i/>
                          </w:rPr>
                        </m:ctrlPr>
                      </m:groupChrPr>
                      <m:e>
                        <m:r>
                          <m:rPr>
                            <m:nor/>
                          </m:rPr>
                          <w:rPr>
                            <w:i/>
                            <w:iCs/>
                          </w:rPr>
                          <m:t>x</m:t>
                        </m:r>
                        <m:r>
                          <w:rPr>
                            <w:rFonts w:ascii="Cambria Math" w:hAnsi="Cambria Math"/>
                          </w:rPr>
                          <m:t>∙</m:t>
                        </m:r>
                        <m:r>
                          <m:rPr>
                            <m:nor/>
                          </m:rPr>
                          <w:rPr>
                            <w:i/>
                            <w:iCs/>
                          </w:rPr>
                          <m:t>Y*</m:t>
                        </m:r>
                        <m:r>
                          <w:rPr>
                            <w:rFonts w:ascii="Cambria Math" w:hAnsi="Cambria Math"/>
                          </w:rPr>
                          <m:t>-</m:t>
                        </m:r>
                        <m:r>
                          <m:rPr>
                            <m:nor/>
                          </m:rPr>
                          <w:rPr>
                            <w:i/>
                            <w:iCs/>
                          </w:rPr>
                          <m:t>m</m:t>
                        </m:r>
                        <m:r>
                          <w:rPr>
                            <w:rFonts w:ascii="Cambria Math" w:hAnsi="Cambria Math"/>
                          </w:rPr>
                          <m:t>∙</m:t>
                        </m:r>
                        <m:r>
                          <m:rPr>
                            <m:nor/>
                          </m:rPr>
                          <w:rPr>
                            <w:i/>
                            <w:iCs/>
                          </w:rPr>
                          <m:t>Y</m:t>
                        </m:r>
                        <m:r>
                          <w:rPr>
                            <w:rFonts w:ascii="Cambria Math" w:hAnsi="Cambria Math"/>
                          </w:rPr>
                          <m:t>+</m:t>
                        </m:r>
                        <m:r>
                          <m:rPr>
                            <m:nor/>
                          </m:rPr>
                          <w:rPr>
                            <w:i/>
                            <w:iCs/>
                          </w:rPr>
                          <m:t>ϕ</m:t>
                        </m:r>
                        <m:r>
                          <w:rPr>
                            <w:rFonts w:ascii="Cambria Math" w:hAnsi="Cambria Math"/>
                          </w:rPr>
                          <m:t>∙</m:t>
                        </m:r>
                        <m:r>
                          <m:rPr>
                            <m:nor/>
                          </m:rPr>
                          <w:rPr>
                            <w:i/>
                          </w:rPr>
                          <m:t>ϰ</m:t>
                        </m:r>
                      </m:e>
                    </m:groupChr>
                  </m:e>
                  <m:lim>
                    <m:r>
                      <m:rPr>
                        <m:nor/>
                      </m:rPr>
                      <w:rPr>
                        <w:i/>
                        <w:iCs/>
                      </w:rPr>
                      <m:t>XN</m:t>
                    </m:r>
                    <m:r>
                      <w:rPr>
                        <w:rFonts w:ascii="Cambria Math" w:hAnsi="Cambria Math"/>
                      </w:rPr>
                      <m:t>=</m:t>
                    </m:r>
                    <m:r>
                      <m:rPr>
                        <m:nor/>
                      </m:rPr>
                      <w:rPr>
                        <w:i/>
                        <w:iCs/>
                      </w:rPr>
                      <m:t>CC</m:t>
                    </m: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r>
                          <w:rPr>
                            <w:rFonts w:ascii="Cambria Math" w:hAnsi="Cambria Math"/>
                          </w:rPr>
                          <m:t>-</m:t>
                        </m:r>
                        <m:r>
                          <m:rPr>
                            <m:nor/>
                          </m:rPr>
                          <w:rPr>
                            <w:i/>
                            <w:lang w:val="en-US"/>
                          </w:rPr>
                          <m:t>β</m:t>
                        </m:r>
                        <m:r>
                          <w:rPr>
                            <w:rFonts w:ascii="Cambria Math" w:hAnsi="Cambria Math"/>
                          </w:rPr>
                          <m:t>∙</m:t>
                        </m:r>
                        <m:d>
                          <m:dPr>
                            <m:ctrlPr>
                              <w:rPr>
                                <w:rFonts w:ascii="Cambria Math" w:hAnsi="Cambria Math"/>
                                <w:i/>
                                <w:iCs/>
                                <w:lang w:val="en-US"/>
                              </w:rPr>
                            </m:ctrlPr>
                          </m:dPr>
                          <m:e>
                            <m:r>
                              <m:rPr>
                                <m:nor/>
                              </m:rPr>
                              <w:rPr>
                                <w:i/>
                                <w:iCs/>
                              </w:rPr>
                              <m:t>i</m:t>
                            </m:r>
                            <m:r>
                              <w:rPr>
                                <w:rFonts w:ascii="Cambria Math" w:hAnsi="Cambria Math"/>
                              </w:rPr>
                              <m:t>-</m:t>
                            </m:r>
                            <m:r>
                              <m:rPr>
                                <m:nor/>
                              </m:rPr>
                              <w:rPr>
                                <w:i/>
                                <w:iCs/>
                              </w:rPr>
                              <m:t>i*</m:t>
                            </m:r>
                          </m:e>
                        </m:d>
                      </m:e>
                    </m:groupChr>
                  </m:e>
                  <m:lim>
                    <m:r>
                      <m:rPr>
                        <m:nor/>
                      </m:rPr>
                      <w:rPr>
                        <w:i/>
                        <w:iCs/>
                      </w:rPr>
                      <m:t>CF</m:t>
                    </m:r>
                  </m:lim>
                </m:limLow>
              </m:e>
            </m:mr>
            <m:mr>
              <m:e>
                <m:r>
                  <w:rPr>
                    <w:rFonts w:ascii="Cambria Math" w:hAnsi="Cambria Math"/>
                  </w:rPr>
                  <m:t>⇓</m:t>
                </m:r>
              </m:e>
            </m:mr>
            <m:mr>
              <m:e>
                <m:borderBox>
                  <m:borderBoxPr>
                    <m:ctrlPr>
                      <w:rPr>
                        <w:rFonts w:ascii="Cambria Math" w:hAnsi="Cambria Math"/>
                        <w:i/>
                        <w:iCs/>
                        <w:color w:val="FF6600"/>
                      </w:rPr>
                    </m:ctrlPr>
                  </m:borderBoxPr>
                  <m:e>
                    <m:r>
                      <m:rPr>
                        <m:nor/>
                      </m:rPr>
                      <w:rPr>
                        <w:i/>
                        <w:iCs/>
                        <w:color w:val="FF6600"/>
                      </w:rPr>
                      <m:t>i</m:t>
                    </m:r>
                    <m:r>
                      <w:rPr>
                        <w:rFonts w:ascii="Cambria Math"/>
                        <w:color w:val="FF6600"/>
                      </w:rPr>
                      <m:t>=</m:t>
                    </m:r>
                    <m:r>
                      <m:rPr>
                        <m:nor/>
                      </m:rPr>
                      <w:rPr>
                        <w:i/>
                        <w:iCs/>
                        <w:color w:val="FF6600"/>
                      </w:rPr>
                      <m:t>i*</m:t>
                    </m:r>
                    <m:r>
                      <w:rPr>
                        <w:rFonts w:ascii="Cambria Math" w:hAnsi="Cambria Math"/>
                        <w:color w:val="FF6600"/>
                      </w:rPr>
                      <m:t>-</m:t>
                    </m:r>
                    <m:f>
                      <m:fPr>
                        <m:ctrlPr>
                          <w:rPr>
                            <w:rFonts w:ascii="Cambria Math" w:hAnsi="Cambria Math"/>
                            <w:i/>
                            <w:color w:val="FF6600"/>
                          </w:rPr>
                        </m:ctrlPr>
                      </m:fPr>
                      <m:num>
                        <m:r>
                          <m:rPr>
                            <m:nor/>
                          </m:rPr>
                          <w:rPr>
                            <w:i/>
                            <w:color w:val="FF6600"/>
                          </w:rPr>
                          <m:t>1</m:t>
                        </m:r>
                      </m:num>
                      <m:den>
                        <m:r>
                          <m:rPr>
                            <m:nor/>
                          </m:rPr>
                          <w:rPr>
                            <w:i/>
                            <w:color w:val="FF6600"/>
                            <w:lang w:val="en-US"/>
                          </w:rPr>
                          <m:t>β</m:t>
                        </m:r>
                      </m:den>
                    </m:f>
                    <m:r>
                      <w:rPr>
                        <w:rFonts w:ascii="Cambria Math" w:hAnsi="Cambria Math"/>
                        <w:color w:val="FF6600"/>
                      </w:rPr>
                      <m:t>∙</m:t>
                    </m:r>
                    <m:limLow>
                      <m:limLowPr>
                        <m:ctrlPr>
                          <w:rPr>
                            <w:rFonts w:ascii="Cambria Math" w:hAnsi="Cambria Math"/>
                            <w:i/>
                            <w:color w:val="FF6600"/>
                          </w:rPr>
                        </m:ctrlPr>
                      </m:limLowPr>
                      <m:e>
                        <m:groupChr>
                          <m:groupChrPr>
                            <m:ctrlPr>
                              <w:rPr>
                                <w:rFonts w:ascii="Cambria Math" w:hAnsi="Cambria Math"/>
                                <w:i/>
                                <w:color w:val="FF6600"/>
                              </w:rPr>
                            </m:ctrlPr>
                          </m:groupChrPr>
                          <m:e>
                            <m:d>
                              <m:dPr>
                                <m:ctrlPr>
                                  <w:rPr>
                                    <w:rFonts w:ascii="Cambria Math" w:hAnsi="Cambria Math"/>
                                    <w:i/>
                                    <w:iCs/>
                                    <w:color w:val="FF6600"/>
                                    <w:lang w:val="en-US"/>
                                  </w:rPr>
                                </m:ctrlPr>
                              </m:dPr>
                              <m:e>
                                <m:r>
                                  <m:rPr>
                                    <m:nor/>
                                  </m:rPr>
                                  <w:rPr>
                                    <w:i/>
                                    <w:iCs/>
                                    <w:color w:val="FF6600"/>
                                  </w:rPr>
                                  <m:t>x</m:t>
                                </m:r>
                                <m:r>
                                  <w:rPr>
                                    <w:rFonts w:ascii="Cambria Math" w:hAnsi="Cambria Math"/>
                                    <w:color w:val="FF6600"/>
                                  </w:rPr>
                                  <m:t>∙</m:t>
                                </m:r>
                                <m:r>
                                  <m:rPr>
                                    <m:nor/>
                                  </m:rPr>
                                  <w:rPr>
                                    <w:i/>
                                    <w:iCs/>
                                    <w:color w:val="FF6600"/>
                                  </w:rPr>
                                  <m:t>Y*</m:t>
                                </m:r>
                                <m:r>
                                  <w:rPr>
                                    <w:rFonts w:ascii="Cambria Math" w:hAnsi="Cambria Math"/>
                                    <w:color w:val="FF6600"/>
                                  </w:rPr>
                                  <m:t>-</m:t>
                                </m:r>
                                <m:r>
                                  <m:rPr>
                                    <m:nor/>
                                  </m:rPr>
                                  <w:rPr>
                                    <w:i/>
                                    <w:iCs/>
                                    <w:color w:val="FF6600"/>
                                  </w:rPr>
                                  <m:t>m</m:t>
                                </m:r>
                                <m:r>
                                  <w:rPr>
                                    <w:rFonts w:ascii="Cambria Math" w:hAnsi="Cambria Math"/>
                                    <w:color w:val="FF6600"/>
                                  </w:rPr>
                                  <m:t>∙</m:t>
                                </m:r>
                                <m:r>
                                  <m:rPr>
                                    <m:nor/>
                                  </m:rPr>
                                  <w:rPr>
                                    <w:i/>
                                    <w:iCs/>
                                    <w:color w:val="FF6600"/>
                                  </w:rPr>
                                  <m:t>Y</m:t>
                                </m:r>
                                <m:r>
                                  <w:rPr>
                                    <w:rFonts w:ascii="Cambria Math" w:hAnsi="Cambria Math"/>
                                    <w:color w:val="FF6600"/>
                                  </w:rPr>
                                  <m:t>+</m:t>
                                </m:r>
                                <m:r>
                                  <m:rPr>
                                    <m:nor/>
                                  </m:rPr>
                                  <w:rPr>
                                    <w:i/>
                                    <w:iCs/>
                                    <w:color w:val="FF6600"/>
                                  </w:rPr>
                                  <m:t>ϕ</m:t>
                                </m:r>
                                <m:r>
                                  <w:rPr>
                                    <w:rFonts w:ascii="Cambria Math" w:hAnsi="Cambria Math"/>
                                    <w:color w:val="FF6600"/>
                                  </w:rPr>
                                  <m:t>∙</m:t>
                                </m:r>
                                <m:r>
                                  <m:rPr>
                                    <m:nor/>
                                  </m:rPr>
                                  <w:rPr>
                                    <w:i/>
                                    <w:color w:val="FF6600"/>
                                  </w:rPr>
                                  <m:t>ϰ</m:t>
                                </m:r>
                              </m:e>
                            </m:d>
                          </m:e>
                        </m:groupChr>
                      </m:e>
                      <m:lim>
                        <m:r>
                          <m:rPr>
                            <m:nor/>
                          </m:rPr>
                          <w:rPr>
                            <w:i/>
                            <w:iCs/>
                            <w:color w:val="FF6600"/>
                          </w:rPr>
                          <m:t>XN</m:t>
                        </m:r>
                        <m:r>
                          <w:rPr>
                            <w:rFonts w:ascii="Cambria Math" w:hAnsi="Cambria Math"/>
                            <w:color w:val="FF6600"/>
                          </w:rPr>
                          <m:t>=</m:t>
                        </m:r>
                        <m:r>
                          <m:rPr>
                            <m:nor/>
                          </m:rPr>
                          <w:rPr>
                            <w:i/>
                            <w:iCs/>
                            <w:color w:val="FF6600"/>
                          </w:rPr>
                          <m:t>CC</m:t>
                        </m:r>
                      </m:lim>
                    </m:limLow>
                  </m:e>
                </m:borderBox>
              </m:e>
            </m:mr>
          </m:m>
        </m:oMath>
      </m:oMathPara>
    </w:p>
    <w:p w14:paraId="147FEE1E" w14:textId="550CF207" w:rsidR="005B4C3B" w:rsidRDefault="005B4C3B" w:rsidP="005B4C3B">
      <w:pPr>
        <w:pStyle w:val="Nivel3SM"/>
        <w:keepNext/>
        <w:ind w:left="964"/>
      </w:pPr>
      <w:r>
        <w:t>Para hallar la pendiente de la curva</w:t>
      </w:r>
      <w:r w:rsidR="00460BA4">
        <w:t> </w:t>
      </w:r>
      <w:r w:rsidRPr="003509D3">
        <w:rPr>
          <w:i/>
          <w:iCs/>
        </w:rPr>
        <w:t>BP</w:t>
      </w:r>
      <w:r>
        <w:t>, bastaría con calcular la derivada parcial respecto a la renta doméstica, de modo que:</w:t>
      </w:r>
    </w:p>
    <w:p w14:paraId="0ADEC36D" w14:textId="77777777" w:rsidR="005B4C3B" w:rsidRPr="00887161" w:rsidRDefault="00000000" w:rsidP="005B4C3B">
      <w:pPr>
        <w:pStyle w:val="Nivel3SM"/>
        <w:keepNext/>
        <w:numPr>
          <w:ilvl w:val="0"/>
          <w:numId w:val="0"/>
        </w:numPr>
        <w:ind w:left="964"/>
        <w:rPr>
          <w:i/>
        </w:rPr>
      </w:pPr>
      <m:oMathPara>
        <m:oMath>
          <m:f>
            <m:fPr>
              <m:ctrlPr>
                <w:rPr>
                  <w:rFonts w:ascii="Cambria Math" w:hAnsi="Cambria Math"/>
                  <w:i/>
                </w:rPr>
              </m:ctrlPr>
            </m:fPr>
            <m:num>
              <m:r>
                <m:rPr>
                  <m:nor/>
                </m:rPr>
                <w:rPr>
                  <w:i/>
                </w:rPr>
                <m:t>∂</m:t>
              </m:r>
              <m:r>
                <m:rPr>
                  <m:nor/>
                </m:rPr>
                <w:rPr>
                  <w:i/>
                  <w:iCs/>
                </w:rPr>
                <m:t>i</m:t>
              </m:r>
            </m:num>
            <m:den>
              <m:r>
                <m:rPr>
                  <m:nor/>
                </m:rPr>
                <w:rPr>
                  <w:i/>
                </w:rPr>
                <m:t>∂</m:t>
              </m:r>
              <m:r>
                <m:rPr>
                  <m:nor/>
                </m:rPr>
                <w:rPr>
                  <w:i/>
                  <w:iCs/>
                </w:rPr>
                <m:t>Y</m:t>
              </m:r>
            </m:den>
          </m:f>
          <m:r>
            <w:rPr>
              <w:rFonts w:ascii="Cambria Math" w:hAnsi="Cambria Math"/>
            </w:rPr>
            <m:t>=</m:t>
          </m:r>
          <m:f>
            <m:fPr>
              <m:ctrlPr>
                <w:rPr>
                  <w:rFonts w:ascii="Cambria Math" w:hAnsi="Cambria Math"/>
                  <w:i/>
                </w:rPr>
              </m:ctrlPr>
            </m:fPr>
            <m:num>
              <m:r>
                <m:rPr>
                  <m:nor/>
                </m:rPr>
                <w:rPr>
                  <w:i/>
                </w:rPr>
                <m:t>m</m:t>
              </m:r>
            </m:num>
            <m:den>
              <m:r>
                <m:rPr>
                  <m:nor/>
                </m:rPr>
                <w:rPr>
                  <w:i/>
                  <w:lang w:val="en-US"/>
                </w:rPr>
                <m:t>β</m:t>
              </m:r>
            </m:den>
          </m:f>
        </m:oMath>
      </m:oMathPara>
    </w:p>
    <w:p w14:paraId="1EFBEDDD" w14:textId="77777777" w:rsidR="005B4C3B" w:rsidRPr="00887161" w:rsidRDefault="005B4C3B" w:rsidP="005B4C3B">
      <w:pPr>
        <w:pStyle w:val="Nivel4"/>
        <w:keepNext/>
        <w:ind w:left="1474"/>
        <w:rPr>
          <w:spacing w:val="-1"/>
        </w:rPr>
      </w:pPr>
      <w:r w:rsidRPr="00887161">
        <w:rPr>
          <w:spacing w:val="-1"/>
        </w:rPr>
        <w:t xml:space="preserve">Por lo tanto, la pendiente va a depender especialmente del </w:t>
      </w:r>
      <w:r w:rsidRPr="00887161">
        <w:rPr>
          <w:i/>
          <w:iCs/>
          <w:spacing w:val="-1"/>
        </w:rPr>
        <w:t>grado de movilidad del capital</w:t>
      </w:r>
      <w:r w:rsidRPr="00887161">
        <w:rPr>
          <w:spacing w:val="-1"/>
        </w:rPr>
        <w:t>:</w:t>
      </w:r>
    </w:p>
    <w:p w14:paraId="41E0F2C7" w14:textId="0AF15638" w:rsidR="005B4C3B" w:rsidRPr="003509D3" w:rsidRDefault="005B4C3B" w:rsidP="005B4C3B">
      <w:pPr>
        <w:pStyle w:val="Nivel5"/>
        <w:ind w:left="1871"/>
      </w:pPr>
      <w:r w:rsidRPr="003509D3">
        <w:rPr>
          <w:i/>
          <w:iCs/>
        </w:rPr>
        <w:t>Si existe movilidad perfecta de capital</w:t>
      </w:r>
      <w:r>
        <w:t xml:space="preserve">, </w:t>
      </w:r>
      <m:oMath>
        <m:r>
          <m:rPr>
            <m:nor/>
          </m:rPr>
          <w:rPr>
            <w:i/>
            <w:lang w:val="en-US"/>
          </w:rPr>
          <m:t>β</m:t>
        </m:r>
        <m:r>
          <w:rPr>
            <w:rFonts w:ascii="Cambria Math" w:eastAsiaTheme="minorEastAsia" w:hAnsi="Cambria Math"/>
          </w:rPr>
          <m:t>=+∞</m:t>
        </m:r>
      </m:oMath>
      <w:r>
        <w:rPr>
          <w:rFonts w:eastAsiaTheme="minorEastAsia"/>
        </w:rPr>
        <w:t>, la curva</w:t>
      </w:r>
      <w:r w:rsidR="00212D33">
        <w:rPr>
          <w:rFonts w:eastAsiaTheme="minorEastAsia"/>
        </w:rPr>
        <w:t> </w:t>
      </w:r>
      <w:r w:rsidRPr="003509D3">
        <w:rPr>
          <w:rFonts w:eastAsiaTheme="minorEastAsia"/>
          <w:i/>
          <w:iCs/>
        </w:rPr>
        <w:t>BP</w:t>
      </w:r>
      <w:r>
        <w:rPr>
          <w:rFonts w:eastAsiaTheme="minorEastAsia"/>
        </w:rPr>
        <w:t xml:space="preserve"> será totalmente horizontal (i.e. pendiente nula). En este caso, debe cumplirse que </w:t>
      </w:r>
      <m:oMath>
        <m:r>
          <m:rPr>
            <m:nor/>
          </m:rPr>
          <w:rPr>
            <w:i/>
            <w:iCs/>
          </w:rPr>
          <m:t>i</m:t>
        </m:r>
        <m:r>
          <w:rPr>
            <w:rFonts w:ascii="Cambria Math" w:hAnsi="Cambria Math"/>
          </w:rPr>
          <m:t>=</m:t>
        </m:r>
        <m:r>
          <m:rPr>
            <m:nor/>
          </m:rPr>
          <w:rPr>
            <w:i/>
            <w:iCs/>
          </w:rPr>
          <m:t>i*</m:t>
        </m:r>
      </m:oMath>
      <w:r>
        <w:rPr>
          <w:rFonts w:eastAsiaTheme="minorEastAsia"/>
          <w:iCs/>
        </w:rPr>
        <w:t xml:space="preserve">, ya que si </w:t>
      </w:r>
      <m:oMath>
        <m:r>
          <m:rPr>
            <m:nor/>
          </m:rPr>
          <w:rPr>
            <w:i/>
            <w:iCs/>
          </w:rPr>
          <m:t>i</m:t>
        </m:r>
      </m:oMath>
      <w:r>
        <w:rPr>
          <w:rFonts w:eastAsiaTheme="minorEastAsia"/>
          <w:iCs/>
        </w:rPr>
        <w:t xml:space="preserve"> fuese ligeramente mayor, se produciría una entrada masiva de capitales, y si fuera ligeramente menor, se produciría una salida masiva de capitales.</w:t>
      </w:r>
    </w:p>
    <w:p w14:paraId="6DCE9EAC" w14:textId="00E2D11D" w:rsidR="005B4C3B" w:rsidRPr="003509D3" w:rsidRDefault="005B4C3B" w:rsidP="005B4C3B">
      <w:pPr>
        <w:pStyle w:val="Nivel5"/>
        <w:ind w:left="1871"/>
      </w:pPr>
      <w:r w:rsidRPr="003509D3">
        <w:rPr>
          <w:i/>
          <w:iCs/>
        </w:rPr>
        <w:t>Si existe movilidad perfecta de capital</w:t>
      </w:r>
      <w:r>
        <w:t xml:space="preserve">, </w:t>
      </w:r>
      <m:oMath>
        <m:r>
          <m:rPr>
            <m:nor/>
          </m:rPr>
          <w:rPr>
            <w:i/>
            <w:lang w:val="en-US"/>
          </w:rPr>
          <m:t>β</m:t>
        </m:r>
        <m:r>
          <w:rPr>
            <w:rFonts w:ascii="Cambria Math" w:eastAsiaTheme="minorEastAsia" w:hAnsi="Cambria Math"/>
          </w:rPr>
          <m:t>=</m:t>
        </m:r>
        <m:r>
          <m:rPr>
            <m:nor/>
          </m:rPr>
          <w:rPr>
            <w:i/>
          </w:rPr>
          <m:t>0</m:t>
        </m:r>
      </m:oMath>
      <w:r>
        <w:rPr>
          <w:rFonts w:eastAsiaTheme="minorEastAsia"/>
        </w:rPr>
        <w:t>, la curva</w:t>
      </w:r>
      <w:r w:rsidR="00212D33">
        <w:rPr>
          <w:rFonts w:eastAsiaTheme="minorEastAsia"/>
        </w:rPr>
        <w:t> </w:t>
      </w:r>
      <w:r w:rsidRPr="003509D3">
        <w:rPr>
          <w:rFonts w:eastAsiaTheme="minorEastAsia"/>
          <w:i/>
          <w:iCs/>
        </w:rPr>
        <w:t>BP</w:t>
      </w:r>
      <w:r>
        <w:rPr>
          <w:rFonts w:eastAsiaTheme="minorEastAsia"/>
        </w:rPr>
        <w:t xml:space="preserve"> será totalmente vertical (i.e. pendiente infinita). En este caso, la balanza de pagos depende exclusivamente de la balanza comercial</w:t>
      </w:r>
      <w:r>
        <w:rPr>
          <w:rFonts w:eastAsiaTheme="minorEastAsia"/>
          <w:iCs/>
        </w:rPr>
        <w:t>.</w:t>
      </w:r>
    </w:p>
    <w:p w14:paraId="2AAA1948" w14:textId="6176A556" w:rsidR="005B4C3B" w:rsidRPr="003509D3" w:rsidRDefault="005B4C3B" w:rsidP="005B4C3B">
      <w:pPr>
        <w:pStyle w:val="Nivel5"/>
        <w:ind w:left="1871"/>
      </w:pPr>
      <w:r w:rsidRPr="003509D3">
        <w:rPr>
          <w:i/>
          <w:iCs/>
        </w:rPr>
        <w:t xml:space="preserve">Si existe movilidad </w:t>
      </w:r>
      <w:r>
        <w:rPr>
          <w:i/>
          <w:iCs/>
        </w:rPr>
        <w:t>im</w:t>
      </w:r>
      <w:r w:rsidRPr="003509D3">
        <w:rPr>
          <w:i/>
          <w:iCs/>
        </w:rPr>
        <w:t>perfecta de capital</w:t>
      </w:r>
      <w:r>
        <w:t>,</w:t>
      </w:r>
      <m:oMath>
        <m:r>
          <w:rPr>
            <w:rFonts w:ascii="Cambria Math" w:hAnsi="Cambria Math"/>
          </w:rPr>
          <m:t xml:space="preserve"> </m:t>
        </m:r>
        <m:r>
          <m:rPr>
            <m:nor/>
          </m:rPr>
          <w:rPr>
            <w:i/>
            <w:lang w:val="en-US"/>
          </w:rPr>
          <m:t>β</m:t>
        </m:r>
        <m:r>
          <w:rPr>
            <w:rFonts w:ascii="Cambria Math" w:eastAsiaTheme="minorEastAsia" w:hAnsi="Cambria Math"/>
          </w:rPr>
          <m:t>∈</m:t>
        </m:r>
        <m:d>
          <m:dPr>
            <m:ctrlPr>
              <w:rPr>
                <w:rFonts w:ascii="Cambria Math" w:eastAsiaTheme="minorEastAsia" w:hAnsi="Cambria Math"/>
                <w:i/>
              </w:rPr>
            </m:ctrlPr>
          </m:dPr>
          <m:e>
            <m:r>
              <m:rPr>
                <m:nor/>
              </m:rPr>
              <w:rPr>
                <w:i/>
              </w:rPr>
              <m:t>0,</m:t>
            </m:r>
            <m:r>
              <w:rPr>
                <w:rFonts w:ascii="Cambria Math" w:eastAsiaTheme="minorEastAsia" w:hAnsi="Cambria Math"/>
              </w:rPr>
              <m:t>+∞</m:t>
            </m:r>
          </m:e>
        </m:d>
      </m:oMath>
      <w:r>
        <w:rPr>
          <w:rFonts w:eastAsiaTheme="minorEastAsia"/>
        </w:rPr>
        <w:t>, la curva</w:t>
      </w:r>
      <w:r w:rsidR="00212D33">
        <w:rPr>
          <w:rFonts w:eastAsiaTheme="minorEastAsia"/>
        </w:rPr>
        <w:t> </w:t>
      </w:r>
      <w:r w:rsidRPr="003509D3">
        <w:rPr>
          <w:rFonts w:eastAsiaTheme="minorEastAsia"/>
          <w:i/>
          <w:iCs/>
        </w:rPr>
        <w:t>BP</w:t>
      </w:r>
      <w:r>
        <w:rPr>
          <w:rFonts w:eastAsiaTheme="minorEastAsia"/>
        </w:rPr>
        <w:t xml:space="preserve"> tendrá pendiente positiva.</w:t>
      </w:r>
    </w:p>
    <w:p w14:paraId="5A98AF1A" w14:textId="77777777" w:rsidR="005B4C3B" w:rsidRDefault="005B4C3B" w:rsidP="005B4C3B">
      <w:pPr>
        <w:pStyle w:val="Nivel6"/>
      </w:pPr>
      <w:r>
        <w:t xml:space="preserve">Diremos que existe un alto grado de movilidad del capital cuando la </w:t>
      </w:r>
      <w:r>
        <w:rPr>
          <w:i/>
          <w:iCs/>
        </w:rPr>
        <w:t>BP</w:t>
      </w:r>
      <w:r>
        <w:t xml:space="preserve"> sea menos inclinada que la </w:t>
      </w:r>
      <w:r>
        <w:rPr>
          <w:i/>
          <w:iCs/>
        </w:rPr>
        <w:t>LM</w:t>
      </w:r>
      <w:r>
        <w:t xml:space="preserve">, y que existe un bajo nivel de movilidad del capital cuando la </w:t>
      </w:r>
      <w:r>
        <w:rPr>
          <w:i/>
          <w:iCs/>
        </w:rPr>
        <w:t>BP</w:t>
      </w:r>
      <w:r>
        <w:t xml:space="preserve"> sea </w:t>
      </w:r>
      <w:r>
        <w:rPr>
          <w:i/>
          <w:iCs/>
        </w:rPr>
        <w:t>más</w:t>
      </w:r>
      <w:r w:rsidRPr="003509D3">
        <w:t xml:space="preserve"> inclinada</w:t>
      </w:r>
      <w:r>
        <w:t xml:space="preserve"> que la </w:t>
      </w:r>
      <w:r>
        <w:rPr>
          <w:i/>
          <w:iCs/>
        </w:rPr>
        <w:t>LM</w:t>
      </w:r>
      <w:r>
        <w:t>.</w:t>
      </w:r>
    </w:p>
    <w:p w14:paraId="2E827162" w14:textId="039BC982" w:rsidR="005B4C3B" w:rsidRDefault="005B4C3B" w:rsidP="005B4C3B">
      <w:pPr>
        <w:pStyle w:val="Nivel6"/>
        <w:spacing w:after="100"/>
      </w:pPr>
      <w:r>
        <w:t>Que la curva</w:t>
      </w:r>
      <w:r w:rsidR="000817B1">
        <w:t> </w:t>
      </w:r>
      <w:r>
        <w:rPr>
          <w:i/>
          <w:iCs/>
        </w:rPr>
        <w:t>BP</w:t>
      </w:r>
      <w:r>
        <w:t xml:space="preserve"> sea creciente se debe a que, partiendo de un punto de equilibrio en la balanza de pagos, un aumento del nivel de renta hará crecer las importaciones y, por tanto, empeorará el saldo de la balanza comercial, por lo que, para recuperar el equilibrio de la balanza de pagos, se necesitaría un aumento del tipo de interés que llevara a una mejora de la balanza de capitales.</w:t>
      </w:r>
    </w:p>
    <w:p w14:paraId="5D447685" w14:textId="0F555B04" w:rsidR="005B4C3B" w:rsidRDefault="005B4C3B" w:rsidP="005B4C3B">
      <w:pPr>
        <w:pStyle w:val="Ttuloimagen"/>
        <w:rPr>
          <w:i/>
          <w:iCs/>
          <w:smallCaps w:val="0"/>
        </w:rPr>
      </w:pPr>
      <w:r>
        <w:lastRenderedPageBreak/>
        <w:t>Imagen </w:t>
      </w:r>
      <w:r w:rsidRPr="009C1D3F">
        <w:fldChar w:fldCharType="begin"/>
      </w:r>
      <w:r w:rsidRPr="009C1D3F">
        <w:instrText xml:space="preserve"> SEQ Ilustración \* ARABIC </w:instrText>
      </w:r>
      <w:r w:rsidRPr="009C1D3F">
        <w:fldChar w:fldCharType="separate"/>
      </w:r>
      <w:r w:rsidR="00E37AC1">
        <w:t>1</w:t>
      </w:r>
      <w:r w:rsidRPr="009C1D3F">
        <w:fldChar w:fldCharType="end"/>
      </w:r>
      <w:r w:rsidRPr="009C1D3F">
        <w:rPr>
          <w:smallCaps w:val="0"/>
        </w:rPr>
        <w:t xml:space="preserve">.– </w:t>
      </w:r>
      <w:r>
        <w:rPr>
          <w:i/>
          <w:iCs/>
          <w:smallCaps w:val="0"/>
        </w:rPr>
        <w:t>Modelo de Mundell-Fleming (IS-LM-BP)</w:t>
      </w:r>
    </w:p>
    <w:p w14:paraId="2683B5D1" w14:textId="77777777" w:rsidR="005B4C3B" w:rsidRDefault="005B4C3B" w:rsidP="005B4C3B">
      <w:pPr>
        <w:pStyle w:val="Imagen"/>
      </w:pPr>
      <w:r>
        <w:drawing>
          <wp:inline distT="0" distB="0" distL="0" distR="0" wp14:anchorId="722B06BC" wp14:editId="77AE4A76">
            <wp:extent cx="3200221" cy="1800000"/>
            <wp:effectExtent l="0" t="0" r="635" b="0"/>
            <wp:docPr id="4" name="Imagen 4"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áfico, Gráfico radial&#10;&#10;Descripción generada automáticamente"/>
                    <pic:cNvPicPr/>
                  </pic:nvPicPr>
                  <pic:blipFill>
                    <a:blip r:embed="rId12"/>
                    <a:stretch>
                      <a:fillRect/>
                    </a:stretch>
                  </pic:blipFill>
                  <pic:spPr>
                    <a:xfrm>
                      <a:off x="0" y="0"/>
                      <a:ext cx="3200221" cy="1800000"/>
                    </a:xfrm>
                    <a:prstGeom prst="rect">
                      <a:avLst/>
                    </a:prstGeom>
                  </pic:spPr>
                </pic:pic>
              </a:graphicData>
            </a:graphic>
          </wp:inline>
        </w:drawing>
      </w:r>
    </w:p>
    <w:p w14:paraId="25E2E32D" w14:textId="77777777" w:rsidR="005B4C3B" w:rsidRPr="009C1D3F" w:rsidRDefault="005B4C3B" w:rsidP="005B4C3B">
      <w:pPr>
        <w:pStyle w:val="PiedeImagen"/>
        <w:rPr>
          <w:i w:val="0"/>
          <w:iCs/>
        </w:rPr>
      </w:pPr>
      <w:r>
        <w:t>Fuente</w:t>
      </w:r>
      <w:r>
        <w:rPr>
          <w:i w:val="0"/>
          <w:iCs/>
        </w:rPr>
        <w:t>: Elaboración propia</w:t>
      </w:r>
    </w:p>
    <w:p w14:paraId="0C31FD6F" w14:textId="77777777" w:rsidR="005B4C3B" w:rsidRDefault="005B4C3B" w:rsidP="005B4C3B">
      <w:pPr>
        <w:pStyle w:val="Nivel1SM"/>
        <w:keepNext/>
        <w:spacing w:after="0"/>
      </w:pPr>
      <w:bookmarkStart w:id="14" w:name="_Hlk130836845"/>
      <w:bookmarkStart w:id="15" w:name="_Hlk130303037"/>
      <w:r>
        <w:t xml:space="preserve">En este modelo, la </w:t>
      </w:r>
      <w:r>
        <w:rPr>
          <w:i/>
          <w:iCs/>
          <w:u w:val="single"/>
        </w:rPr>
        <w:t>demanda agregada</w:t>
      </w:r>
      <w:r>
        <w:t xml:space="preserve"> (determinada por las curvas </w:t>
      </w:r>
      <w:r>
        <w:rPr>
          <w:i/>
          <w:iCs/>
        </w:rPr>
        <w:t>IS</w:t>
      </w:r>
      <w:r>
        <w:t xml:space="preserve">, </w:t>
      </w:r>
      <w:r>
        <w:rPr>
          <w:i/>
          <w:iCs/>
        </w:rPr>
        <w:t>LM</w:t>
      </w:r>
      <w:r>
        <w:t xml:space="preserve"> y </w:t>
      </w:r>
      <w:r>
        <w:rPr>
          <w:i/>
          <w:iCs/>
        </w:rPr>
        <w:t>BP</w:t>
      </w:r>
      <w:r>
        <w:t xml:space="preserve">) </w:t>
      </w:r>
      <w:r w:rsidRPr="00700412">
        <w:rPr>
          <w:i/>
          <w:iCs/>
          <w:u w:val="single"/>
        </w:rPr>
        <w:t xml:space="preserve">determina la </w:t>
      </w:r>
      <w:r>
        <w:rPr>
          <w:i/>
          <w:iCs/>
          <w:u w:val="single"/>
        </w:rPr>
        <w:t>renta</w:t>
      </w:r>
      <w:r>
        <w:t xml:space="preserve">, mientras que los </w:t>
      </w:r>
      <w:r w:rsidRPr="00700412">
        <w:rPr>
          <w:i/>
          <w:iCs/>
          <w:u w:val="single"/>
        </w:rPr>
        <w:t>precios son fijos</w:t>
      </w:r>
      <w:r>
        <w:t xml:space="preserve"> (vienen dados por una </w:t>
      </w:r>
      <w:r>
        <w:rPr>
          <w:i/>
          <w:iCs/>
          <w:u w:val="single"/>
        </w:rPr>
        <w:t>oferta agregada</w:t>
      </w:r>
      <w:r>
        <w:t xml:space="preserve"> que es totalmente horizontal).</w:t>
      </w:r>
    </w:p>
    <w:p w14:paraId="74D434C2" w14:textId="77777777" w:rsidR="005B4C3B" w:rsidRDefault="005B4C3B" w:rsidP="005B4C3B">
      <w:pPr>
        <w:pStyle w:val="Nivel2SM"/>
      </w:pPr>
      <w:r>
        <w:t xml:space="preserve">El equilibrio en el modelo Mundell-Fleming se da cuando hay equilibrio en todos los mercados, esto es, cuando se cortan sus curvas </w:t>
      </w:r>
      <w:r>
        <w:rPr>
          <w:i/>
          <w:iCs/>
        </w:rPr>
        <w:t>IS</w:t>
      </w:r>
      <w:r>
        <w:t xml:space="preserve"> (mercado de bienes), </w:t>
      </w:r>
      <w:r>
        <w:rPr>
          <w:i/>
          <w:iCs/>
        </w:rPr>
        <w:t>LM</w:t>
      </w:r>
      <w:r>
        <w:t xml:space="preserve"> (mercado de activos financieros –dinero y bonos–) y </w:t>
      </w:r>
      <w:r>
        <w:rPr>
          <w:i/>
          <w:iCs/>
        </w:rPr>
        <w:t>BP</w:t>
      </w:r>
      <w:r>
        <w:t>.</w:t>
      </w:r>
    </w:p>
    <w:p w14:paraId="0BF8E17A" w14:textId="77777777" w:rsidR="005B4C3B" w:rsidRPr="002F0A7A" w:rsidRDefault="005B4C3B" w:rsidP="005B4C3B">
      <w:pPr>
        <w:pStyle w:val="Ttulo8"/>
      </w:pPr>
      <w:bookmarkStart w:id="16" w:name="_Toc173970574"/>
      <w:bookmarkEnd w:id="14"/>
      <w:r>
        <w:t>Análisis de los efectos de distintas políticas económicas</w:t>
      </w:r>
      <w:bookmarkEnd w:id="16"/>
    </w:p>
    <w:p w14:paraId="65EEC77B" w14:textId="77777777" w:rsidR="005B4C3B" w:rsidRDefault="005B4C3B" w:rsidP="005B4C3B">
      <w:pPr>
        <w:pStyle w:val="Nivel1SM"/>
        <w:keepNext/>
        <w:spacing w:before="0" w:after="0"/>
        <w:rPr>
          <w:spacing w:val="-1"/>
        </w:rPr>
      </w:pPr>
      <w:r w:rsidRPr="00730A94">
        <w:rPr>
          <w:spacing w:val="-1"/>
        </w:rPr>
        <w:t xml:space="preserve">Este marco nos permite estudiar el efecto de distintas políticas de demanda. El ajuste que conduzca al equilibrio global dependerá del </w:t>
      </w:r>
      <w:r w:rsidRPr="00730A94">
        <w:rPr>
          <w:i/>
          <w:iCs/>
          <w:spacing w:val="-1"/>
        </w:rPr>
        <w:t>grado de movilidad de capitales</w:t>
      </w:r>
      <w:r>
        <w:rPr>
          <w:spacing w:val="-1"/>
        </w:rPr>
        <w:t xml:space="preserve">, </w:t>
      </w:r>
      <w:r w:rsidRPr="00730A94">
        <w:rPr>
          <w:spacing w:val="-1"/>
        </w:rPr>
        <w:t xml:space="preserve">del </w:t>
      </w:r>
      <w:r w:rsidRPr="00730A94">
        <w:rPr>
          <w:i/>
          <w:iCs/>
          <w:spacing w:val="-1"/>
        </w:rPr>
        <w:t>régimen de tipo de cambio</w:t>
      </w:r>
      <w:r w:rsidRPr="00730A94">
        <w:rPr>
          <w:spacing w:val="-1"/>
        </w:rPr>
        <w:t xml:space="preserve"> existente</w:t>
      </w:r>
      <w:r>
        <w:rPr>
          <w:spacing w:val="-1"/>
        </w:rPr>
        <w:t xml:space="preserve"> y de la consideración de </w:t>
      </w:r>
      <w:r>
        <w:rPr>
          <w:i/>
          <w:iCs/>
          <w:spacing w:val="-1"/>
        </w:rPr>
        <w:t>países grandes o pequeños</w:t>
      </w:r>
      <w:r w:rsidRPr="00730A94">
        <w:rPr>
          <w:spacing w:val="-1"/>
        </w:rPr>
        <w:t>.</w:t>
      </w:r>
    </w:p>
    <w:p w14:paraId="1467A270" w14:textId="77777777" w:rsidR="005B4C3B" w:rsidRDefault="005B4C3B" w:rsidP="005B4C3B">
      <w:pPr>
        <w:pStyle w:val="Nivel2SM"/>
      </w:pPr>
      <w:r>
        <w:t xml:space="preserve">Empezaremos cada caso analizando </w:t>
      </w:r>
      <w:r>
        <w:rPr>
          <w:i/>
          <w:iCs/>
        </w:rPr>
        <w:t>dos países grandes</w:t>
      </w:r>
      <w:r>
        <w:t xml:space="preserve">, </w:t>
      </w:r>
      <w:r w:rsidRPr="002F0A7A">
        <w:t>y tras ello</w:t>
      </w:r>
      <w:r>
        <w:t xml:space="preserve"> veremos cómo cambian los resultados cuando cambia el tamaño de </w:t>
      </w:r>
      <w:r>
        <w:rPr>
          <w:i/>
          <w:iCs/>
        </w:rPr>
        <w:t>A</w:t>
      </w:r>
      <w:r>
        <w:t xml:space="preserve"> en relación a </w:t>
      </w:r>
      <w:r>
        <w:rPr>
          <w:i/>
          <w:iCs/>
        </w:rPr>
        <w:t>B</w:t>
      </w:r>
      <w:r>
        <w:t>.</w:t>
      </w:r>
    </w:p>
    <w:p w14:paraId="66CF539D" w14:textId="77777777" w:rsidR="005B4C3B" w:rsidRDefault="005B4C3B" w:rsidP="005B4C3B">
      <w:pPr>
        <w:pStyle w:val="Ttulo9"/>
      </w:pPr>
      <w:bookmarkStart w:id="17" w:name="_Toc173970575"/>
      <w:r>
        <w:t>Política monetaria expansiva con tipo de cambio flexible</w:t>
      </w:r>
      <w:bookmarkEnd w:id="17"/>
    </w:p>
    <w:p w14:paraId="3AC79F54" w14:textId="531F2F9C" w:rsidR="005B4C3B" w:rsidRDefault="005B4C3B" w:rsidP="005B4C3B">
      <w:pPr>
        <w:pStyle w:val="Nivel1SM"/>
        <w:keepNext/>
        <w:spacing w:before="0" w:after="0"/>
      </w:pPr>
      <w:r w:rsidRPr="00D607B3">
        <w:t>Comenzaremos por el estudio de una</w:t>
      </w:r>
      <w:r>
        <w:rPr>
          <w:b/>
          <w:bCs/>
        </w:rPr>
        <w:t xml:space="preserve"> política monetaria expansiva del país </w:t>
      </w:r>
      <w:r>
        <w:rPr>
          <w:b/>
          <w:bCs/>
          <w:i/>
          <w:iCs/>
        </w:rPr>
        <w:t>A</w:t>
      </w:r>
      <w:r>
        <w:rPr>
          <w:b/>
          <w:bCs/>
        </w:rPr>
        <w:t xml:space="preserve">, con tipo de cambio flexible para </w:t>
      </w:r>
      <w:r w:rsidR="00B2341D">
        <w:rPr>
          <w:b/>
          <w:bCs/>
        </w:rPr>
        <w:t>2 </w:t>
      </w:r>
      <w:r>
        <w:rPr>
          <w:b/>
          <w:bCs/>
        </w:rPr>
        <w:t>países grandes</w:t>
      </w:r>
      <w:r>
        <w:t xml:space="preserve"> </w:t>
      </w:r>
      <w:r w:rsidRPr="003D2BA2">
        <w:rPr>
          <w:sz w:val="19"/>
          <w:szCs w:val="19"/>
        </w:rPr>
        <w:t>(= efectos de la política monetaria expansiva del BCE sobre Estados Unidos)</w:t>
      </w:r>
      <w:r>
        <w:t>:</w:t>
      </w:r>
    </w:p>
    <w:p w14:paraId="17382592" w14:textId="77777777" w:rsidR="005B4C3B" w:rsidRDefault="005B4C3B" w:rsidP="005B4C3B">
      <w:pPr>
        <w:pStyle w:val="Nivel2SM"/>
      </w:pPr>
      <w:r>
        <w:t>La expansión monetaria provocará una elevación del nivel de renta y una reducción del tipo de interés en el país </w:t>
      </w:r>
      <w:r>
        <w:rPr>
          <w:i/>
          <w:iCs/>
        </w:rPr>
        <w:t>A</w:t>
      </w:r>
      <w:r>
        <w:t>, ya que la curva </w:t>
      </w:r>
      <w:r>
        <w:rPr>
          <w:i/>
          <w:iCs/>
        </w:rPr>
        <w:t>LM</w:t>
      </w:r>
      <w:r>
        <w:t xml:space="preserve"> se desplaza a la derecha hasta </w:t>
      </w:r>
      <m:oMath>
        <m:sSubSup>
          <m:sSubSupPr>
            <m:ctrlPr>
              <w:rPr>
                <w:rFonts w:ascii="Cambria Math" w:hAnsi="Cambria Math"/>
                <w:i/>
              </w:rPr>
            </m:ctrlPr>
          </m:sSubSupPr>
          <m:e>
            <m:r>
              <m:rPr>
                <m:nor/>
              </m:rPr>
              <w:rPr>
                <w:i/>
              </w:rPr>
              <m:t>LM</m:t>
            </m:r>
          </m:e>
          <m:sub>
            <m:r>
              <m:rPr>
                <m:nor/>
              </m:rPr>
              <w:rPr>
                <w:i/>
              </w:rPr>
              <m:t>1</m:t>
            </m:r>
          </m:sub>
          <m:sup>
            <m:r>
              <m:rPr>
                <m:nor/>
              </m:rPr>
              <w:rPr>
                <w:i/>
              </w:rPr>
              <m:t>A</m:t>
            </m:r>
          </m:sup>
        </m:sSubSup>
      </m:oMath>
      <w:r>
        <w:t>.</w:t>
      </w:r>
    </w:p>
    <w:p w14:paraId="60061386" w14:textId="77777777" w:rsidR="005B4C3B" w:rsidRDefault="005B4C3B" w:rsidP="005B4C3B">
      <w:pPr>
        <w:pStyle w:val="Nivel2SM"/>
      </w:pPr>
      <w:r>
        <w:t>El tipo de cambio del país </w:t>
      </w:r>
      <w:r>
        <w:rPr>
          <w:i/>
          <w:iCs/>
        </w:rPr>
        <w:t>A</w:t>
      </w:r>
      <w:r>
        <w:t xml:space="preserve"> se depreciará hasta eliminar el exceso de oferta de moneda nacional, lo que aumentará sus exportaciones netas (i.e. la curva </w:t>
      </w:r>
      <w:r>
        <w:rPr>
          <w:i/>
          <w:iCs/>
        </w:rPr>
        <w:t>IS</w:t>
      </w:r>
      <w:r>
        <w:t xml:space="preserve"> se desplazará a la derecha hasta </w:t>
      </w:r>
      <m:oMath>
        <m:sSubSup>
          <m:sSubSupPr>
            <m:ctrlPr>
              <w:rPr>
                <w:rFonts w:ascii="Cambria Math" w:hAnsi="Cambria Math"/>
                <w:i/>
              </w:rPr>
            </m:ctrlPr>
          </m:sSubSupPr>
          <m:e>
            <m:r>
              <m:rPr>
                <m:nor/>
              </m:rPr>
              <w:rPr>
                <w:i/>
              </w:rPr>
              <m:t>IS</m:t>
            </m:r>
          </m:e>
          <m:sub>
            <m:r>
              <m:rPr>
                <m:nor/>
              </m:rPr>
              <w:rPr>
                <w:i/>
              </w:rPr>
              <m:t>3</m:t>
            </m:r>
          </m:sub>
          <m:sup>
            <m:r>
              <m:rPr>
                <m:nor/>
              </m:rPr>
              <w:rPr>
                <w:i/>
              </w:rPr>
              <m:t>A</m:t>
            </m:r>
          </m:sup>
        </m:sSubSup>
      </m:oMath>
      <w:r>
        <w:t>).</w:t>
      </w:r>
    </w:p>
    <w:p w14:paraId="6427F270" w14:textId="77777777" w:rsidR="005B4C3B" w:rsidRDefault="005B4C3B" w:rsidP="005B4C3B">
      <w:pPr>
        <w:pStyle w:val="Nivel2SM"/>
        <w:keepNext/>
        <w:spacing w:after="0"/>
      </w:pPr>
      <w:r>
        <w:t xml:space="preserve">Bajo perfecta movilidad del capital, el diferencial de intereses generado provocará una salida de capitales de </w:t>
      </w:r>
      <w:r>
        <w:rPr>
          <w:i/>
          <w:iCs/>
        </w:rPr>
        <w:t>A</w:t>
      </w:r>
      <w:r>
        <w:t>. Ello implicará una fuerte demanda de bonos del país </w:t>
      </w:r>
      <w:r>
        <w:rPr>
          <w:i/>
          <w:iCs/>
        </w:rPr>
        <w:t>B</w:t>
      </w:r>
      <w:r>
        <w:t>, ahora más rentables, cuyo precio deberá subir reduciendo el tipo de interés del resto del mundo (por la relación inversa “precio del bono”–“tipo de interés”), lo que se representa con un desplazamiento hacia abajo de la curva </w:t>
      </w:r>
      <w:r>
        <w:rPr>
          <w:i/>
          <w:iCs/>
        </w:rPr>
        <w:t>BP</w:t>
      </w:r>
      <w:r>
        <w:t xml:space="preserve"> hasta </w:t>
      </w:r>
      <m:oMath>
        <m:sSubSup>
          <m:sSubSupPr>
            <m:ctrlPr>
              <w:rPr>
                <w:rFonts w:ascii="Cambria Math" w:hAnsi="Cambria Math"/>
                <w:i/>
              </w:rPr>
            </m:ctrlPr>
          </m:sSubSupPr>
          <m:e>
            <m:r>
              <m:rPr>
                <m:nor/>
              </m:rPr>
              <w:rPr>
                <w:i/>
              </w:rPr>
              <m:t>BP</m:t>
            </m:r>
          </m:e>
          <m:sub>
            <m:r>
              <m:rPr>
                <m:nor/>
              </m:rPr>
              <w:rPr>
                <w:i/>
              </w:rPr>
              <m:t>3</m:t>
            </m:r>
          </m:sub>
          <m:sup>
            <m:r>
              <m:rPr>
                <m:nor/>
              </m:rPr>
              <w:rPr>
                <w:i/>
              </w:rPr>
              <m:t>A</m:t>
            </m:r>
          </m:sup>
        </m:sSubSup>
      </m:oMath>
      <w:r>
        <w:t>.</w:t>
      </w:r>
    </w:p>
    <w:p w14:paraId="6B8CAF11" w14:textId="77777777" w:rsidR="005B4C3B" w:rsidRDefault="005B4C3B" w:rsidP="005B4C3B">
      <w:pPr>
        <w:pStyle w:val="Nivel3SM"/>
      </w:pPr>
      <w:r>
        <w:t>Nótese que la reducción inicial del tipo de interés en el país </w:t>
      </w:r>
      <w:r>
        <w:rPr>
          <w:i/>
          <w:iCs/>
        </w:rPr>
        <w:t>A</w:t>
      </w:r>
      <w:r>
        <w:t xml:space="preserve"> provocada por la política monetaria expansiva es superior a la reducción del tipo de interés mundial, dado que el tamaño similar de ambos países no permite al primero de ellos determinar, sino sólo afectar, a las variables del segundo.</w:t>
      </w:r>
    </w:p>
    <w:p w14:paraId="0F250D19" w14:textId="77777777" w:rsidR="005B4C3B" w:rsidRDefault="005B4C3B" w:rsidP="005B4C3B">
      <w:pPr>
        <w:pStyle w:val="Nivel2SM"/>
        <w:keepNext/>
        <w:spacing w:after="0"/>
      </w:pPr>
      <w:r>
        <w:t>Paralelamente, en el país </w:t>
      </w:r>
      <w:r>
        <w:rPr>
          <w:i/>
          <w:iCs/>
        </w:rPr>
        <w:t>B</w:t>
      </w:r>
      <w:r>
        <w:t xml:space="preserve"> la política de su vecino habrá provocado 2 efectos:</w:t>
      </w:r>
    </w:p>
    <w:p w14:paraId="1B743D8B" w14:textId="77777777" w:rsidR="005B4C3B" w:rsidRDefault="005B4C3B">
      <w:pPr>
        <w:pStyle w:val="Prrafodelista"/>
        <w:numPr>
          <w:ilvl w:val="0"/>
          <w:numId w:val="14"/>
        </w:numPr>
        <w:spacing w:after="0"/>
        <w:ind w:left="1135" w:hanging="284"/>
      </w:pPr>
      <w:r>
        <w:rPr>
          <w:i/>
          <w:iCs/>
        </w:rPr>
        <w:t>Efecto renta del país A</w:t>
      </w:r>
      <w:r>
        <w:t>: El incremento de la renta del país </w:t>
      </w:r>
      <w:r>
        <w:rPr>
          <w:i/>
          <w:iCs/>
        </w:rPr>
        <w:t>A</w:t>
      </w:r>
      <w:r>
        <w:t xml:space="preserve"> habrá elevado sus importaciones (i.e. exportaciones del país </w:t>
      </w:r>
      <w:r>
        <w:rPr>
          <w:i/>
          <w:iCs/>
        </w:rPr>
        <w:t>B</w:t>
      </w:r>
      <w:r>
        <w:t xml:space="preserve">), desplazando la curva </w:t>
      </w:r>
      <w:r>
        <w:rPr>
          <w:i/>
          <w:iCs/>
        </w:rPr>
        <w:t>IS</w:t>
      </w:r>
      <w:r>
        <w:t xml:space="preserve"> hasta </w:t>
      </w:r>
      <m:oMath>
        <m:sSubSup>
          <m:sSubSupPr>
            <m:ctrlPr>
              <w:rPr>
                <w:rFonts w:ascii="Cambria Math" w:hAnsi="Cambria Math"/>
                <w:i/>
              </w:rPr>
            </m:ctrlPr>
          </m:sSubSupPr>
          <m:e>
            <m:r>
              <m:rPr>
                <m:nor/>
              </m:rPr>
              <w:rPr>
                <w:i/>
              </w:rPr>
              <m:t>IS</m:t>
            </m:r>
          </m:e>
          <m:sub>
            <m:r>
              <m:rPr>
                <m:nor/>
              </m:rPr>
              <w:rPr>
                <w:i/>
              </w:rPr>
              <m:t>2</m:t>
            </m:r>
          </m:sub>
          <m:sup>
            <m:r>
              <m:rPr>
                <m:nor/>
              </m:rPr>
              <w:rPr>
                <w:i/>
              </w:rPr>
              <m:t>B</m:t>
            </m:r>
          </m:sup>
        </m:sSubSup>
      </m:oMath>
      <w:r>
        <w:t>.</w:t>
      </w:r>
    </w:p>
    <w:p w14:paraId="5569BF95" w14:textId="77777777" w:rsidR="005B4C3B" w:rsidRDefault="005B4C3B">
      <w:pPr>
        <w:pStyle w:val="Prrafodelista"/>
        <w:numPr>
          <w:ilvl w:val="0"/>
          <w:numId w:val="14"/>
        </w:numPr>
        <w:spacing w:after="0"/>
        <w:ind w:left="1135" w:hanging="284"/>
      </w:pPr>
      <w:r>
        <w:rPr>
          <w:i/>
          <w:iCs/>
        </w:rPr>
        <w:t>Efecto tipo de cambio</w:t>
      </w:r>
      <w:r>
        <w:t>: El menor tipo de interés inicial del país </w:t>
      </w:r>
      <w:r>
        <w:rPr>
          <w:i/>
          <w:iCs/>
        </w:rPr>
        <w:t>A</w:t>
      </w:r>
      <w:r>
        <w:t xml:space="preserve"> frente al internacional provocará una entrada masiva de capitales en </w:t>
      </w:r>
      <w:r>
        <w:rPr>
          <w:i/>
          <w:iCs/>
        </w:rPr>
        <w:t>B</w:t>
      </w:r>
      <w:r>
        <w:t xml:space="preserve"> que apreciará su tipo de cambio, lo que disminuirá sus exportaciones netas (i.e. curva </w:t>
      </w:r>
      <w:r>
        <w:rPr>
          <w:i/>
          <w:iCs/>
        </w:rPr>
        <w:t>IS</w:t>
      </w:r>
      <w:r>
        <w:t xml:space="preserve"> se desplazará a la izquierda hasta </w:t>
      </w:r>
      <m:oMath>
        <m:sSubSup>
          <m:sSubSupPr>
            <m:ctrlPr>
              <w:rPr>
                <w:rFonts w:ascii="Cambria Math" w:hAnsi="Cambria Math"/>
                <w:i/>
              </w:rPr>
            </m:ctrlPr>
          </m:sSubSupPr>
          <m:e>
            <m:r>
              <m:rPr>
                <m:nor/>
              </m:rPr>
              <w:rPr>
                <w:i/>
              </w:rPr>
              <m:t>IS</m:t>
            </m:r>
          </m:e>
          <m:sub>
            <m:r>
              <m:rPr>
                <m:nor/>
              </m:rPr>
              <w:rPr>
                <w:i/>
              </w:rPr>
              <m:t>3</m:t>
            </m:r>
          </m:sub>
          <m:sup>
            <m:r>
              <m:rPr>
                <m:nor/>
              </m:rPr>
              <w:rPr>
                <w:i/>
              </w:rPr>
              <m:t>B</m:t>
            </m:r>
          </m:sup>
        </m:sSubSup>
      </m:oMath>
      <w:r>
        <w:t>).</w:t>
      </w:r>
    </w:p>
    <w:p w14:paraId="54E798E9" w14:textId="77777777" w:rsidR="005B4C3B" w:rsidRDefault="005B4C3B" w:rsidP="005B4C3B">
      <w:pPr>
        <w:pStyle w:val="Nivel4"/>
        <w:ind w:left="1474"/>
      </w:pPr>
      <w:r>
        <w:t>Ambos efectos son de signo contrario, sin embargo, consideraremos que determinan una contracción de la renta del país </w:t>
      </w:r>
      <w:r>
        <w:rPr>
          <w:i/>
          <w:iCs/>
        </w:rPr>
        <w:t>B</w:t>
      </w:r>
      <w:r w:rsidRPr="00406DF9">
        <w:t xml:space="preserve"> </w:t>
      </w:r>
      <w:r>
        <w:t>(predomina el efecto tipo de cambio), y por lo tanto el tipo de interés de equilibrio mundial es ahora menor.</w:t>
      </w:r>
    </w:p>
    <w:p w14:paraId="53E1FE0E" w14:textId="77777777" w:rsidR="005B4C3B" w:rsidRPr="00BA0335" w:rsidRDefault="005B4C3B" w:rsidP="005B4C3B">
      <w:pPr>
        <w:pStyle w:val="Nivel3SM"/>
        <w:keepNext/>
      </w:pPr>
      <w:r>
        <w:lastRenderedPageBreak/>
        <w:t>Es importante notar que el efecto de la vuelta sobre el país </w:t>
      </w:r>
      <w:r>
        <w:rPr>
          <w:i/>
          <w:iCs/>
        </w:rPr>
        <w:t>A</w:t>
      </w:r>
      <w:r>
        <w:t xml:space="preserve"> (una reducción de sus exportaciones por la reducción de las importaciones del país </w:t>
      </w:r>
      <w:r>
        <w:rPr>
          <w:i/>
          <w:iCs/>
        </w:rPr>
        <w:t>B</w:t>
      </w:r>
      <w:r>
        <w:t xml:space="preserve">) se verá exactamente contrarrestado por una depreciación del tipo de cambio de </w:t>
      </w:r>
      <w:r>
        <w:rPr>
          <w:i/>
          <w:iCs/>
        </w:rPr>
        <w:t>A</w:t>
      </w:r>
      <w:r>
        <w:t xml:space="preserve"> hasta garantizar que de nuevo se cumpla la condición </w:t>
      </w:r>
      <m:oMath>
        <m:r>
          <m:rPr>
            <m:nor/>
          </m:rPr>
          <w:rPr>
            <w:i/>
            <w:iCs/>
          </w:rPr>
          <m:t>i'</m:t>
        </m:r>
        <m:r>
          <w:rPr>
            <w:rFonts w:ascii="Cambria Math" w:hAnsi="Cambria Math"/>
          </w:rPr>
          <m:t>=</m:t>
        </m:r>
        <m:r>
          <m:rPr>
            <m:nor/>
          </m:rPr>
          <w:rPr>
            <w:i/>
            <w:iCs/>
          </w:rPr>
          <m:t>i*</m:t>
        </m:r>
      </m:oMath>
      <w:r>
        <w:rPr>
          <w:rFonts w:eastAsiaTheme="minorEastAsia"/>
          <w:iCs/>
        </w:rPr>
        <w:t>, por lo que podemos ignorar dicho efecto.</w:t>
      </w:r>
    </w:p>
    <w:p w14:paraId="1FDC5001" w14:textId="77777777" w:rsidR="005B4C3B" w:rsidRPr="003D2BA2" w:rsidRDefault="005B4C3B" w:rsidP="005B4C3B">
      <w:pPr>
        <w:pStyle w:val="Nivel4"/>
        <w:ind w:left="1474"/>
      </w:pPr>
      <w:r>
        <w:t>Además, si la movilidad de capitales fuera más reducida, ambos efectos de signo contrario serían menos potentes, con lo que se espera que no cambien sustancialmente las conclusiones.</w:t>
      </w:r>
    </w:p>
    <w:p w14:paraId="61F605EF" w14:textId="77777777" w:rsidR="005B4C3B" w:rsidRPr="003D2BA2" w:rsidRDefault="005B4C3B" w:rsidP="005B4C3B">
      <w:pPr>
        <w:pStyle w:val="Nivel2SM"/>
        <w:keepNext/>
        <w:spacing w:after="0"/>
      </w:pPr>
      <w:bookmarkStart w:id="18" w:name="_Hlk122428877"/>
      <w:r>
        <w:rPr>
          <w:rFonts w:eastAsiaTheme="minorEastAsia"/>
          <w:iCs/>
        </w:rPr>
        <w:t xml:space="preserve">En conclusión, </w:t>
      </w:r>
      <w:r w:rsidRPr="003D2BA2">
        <w:rPr>
          <w:rFonts w:eastAsiaTheme="minorEastAsia"/>
          <w:b/>
          <w:bCs/>
          <w:iCs/>
        </w:rPr>
        <w:t>la política monetaria expansiva del país</w:t>
      </w:r>
      <w:r>
        <w:rPr>
          <w:rFonts w:eastAsiaTheme="minorEastAsia"/>
          <w:b/>
          <w:bCs/>
          <w:iCs/>
        </w:rPr>
        <w:t> </w:t>
      </w:r>
      <w:r w:rsidRPr="003D2BA2">
        <w:rPr>
          <w:rFonts w:eastAsiaTheme="minorEastAsia"/>
          <w:b/>
          <w:bCs/>
          <w:i/>
        </w:rPr>
        <w:t>A</w:t>
      </w:r>
      <w:r w:rsidRPr="003D2BA2">
        <w:rPr>
          <w:rFonts w:eastAsiaTheme="minorEastAsia"/>
          <w:b/>
          <w:bCs/>
          <w:iCs/>
        </w:rPr>
        <w:t xml:space="preserve"> habrá provocado una expansión de la renta en el país</w:t>
      </w:r>
      <w:r>
        <w:rPr>
          <w:rFonts w:eastAsiaTheme="minorEastAsia"/>
          <w:b/>
          <w:bCs/>
          <w:iCs/>
        </w:rPr>
        <w:t> </w:t>
      </w:r>
      <w:r w:rsidRPr="003D2BA2">
        <w:rPr>
          <w:rFonts w:eastAsiaTheme="minorEastAsia"/>
          <w:b/>
          <w:bCs/>
          <w:i/>
        </w:rPr>
        <w:t>A</w:t>
      </w:r>
      <w:r w:rsidRPr="003D2BA2">
        <w:rPr>
          <w:rFonts w:eastAsiaTheme="minorEastAsia"/>
          <w:b/>
          <w:bCs/>
          <w:iCs/>
        </w:rPr>
        <w:t xml:space="preserve"> y una recesión en el país</w:t>
      </w:r>
      <w:r>
        <w:rPr>
          <w:rFonts w:eastAsiaTheme="minorEastAsia"/>
          <w:b/>
          <w:bCs/>
          <w:iCs/>
        </w:rPr>
        <w:t> </w:t>
      </w:r>
      <w:r w:rsidRPr="003D2BA2">
        <w:rPr>
          <w:rFonts w:eastAsiaTheme="minorEastAsia"/>
          <w:b/>
          <w:bCs/>
          <w:i/>
        </w:rPr>
        <w:t>B</w:t>
      </w:r>
      <w:r>
        <w:rPr>
          <w:rFonts w:eastAsiaTheme="minorEastAsia"/>
          <w:iCs/>
        </w:rPr>
        <w:t>.</w:t>
      </w:r>
    </w:p>
    <w:p w14:paraId="364E9E48" w14:textId="77777777" w:rsidR="005B4C3B" w:rsidRDefault="005B4C3B" w:rsidP="005B4C3B">
      <w:pPr>
        <w:pStyle w:val="Nivel3SM"/>
      </w:pPr>
      <w:r>
        <w:t xml:space="preserve">Es decir, la política monetaria expansiva del BCE tendrá, </w:t>
      </w:r>
      <w:r>
        <w:rPr>
          <w:i/>
        </w:rPr>
        <w:t>ceteris paribus</w:t>
      </w:r>
      <w:r>
        <w:t>, un efecto positivo en el PIB de la UE y un efecto negativo en el de Estados Unidos.</w:t>
      </w:r>
    </w:p>
    <w:bookmarkEnd w:id="18"/>
    <w:p w14:paraId="011AFEAF" w14:textId="55D564D0" w:rsidR="005B4C3B" w:rsidRPr="00B722E6" w:rsidRDefault="005B4C3B" w:rsidP="005B4C3B">
      <w:pPr>
        <w:pStyle w:val="Nivel1SM"/>
      </w:pPr>
      <w:r>
        <w:rPr>
          <w:i/>
          <w:iCs/>
          <w:u w:val="single"/>
        </w:rPr>
        <w:t xml:space="preserve">País A pequeño </w:t>
      </w:r>
      <w:r w:rsidRPr="00B722E6">
        <w:rPr>
          <w:i/>
          <w:iCs/>
          <w:u w:val="single"/>
        </w:rPr>
        <w:t>– País B grande</w:t>
      </w:r>
      <w:r w:rsidRPr="00B722E6">
        <w:t xml:space="preserve">. Comparando los resultados con los obtenidos en el modelo </w:t>
      </w:r>
      <w:r w:rsidRPr="00B722E6">
        <w:rPr>
          <w:smallCaps/>
        </w:rPr>
        <w:t>Mundell-Fleming</w:t>
      </w:r>
      <w:r w:rsidRPr="00B722E6">
        <w:t xml:space="preserve"> (un único país </w:t>
      </w:r>
      <w:r w:rsidRPr="00B722E6">
        <w:rPr>
          <w:i/>
          <w:iCs/>
        </w:rPr>
        <w:t>A</w:t>
      </w:r>
      <w:r w:rsidRPr="00B722E6">
        <w:t xml:space="preserve"> pequeño) se comprueba que</w:t>
      </w:r>
      <w:r w:rsidR="00B722E6" w:rsidRPr="00B722E6">
        <w:t xml:space="preserve"> en el escenario de 2 países grandes</w:t>
      </w:r>
      <w:r w:rsidRPr="00B722E6">
        <w:t xml:space="preserve"> la política monetaria con tipo de cambio flexible pierde parte de su efectividad, debido a la capacidad del país que la aplica para afectar al tipo de interés del resto del mundo.</w:t>
      </w:r>
    </w:p>
    <w:p w14:paraId="03A940D7" w14:textId="77777777" w:rsidR="005B4C3B" w:rsidRPr="00894A57" w:rsidRDefault="005B4C3B" w:rsidP="005B4C3B">
      <w:pPr>
        <w:pStyle w:val="Nivel1SM"/>
        <w:keepNext/>
        <w:spacing w:after="0"/>
      </w:pPr>
      <w:r w:rsidRPr="00894A57">
        <w:rPr>
          <w:i/>
          <w:iCs/>
          <w:u w:val="single"/>
        </w:rPr>
        <w:t>País A grande – País B pequeño</w:t>
      </w:r>
      <w:r w:rsidRPr="00894A57">
        <w:t>. La efectividad de la política será tanto mayor para el país </w:t>
      </w:r>
      <w:r w:rsidRPr="00894A57">
        <w:rPr>
          <w:i/>
          <w:iCs/>
        </w:rPr>
        <w:t>A</w:t>
      </w:r>
      <w:r w:rsidRPr="00894A57">
        <w:t xml:space="preserve"> cuanto menor sea </w:t>
      </w:r>
      <w:r w:rsidRPr="00894A57">
        <w:rPr>
          <w:i/>
          <w:iCs/>
        </w:rPr>
        <w:t>A</w:t>
      </w:r>
      <w:r w:rsidRPr="00894A57">
        <w:t xml:space="preserve"> respecto a </w:t>
      </w:r>
      <w:r w:rsidRPr="00894A57">
        <w:rPr>
          <w:i/>
          <w:iCs/>
        </w:rPr>
        <w:t>B</w:t>
      </w:r>
      <w:r w:rsidRPr="00894A57">
        <w:t xml:space="preserve">, mientras que el tamaño de </w:t>
      </w:r>
      <w:r w:rsidRPr="00894A57">
        <w:rPr>
          <w:i/>
          <w:iCs/>
        </w:rPr>
        <w:t>A</w:t>
      </w:r>
      <w:r w:rsidRPr="00894A57">
        <w:t xml:space="preserve"> respecto a </w:t>
      </w:r>
      <w:r w:rsidRPr="00894A57">
        <w:rPr>
          <w:i/>
          <w:iCs/>
        </w:rPr>
        <w:t>B</w:t>
      </w:r>
      <w:r w:rsidRPr="00894A57">
        <w:t xml:space="preserve"> es ambiguo en los mayores o menores efectos sobre </w:t>
      </w:r>
      <w:r w:rsidRPr="00894A57">
        <w:rPr>
          <w:i/>
          <w:iCs/>
        </w:rPr>
        <w:t>B</w:t>
      </w:r>
      <w:r w:rsidRPr="00894A57">
        <w:t>.</w:t>
      </w:r>
    </w:p>
    <w:p w14:paraId="0F29339A" w14:textId="77777777" w:rsidR="005B4C3B" w:rsidRPr="00894A57" w:rsidRDefault="005B4C3B" w:rsidP="005B4C3B">
      <w:pPr>
        <w:pStyle w:val="Nivel2SM"/>
      </w:pPr>
      <w:r w:rsidRPr="00894A57">
        <w:t>En último término, en un contexto de país </w:t>
      </w:r>
      <w:r w:rsidRPr="00894A57">
        <w:rPr>
          <w:i/>
          <w:iCs/>
        </w:rPr>
        <w:t>A</w:t>
      </w:r>
      <w:r w:rsidRPr="00894A57">
        <w:t xml:space="preserve"> grande – país </w:t>
      </w:r>
      <w:r w:rsidRPr="00894A57">
        <w:rPr>
          <w:i/>
          <w:iCs/>
        </w:rPr>
        <w:t>B</w:t>
      </w:r>
      <w:r w:rsidRPr="00894A57">
        <w:t xml:space="preserve"> pequeño, la efectividad de la medida sería igual a la de una economía cerrada en el país </w:t>
      </w:r>
      <w:r w:rsidRPr="00894A57">
        <w:rPr>
          <w:i/>
          <w:iCs/>
        </w:rPr>
        <w:t>A</w:t>
      </w:r>
      <w:r w:rsidRPr="00894A57">
        <w:t xml:space="preserve"> (mínima, punto 1 del gráfico), y máxima en el país </w:t>
      </w:r>
      <w:r w:rsidRPr="00894A57">
        <w:rPr>
          <w:i/>
          <w:iCs/>
        </w:rPr>
        <w:t>B</w:t>
      </w:r>
      <w:r w:rsidRPr="00894A57">
        <w:t>, ya que el país </w:t>
      </w:r>
      <w:r w:rsidRPr="00894A57">
        <w:rPr>
          <w:i/>
          <w:iCs/>
        </w:rPr>
        <w:t>A</w:t>
      </w:r>
      <w:r w:rsidRPr="00894A57">
        <w:t xml:space="preserve"> sería quien determinase enteramente el tipo de interés internacional.</w:t>
      </w:r>
    </w:p>
    <w:p w14:paraId="3AAD6276" w14:textId="6496BDC7" w:rsidR="005B4C3B" w:rsidRDefault="005B4C3B" w:rsidP="005B4C3B">
      <w:pPr>
        <w:pStyle w:val="Ttuloimagen"/>
        <w:rPr>
          <w:i/>
          <w:iCs/>
          <w:smallCaps w:val="0"/>
        </w:rPr>
      </w:pPr>
      <w:r>
        <w:t>Imagen </w:t>
      </w:r>
      <w:r w:rsidRPr="009C1D3F">
        <w:fldChar w:fldCharType="begin"/>
      </w:r>
      <w:r w:rsidRPr="009C1D3F">
        <w:instrText xml:space="preserve"> SEQ Ilustración \* ARABIC </w:instrText>
      </w:r>
      <w:r w:rsidRPr="009C1D3F">
        <w:fldChar w:fldCharType="separate"/>
      </w:r>
      <w:r w:rsidR="00E37AC1">
        <w:t>2</w:t>
      </w:r>
      <w:r w:rsidRPr="009C1D3F">
        <w:fldChar w:fldCharType="end"/>
      </w:r>
      <w:r w:rsidRPr="009C1D3F">
        <w:rPr>
          <w:smallCaps w:val="0"/>
        </w:rPr>
        <w:t xml:space="preserve">.– </w:t>
      </w:r>
      <w:r>
        <w:rPr>
          <w:i/>
          <w:iCs/>
          <w:smallCaps w:val="0"/>
        </w:rPr>
        <w:t>Efectos de una expansión monetaria en el marco de Mundell-Fleming</w:t>
      </w:r>
      <w:r w:rsidR="00894A57">
        <w:rPr>
          <w:i/>
          <w:iCs/>
          <w:smallCaps w:val="0"/>
        </w:rPr>
        <w:t xml:space="preserve"> con tipo de cambio flexible</w:t>
      </w:r>
    </w:p>
    <w:p w14:paraId="28A71653" w14:textId="77777777" w:rsidR="005B4C3B" w:rsidRDefault="005B4C3B" w:rsidP="005B4C3B">
      <w:pPr>
        <w:pStyle w:val="Imagen"/>
      </w:pPr>
      <w:r>
        <w:drawing>
          <wp:inline distT="0" distB="0" distL="0" distR="0" wp14:anchorId="746B8DEB" wp14:editId="5D3076B7">
            <wp:extent cx="5760401" cy="3240000"/>
            <wp:effectExtent l="0" t="0" r="0" b="0"/>
            <wp:docPr id="5" name="Imagen 5" descr="Gráfico, Diagrama,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Diagrama, Gráfico radial&#10;&#10;Descripción generada automáticamente"/>
                    <pic:cNvPicPr/>
                  </pic:nvPicPr>
                  <pic:blipFill>
                    <a:blip r:embed="rId13"/>
                    <a:stretch>
                      <a:fillRect/>
                    </a:stretch>
                  </pic:blipFill>
                  <pic:spPr>
                    <a:xfrm>
                      <a:off x="0" y="0"/>
                      <a:ext cx="5760401" cy="3240000"/>
                    </a:xfrm>
                    <a:prstGeom prst="rect">
                      <a:avLst/>
                    </a:prstGeom>
                  </pic:spPr>
                </pic:pic>
              </a:graphicData>
            </a:graphic>
          </wp:inline>
        </w:drawing>
      </w:r>
    </w:p>
    <w:p w14:paraId="2D1048D1" w14:textId="77777777" w:rsidR="005B4C3B" w:rsidRPr="009C1D3F" w:rsidRDefault="005B4C3B" w:rsidP="005B4C3B">
      <w:pPr>
        <w:pStyle w:val="PiedeImagen"/>
        <w:rPr>
          <w:i w:val="0"/>
          <w:iCs/>
        </w:rPr>
      </w:pPr>
      <w:r>
        <w:t>Fuente</w:t>
      </w:r>
      <w:r>
        <w:rPr>
          <w:i w:val="0"/>
          <w:iCs/>
        </w:rPr>
        <w:t>: Elaboración propia</w:t>
      </w:r>
    </w:p>
    <w:p w14:paraId="64C64B85" w14:textId="77777777" w:rsidR="005B4C3B" w:rsidRDefault="005B4C3B" w:rsidP="005B4C3B">
      <w:pPr>
        <w:pStyle w:val="Ttulo9"/>
      </w:pPr>
      <w:bookmarkStart w:id="19" w:name="_Toc173970576"/>
      <w:r>
        <w:t>Política fiscal expansiva con tipo de cambio flexible</w:t>
      </w:r>
      <w:bookmarkEnd w:id="19"/>
    </w:p>
    <w:p w14:paraId="264C261A" w14:textId="77777777" w:rsidR="005B4C3B" w:rsidRDefault="005B4C3B" w:rsidP="005B4C3B">
      <w:pPr>
        <w:pStyle w:val="Nivel1SM"/>
        <w:keepNext/>
        <w:spacing w:before="0" w:after="0"/>
      </w:pPr>
      <w:r>
        <w:t>Ahora parasemos a</w:t>
      </w:r>
      <w:r w:rsidRPr="00D607B3">
        <w:t>l estudio de una</w:t>
      </w:r>
      <w:r>
        <w:rPr>
          <w:b/>
          <w:bCs/>
        </w:rPr>
        <w:t xml:space="preserve"> política fiscal expansiva del país </w:t>
      </w:r>
      <w:r>
        <w:rPr>
          <w:b/>
          <w:bCs/>
          <w:i/>
          <w:iCs/>
        </w:rPr>
        <w:t>A</w:t>
      </w:r>
      <w:r>
        <w:rPr>
          <w:b/>
          <w:bCs/>
        </w:rPr>
        <w:t>, con tipo de cambio flexible para dos países grandes</w:t>
      </w:r>
      <w:r>
        <w:t xml:space="preserve"> </w:t>
      </w:r>
      <w:r w:rsidRPr="003D2BA2">
        <w:rPr>
          <w:sz w:val="19"/>
          <w:szCs w:val="19"/>
        </w:rPr>
        <w:t xml:space="preserve">(= efectos de la política </w:t>
      </w:r>
      <w:r>
        <w:rPr>
          <w:sz w:val="19"/>
          <w:szCs w:val="19"/>
        </w:rPr>
        <w:t>fiscal</w:t>
      </w:r>
      <w:r w:rsidRPr="003D2BA2">
        <w:rPr>
          <w:sz w:val="19"/>
          <w:szCs w:val="19"/>
        </w:rPr>
        <w:t xml:space="preserve"> expansiva </w:t>
      </w:r>
      <w:r>
        <w:rPr>
          <w:sz w:val="19"/>
          <w:szCs w:val="19"/>
        </w:rPr>
        <w:t>que el FMI exige a los países con margen presupuestario</w:t>
      </w:r>
      <w:r w:rsidRPr="003D2BA2">
        <w:rPr>
          <w:sz w:val="19"/>
          <w:szCs w:val="19"/>
        </w:rPr>
        <w:t>)</w:t>
      </w:r>
      <w:r>
        <w:t>:</w:t>
      </w:r>
    </w:p>
    <w:p w14:paraId="525E85CA" w14:textId="77777777" w:rsidR="005B4C3B" w:rsidRDefault="005B4C3B" w:rsidP="005B4C3B">
      <w:pPr>
        <w:pStyle w:val="Nivel2SM"/>
      </w:pPr>
      <w:r>
        <w:t>El aumento del gasto público provocará una elevación del nivel de renta y del tipo de interés en el país </w:t>
      </w:r>
      <w:r>
        <w:rPr>
          <w:i/>
          <w:iCs/>
        </w:rPr>
        <w:t>A</w:t>
      </w:r>
      <w:r>
        <w:t>, ya que la curva </w:t>
      </w:r>
      <w:r>
        <w:rPr>
          <w:i/>
          <w:iCs/>
        </w:rPr>
        <w:t>IS</w:t>
      </w:r>
      <w:r>
        <w:t xml:space="preserve"> se desplaza hacia la derecha hasta </w:t>
      </w:r>
      <m:oMath>
        <m:sSubSup>
          <m:sSubSupPr>
            <m:ctrlPr>
              <w:rPr>
                <w:rFonts w:ascii="Cambria Math" w:hAnsi="Cambria Math"/>
                <w:i/>
              </w:rPr>
            </m:ctrlPr>
          </m:sSubSupPr>
          <m:e>
            <m:r>
              <m:rPr>
                <m:nor/>
              </m:rPr>
              <w:rPr>
                <w:i/>
              </w:rPr>
              <m:t>IS</m:t>
            </m:r>
          </m:e>
          <m:sub>
            <m:r>
              <m:rPr>
                <m:nor/>
              </m:rPr>
              <w:rPr>
                <w:i/>
              </w:rPr>
              <m:t>1</m:t>
            </m:r>
          </m:sub>
          <m:sup>
            <m:r>
              <m:rPr>
                <m:nor/>
              </m:rPr>
              <w:rPr>
                <w:i/>
              </w:rPr>
              <m:t>A</m:t>
            </m:r>
          </m:sup>
        </m:sSubSup>
      </m:oMath>
      <w:r>
        <w:t>.</w:t>
      </w:r>
    </w:p>
    <w:p w14:paraId="0F3F8821" w14:textId="77777777" w:rsidR="005B4C3B" w:rsidRDefault="005B4C3B" w:rsidP="005B4C3B">
      <w:pPr>
        <w:pStyle w:val="Nivel2SM"/>
      </w:pPr>
      <w:r>
        <w:t>El tipo de cambio del país </w:t>
      </w:r>
      <w:r>
        <w:rPr>
          <w:i/>
          <w:iCs/>
        </w:rPr>
        <w:t>A</w:t>
      </w:r>
      <w:r>
        <w:t xml:space="preserve"> se apreciará hasta eliminar el exceso de demanda de moneda nacional, lo que disminuirá sus exportaciones netas (i.e. la curva </w:t>
      </w:r>
      <w:r>
        <w:rPr>
          <w:i/>
          <w:iCs/>
        </w:rPr>
        <w:t>IS</w:t>
      </w:r>
      <w:r>
        <w:t xml:space="preserve"> se desplazará hasta </w:t>
      </w:r>
      <m:oMath>
        <m:sSubSup>
          <m:sSubSupPr>
            <m:ctrlPr>
              <w:rPr>
                <w:rFonts w:ascii="Cambria Math" w:hAnsi="Cambria Math"/>
                <w:i/>
              </w:rPr>
            </m:ctrlPr>
          </m:sSubSupPr>
          <m:e>
            <m:r>
              <m:rPr>
                <m:nor/>
              </m:rPr>
              <w:rPr>
                <w:i/>
              </w:rPr>
              <m:t>IS</m:t>
            </m:r>
          </m:e>
          <m:sub>
            <m:r>
              <m:rPr>
                <m:nor/>
              </m:rPr>
              <w:rPr>
                <w:i/>
              </w:rPr>
              <m:t>3</m:t>
            </m:r>
          </m:sub>
          <m:sup>
            <m:r>
              <m:rPr>
                <m:nor/>
              </m:rPr>
              <w:rPr>
                <w:i/>
              </w:rPr>
              <m:t>A</m:t>
            </m:r>
          </m:sup>
        </m:sSubSup>
      </m:oMath>
      <w:r>
        <w:t>).</w:t>
      </w:r>
    </w:p>
    <w:p w14:paraId="13560321" w14:textId="77777777" w:rsidR="005B4C3B" w:rsidRDefault="005B4C3B" w:rsidP="005B4C3B">
      <w:pPr>
        <w:pStyle w:val="Nivel2SM"/>
        <w:keepNext/>
        <w:spacing w:after="0"/>
      </w:pPr>
      <w:r>
        <w:lastRenderedPageBreak/>
        <w:t xml:space="preserve">Bajo perfecta movilidad de capital, el diferencial de intereses generado provocará una entrada de capitales en </w:t>
      </w:r>
      <w:r>
        <w:rPr>
          <w:i/>
          <w:iCs/>
        </w:rPr>
        <w:t>A</w:t>
      </w:r>
      <w:r>
        <w:t>. Ello implicará una fuerte oferta de bonos del país </w:t>
      </w:r>
      <w:r>
        <w:rPr>
          <w:i/>
          <w:iCs/>
        </w:rPr>
        <w:t>B</w:t>
      </w:r>
      <w:r>
        <w:t>, ahora menos rentables, cuyo precio deberá bajar aumentando el tipo de interés del resto del mundo, lo que se representa con un desplazamiento hacia arriba de la curva </w:t>
      </w:r>
      <w:r>
        <w:rPr>
          <w:i/>
          <w:iCs/>
        </w:rPr>
        <w:t>BP</w:t>
      </w:r>
      <w:r w:rsidRPr="00A71F09">
        <w:t xml:space="preserve"> hasta </w:t>
      </w:r>
      <m:oMath>
        <m:sSubSup>
          <m:sSubSupPr>
            <m:ctrlPr>
              <w:rPr>
                <w:rFonts w:ascii="Cambria Math" w:hAnsi="Cambria Math"/>
                <w:i/>
              </w:rPr>
            </m:ctrlPr>
          </m:sSubSupPr>
          <m:e>
            <m:r>
              <m:rPr>
                <m:nor/>
              </m:rPr>
              <w:rPr>
                <w:i/>
              </w:rPr>
              <m:t>BP</m:t>
            </m:r>
          </m:e>
          <m:sub>
            <m:r>
              <m:rPr>
                <m:nor/>
              </m:rPr>
              <w:rPr>
                <w:i/>
              </w:rPr>
              <m:t>3</m:t>
            </m:r>
          </m:sub>
          <m:sup>
            <m:r>
              <m:rPr>
                <m:nor/>
              </m:rPr>
              <w:rPr>
                <w:i/>
              </w:rPr>
              <m:t>A</m:t>
            </m:r>
          </m:sup>
        </m:sSubSup>
      </m:oMath>
      <w:r>
        <w:t>.</w:t>
      </w:r>
    </w:p>
    <w:p w14:paraId="65C2B1BF" w14:textId="77777777" w:rsidR="005B4C3B" w:rsidRDefault="005B4C3B" w:rsidP="005B4C3B">
      <w:pPr>
        <w:pStyle w:val="Nivel3SM"/>
      </w:pPr>
      <w:r>
        <w:t>De nuevo, nótese que el aumento inicial del tipo de interés en el país </w:t>
      </w:r>
      <w:r>
        <w:rPr>
          <w:i/>
          <w:iCs/>
        </w:rPr>
        <w:t>A</w:t>
      </w:r>
      <w:r>
        <w:t xml:space="preserve"> provocado por la política fiscal expansiva es superior al aumento del tipo de interés mundial, dado que el tamaño similar de ambos países no permite al primero de ellos determinar, sino sólo afectar a las variables del segundo.</w:t>
      </w:r>
    </w:p>
    <w:p w14:paraId="7929E565" w14:textId="77777777" w:rsidR="005B4C3B" w:rsidRDefault="005B4C3B" w:rsidP="005B4C3B">
      <w:pPr>
        <w:pStyle w:val="Nivel2SM"/>
        <w:keepNext/>
        <w:spacing w:after="0"/>
      </w:pPr>
      <w:r>
        <w:t>Paralelamente, en el país </w:t>
      </w:r>
      <w:r>
        <w:rPr>
          <w:i/>
          <w:iCs/>
        </w:rPr>
        <w:t>B</w:t>
      </w:r>
      <w:r>
        <w:t>, la política de su vecino habrá provocado 2 efectos:</w:t>
      </w:r>
    </w:p>
    <w:p w14:paraId="57523AF1" w14:textId="77777777" w:rsidR="005B4C3B" w:rsidRDefault="005B4C3B">
      <w:pPr>
        <w:pStyle w:val="Prrafodelista"/>
        <w:numPr>
          <w:ilvl w:val="0"/>
          <w:numId w:val="15"/>
        </w:numPr>
        <w:spacing w:after="0"/>
        <w:ind w:left="1135" w:hanging="284"/>
      </w:pPr>
      <w:r>
        <w:rPr>
          <w:i/>
          <w:iCs/>
        </w:rPr>
        <w:t>Efecto renta del país A</w:t>
      </w:r>
      <w:r>
        <w:t>: El incremento de la renta del país </w:t>
      </w:r>
      <w:r>
        <w:rPr>
          <w:i/>
          <w:iCs/>
        </w:rPr>
        <w:t>A</w:t>
      </w:r>
      <w:r>
        <w:t xml:space="preserve"> habrá elevado sus importaciones (i.e. exportaciones del país </w:t>
      </w:r>
      <w:r>
        <w:rPr>
          <w:i/>
          <w:iCs/>
        </w:rPr>
        <w:t>B</w:t>
      </w:r>
      <w:r>
        <w:t>), desplazando la curva </w:t>
      </w:r>
      <w:r>
        <w:rPr>
          <w:i/>
          <w:iCs/>
        </w:rPr>
        <w:t>IS</w:t>
      </w:r>
      <w:r>
        <w:t xml:space="preserve"> hacia la derecha hasta </w:t>
      </w:r>
      <m:oMath>
        <m:sSubSup>
          <m:sSubSupPr>
            <m:ctrlPr>
              <w:rPr>
                <w:rFonts w:ascii="Cambria Math" w:hAnsi="Cambria Math"/>
                <w:i/>
              </w:rPr>
            </m:ctrlPr>
          </m:sSubSupPr>
          <m:e>
            <m:r>
              <m:rPr>
                <m:nor/>
              </m:rPr>
              <w:rPr>
                <w:i/>
              </w:rPr>
              <m:t>IS</m:t>
            </m:r>
          </m:e>
          <m:sub>
            <m:r>
              <m:rPr>
                <m:nor/>
              </m:rPr>
              <w:rPr>
                <w:i/>
              </w:rPr>
              <m:t>2</m:t>
            </m:r>
          </m:sub>
          <m:sup>
            <m:r>
              <m:rPr>
                <m:nor/>
              </m:rPr>
              <w:rPr>
                <w:i/>
              </w:rPr>
              <m:t>B</m:t>
            </m:r>
          </m:sup>
        </m:sSubSup>
      </m:oMath>
      <w:r>
        <w:t>.</w:t>
      </w:r>
    </w:p>
    <w:p w14:paraId="08AC1515" w14:textId="77777777" w:rsidR="005B4C3B" w:rsidRDefault="005B4C3B">
      <w:pPr>
        <w:pStyle w:val="Prrafodelista"/>
        <w:keepNext/>
        <w:numPr>
          <w:ilvl w:val="0"/>
          <w:numId w:val="15"/>
        </w:numPr>
        <w:spacing w:after="0"/>
        <w:ind w:left="1135" w:hanging="284"/>
      </w:pPr>
      <w:r>
        <w:rPr>
          <w:i/>
          <w:iCs/>
        </w:rPr>
        <w:t>Efecto tipo de cambio</w:t>
      </w:r>
      <w:r>
        <w:t>: El mayor tipo de interés inicial del país </w:t>
      </w:r>
      <w:r>
        <w:rPr>
          <w:i/>
          <w:iCs/>
        </w:rPr>
        <w:t>A</w:t>
      </w:r>
      <w:r>
        <w:t xml:space="preserve"> frente al internacional provocará una salida masiva de capitales en </w:t>
      </w:r>
      <w:r>
        <w:rPr>
          <w:i/>
          <w:iCs/>
        </w:rPr>
        <w:t>B</w:t>
      </w:r>
      <w:r>
        <w:t xml:space="preserve"> que depreciará su tipo de cambio, lo que aumentará sus exportaciones netas (i.e. curva </w:t>
      </w:r>
      <w:r>
        <w:rPr>
          <w:i/>
          <w:iCs/>
        </w:rPr>
        <w:t>IS</w:t>
      </w:r>
      <w:r>
        <w:t xml:space="preserve"> se desplazará a la derecha hasta </w:t>
      </w:r>
      <m:oMath>
        <m:sSubSup>
          <m:sSubSupPr>
            <m:ctrlPr>
              <w:rPr>
                <w:rFonts w:ascii="Cambria Math" w:hAnsi="Cambria Math"/>
                <w:i/>
              </w:rPr>
            </m:ctrlPr>
          </m:sSubSupPr>
          <m:e>
            <m:r>
              <m:rPr>
                <m:nor/>
              </m:rPr>
              <w:rPr>
                <w:i/>
              </w:rPr>
              <m:t>IS</m:t>
            </m:r>
          </m:e>
          <m:sub>
            <m:r>
              <m:rPr>
                <m:nor/>
              </m:rPr>
              <w:rPr>
                <w:i/>
              </w:rPr>
              <m:t>3</m:t>
            </m:r>
          </m:sub>
          <m:sup>
            <m:r>
              <m:rPr>
                <m:nor/>
              </m:rPr>
              <w:rPr>
                <w:i/>
              </w:rPr>
              <m:t>B</m:t>
            </m:r>
          </m:sup>
        </m:sSubSup>
      </m:oMath>
      <w:r>
        <w:t>).</w:t>
      </w:r>
    </w:p>
    <w:p w14:paraId="4CB17ED3" w14:textId="77777777" w:rsidR="005B4C3B" w:rsidRDefault="005B4C3B" w:rsidP="005B4C3B">
      <w:pPr>
        <w:pStyle w:val="Nivel4"/>
        <w:ind w:left="1474"/>
      </w:pPr>
      <w:r>
        <w:t>Ambos efectos, del mismo signo, determinarán una expansión inequívoca de la renta del país </w:t>
      </w:r>
      <w:r>
        <w:rPr>
          <w:i/>
          <w:iCs/>
        </w:rPr>
        <w:t>B</w:t>
      </w:r>
      <w:r>
        <w:t>.</w:t>
      </w:r>
    </w:p>
    <w:p w14:paraId="505B4755" w14:textId="77777777" w:rsidR="005B4C3B" w:rsidRPr="00BA0335" w:rsidRDefault="005B4C3B" w:rsidP="005B4C3B">
      <w:pPr>
        <w:pStyle w:val="Nivel2SM"/>
      </w:pPr>
      <w:r>
        <w:t>Es importante notar que el efecto de la vuelta sobre el país </w:t>
      </w:r>
      <w:r>
        <w:rPr>
          <w:i/>
          <w:iCs/>
        </w:rPr>
        <w:t>A</w:t>
      </w:r>
      <w:r>
        <w:t xml:space="preserve"> (una reducción de sus exportaciones por la reducción de las importaciones del país </w:t>
      </w:r>
      <w:r>
        <w:rPr>
          <w:i/>
          <w:iCs/>
        </w:rPr>
        <w:t>B</w:t>
      </w:r>
      <w:r>
        <w:t xml:space="preserve">) se verá exactamente contrarrestado por una depreciación del tipo de cambio de </w:t>
      </w:r>
      <w:r>
        <w:rPr>
          <w:i/>
          <w:iCs/>
        </w:rPr>
        <w:t>A</w:t>
      </w:r>
      <w:r>
        <w:t xml:space="preserve"> hasta garantizar que de nuevo se cumpla la condición </w:t>
      </w:r>
      <m:oMath>
        <m:r>
          <m:rPr>
            <m:nor/>
          </m:rPr>
          <w:rPr>
            <w:i/>
            <w:iCs/>
          </w:rPr>
          <m:t>i'</m:t>
        </m:r>
        <m:r>
          <w:rPr>
            <w:rFonts w:ascii="Cambria Math" w:hAnsi="Cambria Math"/>
          </w:rPr>
          <m:t>=</m:t>
        </m:r>
        <m:r>
          <m:rPr>
            <m:nor/>
          </m:rPr>
          <w:rPr>
            <w:i/>
            <w:iCs/>
          </w:rPr>
          <m:t>i*</m:t>
        </m:r>
      </m:oMath>
      <w:r>
        <w:rPr>
          <w:rFonts w:eastAsiaTheme="minorEastAsia"/>
          <w:iCs/>
        </w:rPr>
        <w:t>, por lo que podemos ignorar dicho efecto.</w:t>
      </w:r>
    </w:p>
    <w:p w14:paraId="58CC6A2F" w14:textId="77777777" w:rsidR="005B4C3B" w:rsidRPr="001A5952" w:rsidRDefault="005B4C3B" w:rsidP="005B4C3B">
      <w:pPr>
        <w:pStyle w:val="Nivel2SM"/>
      </w:pPr>
      <w:r>
        <w:rPr>
          <w:rFonts w:eastAsiaTheme="minorEastAsia"/>
          <w:iCs/>
        </w:rPr>
        <w:t xml:space="preserve">Además, si la movilidad de capitales fuera más reducida, se produciría una minoración del efecto tipo de cambio (menor depreciación de la moneda de </w:t>
      </w:r>
      <w:r>
        <w:rPr>
          <w:rFonts w:eastAsiaTheme="minorEastAsia"/>
          <w:i/>
        </w:rPr>
        <w:t>B</w:t>
      </w:r>
      <w:r>
        <w:rPr>
          <w:rFonts w:eastAsiaTheme="minorEastAsia"/>
          <w:iCs/>
        </w:rPr>
        <w:t xml:space="preserve">), pero mayor efecto renta (mayor efectividad de la política fiscal en </w:t>
      </w:r>
      <w:r w:rsidRPr="00003C5F">
        <w:rPr>
          <w:rFonts w:eastAsiaTheme="minorEastAsia"/>
          <w:i/>
        </w:rPr>
        <w:t>A</w:t>
      </w:r>
      <w:r>
        <w:rPr>
          <w:rFonts w:eastAsiaTheme="minorEastAsia"/>
          <w:iCs/>
        </w:rPr>
        <w:t>), con lo que no cambiarían sustancialmente las conclusiones.</w:t>
      </w:r>
    </w:p>
    <w:p w14:paraId="351272E7" w14:textId="77777777" w:rsidR="005B4C3B" w:rsidRPr="003D2BA2" w:rsidRDefault="005B4C3B" w:rsidP="005B4C3B">
      <w:pPr>
        <w:pStyle w:val="Nivel2SM"/>
        <w:keepNext/>
        <w:spacing w:after="0"/>
      </w:pPr>
      <w:r>
        <w:rPr>
          <w:rFonts w:eastAsiaTheme="minorEastAsia"/>
          <w:iCs/>
        </w:rPr>
        <w:t xml:space="preserve">En conclusión, </w:t>
      </w:r>
      <w:r w:rsidRPr="003D2BA2">
        <w:rPr>
          <w:rFonts w:eastAsiaTheme="minorEastAsia"/>
          <w:b/>
          <w:bCs/>
          <w:iCs/>
        </w:rPr>
        <w:t xml:space="preserve">la política </w:t>
      </w:r>
      <w:r>
        <w:rPr>
          <w:rFonts w:eastAsiaTheme="minorEastAsia"/>
          <w:b/>
          <w:bCs/>
          <w:iCs/>
        </w:rPr>
        <w:t>fiscal</w:t>
      </w:r>
      <w:r w:rsidRPr="003D2BA2">
        <w:rPr>
          <w:rFonts w:eastAsiaTheme="minorEastAsia"/>
          <w:b/>
          <w:bCs/>
          <w:iCs/>
        </w:rPr>
        <w:t xml:space="preserve"> expansiva del país</w:t>
      </w:r>
      <w:r>
        <w:rPr>
          <w:rFonts w:eastAsiaTheme="minorEastAsia"/>
          <w:b/>
          <w:bCs/>
          <w:iCs/>
        </w:rPr>
        <w:t> </w:t>
      </w:r>
      <w:r w:rsidRPr="003D2BA2">
        <w:rPr>
          <w:rFonts w:eastAsiaTheme="minorEastAsia"/>
          <w:b/>
          <w:bCs/>
          <w:i/>
        </w:rPr>
        <w:t>A</w:t>
      </w:r>
      <w:r w:rsidRPr="003D2BA2">
        <w:rPr>
          <w:rFonts w:eastAsiaTheme="minorEastAsia"/>
          <w:b/>
          <w:bCs/>
          <w:iCs/>
        </w:rPr>
        <w:t xml:space="preserve"> habrá provocado una expansión de la renta en el país</w:t>
      </w:r>
      <w:r>
        <w:rPr>
          <w:rFonts w:eastAsiaTheme="minorEastAsia"/>
          <w:b/>
          <w:bCs/>
          <w:iCs/>
        </w:rPr>
        <w:t> </w:t>
      </w:r>
      <w:r w:rsidRPr="003D2BA2">
        <w:rPr>
          <w:rFonts w:eastAsiaTheme="minorEastAsia"/>
          <w:b/>
          <w:bCs/>
          <w:i/>
        </w:rPr>
        <w:t>A</w:t>
      </w:r>
      <w:r w:rsidRPr="003D2BA2">
        <w:rPr>
          <w:rFonts w:eastAsiaTheme="minorEastAsia"/>
          <w:b/>
          <w:bCs/>
          <w:iCs/>
        </w:rPr>
        <w:t xml:space="preserve"> y </w:t>
      </w:r>
      <w:r>
        <w:rPr>
          <w:rFonts w:eastAsiaTheme="minorEastAsia"/>
          <w:b/>
          <w:bCs/>
          <w:iCs/>
        </w:rPr>
        <w:t xml:space="preserve">también </w:t>
      </w:r>
      <w:r w:rsidRPr="003D2BA2">
        <w:rPr>
          <w:rFonts w:eastAsiaTheme="minorEastAsia"/>
          <w:b/>
          <w:bCs/>
          <w:iCs/>
        </w:rPr>
        <w:t>en el país</w:t>
      </w:r>
      <w:r>
        <w:rPr>
          <w:rFonts w:eastAsiaTheme="minorEastAsia"/>
          <w:b/>
          <w:bCs/>
          <w:iCs/>
        </w:rPr>
        <w:t> </w:t>
      </w:r>
      <w:r w:rsidRPr="003D2BA2">
        <w:rPr>
          <w:rFonts w:eastAsiaTheme="minorEastAsia"/>
          <w:b/>
          <w:bCs/>
          <w:i/>
        </w:rPr>
        <w:t>B</w:t>
      </w:r>
      <w:r>
        <w:t xml:space="preserve"> (</w:t>
      </w:r>
      <w:r>
        <w:rPr>
          <w:i/>
          <w:iCs/>
          <w:u w:val="single"/>
        </w:rPr>
        <w:t xml:space="preserve">efecto </w:t>
      </w:r>
      <w:proofErr w:type="spellStart"/>
      <w:r>
        <w:rPr>
          <w:i/>
          <w:iCs/>
          <w:u w:val="single"/>
        </w:rPr>
        <w:t>locomotara</w:t>
      </w:r>
      <w:proofErr w:type="spellEnd"/>
      <w:r>
        <w:t>)</w:t>
      </w:r>
      <w:r>
        <w:rPr>
          <w:rFonts w:eastAsiaTheme="minorEastAsia"/>
          <w:iCs/>
        </w:rPr>
        <w:t>.</w:t>
      </w:r>
    </w:p>
    <w:p w14:paraId="1FCEDBFD" w14:textId="77777777" w:rsidR="005B4C3B" w:rsidRDefault="005B4C3B" w:rsidP="005B4C3B">
      <w:pPr>
        <w:pStyle w:val="Nivel3SM"/>
      </w:pPr>
      <w:r>
        <w:t>Es decir, la política fiscal expansiva de las grandes potencias beneficiará a todos los países.</w:t>
      </w:r>
    </w:p>
    <w:p w14:paraId="5DDA4B1B" w14:textId="31DCF395" w:rsidR="005B4C3B" w:rsidRPr="00B722E6" w:rsidRDefault="005B4C3B" w:rsidP="005B4C3B">
      <w:pPr>
        <w:pStyle w:val="Nivel1SM"/>
      </w:pPr>
      <w:r>
        <w:rPr>
          <w:i/>
          <w:iCs/>
          <w:u w:val="single"/>
        </w:rPr>
        <w:t>País A pequeño – Pa</w:t>
      </w:r>
      <w:r w:rsidRPr="00B722E6">
        <w:rPr>
          <w:i/>
          <w:iCs/>
          <w:u w:val="single"/>
        </w:rPr>
        <w:t>ís B grande</w:t>
      </w:r>
      <w:r w:rsidRPr="00B722E6">
        <w:t xml:space="preserve">. Comparando los resultados con los obtenidos en el modelo </w:t>
      </w:r>
      <w:r w:rsidRPr="00B722E6">
        <w:rPr>
          <w:smallCaps/>
        </w:rPr>
        <w:t>Mundell</w:t>
      </w:r>
      <w:r w:rsidRPr="00B722E6">
        <w:t>-</w:t>
      </w:r>
      <w:r w:rsidRPr="00B722E6">
        <w:rPr>
          <w:smallCaps/>
        </w:rPr>
        <w:t>Fleming</w:t>
      </w:r>
      <w:r w:rsidRPr="00B722E6">
        <w:t xml:space="preserve"> (país </w:t>
      </w:r>
      <w:r w:rsidRPr="00B722E6">
        <w:rPr>
          <w:i/>
          <w:iCs/>
        </w:rPr>
        <w:t>A</w:t>
      </w:r>
      <w:r w:rsidRPr="00B722E6">
        <w:t xml:space="preserve"> pequeño), se comprueba que</w:t>
      </w:r>
      <w:r w:rsidR="00B722E6" w:rsidRPr="00B722E6">
        <w:t xml:space="preserve"> en el escenario de 2 países grandes</w:t>
      </w:r>
      <w:r w:rsidRPr="00B722E6">
        <w:t xml:space="preserve"> la política fiscal con tipo de cambio flexible recupera parte de su efectividad, debido a la capacidad del país que la aplica para afectar al tipo de interés del resto del mundo.</w:t>
      </w:r>
    </w:p>
    <w:p w14:paraId="1A802E9E" w14:textId="77777777" w:rsidR="005B4C3B" w:rsidRPr="00B722E6" w:rsidRDefault="005B4C3B" w:rsidP="005B4C3B">
      <w:pPr>
        <w:pStyle w:val="Nivel1SM"/>
        <w:keepNext/>
        <w:spacing w:after="0"/>
      </w:pPr>
      <w:r w:rsidRPr="00B722E6">
        <w:rPr>
          <w:i/>
          <w:iCs/>
          <w:u w:val="single"/>
        </w:rPr>
        <w:t>País A grande – País B pequeño</w:t>
      </w:r>
      <w:r w:rsidRPr="00B722E6">
        <w:t xml:space="preserve">. La efectividad de la política será tanto mayor para los dos países cuanto mayor sea </w:t>
      </w:r>
      <w:r w:rsidRPr="00B722E6">
        <w:rPr>
          <w:i/>
          <w:iCs/>
        </w:rPr>
        <w:t>A</w:t>
      </w:r>
      <w:r w:rsidRPr="00B722E6">
        <w:t xml:space="preserve"> respecto a </w:t>
      </w:r>
      <w:r w:rsidRPr="00B722E6">
        <w:rPr>
          <w:i/>
          <w:iCs/>
        </w:rPr>
        <w:t>B</w:t>
      </w:r>
      <w:r w:rsidRPr="00B722E6">
        <w:t>.</w:t>
      </w:r>
    </w:p>
    <w:p w14:paraId="428914C7" w14:textId="77777777" w:rsidR="005B4C3B" w:rsidRPr="00B722E6" w:rsidRDefault="005B4C3B" w:rsidP="005B4C3B">
      <w:pPr>
        <w:pStyle w:val="Nivel2SM"/>
      </w:pPr>
      <w:r w:rsidRPr="00B722E6">
        <w:t>En último término, en un contexto de país </w:t>
      </w:r>
      <w:r w:rsidRPr="00B722E6">
        <w:rPr>
          <w:i/>
          <w:iCs/>
        </w:rPr>
        <w:t>A</w:t>
      </w:r>
      <w:r w:rsidRPr="00B722E6">
        <w:t xml:space="preserve"> grande – país </w:t>
      </w:r>
      <w:r w:rsidRPr="00B722E6">
        <w:rPr>
          <w:i/>
          <w:iCs/>
        </w:rPr>
        <w:t>B</w:t>
      </w:r>
      <w:r w:rsidRPr="00B722E6">
        <w:t xml:space="preserve"> pequeño, la efectividad de la medida sería igual a la de una economía cerrada en el país </w:t>
      </w:r>
      <w:r w:rsidRPr="00B722E6">
        <w:rPr>
          <w:i/>
          <w:iCs/>
        </w:rPr>
        <w:t>A</w:t>
      </w:r>
      <w:r w:rsidRPr="00B722E6">
        <w:t xml:space="preserve"> (máxima, punto 1 del gráfico), y máxima también en el país </w:t>
      </w:r>
      <w:r w:rsidRPr="00B722E6">
        <w:rPr>
          <w:i/>
          <w:iCs/>
        </w:rPr>
        <w:t>B</w:t>
      </w:r>
      <w:r w:rsidRPr="00B722E6">
        <w:t>, ya que el país </w:t>
      </w:r>
      <w:r w:rsidRPr="00B722E6">
        <w:rPr>
          <w:i/>
          <w:iCs/>
        </w:rPr>
        <w:t>A</w:t>
      </w:r>
      <w:r w:rsidRPr="00B722E6">
        <w:t xml:space="preserve"> sería quien determinase enteramente el tipo de interés internacional.</w:t>
      </w:r>
    </w:p>
    <w:p w14:paraId="1FEEE4AC" w14:textId="30627E3E" w:rsidR="005B4C3B" w:rsidRDefault="005B4C3B" w:rsidP="005B4C3B">
      <w:pPr>
        <w:pStyle w:val="Ttuloimagen"/>
        <w:rPr>
          <w:i/>
          <w:iCs/>
          <w:smallCaps w:val="0"/>
        </w:rPr>
      </w:pPr>
      <w:r>
        <w:lastRenderedPageBreak/>
        <w:t>Imagen </w:t>
      </w:r>
      <w:r w:rsidRPr="009C1D3F">
        <w:fldChar w:fldCharType="begin"/>
      </w:r>
      <w:r w:rsidRPr="009C1D3F">
        <w:instrText xml:space="preserve"> SEQ Ilustración \* ARABIC </w:instrText>
      </w:r>
      <w:r w:rsidRPr="009C1D3F">
        <w:fldChar w:fldCharType="separate"/>
      </w:r>
      <w:r w:rsidR="00E37AC1">
        <w:t>3</w:t>
      </w:r>
      <w:r w:rsidRPr="009C1D3F">
        <w:fldChar w:fldCharType="end"/>
      </w:r>
      <w:r w:rsidRPr="009C1D3F">
        <w:rPr>
          <w:smallCaps w:val="0"/>
        </w:rPr>
        <w:t xml:space="preserve">.– </w:t>
      </w:r>
      <w:r>
        <w:rPr>
          <w:i/>
          <w:iCs/>
          <w:smallCaps w:val="0"/>
        </w:rPr>
        <w:t>Efectos de una expansión fiscal en el marco de Mundell-Fleming</w:t>
      </w:r>
      <w:r w:rsidR="00894A57">
        <w:rPr>
          <w:i/>
          <w:iCs/>
          <w:smallCaps w:val="0"/>
        </w:rPr>
        <w:t xml:space="preserve"> con tipo de cambio flexible</w:t>
      </w:r>
    </w:p>
    <w:p w14:paraId="2AC74DD0" w14:textId="77777777" w:rsidR="005B4C3B" w:rsidRDefault="005B4C3B" w:rsidP="005B4C3B">
      <w:pPr>
        <w:pStyle w:val="Imagen"/>
      </w:pPr>
      <w:r>
        <w:drawing>
          <wp:inline distT="0" distB="0" distL="0" distR="0" wp14:anchorId="27473E8C" wp14:editId="73374232">
            <wp:extent cx="5760409" cy="3240000"/>
            <wp:effectExtent l="0" t="0" r="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14"/>
                    <a:stretch>
                      <a:fillRect/>
                    </a:stretch>
                  </pic:blipFill>
                  <pic:spPr>
                    <a:xfrm>
                      <a:off x="0" y="0"/>
                      <a:ext cx="5760409" cy="3240000"/>
                    </a:xfrm>
                    <a:prstGeom prst="rect">
                      <a:avLst/>
                    </a:prstGeom>
                  </pic:spPr>
                </pic:pic>
              </a:graphicData>
            </a:graphic>
          </wp:inline>
        </w:drawing>
      </w:r>
    </w:p>
    <w:p w14:paraId="3B00E84C" w14:textId="77777777" w:rsidR="005B4C3B" w:rsidRDefault="005B4C3B" w:rsidP="005B4C3B">
      <w:pPr>
        <w:pStyle w:val="PiedeImagen"/>
        <w:rPr>
          <w:i w:val="0"/>
          <w:iCs/>
        </w:rPr>
      </w:pPr>
      <w:r>
        <w:t>Fuente</w:t>
      </w:r>
      <w:r>
        <w:rPr>
          <w:i w:val="0"/>
          <w:iCs/>
        </w:rPr>
        <w:t>: Elaboración propia</w:t>
      </w:r>
    </w:p>
    <w:p w14:paraId="2CDC8D3E" w14:textId="77777777" w:rsidR="005B4C3B" w:rsidRDefault="005B4C3B" w:rsidP="005B4C3B">
      <w:pPr>
        <w:pStyle w:val="Ttulo7"/>
      </w:pPr>
      <w:bookmarkStart w:id="20" w:name="_Toc173970577"/>
      <w:r>
        <w:t>Implicaciones</w:t>
      </w:r>
      <w:bookmarkEnd w:id="20"/>
    </w:p>
    <w:p w14:paraId="24235100" w14:textId="77777777" w:rsidR="005B4C3B" w:rsidRDefault="005B4C3B" w:rsidP="005B4C3B">
      <w:pPr>
        <w:pStyle w:val="Ttulo8"/>
        <w:spacing w:before="0"/>
      </w:pPr>
      <w:bookmarkStart w:id="21" w:name="_Toc173970578"/>
      <w:r>
        <w:t>Resumen del efecto sobre la renta de políticas expansivas entre dos países grandes</w:t>
      </w:r>
      <w:bookmarkEnd w:id="21"/>
    </w:p>
    <w:tbl>
      <w:tblPr>
        <w:tblStyle w:val="Tablaconcuadrcula"/>
        <w:tblW w:w="10255" w:type="dxa"/>
        <w:jc w:val="center"/>
        <w:tblLook w:val="04A0" w:firstRow="1" w:lastRow="0" w:firstColumn="1" w:lastColumn="0" w:noHBand="0" w:noVBand="1"/>
      </w:tblPr>
      <w:tblGrid>
        <w:gridCol w:w="2552"/>
        <w:gridCol w:w="1925"/>
        <w:gridCol w:w="1926"/>
        <w:gridCol w:w="1926"/>
        <w:gridCol w:w="1926"/>
      </w:tblGrid>
      <w:tr w:rsidR="00CA0DC9" w14:paraId="10D9F40B" w14:textId="77777777" w:rsidTr="00132A3C">
        <w:trPr>
          <w:jc w:val="center"/>
        </w:trPr>
        <w:tc>
          <w:tcPr>
            <w:tcW w:w="2552" w:type="dxa"/>
            <w:tcBorders>
              <w:top w:val="nil"/>
              <w:left w:val="nil"/>
              <w:bottom w:val="nil"/>
              <w:right w:val="nil"/>
            </w:tcBorders>
            <w:vAlign w:val="center"/>
          </w:tcPr>
          <w:p w14:paraId="159A90BF" w14:textId="77777777" w:rsidR="00CA0DC9" w:rsidRDefault="00CA0DC9" w:rsidP="00CA0DC9">
            <w:pPr>
              <w:spacing w:after="0"/>
              <w:jc w:val="center"/>
            </w:pPr>
          </w:p>
        </w:tc>
        <w:tc>
          <w:tcPr>
            <w:tcW w:w="3851" w:type="dxa"/>
            <w:gridSpan w:val="2"/>
            <w:tcBorders>
              <w:top w:val="single" w:sz="12" w:space="0" w:color="auto"/>
              <w:left w:val="nil"/>
              <w:bottom w:val="single" w:sz="12" w:space="0" w:color="auto"/>
              <w:right w:val="single" w:sz="12" w:space="0" w:color="auto"/>
            </w:tcBorders>
            <w:vAlign w:val="center"/>
          </w:tcPr>
          <w:p w14:paraId="2085ED40" w14:textId="5CC9CD60" w:rsidR="00CA0DC9" w:rsidRDefault="00CA0DC9" w:rsidP="00CA0DC9">
            <w:pPr>
              <w:spacing w:after="0"/>
              <w:jc w:val="center"/>
            </w:pPr>
            <w:r>
              <w:t xml:space="preserve">Política monetaria expansiva de </w:t>
            </w:r>
            <w:r w:rsidRPr="00CA0DC9">
              <w:rPr>
                <w:i/>
                <w:iCs/>
              </w:rPr>
              <w:t>A</w:t>
            </w:r>
          </w:p>
        </w:tc>
        <w:tc>
          <w:tcPr>
            <w:tcW w:w="3852" w:type="dxa"/>
            <w:gridSpan w:val="2"/>
            <w:tcBorders>
              <w:top w:val="single" w:sz="12" w:space="0" w:color="auto"/>
              <w:left w:val="single" w:sz="12" w:space="0" w:color="auto"/>
              <w:bottom w:val="single" w:sz="12" w:space="0" w:color="auto"/>
              <w:right w:val="nil"/>
            </w:tcBorders>
            <w:vAlign w:val="center"/>
          </w:tcPr>
          <w:p w14:paraId="7E2C9EED" w14:textId="05500DF3" w:rsidR="00CA0DC9" w:rsidRDefault="00CA0DC9" w:rsidP="00CA0DC9">
            <w:pPr>
              <w:spacing w:after="0"/>
              <w:jc w:val="center"/>
            </w:pPr>
            <w:r>
              <w:t>Política fiscal expansiva de A</w:t>
            </w:r>
          </w:p>
        </w:tc>
      </w:tr>
      <w:tr w:rsidR="00CA0DC9" w14:paraId="3E6A50C0" w14:textId="77777777" w:rsidTr="00132A3C">
        <w:trPr>
          <w:jc w:val="center"/>
        </w:trPr>
        <w:tc>
          <w:tcPr>
            <w:tcW w:w="2552" w:type="dxa"/>
            <w:tcBorders>
              <w:top w:val="nil"/>
              <w:left w:val="nil"/>
              <w:bottom w:val="single" w:sz="12" w:space="0" w:color="auto"/>
              <w:right w:val="nil"/>
            </w:tcBorders>
            <w:vAlign w:val="center"/>
          </w:tcPr>
          <w:p w14:paraId="14740CE9" w14:textId="30D2DF4F" w:rsidR="00CA0DC9" w:rsidRDefault="00CA0DC9" w:rsidP="00CA0DC9">
            <w:pPr>
              <w:spacing w:after="0"/>
              <w:jc w:val="center"/>
            </w:pPr>
          </w:p>
        </w:tc>
        <w:tc>
          <w:tcPr>
            <w:tcW w:w="1925" w:type="dxa"/>
            <w:tcBorders>
              <w:top w:val="single" w:sz="12" w:space="0" w:color="auto"/>
              <w:left w:val="nil"/>
              <w:bottom w:val="single" w:sz="12" w:space="0" w:color="auto"/>
              <w:right w:val="single" w:sz="2" w:space="0" w:color="auto"/>
            </w:tcBorders>
            <w:vAlign w:val="center"/>
          </w:tcPr>
          <w:p w14:paraId="432001FD" w14:textId="2AB1F9B9" w:rsidR="00CA0DC9" w:rsidRDefault="00CA0DC9" w:rsidP="00CA0DC9">
            <w:pPr>
              <w:spacing w:after="0"/>
              <w:jc w:val="center"/>
            </w:pPr>
            <w:r>
              <w:t xml:space="preserve">Sobre </w:t>
            </w:r>
            <w:r w:rsidRPr="00CA0DC9">
              <w:rPr>
                <w:i/>
                <w:iCs/>
              </w:rPr>
              <w:t>A</w:t>
            </w:r>
          </w:p>
        </w:tc>
        <w:tc>
          <w:tcPr>
            <w:tcW w:w="1926" w:type="dxa"/>
            <w:tcBorders>
              <w:top w:val="single" w:sz="12" w:space="0" w:color="auto"/>
              <w:left w:val="single" w:sz="2" w:space="0" w:color="auto"/>
              <w:bottom w:val="single" w:sz="12" w:space="0" w:color="auto"/>
              <w:right w:val="single" w:sz="12" w:space="0" w:color="auto"/>
            </w:tcBorders>
            <w:vAlign w:val="center"/>
          </w:tcPr>
          <w:p w14:paraId="3DF91B5B" w14:textId="11C055B2" w:rsidR="00CA0DC9" w:rsidRDefault="00CA0DC9" w:rsidP="00CA0DC9">
            <w:pPr>
              <w:spacing w:after="0"/>
              <w:jc w:val="center"/>
            </w:pPr>
            <w:r>
              <w:t xml:space="preserve">Sobre </w:t>
            </w:r>
            <w:r w:rsidRPr="00CA0DC9">
              <w:rPr>
                <w:i/>
                <w:iCs/>
              </w:rPr>
              <w:t>B</w:t>
            </w:r>
          </w:p>
        </w:tc>
        <w:tc>
          <w:tcPr>
            <w:tcW w:w="1926" w:type="dxa"/>
            <w:tcBorders>
              <w:top w:val="single" w:sz="12" w:space="0" w:color="auto"/>
              <w:left w:val="single" w:sz="12" w:space="0" w:color="auto"/>
              <w:bottom w:val="single" w:sz="12" w:space="0" w:color="auto"/>
              <w:right w:val="single" w:sz="2" w:space="0" w:color="auto"/>
            </w:tcBorders>
            <w:vAlign w:val="center"/>
          </w:tcPr>
          <w:p w14:paraId="189B40BC" w14:textId="5CCF6330" w:rsidR="00CA0DC9" w:rsidRPr="00CA0DC9" w:rsidRDefault="00CA0DC9" w:rsidP="00CA0DC9">
            <w:pPr>
              <w:spacing w:after="0"/>
              <w:jc w:val="center"/>
              <w:rPr>
                <w:i/>
                <w:iCs/>
              </w:rPr>
            </w:pPr>
            <w:r>
              <w:t xml:space="preserve">Sobre </w:t>
            </w:r>
            <w:r>
              <w:rPr>
                <w:i/>
                <w:iCs/>
              </w:rPr>
              <w:t>A</w:t>
            </w:r>
          </w:p>
        </w:tc>
        <w:tc>
          <w:tcPr>
            <w:tcW w:w="1926" w:type="dxa"/>
            <w:tcBorders>
              <w:top w:val="single" w:sz="12" w:space="0" w:color="auto"/>
              <w:left w:val="single" w:sz="2" w:space="0" w:color="auto"/>
              <w:bottom w:val="single" w:sz="12" w:space="0" w:color="auto"/>
              <w:right w:val="nil"/>
            </w:tcBorders>
            <w:vAlign w:val="center"/>
          </w:tcPr>
          <w:p w14:paraId="170F3B80" w14:textId="1C75CD58" w:rsidR="00CA0DC9" w:rsidRPr="00CA0DC9" w:rsidRDefault="00CA0DC9" w:rsidP="00CA0DC9">
            <w:pPr>
              <w:spacing w:after="0"/>
              <w:jc w:val="center"/>
              <w:rPr>
                <w:i/>
                <w:iCs/>
              </w:rPr>
            </w:pPr>
            <w:r>
              <w:t xml:space="preserve">Sobre </w:t>
            </w:r>
            <w:r>
              <w:rPr>
                <w:i/>
                <w:iCs/>
              </w:rPr>
              <w:t>B</w:t>
            </w:r>
          </w:p>
        </w:tc>
      </w:tr>
      <w:tr w:rsidR="00CA0DC9" w14:paraId="7EA3D031" w14:textId="77777777" w:rsidTr="00132A3C">
        <w:trPr>
          <w:jc w:val="center"/>
        </w:trPr>
        <w:tc>
          <w:tcPr>
            <w:tcW w:w="2552" w:type="dxa"/>
            <w:tcBorders>
              <w:top w:val="single" w:sz="12" w:space="0" w:color="auto"/>
              <w:left w:val="nil"/>
              <w:bottom w:val="single" w:sz="12" w:space="0" w:color="auto"/>
              <w:right w:val="single" w:sz="12" w:space="0" w:color="auto"/>
            </w:tcBorders>
            <w:shd w:val="clear" w:color="auto" w:fill="FBE4D5" w:themeFill="accent2" w:themeFillTint="33"/>
            <w:vAlign w:val="center"/>
          </w:tcPr>
          <w:p w14:paraId="0FA8B8E2" w14:textId="7FE51D67" w:rsidR="00CA0DC9" w:rsidRDefault="00CA0DC9" w:rsidP="00CA0DC9">
            <w:pPr>
              <w:spacing w:after="0"/>
              <w:jc w:val="right"/>
            </w:pPr>
            <w:r>
              <w:t>Tipo de cambio flexible</w:t>
            </w:r>
          </w:p>
        </w:tc>
        <w:tc>
          <w:tcPr>
            <w:tcW w:w="1925" w:type="dxa"/>
            <w:tcBorders>
              <w:top w:val="single" w:sz="12" w:space="0" w:color="auto"/>
              <w:left w:val="single" w:sz="12" w:space="0" w:color="auto"/>
              <w:bottom w:val="single" w:sz="12" w:space="0" w:color="auto"/>
              <w:right w:val="single" w:sz="2" w:space="0" w:color="auto"/>
            </w:tcBorders>
            <w:shd w:val="clear" w:color="auto" w:fill="FBE4D5" w:themeFill="accent2" w:themeFillTint="33"/>
            <w:vAlign w:val="center"/>
          </w:tcPr>
          <w:p w14:paraId="56C9757D" w14:textId="05A32AD8" w:rsidR="00CA0DC9" w:rsidRDefault="00CA0DC9" w:rsidP="00CA0DC9">
            <w:pPr>
              <w:spacing w:after="0"/>
              <w:jc w:val="center"/>
            </w:pPr>
            <w:r>
              <w:t>Expansivo</w:t>
            </w:r>
          </w:p>
        </w:tc>
        <w:tc>
          <w:tcPr>
            <w:tcW w:w="1926" w:type="dxa"/>
            <w:tcBorders>
              <w:top w:val="single" w:sz="12" w:space="0" w:color="auto"/>
              <w:left w:val="single" w:sz="2" w:space="0" w:color="auto"/>
              <w:bottom w:val="single" w:sz="12" w:space="0" w:color="auto"/>
              <w:right w:val="single" w:sz="12" w:space="0" w:color="auto"/>
            </w:tcBorders>
            <w:shd w:val="clear" w:color="auto" w:fill="FBE4D5" w:themeFill="accent2" w:themeFillTint="33"/>
            <w:vAlign w:val="center"/>
          </w:tcPr>
          <w:p w14:paraId="09AD2FE1" w14:textId="40F95AB1" w:rsidR="00CA0DC9" w:rsidRDefault="00CA0DC9" w:rsidP="00CA0DC9">
            <w:pPr>
              <w:spacing w:after="0"/>
              <w:jc w:val="center"/>
            </w:pPr>
            <w:r>
              <w:t>Contractivo</w:t>
            </w:r>
          </w:p>
        </w:tc>
        <w:tc>
          <w:tcPr>
            <w:tcW w:w="1926" w:type="dxa"/>
            <w:tcBorders>
              <w:top w:val="single" w:sz="12" w:space="0" w:color="auto"/>
              <w:left w:val="single" w:sz="12" w:space="0" w:color="auto"/>
              <w:bottom w:val="single" w:sz="12" w:space="0" w:color="auto"/>
              <w:right w:val="single" w:sz="2" w:space="0" w:color="auto"/>
            </w:tcBorders>
            <w:shd w:val="clear" w:color="auto" w:fill="FBE4D5" w:themeFill="accent2" w:themeFillTint="33"/>
            <w:vAlign w:val="center"/>
          </w:tcPr>
          <w:p w14:paraId="54127AB1" w14:textId="335EDB06" w:rsidR="00CA0DC9" w:rsidRDefault="00CA0DC9" w:rsidP="00CA0DC9">
            <w:pPr>
              <w:spacing w:after="0"/>
              <w:jc w:val="center"/>
            </w:pPr>
            <w:r>
              <w:t>Expansivo</w:t>
            </w:r>
          </w:p>
        </w:tc>
        <w:tc>
          <w:tcPr>
            <w:tcW w:w="1926" w:type="dxa"/>
            <w:tcBorders>
              <w:top w:val="single" w:sz="12" w:space="0" w:color="auto"/>
              <w:left w:val="single" w:sz="2" w:space="0" w:color="auto"/>
              <w:bottom w:val="single" w:sz="12" w:space="0" w:color="auto"/>
              <w:right w:val="nil"/>
            </w:tcBorders>
            <w:shd w:val="clear" w:color="auto" w:fill="FBE4D5" w:themeFill="accent2" w:themeFillTint="33"/>
            <w:vAlign w:val="center"/>
          </w:tcPr>
          <w:p w14:paraId="63F9BBBB" w14:textId="30DA4FDC" w:rsidR="00CA0DC9" w:rsidRDefault="00CA0DC9" w:rsidP="00CA0DC9">
            <w:pPr>
              <w:spacing w:after="0"/>
              <w:jc w:val="center"/>
            </w:pPr>
            <w:r>
              <w:t>Expansivo</w:t>
            </w:r>
          </w:p>
        </w:tc>
      </w:tr>
      <w:tr w:rsidR="00CA0DC9" w14:paraId="03288418" w14:textId="77777777" w:rsidTr="00132A3C">
        <w:trPr>
          <w:jc w:val="center"/>
        </w:trPr>
        <w:tc>
          <w:tcPr>
            <w:tcW w:w="2552" w:type="dxa"/>
            <w:tcBorders>
              <w:top w:val="single" w:sz="12" w:space="0" w:color="auto"/>
              <w:left w:val="nil"/>
              <w:bottom w:val="single" w:sz="12" w:space="0" w:color="auto"/>
              <w:right w:val="single" w:sz="12" w:space="0" w:color="auto"/>
            </w:tcBorders>
            <w:shd w:val="clear" w:color="auto" w:fill="DEEAF6" w:themeFill="accent5" w:themeFillTint="33"/>
            <w:vAlign w:val="center"/>
          </w:tcPr>
          <w:p w14:paraId="6D76F124" w14:textId="0DE9DB74" w:rsidR="00CA0DC9" w:rsidRDefault="00CA0DC9" w:rsidP="00CA0DC9">
            <w:pPr>
              <w:spacing w:after="0"/>
              <w:jc w:val="right"/>
            </w:pPr>
            <w:r>
              <w:t>Tipo de cambio fijo</w:t>
            </w:r>
          </w:p>
        </w:tc>
        <w:tc>
          <w:tcPr>
            <w:tcW w:w="1925" w:type="dxa"/>
            <w:tcBorders>
              <w:top w:val="single" w:sz="12" w:space="0" w:color="auto"/>
              <w:left w:val="single" w:sz="12" w:space="0" w:color="auto"/>
              <w:bottom w:val="single" w:sz="12" w:space="0" w:color="auto"/>
              <w:right w:val="single" w:sz="2" w:space="0" w:color="auto"/>
            </w:tcBorders>
            <w:shd w:val="clear" w:color="auto" w:fill="DEEAF6" w:themeFill="accent5" w:themeFillTint="33"/>
            <w:vAlign w:val="center"/>
          </w:tcPr>
          <w:p w14:paraId="070DF056" w14:textId="3DB72380" w:rsidR="00CA0DC9" w:rsidRDefault="000C2F1F" w:rsidP="00CA0DC9">
            <w:pPr>
              <w:spacing w:after="0"/>
              <w:jc w:val="center"/>
            </w:pPr>
            <w:r>
              <w:t>Ambiguo (+)</w:t>
            </w:r>
          </w:p>
        </w:tc>
        <w:tc>
          <w:tcPr>
            <w:tcW w:w="1926" w:type="dxa"/>
            <w:tcBorders>
              <w:top w:val="single" w:sz="12" w:space="0" w:color="auto"/>
              <w:left w:val="single" w:sz="2" w:space="0" w:color="auto"/>
              <w:bottom w:val="single" w:sz="12" w:space="0" w:color="auto"/>
              <w:right w:val="single" w:sz="12" w:space="0" w:color="auto"/>
            </w:tcBorders>
            <w:shd w:val="clear" w:color="auto" w:fill="DEEAF6" w:themeFill="accent5" w:themeFillTint="33"/>
            <w:vAlign w:val="center"/>
          </w:tcPr>
          <w:p w14:paraId="3CC9C944" w14:textId="05A7C217" w:rsidR="00CA0DC9" w:rsidRDefault="000C2F1F" w:rsidP="00CA0DC9">
            <w:pPr>
              <w:spacing w:after="0"/>
              <w:jc w:val="center"/>
            </w:pPr>
            <w:r>
              <w:t>Ambigu</w:t>
            </w:r>
            <w:r w:rsidR="00CA0DC9">
              <w:t>o</w:t>
            </w:r>
            <w:r>
              <w:t xml:space="preserve"> (+)</w:t>
            </w:r>
            <w:r>
              <w:rPr>
                <w:rStyle w:val="Refdenotaalpie"/>
              </w:rPr>
              <w:footnoteReference w:id="10"/>
            </w:r>
          </w:p>
        </w:tc>
        <w:tc>
          <w:tcPr>
            <w:tcW w:w="1926" w:type="dxa"/>
            <w:tcBorders>
              <w:top w:val="single" w:sz="12" w:space="0" w:color="auto"/>
              <w:left w:val="single" w:sz="12" w:space="0" w:color="auto"/>
              <w:bottom w:val="single" w:sz="12" w:space="0" w:color="auto"/>
              <w:right w:val="single" w:sz="2" w:space="0" w:color="auto"/>
            </w:tcBorders>
            <w:shd w:val="clear" w:color="auto" w:fill="DEEAF6" w:themeFill="accent5" w:themeFillTint="33"/>
            <w:vAlign w:val="center"/>
          </w:tcPr>
          <w:p w14:paraId="243B0E1F" w14:textId="4817CF2E" w:rsidR="00CA0DC9" w:rsidRDefault="00CA0DC9" w:rsidP="00CA0DC9">
            <w:pPr>
              <w:spacing w:after="0"/>
              <w:jc w:val="center"/>
            </w:pPr>
            <w:r>
              <w:t>Expansivo</w:t>
            </w:r>
          </w:p>
        </w:tc>
        <w:tc>
          <w:tcPr>
            <w:tcW w:w="1926" w:type="dxa"/>
            <w:tcBorders>
              <w:top w:val="single" w:sz="12" w:space="0" w:color="auto"/>
              <w:left w:val="single" w:sz="2" w:space="0" w:color="auto"/>
              <w:bottom w:val="single" w:sz="12" w:space="0" w:color="auto"/>
              <w:right w:val="nil"/>
            </w:tcBorders>
            <w:shd w:val="clear" w:color="auto" w:fill="DEEAF6" w:themeFill="accent5" w:themeFillTint="33"/>
            <w:vAlign w:val="center"/>
          </w:tcPr>
          <w:p w14:paraId="08997BA1" w14:textId="6605D788" w:rsidR="00CA0DC9" w:rsidRDefault="00CA0DC9" w:rsidP="00CA0DC9">
            <w:pPr>
              <w:spacing w:after="0"/>
              <w:jc w:val="center"/>
            </w:pPr>
            <w:r>
              <w:t>Ambiguo</w:t>
            </w:r>
          </w:p>
        </w:tc>
      </w:tr>
    </w:tbl>
    <w:p w14:paraId="378743EF" w14:textId="77777777" w:rsidR="005B4C3B" w:rsidRDefault="005B4C3B" w:rsidP="005B4C3B">
      <w:pPr>
        <w:pStyle w:val="Ttulo6"/>
      </w:pPr>
      <w:bookmarkStart w:id="22" w:name="_Toc173970579"/>
      <w:bookmarkEnd w:id="15"/>
      <w:r>
        <w:t>Evidencia empírica</w:t>
      </w:r>
      <w:bookmarkEnd w:id="22"/>
    </w:p>
    <w:p w14:paraId="5B4604F5" w14:textId="77777777" w:rsidR="005B4C3B" w:rsidRDefault="005B4C3B" w:rsidP="005B4C3B">
      <w:pPr>
        <w:pStyle w:val="Nivel1SM"/>
        <w:keepNext/>
        <w:spacing w:before="0" w:after="0"/>
      </w:pPr>
      <w:r>
        <w:t>Como acabamos de ver, según el modelo de Mundell-Fleming, una política monetaria expansiva con un tipo de cambio flexible es una política de empobrecimiento del vecino.</w:t>
      </w:r>
    </w:p>
    <w:p w14:paraId="283922BE" w14:textId="77777777" w:rsidR="005B4C3B" w:rsidRDefault="005B4C3B" w:rsidP="005B4C3B">
      <w:pPr>
        <w:pStyle w:val="Nivel2SM"/>
      </w:pPr>
      <w:r>
        <w:t xml:space="preserve">Empíricamente, sin embargo, numerosos estudios aportan evidencias de que existe un efecto desbordamiento positivo de la política monetaria expansiva de países grandes sobre el resto </w:t>
      </w:r>
      <w:r>
        <w:lastRenderedPageBreak/>
        <w:t>del mundo cuando los países cuentan con un tipo de cambio flexible. Por tanto, la evidencia empírica contradice esta implicación del modelo.</w:t>
      </w:r>
    </w:p>
    <w:p w14:paraId="32F6908A" w14:textId="77777777" w:rsidR="005B4C3B" w:rsidRPr="00CE27A8" w:rsidRDefault="005B4C3B" w:rsidP="005B4C3B">
      <w:pPr>
        <w:pStyle w:val="Nivel2SM"/>
      </w:pPr>
      <w:r>
        <w:t xml:space="preserve">Para explicar esta evidencia debemos introducir un mecanismo de transmisión adicional: el canal de los precios relativos, tal y como hace el modelo de </w:t>
      </w:r>
      <w:r>
        <w:rPr>
          <w:smallCaps/>
        </w:rPr>
        <w:t>Corsetti</w:t>
      </w:r>
      <w:r>
        <w:t xml:space="preserve"> y </w:t>
      </w:r>
      <w:r>
        <w:rPr>
          <w:smallCaps/>
        </w:rPr>
        <w:t>Pesenti</w:t>
      </w:r>
      <w:r>
        <w:t xml:space="preserve"> (2005) que se verá más adelante.</w:t>
      </w:r>
    </w:p>
    <w:p w14:paraId="3813DCD8" w14:textId="77777777" w:rsidR="005B4C3B" w:rsidRDefault="005B4C3B" w:rsidP="005B4C3B">
      <w:pPr>
        <w:pStyle w:val="Ttulo6"/>
      </w:pPr>
      <w:bookmarkStart w:id="23" w:name="_Toc173970580"/>
      <w:r>
        <w:t>Valoración</w:t>
      </w:r>
      <w:bookmarkEnd w:id="23"/>
    </w:p>
    <w:p w14:paraId="6D0C14B8" w14:textId="77777777" w:rsidR="005B4C3B" w:rsidRDefault="005B4C3B" w:rsidP="005B4C3B">
      <w:pPr>
        <w:pStyle w:val="Nivel1SM"/>
        <w:keepNext/>
        <w:spacing w:before="0" w:after="0"/>
      </w:pPr>
      <w:r>
        <w:t xml:space="preserve">En líneas generales, el modelo de Mundell-Fleming presenta una serie de </w:t>
      </w:r>
      <w:r>
        <w:rPr>
          <w:b/>
          <w:bCs/>
        </w:rPr>
        <w:t>ventajas</w:t>
      </w:r>
      <w:r>
        <w:t xml:space="preserve"> e </w:t>
      </w:r>
      <w:r>
        <w:rPr>
          <w:b/>
          <w:bCs/>
        </w:rPr>
        <w:t>inconvenientes</w:t>
      </w:r>
      <w:r>
        <w:t>:</w:t>
      </w:r>
    </w:p>
    <w:p w14:paraId="0383D746" w14:textId="77777777" w:rsidR="005B4C3B" w:rsidRDefault="005B4C3B" w:rsidP="005B4C3B">
      <w:pPr>
        <w:pStyle w:val="Nivel2SM"/>
        <w:keepNext/>
        <w:spacing w:after="0"/>
      </w:pPr>
      <w:r>
        <w:t xml:space="preserve">Por un lado, presenta dos grandes </w:t>
      </w:r>
      <w:r w:rsidRPr="00650D19">
        <w:rPr>
          <w:b/>
          <w:bCs/>
        </w:rPr>
        <w:t>ventajas</w:t>
      </w:r>
      <w:r>
        <w:t>:</w:t>
      </w:r>
    </w:p>
    <w:p w14:paraId="73E658CA" w14:textId="77777777" w:rsidR="005B4C3B" w:rsidRDefault="005B4C3B" w:rsidP="005B4C3B">
      <w:pPr>
        <w:pStyle w:val="Nivel3SM"/>
      </w:pPr>
      <w:r>
        <w:t xml:space="preserve">Nos </w:t>
      </w:r>
      <w:r w:rsidRPr="00650D19">
        <w:rPr>
          <w:i/>
          <w:iCs/>
          <w:u w:val="single"/>
        </w:rPr>
        <w:t>permite analizar los canales por los que existe interdependencia</w:t>
      </w:r>
      <w:r>
        <w:t>.</w:t>
      </w:r>
    </w:p>
    <w:p w14:paraId="66E93EB5" w14:textId="77777777" w:rsidR="005B4C3B" w:rsidRPr="00762D3C" w:rsidRDefault="005B4C3B" w:rsidP="00762D3C">
      <w:pPr>
        <w:pStyle w:val="Nivel3SM"/>
        <w:keepNext/>
        <w:keepLines/>
        <w:rPr>
          <w:spacing w:val="-2"/>
        </w:rPr>
      </w:pPr>
      <w:r w:rsidRPr="00762D3C">
        <w:rPr>
          <w:spacing w:val="-2"/>
        </w:rPr>
        <w:t xml:space="preserve">A pesar de su antigüedad y de sus supuestos restrictivos, la mayoría de los modelos econométricos desarrollados por la OCDE, el FMI y los bancos centrales confirman los </w:t>
      </w:r>
      <w:r w:rsidRPr="00762D3C">
        <w:rPr>
          <w:i/>
          <w:iCs/>
          <w:spacing w:val="-2"/>
          <w:u w:val="single"/>
        </w:rPr>
        <w:t>efectos desbordamiento</w:t>
      </w:r>
      <w:r w:rsidRPr="00762D3C">
        <w:rPr>
          <w:spacing w:val="-2"/>
        </w:rPr>
        <w:t xml:space="preserve"> en la forma del </w:t>
      </w:r>
      <w:r w:rsidRPr="00762D3C">
        <w:rPr>
          <w:i/>
          <w:iCs/>
          <w:spacing w:val="-2"/>
          <w:u w:val="single"/>
        </w:rPr>
        <w:t>modelo Mundell-Fleming</w:t>
      </w:r>
      <w:r w:rsidRPr="00762D3C">
        <w:rPr>
          <w:spacing w:val="-2"/>
        </w:rPr>
        <w:t xml:space="preserve">, siendo su magnitud </w:t>
      </w:r>
      <w:r w:rsidRPr="00762D3C">
        <w:rPr>
          <w:i/>
          <w:iCs/>
          <w:spacing w:val="-2"/>
        </w:rPr>
        <w:t>reducida</w:t>
      </w:r>
      <w:r w:rsidRPr="00762D3C">
        <w:rPr>
          <w:spacing w:val="-2"/>
        </w:rPr>
        <w:t xml:space="preserve"> entre bloques económicos distintos (Norteamérica, UE, etc.), y </w:t>
      </w:r>
      <w:r w:rsidRPr="00762D3C">
        <w:rPr>
          <w:i/>
          <w:iCs/>
          <w:spacing w:val="-2"/>
        </w:rPr>
        <w:t>muy grande</w:t>
      </w:r>
      <w:r w:rsidRPr="00762D3C">
        <w:rPr>
          <w:spacing w:val="-2"/>
        </w:rPr>
        <w:t xml:space="preserve"> dentro de los bloques.</w:t>
      </w:r>
    </w:p>
    <w:p w14:paraId="1D179360" w14:textId="77777777" w:rsidR="005B4C3B" w:rsidRDefault="005B4C3B" w:rsidP="005B4C3B">
      <w:pPr>
        <w:pStyle w:val="Nivel4"/>
        <w:ind w:left="1474"/>
      </w:pPr>
      <w:r>
        <w:t>Por ejemplo, en el caso de las políticas monetarias no convencionales del BCE, uno de los canales de transmisión más importante ha sido por la depreciación del euro. Además, como consecuencia del proceso de la expansión monetaria de los países desarrollados, el capital fluyó en mayor medida hacia economías emergentes. Lo contrario ocurrió cuando Estados Unidos comenzó a normalizar su política monetaria en el año 2018.</w:t>
      </w:r>
    </w:p>
    <w:p w14:paraId="2C7D99C0" w14:textId="77777777" w:rsidR="005B4C3B" w:rsidRDefault="005B4C3B" w:rsidP="005B4C3B">
      <w:pPr>
        <w:pStyle w:val="Nivel2SM"/>
        <w:keepNext/>
        <w:spacing w:after="0"/>
      </w:pPr>
      <w:r>
        <w:t xml:space="preserve">Por otro lado, también presenta </w:t>
      </w:r>
      <w:r w:rsidRPr="00650D19">
        <w:rPr>
          <w:b/>
          <w:bCs/>
        </w:rPr>
        <w:t>inconvenientes</w:t>
      </w:r>
      <w:r>
        <w:t>:</w:t>
      </w:r>
    </w:p>
    <w:p w14:paraId="6980265A" w14:textId="3E7E7823" w:rsidR="005B4C3B" w:rsidRDefault="005B4C3B" w:rsidP="005B4C3B">
      <w:pPr>
        <w:pStyle w:val="Nivel3SM"/>
        <w:keepNext/>
      </w:pPr>
      <w:r>
        <w:t xml:space="preserve">Se trata de un </w:t>
      </w:r>
      <w:r w:rsidRPr="00FA3958">
        <w:rPr>
          <w:i/>
          <w:iCs/>
          <w:u w:val="single"/>
        </w:rPr>
        <w:t>análisis estático y sin microfundamentar</w:t>
      </w:r>
      <w:r>
        <w:t xml:space="preserve"> (sujeto a la crítica de Lucas (1976)).</w:t>
      </w:r>
    </w:p>
    <w:p w14:paraId="744C2F19" w14:textId="77777777" w:rsidR="005B4C3B" w:rsidRPr="00FA3958" w:rsidRDefault="005B4C3B" w:rsidP="005B4C3B">
      <w:pPr>
        <w:pStyle w:val="Nivel4"/>
        <w:ind w:left="1474"/>
        <w:rPr>
          <w:spacing w:val="-1"/>
        </w:rPr>
      </w:pPr>
      <w:r w:rsidRPr="00FA3958">
        <w:rPr>
          <w:spacing w:val="-1"/>
        </w:rPr>
        <w:t>Esta crítica es superada por modelos más modernos en el marco de la Nueva Macroeconomía de la Economía Abierta (</w:t>
      </w:r>
      <w:r w:rsidRPr="00FA3958">
        <w:rPr>
          <w:i/>
          <w:iCs/>
          <w:spacing w:val="-1"/>
        </w:rPr>
        <w:t xml:space="preserve">New Open </w:t>
      </w:r>
      <w:proofErr w:type="spellStart"/>
      <w:r w:rsidRPr="00FA3958">
        <w:rPr>
          <w:i/>
          <w:iCs/>
          <w:spacing w:val="-1"/>
        </w:rPr>
        <w:t>Economy</w:t>
      </w:r>
      <w:proofErr w:type="spellEnd"/>
      <w:r w:rsidRPr="00FA3958">
        <w:rPr>
          <w:i/>
          <w:iCs/>
          <w:spacing w:val="-1"/>
        </w:rPr>
        <w:t xml:space="preserve"> </w:t>
      </w:r>
      <w:proofErr w:type="spellStart"/>
      <w:r w:rsidRPr="00FA3958">
        <w:rPr>
          <w:i/>
          <w:iCs/>
          <w:spacing w:val="-1"/>
        </w:rPr>
        <w:t>Macroeconomics</w:t>
      </w:r>
      <w:proofErr w:type="spellEnd"/>
      <w:r w:rsidRPr="00FA3958">
        <w:rPr>
          <w:spacing w:val="-1"/>
        </w:rPr>
        <w:t>, NOEM).</w:t>
      </w:r>
    </w:p>
    <w:p w14:paraId="29B7BB35" w14:textId="31481110" w:rsidR="005B4C3B" w:rsidRDefault="005B4C3B" w:rsidP="005B4C3B">
      <w:pPr>
        <w:pStyle w:val="Nivel3SM"/>
        <w:keepNext/>
      </w:pPr>
      <w:r>
        <w:t xml:space="preserve">Además, </w:t>
      </w:r>
      <w:r>
        <w:rPr>
          <w:i/>
          <w:iCs/>
          <w:u w:val="single"/>
        </w:rPr>
        <w:t>n</w:t>
      </w:r>
      <w:r w:rsidRPr="00FA3958">
        <w:rPr>
          <w:i/>
          <w:iCs/>
          <w:u w:val="single"/>
        </w:rPr>
        <w:t>o analiza de forma explícita la conveniencia de coordinar las políticas económicas</w:t>
      </w:r>
      <w:r>
        <w:t>.</w:t>
      </w:r>
    </w:p>
    <w:p w14:paraId="0895B41A" w14:textId="77777777" w:rsidR="005B4C3B" w:rsidRDefault="005B4C3B" w:rsidP="005B4C3B">
      <w:pPr>
        <w:pStyle w:val="Nivel4"/>
        <w:ind w:left="1474"/>
      </w:pPr>
      <w:r>
        <w:t>Para ello, responder a esta crítica, estudiaremos modelos en un marco de teoría de juegos que buscan justificar la deseabilidad de la coordinación internacional.</w:t>
      </w:r>
    </w:p>
    <w:p w14:paraId="0853016E" w14:textId="77777777" w:rsidR="00A74B6B" w:rsidRPr="00A74B6B" w:rsidRDefault="00A74B6B" w:rsidP="00A74B6B">
      <w:pPr>
        <w:pStyle w:val="Nivel3SM"/>
      </w:pPr>
      <w:r w:rsidRPr="00A74B6B">
        <w:t xml:space="preserve">Se trata de un análisis de la interdependencia estratégica imperfecto, pues las políticas son fijadas exógenamente por los </w:t>
      </w:r>
      <w:proofErr w:type="spellStart"/>
      <w:r w:rsidRPr="00A74B6B">
        <w:rPr>
          <w:i/>
          <w:iCs/>
        </w:rPr>
        <w:t>policy-makers</w:t>
      </w:r>
      <w:proofErr w:type="spellEnd"/>
      <w:r w:rsidRPr="00A74B6B">
        <w:t xml:space="preserve">, </w:t>
      </w:r>
      <w:r w:rsidRPr="00A74B6B">
        <w:rPr>
          <w:i/>
          <w:iCs/>
          <w:u w:val="single"/>
        </w:rPr>
        <w:t>sin tener en cuenta la reacción del resto del mundo a los efectos desbordamiento estudiados</w:t>
      </w:r>
      <w:r w:rsidRPr="00A74B6B">
        <w:t>.</w:t>
      </w:r>
    </w:p>
    <w:p w14:paraId="787F073A" w14:textId="5271BE24" w:rsidR="00E304C3" w:rsidRPr="008B0CF9" w:rsidRDefault="00E304C3" w:rsidP="00E304C3">
      <w:pPr>
        <w:pStyle w:val="Ttulo3"/>
        <w:rPr>
          <w:spacing w:val="-4"/>
        </w:rPr>
      </w:pPr>
      <w:bookmarkStart w:id="24" w:name="_Toc173970581"/>
      <w:bookmarkEnd w:id="9"/>
      <w:r w:rsidRPr="008B0CF9">
        <w:t xml:space="preserve">Análisis desde un modelo con expectativas racionales (NOEM): </w:t>
      </w:r>
      <w:r w:rsidRPr="008B0CF9">
        <w:rPr>
          <w:smallCaps/>
        </w:rPr>
        <w:t>Corsetti</w:t>
      </w:r>
      <w:r w:rsidRPr="008B0CF9">
        <w:t xml:space="preserve"> y </w:t>
      </w:r>
      <w:r w:rsidRPr="008B0CF9">
        <w:rPr>
          <w:smallCaps/>
        </w:rPr>
        <w:t>Pesenti</w:t>
      </w:r>
      <w:r w:rsidRPr="008B0CF9">
        <w:t xml:space="preserve"> (2005)</w:t>
      </w:r>
      <w:bookmarkEnd w:id="24"/>
    </w:p>
    <w:p w14:paraId="3C453CF3" w14:textId="77777777" w:rsidR="00E304C3" w:rsidRDefault="00E304C3" w:rsidP="00E304C3">
      <w:pPr>
        <w:pStyle w:val="Ttulo6"/>
        <w:spacing w:before="0"/>
      </w:pPr>
      <w:bookmarkStart w:id="25" w:name="_Toc173970582"/>
      <w:r>
        <w:t>Idea</w:t>
      </w:r>
      <w:bookmarkEnd w:id="25"/>
    </w:p>
    <w:p w14:paraId="473FF9F0" w14:textId="77777777" w:rsidR="00E304C3" w:rsidRDefault="00E304C3" w:rsidP="00E304C3">
      <w:pPr>
        <w:pStyle w:val="Nivel1SM"/>
        <w:keepNext/>
        <w:spacing w:before="0" w:after="0"/>
      </w:pPr>
      <w:r>
        <w:t xml:space="preserve">En esta sección describiremos el modelo de </w:t>
      </w:r>
      <w:r w:rsidRPr="00CF47DE">
        <w:rPr>
          <w:smallCaps/>
        </w:rPr>
        <w:t>Corsetti</w:t>
      </w:r>
      <w:r w:rsidRPr="005D524D">
        <w:t xml:space="preserve"> y </w:t>
      </w:r>
      <w:proofErr w:type="spellStart"/>
      <w:r w:rsidRPr="00CF47DE">
        <w:rPr>
          <w:smallCaps/>
        </w:rPr>
        <w:t>Pesenti</w:t>
      </w:r>
      <w:proofErr w:type="spellEnd"/>
      <w:r>
        <w:t xml:space="preserve"> (2005), </w:t>
      </w:r>
      <w:r w:rsidRPr="00CF47DE">
        <w:rPr>
          <w:i/>
          <w:iCs/>
        </w:rPr>
        <w:t>“</w:t>
      </w:r>
      <w:proofErr w:type="spellStart"/>
      <w:r w:rsidRPr="00CF47DE">
        <w:rPr>
          <w:i/>
          <w:iCs/>
        </w:rPr>
        <w:t>The</w:t>
      </w:r>
      <w:proofErr w:type="spellEnd"/>
      <w:r w:rsidRPr="00CF47DE">
        <w:rPr>
          <w:i/>
          <w:iCs/>
        </w:rPr>
        <w:t xml:space="preserve"> Simple </w:t>
      </w:r>
      <w:proofErr w:type="spellStart"/>
      <w:r w:rsidRPr="00CF47DE">
        <w:rPr>
          <w:i/>
          <w:iCs/>
        </w:rPr>
        <w:t>Geometry</w:t>
      </w:r>
      <w:proofErr w:type="spellEnd"/>
      <w:r w:rsidRPr="00CF47DE">
        <w:rPr>
          <w:i/>
          <w:iCs/>
        </w:rPr>
        <w:t xml:space="preserve"> </w:t>
      </w:r>
      <w:proofErr w:type="spellStart"/>
      <w:r w:rsidRPr="00CF47DE">
        <w:rPr>
          <w:i/>
          <w:iCs/>
        </w:rPr>
        <w:t>of</w:t>
      </w:r>
      <w:proofErr w:type="spellEnd"/>
      <w:r w:rsidRPr="00CF47DE">
        <w:rPr>
          <w:i/>
          <w:iCs/>
        </w:rPr>
        <w:t xml:space="preserve"> </w:t>
      </w:r>
      <w:proofErr w:type="spellStart"/>
      <w:r w:rsidRPr="00CF47DE">
        <w:rPr>
          <w:i/>
          <w:iCs/>
        </w:rPr>
        <w:t>Transmission</w:t>
      </w:r>
      <w:proofErr w:type="spellEnd"/>
      <w:r w:rsidRPr="00CF47DE">
        <w:rPr>
          <w:i/>
          <w:iCs/>
        </w:rPr>
        <w:t xml:space="preserve"> and </w:t>
      </w:r>
      <w:proofErr w:type="spellStart"/>
      <w:r w:rsidRPr="00CF47DE">
        <w:rPr>
          <w:i/>
          <w:iCs/>
        </w:rPr>
        <w:t>Stabilization</w:t>
      </w:r>
      <w:proofErr w:type="spellEnd"/>
      <w:r w:rsidRPr="00CF47DE">
        <w:rPr>
          <w:i/>
          <w:iCs/>
        </w:rPr>
        <w:t xml:space="preserve"> in </w:t>
      </w:r>
      <w:proofErr w:type="spellStart"/>
      <w:r w:rsidRPr="00CF47DE">
        <w:rPr>
          <w:i/>
          <w:iCs/>
        </w:rPr>
        <w:t>Closed</w:t>
      </w:r>
      <w:proofErr w:type="spellEnd"/>
      <w:r w:rsidRPr="00CF47DE">
        <w:rPr>
          <w:i/>
          <w:iCs/>
        </w:rPr>
        <w:t xml:space="preserve"> and Open </w:t>
      </w:r>
      <w:proofErr w:type="spellStart"/>
      <w:r w:rsidRPr="00CF47DE">
        <w:rPr>
          <w:i/>
          <w:iCs/>
        </w:rPr>
        <w:t>Economies</w:t>
      </w:r>
      <w:proofErr w:type="spellEnd"/>
      <w:r w:rsidRPr="00CF47DE">
        <w:rPr>
          <w:i/>
          <w:iCs/>
        </w:rPr>
        <w:t>”</w:t>
      </w:r>
      <w:r w:rsidRPr="005D524D">
        <w:t>.</w:t>
      </w:r>
      <w:r>
        <w:t xml:space="preserve"> Se trata de un modelo de la Nueva Macroeconomía de la Economía Abierta (NOEM), enfoque mayoritario en economía internacional iniciado a principios de los años 90.</w:t>
      </w:r>
    </w:p>
    <w:p w14:paraId="7C6446D9" w14:textId="77777777" w:rsidR="00E304C3" w:rsidRPr="00F921C1" w:rsidRDefault="00E304C3" w:rsidP="00E304C3">
      <w:pPr>
        <w:pStyle w:val="Nivel2SM"/>
        <w:rPr>
          <w:spacing w:val="-2"/>
        </w:rPr>
      </w:pPr>
      <w:r w:rsidRPr="00F921C1">
        <w:rPr>
          <w:spacing w:val="-2"/>
        </w:rPr>
        <w:t>Ofrece un marco teórico nuevo para el análisis y diseño de las políticas de las economías abiertas.</w:t>
      </w:r>
    </w:p>
    <w:p w14:paraId="2DFEEACB" w14:textId="77777777" w:rsidR="00E304C3" w:rsidRDefault="00E304C3" w:rsidP="00E304C3">
      <w:pPr>
        <w:pStyle w:val="Nivel2SM"/>
      </w:pPr>
      <w:r>
        <w:t>En pocas palabras, los modelos NOEM son modelos de ciclo real (RBC) aumentados con características de corte neokeynesiano y en economía abierta.</w:t>
      </w:r>
    </w:p>
    <w:p w14:paraId="2782403E" w14:textId="77777777" w:rsidR="00E304C3" w:rsidRDefault="00E304C3" w:rsidP="00E304C3">
      <w:pPr>
        <w:pStyle w:val="Nivel1SM"/>
        <w:keepNext/>
        <w:spacing w:after="0"/>
      </w:pPr>
      <w:r>
        <w:t xml:space="preserve">Se considera habitualmente que esta corriente arranca con el análisis de </w:t>
      </w:r>
      <w:r w:rsidRPr="008B0CF9">
        <w:rPr>
          <w:smallCaps/>
        </w:rPr>
        <w:t>Obstfeld</w:t>
      </w:r>
      <w:r>
        <w:t xml:space="preserve"> y </w:t>
      </w:r>
      <w:r w:rsidRPr="008B0CF9">
        <w:rPr>
          <w:smallCaps/>
        </w:rPr>
        <w:t>Rogoff</w:t>
      </w:r>
      <w:r>
        <w:t xml:space="preserve"> (1995), conocido como </w:t>
      </w:r>
      <w:r w:rsidRPr="008B0CF9">
        <w:rPr>
          <w:i/>
          <w:iCs/>
        </w:rPr>
        <w:t xml:space="preserve">modelo </w:t>
      </w:r>
      <w:proofErr w:type="spellStart"/>
      <w:r w:rsidRPr="008B0CF9">
        <w:rPr>
          <w:i/>
          <w:iCs/>
        </w:rPr>
        <w:t>Redux</w:t>
      </w:r>
      <w:proofErr w:type="spellEnd"/>
      <w:r>
        <w:t>, y en la actualidad se han convertido en el caballo de batalla de muchos organismos internacionales para el estudio de las economías abiertas.</w:t>
      </w:r>
    </w:p>
    <w:p w14:paraId="4AE763D6" w14:textId="77777777" w:rsidR="00E304C3" w:rsidRDefault="00E304C3" w:rsidP="00E304C3">
      <w:pPr>
        <w:pStyle w:val="Nivel2SM"/>
      </w:pPr>
      <w:r>
        <w:t xml:space="preserve">Ejemplos: modelos </w:t>
      </w:r>
      <w:r w:rsidRPr="00385254">
        <w:rPr>
          <w:i/>
          <w:iCs/>
        </w:rPr>
        <w:t>SIGMA</w:t>
      </w:r>
      <w:r>
        <w:t xml:space="preserve"> de la Reserva Federal, </w:t>
      </w:r>
      <w:r w:rsidRPr="00D93F4A">
        <w:rPr>
          <w:i/>
          <w:iCs/>
        </w:rPr>
        <w:t xml:space="preserve">Global </w:t>
      </w:r>
      <w:proofErr w:type="spellStart"/>
      <w:r w:rsidRPr="00D93F4A">
        <w:rPr>
          <w:i/>
          <w:iCs/>
        </w:rPr>
        <w:t>Economy</w:t>
      </w:r>
      <w:proofErr w:type="spellEnd"/>
      <w:r w:rsidRPr="00D93F4A">
        <w:rPr>
          <w:i/>
          <w:iCs/>
        </w:rPr>
        <w:t xml:space="preserve"> </w:t>
      </w:r>
      <w:proofErr w:type="spellStart"/>
      <w:r w:rsidRPr="00D93F4A">
        <w:rPr>
          <w:i/>
          <w:iCs/>
        </w:rPr>
        <w:t>Model</w:t>
      </w:r>
      <w:proofErr w:type="spellEnd"/>
      <w:r>
        <w:t xml:space="preserve"> del FMI</w:t>
      </w:r>
      <w:r>
        <w:rPr>
          <w:rStyle w:val="Refdenotaalpie"/>
        </w:rPr>
        <w:footnoteReference w:id="11"/>
      </w:r>
      <w:r>
        <w:t>.</w:t>
      </w:r>
    </w:p>
    <w:p w14:paraId="29EDF65D" w14:textId="77777777" w:rsidR="00E304C3" w:rsidRDefault="00E304C3" w:rsidP="00E304C3">
      <w:pPr>
        <w:pStyle w:val="Nivel1SM"/>
      </w:pPr>
      <w:r w:rsidRPr="0036279C">
        <w:rPr>
          <w:smallCaps/>
        </w:rPr>
        <w:lastRenderedPageBreak/>
        <w:t>Corsetti</w:t>
      </w:r>
      <w:r>
        <w:t xml:space="preserve"> y </w:t>
      </w:r>
      <w:r w:rsidRPr="0036279C">
        <w:rPr>
          <w:smallCaps/>
        </w:rPr>
        <w:t>Pesenti</w:t>
      </w:r>
      <w:r>
        <w:t xml:space="preserve"> parten de un modelo eminentemente dinámico (EGDE) y lo simplifican hasta el punto de que admite una representación gráfica y una estática comparativa propias de modelos estáticos (de hecho, los autores persiguen con esta simplificación que se popularice el modelo y que se enseñe en universidades).</w:t>
      </w:r>
    </w:p>
    <w:p w14:paraId="29111DA9" w14:textId="12081836" w:rsidR="00E304C3" w:rsidRPr="00A34E8F" w:rsidRDefault="00E304C3" w:rsidP="00E304C3">
      <w:pPr>
        <w:pStyle w:val="Nivel1SM"/>
        <w:keepNext/>
        <w:spacing w:after="0"/>
      </w:pPr>
      <w:r w:rsidRPr="00A34E8F">
        <w:t xml:space="preserve">Podemos hacer uso del modelo de </w:t>
      </w:r>
      <w:r w:rsidRPr="00A34E8F">
        <w:rPr>
          <w:smallCaps/>
        </w:rPr>
        <w:t>Corsetti</w:t>
      </w:r>
      <w:r w:rsidRPr="00A34E8F">
        <w:t xml:space="preserve"> y </w:t>
      </w:r>
      <w:r w:rsidRPr="00A34E8F">
        <w:rPr>
          <w:smallCaps/>
        </w:rPr>
        <w:t>Pesenti</w:t>
      </w:r>
      <w:r w:rsidRPr="00A34E8F">
        <w:t xml:space="preserve"> para estudiar los spillovers de política económica y la deseabilidad de la cooperación </w:t>
      </w:r>
      <w:r w:rsidRPr="00A34E8F">
        <w:rPr>
          <w:sz w:val="19"/>
          <w:szCs w:val="19"/>
        </w:rPr>
        <w:t xml:space="preserve">(se trata de los </w:t>
      </w:r>
      <w:r w:rsidRPr="00A34E8F">
        <w:rPr>
          <w:i/>
          <w:iCs/>
          <w:sz w:val="19"/>
          <w:szCs w:val="19"/>
        </w:rPr>
        <w:t xml:space="preserve">modelos de coordinación de </w:t>
      </w:r>
      <w:r w:rsidR="00CB266C">
        <w:rPr>
          <w:i/>
          <w:iCs/>
          <w:sz w:val="19"/>
          <w:szCs w:val="19"/>
        </w:rPr>
        <w:t>2ª </w:t>
      </w:r>
      <w:r w:rsidRPr="00A34E8F">
        <w:rPr>
          <w:i/>
          <w:iCs/>
          <w:sz w:val="19"/>
          <w:szCs w:val="19"/>
        </w:rPr>
        <w:t>generación</w:t>
      </w:r>
      <w:r w:rsidRPr="00A34E8F">
        <w:rPr>
          <w:sz w:val="19"/>
          <w:szCs w:val="19"/>
        </w:rPr>
        <w:t>)</w:t>
      </w:r>
      <w:r w:rsidRPr="00A34E8F">
        <w:t>.</w:t>
      </w:r>
    </w:p>
    <w:p w14:paraId="10ABA800" w14:textId="77777777" w:rsidR="00E304C3" w:rsidRPr="00A34E8F" w:rsidRDefault="00E304C3" w:rsidP="00E304C3">
      <w:pPr>
        <w:pStyle w:val="Nivel2SM"/>
      </w:pPr>
      <w:r w:rsidRPr="00A34E8F">
        <w:t>El valor añadido de este modelo es que nos permite realizar un análisis utilitarista, al permitirnos analizar las ganancias de bienestar de la coordinación.</w:t>
      </w:r>
    </w:p>
    <w:p w14:paraId="2458C60B" w14:textId="77777777" w:rsidR="00E304C3" w:rsidRPr="00A34E8F" w:rsidRDefault="00E304C3" w:rsidP="00E304C3">
      <w:pPr>
        <w:pStyle w:val="Nivel2SM"/>
      </w:pPr>
      <w:r w:rsidRPr="00A34E8F">
        <w:t>Además, introduce un efecto precio derivado de la variación de los precios relativos, n</w:t>
      </w:r>
      <w:r>
        <w:t>u</w:t>
      </w:r>
      <w:r w:rsidRPr="00A34E8F">
        <w:t>evo canal de transmisión inexistente en el modelo de Mundell-Fleming.</w:t>
      </w:r>
    </w:p>
    <w:p w14:paraId="7CB256C1" w14:textId="77777777" w:rsidR="00E304C3" w:rsidRDefault="00E304C3" w:rsidP="00E304C3">
      <w:pPr>
        <w:pStyle w:val="Ttulo6"/>
      </w:pPr>
      <w:bookmarkStart w:id="26" w:name="_Toc173970583"/>
      <w:r>
        <w:t>Modelo</w:t>
      </w:r>
      <w:bookmarkEnd w:id="26"/>
    </w:p>
    <w:p w14:paraId="60B7243F" w14:textId="77777777" w:rsidR="00E304C3" w:rsidRDefault="00E304C3" w:rsidP="00E304C3">
      <w:pPr>
        <w:pStyle w:val="Ttulo7"/>
        <w:spacing w:before="0"/>
      </w:pPr>
      <w:bookmarkStart w:id="27" w:name="_Toc173970584"/>
      <w:r>
        <w:t>Supuestos</w:t>
      </w:r>
      <w:bookmarkEnd w:id="27"/>
    </w:p>
    <w:p w14:paraId="6CF661B8" w14:textId="77777777" w:rsidR="00E304C3" w:rsidRDefault="00E304C3" w:rsidP="00E304C3">
      <w:pPr>
        <w:pStyle w:val="Nivel1SM"/>
        <w:keepNext/>
        <w:spacing w:before="0" w:after="0"/>
      </w:pPr>
      <w:r>
        <w:t xml:space="preserve">El modelo de </w:t>
      </w:r>
      <w:r>
        <w:rPr>
          <w:smallCaps/>
        </w:rPr>
        <w:t>Corsetti</w:t>
      </w:r>
      <w:r>
        <w:t xml:space="preserve"> y </w:t>
      </w:r>
      <w:r w:rsidRPr="005E6879">
        <w:rPr>
          <w:smallCaps/>
        </w:rPr>
        <w:t>Pesenti</w:t>
      </w:r>
      <w:r>
        <w:t xml:space="preserve"> </w:t>
      </w:r>
      <w:r w:rsidRPr="005E6879">
        <w:t>(</w:t>
      </w:r>
      <w:r>
        <w:t>2005</w:t>
      </w:r>
      <w:r w:rsidRPr="005E6879">
        <w:t>) parte de los si</w:t>
      </w:r>
      <w:r>
        <w:t>g</w:t>
      </w:r>
      <w:r w:rsidRPr="005E6879">
        <w:t xml:space="preserve">uientes </w:t>
      </w:r>
      <w:r w:rsidRPr="005E6879">
        <w:rPr>
          <w:b/>
          <w:bCs/>
        </w:rPr>
        <w:t>supuestos</w:t>
      </w:r>
      <w:r>
        <w:rPr>
          <w:smallCaps/>
        </w:rPr>
        <w:t>:</w:t>
      </w:r>
    </w:p>
    <w:p w14:paraId="430FD212" w14:textId="77777777" w:rsidR="00E304C3" w:rsidRDefault="00E304C3" w:rsidP="00E304C3">
      <w:pPr>
        <w:pStyle w:val="Nivel2SM"/>
      </w:pPr>
      <w:r>
        <w:t xml:space="preserve">Dos </w:t>
      </w:r>
      <w:r w:rsidRPr="001E6DF1">
        <w:t>países</w:t>
      </w:r>
      <w:r>
        <w:t xml:space="preserve"> (</w:t>
      </w:r>
      <w:r>
        <w:rPr>
          <w:i/>
          <w:iCs/>
        </w:rPr>
        <w:t>A</w:t>
      </w:r>
      <w:r>
        <w:t xml:space="preserve"> y </w:t>
      </w:r>
      <w:r>
        <w:rPr>
          <w:i/>
          <w:iCs/>
        </w:rPr>
        <w:t>B</w:t>
      </w:r>
      <w:r>
        <w:t>).</w:t>
      </w:r>
    </w:p>
    <w:p w14:paraId="50FACAB0" w14:textId="77777777" w:rsidR="00E304C3" w:rsidRDefault="00E304C3" w:rsidP="00E304C3">
      <w:pPr>
        <w:pStyle w:val="Nivel2SM"/>
      </w:pPr>
      <w:r>
        <w:t xml:space="preserve">Se trabaja con </w:t>
      </w:r>
      <w:r w:rsidRPr="00A23B10">
        <w:rPr>
          <w:i/>
          <w:iCs/>
          <w:u w:val="single"/>
        </w:rPr>
        <w:t>agentes representativos que maximizan su utilidad que depende de ocio y consumo</w:t>
      </w:r>
      <w:r>
        <w:t xml:space="preserve">. Por ello, se trabaja en un plano consumo-trabajo. De hecho, se puede realizar un análisis de bienestar y trabajar con curvas de isoutilidad que crecerían hacia arriba a la izquierda (mayor consumo y menor trabajo) </w:t>
      </w:r>
      <w:r>
        <w:rPr>
          <w:color w:val="767171" w:themeColor="background2" w:themeShade="80"/>
          <w:sz w:val="19"/>
          <w:szCs w:val="19"/>
        </w:rPr>
        <w:t>[1ª </w:t>
      </w:r>
      <w:r w:rsidRPr="005E6879">
        <w:rPr>
          <w:color w:val="767171" w:themeColor="background2" w:themeShade="80"/>
          <w:sz w:val="19"/>
          <w:szCs w:val="19"/>
        </w:rPr>
        <w:t>diferencia con Mundell-Fleming</w:t>
      </w:r>
      <w:r>
        <w:rPr>
          <w:color w:val="767171" w:themeColor="background2" w:themeShade="80"/>
          <w:sz w:val="19"/>
          <w:szCs w:val="19"/>
        </w:rPr>
        <w:t>]</w:t>
      </w:r>
      <w:r>
        <w:t>.</w:t>
      </w:r>
    </w:p>
    <w:p w14:paraId="403EAD16" w14:textId="77777777" w:rsidR="00E304C3" w:rsidRDefault="00E304C3" w:rsidP="00E304C3">
      <w:pPr>
        <w:pStyle w:val="Nivel2SM"/>
      </w:pPr>
      <w:r w:rsidRPr="00A23B10">
        <w:rPr>
          <w:i/>
          <w:iCs/>
          <w:u w:val="single"/>
        </w:rPr>
        <w:t>No existe inversión ni gasto público, por lo que el output será igual al consumo</w:t>
      </w:r>
      <w:r>
        <w:t xml:space="preserve"> </w:t>
      </w:r>
      <w:r>
        <w:rPr>
          <w:color w:val="767171" w:themeColor="background2" w:themeShade="80"/>
          <w:sz w:val="19"/>
          <w:szCs w:val="19"/>
        </w:rPr>
        <w:t>[2ª </w:t>
      </w:r>
      <w:r w:rsidRPr="005E6879">
        <w:rPr>
          <w:color w:val="767171" w:themeColor="background2" w:themeShade="80"/>
          <w:sz w:val="19"/>
          <w:szCs w:val="19"/>
        </w:rPr>
        <w:t>diferencia con M-F</w:t>
      </w:r>
      <w:r>
        <w:rPr>
          <w:color w:val="767171" w:themeColor="background2" w:themeShade="80"/>
          <w:sz w:val="19"/>
          <w:szCs w:val="19"/>
        </w:rPr>
        <w:t>]</w:t>
      </w:r>
      <w:r>
        <w:t>.</w:t>
      </w:r>
    </w:p>
    <w:p w14:paraId="3F82F517" w14:textId="77777777" w:rsidR="00E304C3" w:rsidRDefault="00E304C3" w:rsidP="00E304C3">
      <w:pPr>
        <w:pStyle w:val="Nivel2SM"/>
      </w:pPr>
      <w:r>
        <w:t xml:space="preserve">Existe una </w:t>
      </w:r>
      <w:r w:rsidRPr="00A23B10">
        <w:rPr>
          <w:i/>
          <w:iCs/>
          <w:u w:val="single"/>
        </w:rPr>
        <w:t>autoridad monetaria benevolente</w:t>
      </w:r>
      <w:r>
        <w:t xml:space="preserve"> que persigue conseguir la maximización de utilidad para el agente representativo </w:t>
      </w:r>
      <w:r>
        <w:rPr>
          <w:color w:val="767171" w:themeColor="background2" w:themeShade="80"/>
          <w:sz w:val="19"/>
          <w:szCs w:val="19"/>
        </w:rPr>
        <w:t>[3ª </w:t>
      </w:r>
      <w:r w:rsidRPr="005E6879">
        <w:rPr>
          <w:color w:val="767171" w:themeColor="background2" w:themeShade="80"/>
          <w:sz w:val="19"/>
          <w:szCs w:val="19"/>
        </w:rPr>
        <w:t>diferencia con M-F</w:t>
      </w:r>
      <w:r>
        <w:rPr>
          <w:color w:val="767171" w:themeColor="background2" w:themeShade="80"/>
          <w:sz w:val="19"/>
          <w:szCs w:val="19"/>
        </w:rPr>
        <w:t>]</w:t>
      </w:r>
      <w:r>
        <w:t>.</w:t>
      </w:r>
    </w:p>
    <w:p w14:paraId="1E0153DE" w14:textId="77777777" w:rsidR="00E304C3" w:rsidRDefault="00E304C3" w:rsidP="00E304C3">
      <w:pPr>
        <w:pStyle w:val="Ttulo7"/>
      </w:pPr>
      <w:bookmarkStart w:id="28" w:name="_Toc173970585"/>
      <w:r>
        <w:t>Desarrollo</w:t>
      </w:r>
      <w:bookmarkEnd w:id="28"/>
    </w:p>
    <w:p w14:paraId="33FB1D54" w14:textId="77777777" w:rsidR="00E304C3" w:rsidRDefault="00E304C3" w:rsidP="00E304C3">
      <w:pPr>
        <w:pStyle w:val="Ttulo8"/>
        <w:spacing w:before="0"/>
      </w:pPr>
      <w:bookmarkStart w:id="29" w:name="_Toc173970586"/>
      <w:r>
        <w:t xml:space="preserve">Marco de </w:t>
      </w:r>
      <w:r w:rsidRPr="005E6879">
        <w:t>Corsetti</w:t>
      </w:r>
      <w:r>
        <w:t xml:space="preserve"> y </w:t>
      </w:r>
      <w:r w:rsidRPr="005E6879">
        <w:t>Pesenti</w:t>
      </w:r>
      <w:bookmarkEnd w:id="29"/>
    </w:p>
    <w:p w14:paraId="43A0E367" w14:textId="77777777" w:rsidR="00E304C3" w:rsidRDefault="00E304C3" w:rsidP="00E304C3">
      <w:pPr>
        <w:pStyle w:val="Nivel1SM"/>
        <w:keepNext/>
        <w:spacing w:before="0" w:after="0" w:line="240" w:lineRule="auto"/>
      </w:pPr>
      <w:r>
        <w:t xml:space="preserve">Se trabaja con </w:t>
      </w:r>
      <w:r w:rsidRPr="005E6879">
        <w:rPr>
          <w:i/>
          <w:iCs/>
        </w:rPr>
        <w:t>3</w:t>
      </w:r>
      <w:r>
        <w:rPr>
          <w:i/>
          <w:iCs/>
        </w:rPr>
        <w:t> </w:t>
      </w:r>
      <w:r w:rsidRPr="005E6879">
        <w:rPr>
          <w:i/>
          <w:iCs/>
        </w:rPr>
        <w:t>ecuaciones</w:t>
      </w:r>
      <w:r>
        <w:t xml:space="preserve"> que se pueden representar mediante </w:t>
      </w:r>
      <w:r w:rsidRPr="005E6879">
        <w:rPr>
          <w:i/>
          <w:iCs/>
        </w:rPr>
        <w:t>3</w:t>
      </w:r>
      <w:r>
        <w:rPr>
          <w:i/>
          <w:iCs/>
        </w:rPr>
        <w:t> </w:t>
      </w:r>
      <w:r w:rsidRPr="005E6879">
        <w:rPr>
          <w:i/>
          <w:iCs/>
        </w:rPr>
        <w:t>curvas en el plan consumo-empleo</w:t>
      </w:r>
      <w:r>
        <w:t>:</w:t>
      </w:r>
      <w:r>
        <w:rPr>
          <w:rStyle w:val="Refdenotaalpie"/>
        </w:rPr>
        <w:footnoteReference w:id="12"/>
      </w:r>
    </w:p>
    <w:p w14:paraId="0E40AFA0" w14:textId="77777777" w:rsidR="00E304C3" w:rsidRDefault="00E304C3">
      <w:pPr>
        <w:pStyle w:val="Prrafodelista"/>
        <w:keepNext/>
        <w:numPr>
          <w:ilvl w:val="0"/>
          <w:numId w:val="20"/>
        </w:numPr>
        <w:spacing w:after="0" w:line="228" w:lineRule="auto"/>
        <w:ind w:left="568" w:hanging="284"/>
      </w:pPr>
      <w:r>
        <w:rPr>
          <w:i/>
          <w:iCs/>
          <w:u w:val="single"/>
        </w:rPr>
        <w:t>Curva AD</w:t>
      </w:r>
      <w:r>
        <w:rPr>
          <w:i/>
          <w:iCs/>
        </w:rPr>
        <w:t xml:space="preserve"> (Demanda Agregada)</w:t>
      </w:r>
      <w:r>
        <w:t xml:space="preserve">: </w:t>
      </w:r>
      <m:oMath>
        <m:borderBox>
          <m:borderBoxPr>
            <m:ctrlPr>
              <w:rPr>
                <w:rFonts w:ascii="Cambria Math" w:hAnsi="Cambria Math"/>
                <w:i/>
              </w:rPr>
            </m:ctrlPr>
          </m:borderBoxPr>
          <m:e>
            <m:r>
              <m:rPr>
                <m:nor/>
              </m:rPr>
              <w:rPr>
                <w:i/>
                <w:iCs/>
              </w:rPr>
              <m:t>C</m:t>
            </m:r>
            <m:r>
              <w:rPr>
                <w:rFonts w:ascii="Cambria Math" w:hAnsi="Cambria Math"/>
              </w:rPr>
              <m:t>=</m:t>
            </m:r>
            <m:f>
              <m:fPr>
                <m:type m:val="lin"/>
                <m:ctrlPr>
                  <w:rPr>
                    <w:rFonts w:ascii="Cambria Math" w:hAnsi="Cambria Math"/>
                    <w:i/>
                  </w:rPr>
                </m:ctrlPr>
              </m:fPr>
              <m:num>
                <m:r>
                  <m:rPr>
                    <m:nor/>
                  </m:rPr>
                  <w:rPr>
                    <w:i/>
                    <w:iCs/>
                  </w:rPr>
                  <m:t>μ</m:t>
                </m:r>
              </m:num>
              <m:den>
                <m:r>
                  <m:rPr>
                    <m:nor/>
                  </m:rPr>
                  <w:rPr>
                    <w:i/>
                    <w:iCs/>
                  </w:rPr>
                  <m:t>P</m:t>
                </m:r>
              </m:den>
            </m:f>
          </m:e>
        </m:borderBox>
      </m:oMath>
    </w:p>
    <w:p w14:paraId="629E525B" w14:textId="77777777" w:rsidR="00E304C3" w:rsidRDefault="00E304C3" w:rsidP="00E304C3">
      <w:pPr>
        <w:pStyle w:val="Nivel3SM"/>
        <w:keepNext/>
        <w:spacing w:line="240" w:lineRule="auto"/>
      </w:pPr>
      <w:r>
        <w:t>Se trata de un atajo analítico.</w:t>
      </w:r>
    </w:p>
    <w:p w14:paraId="6ECA66F7" w14:textId="77777777" w:rsidR="00E304C3" w:rsidRPr="00385DDC" w:rsidRDefault="00E304C3" w:rsidP="00E304C3">
      <w:pPr>
        <w:pStyle w:val="Nivel4"/>
        <w:spacing w:line="240" w:lineRule="auto"/>
        <w:ind w:left="1474"/>
        <w:rPr>
          <w:spacing w:val="-2"/>
        </w:rPr>
      </w:pPr>
      <w:r w:rsidRPr="00385DDC">
        <w:rPr>
          <w:spacing w:val="-2"/>
        </w:rPr>
        <w:t xml:space="preserve">Se parte de la </w:t>
      </w:r>
      <w:r>
        <w:rPr>
          <w:spacing w:val="-2"/>
        </w:rPr>
        <w:t>identidad contable del gasto</w:t>
      </w:r>
      <w:r w:rsidRPr="00385DDC">
        <w:rPr>
          <w:spacing w:val="-2"/>
        </w:rPr>
        <w:t xml:space="preserve"> y de que la producción viene determinada por la demanda en el corto plazo, con velocidad de circulación del dinero, </w:t>
      </w:r>
      <w:r w:rsidRPr="00385DDC">
        <w:rPr>
          <w:i/>
          <w:iCs/>
          <w:spacing w:val="-2"/>
        </w:rPr>
        <w:t>V</w:t>
      </w:r>
      <w:r w:rsidRPr="00385DDC">
        <w:rPr>
          <w:spacing w:val="-2"/>
        </w:rPr>
        <w:t>, constante.</w:t>
      </w:r>
    </w:p>
    <w:p w14:paraId="65DCFFE0" w14:textId="77777777" w:rsidR="00E304C3" w:rsidRDefault="00E304C3" w:rsidP="00E304C3">
      <w:pPr>
        <w:pStyle w:val="Nivel4"/>
        <w:spacing w:line="240" w:lineRule="auto"/>
        <w:ind w:left="1474"/>
      </w:pPr>
      <w:r>
        <w:t>Además, como hemos considerado que no hay ni inversión ni gasto público, el output será igual al consumo.</w:t>
      </w:r>
    </w:p>
    <w:p w14:paraId="6A510ED0" w14:textId="77777777" w:rsidR="00E304C3" w:rsidRDefault="00E304C3" w:rsidP="00E304C3">
      <w:pPr>
        <w:pStyle w:val="Nivel4"/>
        <w:spacing w:line="240" w:lineRule="auto"/>
        <w:ind w:left="1474"/>
      </w:pPr>
      <w:r>
        <w:t xml:space="preserve">En lugar de trabajar con masa monetaria, </w:t>
      </w:r>
      <w:r>
        <w:rPr>
          <w:i/>
          <w:iCs/>
        </w:rPr>
        <w:t>M</w:t>
      </w:r>
      <w:r>
        <w:t xml:space="preserve">, se trabaja con una variable, </w:t>
      </w:r>
      <m:oMath>
        <m:r>
          <m:rPr>
            <m:nor/>
          </m:rPr>
          <w:rPr>
            <w:i/>
            <w:iCs/>
          </w:rPr>
          <m:t>μ</m:t>
        </m:r>
      </m:oMath>
      <w:r>
        <w:t>, que representa el objetivo de política monetaria en términos de consumo nominal, de tal manera que un tono más expansivo se traslada a mayor consumo.</w:t>
      </w:r>
    </w:p>
    <w:p w14:paraId="42B2249E" w14:textId="77777777" w:rsidR="00E304C3" w:rsidRDefault="00E304C3" w:rsidP="00E304C3">
      <w:pPr>
        <w:pStyle w:val="Nivel3SM"/>
        <w:spacing w:line="240" w:lineRule="auto"/>
      </w:pPr>
      <w:r>
        <w:t>Se trata de un elemento puramente neokeynesiano: el output viene determinado por la política monetaria en el corto plazo en presencia de rigideces.</w:t>
      </w:r>
    </w:p>
    <w:p w14:paraId="4733A02F" w14:textId="77777777" w:rsidR="00E304C3" w:rsidRDefault="00E304C3">
      <w:pPr>
        <w:pStyle w:val="Prrafodelista"/>
        <w:keepNext/>
        <w:numPr>
          <w:ilvl w:val="0"/>
          <w:numId w:val="20"/>
        </w:numPr>
        <w:spacing w:after="0" w:line="228" w:lineRule="auto"/>
        <w:ind w:left="568" w:hanging="284"/>
      </w:pPr>
      <w:r>
        <w:rPr>
          <w:i/>
          <w:iCs/>
          <w:u w:val="single"/>
        </w:rPr>
        <w:t>Curva AS</w:t>
      </w:r>
      <w:r>
        <w:rPr>
          <w:i/>
          <w:iCs/>
        </w:rPr>
        <w:t xml:space="preserve"> (Oferta Agregada)</w:t>
      </w:r>
      <w:r>
        <w:t xml:space="preserve">: </w:t>
      </w:r>
      <m:oMath>
        <m:borderBox>
          <m:borderBoxPr>
            <m:ctrlPr>
              <w:rPr>
                <w:rFonts w:ascii="Cambria Math" w:hAnsi="Cambria Math"/>
                <w:i/>
              </w:rPr>
            </m:ctrlPr>
          </m:borderBoxPr>
          <m:e>
            <m:r>
              <m:rPr>
                <m:nor/>
              </m:rPr>
              <w:rPr>
                <w:i/>
                <w:iCs/>
              </w:rPr>
              <m:t>C</m:t>
            </m:r>
            <m:r>
              <w:rPr>
                <w:rFonts w:ascii="Cambria Math" w:hAnsi="Cambria Math"/>
              </w:rPr>
              <m:t>=</m:t>
            </m:r>
            <m:r>
              <m:rPr>
                <m:nor/>
              </m:rPr>
              <w:rPr>
                <w:i/>
                <w:iCs/>
              </w:rPr>
              <m:t>Z</m:t>
            </m:r>
            <m:r>
              <w:rPr>
                <w:rFonts w:ascii="Cambria Math" w:hAnsi="Cambria Math"/>
              </w:rPr>
              <m:t>∙</m:t>
            </m:r>
            <m:r>
              <m:rPr>
                <m:nor/>
              </m:rPr>
              <w:rPr>
                <w:i/>
              </w:rPr>
              <m:t>τ</m:t>
            </m:r>
            <m:r>
              <m:rPr>
                <m:scr m:val="script"/>
              </m:rPr>
              <w:rPr>
                <w:rFonts w:ascii="Cambria Math" w:hAnsi="Cambria Math"/>
              </w:rPr>
              <m:t>∙l</m:t>
            </m:r>
          </m:e>
        </m:borderBox>
      </m:oMath>
    </w:p>
    <w:p w14:paraId="2294FC4C" w14:textId="77777777" w:rsidR="00E304C3" w:rsidRDefault="00E304C3" w:rsidP="00E304C3">
      <w:pPr>
        <w:pStyle w:val="Nivel3SM"/>
        <w:keepNext/>
        <w:spacing w:line="240" w:lineRule="auto"/>
      </w:pPr>
      <w:r>
        <w:t>El output se produce con una tecnología de producción lineal en el empleo:</w:t>
      </w:r>
    </w:p>
    <w:p w14:paraId="489FC58D" w14:textId="77777777" w:rsidR="00E304C3" w:rsidRPr="008C0E27" w:rsidRDefault="00E304C3" w:rsidP="00E304C3">
      <w:pPr>
        <w:pStyle w:val="Nivel4"/>
        <w:spacing w:line="240" w:lineRule="auto"/>
        <w:ind w:left="1474"/>
      </w:pPr>
      <m:oMath>
        <m:r>
          <m:rPr>
            <m:scr m:val="script"/>
          </m:rPr>
          <w:rPr>
            <w:rFonts w:ascii="Cambria Math" w:hAnsi="Cambria Math"/>
          </w:rPr>
          <m:t>l</m:t>
        </m:r>
      </m:oMath>
      <w:r>
        <w:rPr>
          <w:rFonts w:eastAsiaTheme="minorEastAsia"/>
          <w:iCs/>
        </w:rPr>
        <w:t xml:space="preserve"> es la demanda de trabajo, que determina el nivel de empleo de la economía (rigideces de precios).</w:t>
      </w:r>
    </w:p>
    <w:p w14:paraId="346A992D" w14:textId="77777777" w:rsidR="00E304C3" w:rsidRPr="008C0E27" w:rsidRDefault="00E304C3" w:rsidP="00E304C3">
      <w:pPr>
        <w:pStyle w:val="Nivel4"/>
        <w:spacing w:line="240" w:lineRule="auto"/>
        <w:ind w:left="1474"/>
      </w:pPr>
      <m:oMath>
        <m:r>
          <m:rPr>
            <m:nor/>
          </m:rPr>
          <w:rPr>
            <w:i/>
            <w:iCs/>
          </w:rPr>
          <m:t>Z</m:t>
        </m:r>
      </m:oMath>
      <w:r>
        <w:rPr>
          <w:rFonts w:eastAsiaTheme="minorEastAsia"/>
          <w:iCs/>
        </w:rPr>
        <w:t xml:space="preserve"> es una medida de la productividad.</w:t>
      </w:r>
    </w:p>
    <w:p w14:paraId="78831CD9" w14:textId="77777777" w:rsidR="00E304C3" w:rsidRPr="00FC46FE" w:rsidRDefault="00E304C3" w:rsidP="00E304C3">
      <w:pPr>
        <w:pStyle w:val="Nivel4"/>
        <w:keepNext/>
        <w:spacing w:line="240" w:lineRule="auto"/>
        <w:ind w:left="1474"/>
        <w:rPr>
          <w:spacing w:val="-1"/>
        </w:rPr>
      </w:pPr>
      <m:oMath>
        <m:r>
          <m:rPr>
            <m:nor/>
          </m:rPr>
          <w:rPr>
            <w:i/>
            <w:spacing w:val="-1"/>
          </w:rPr>
          <w:lastRenderedPageBreak/>
          <m:t>τ</m:t>
        </m:r>
      </m:oMath>
      <w:r w:rsidRPr="00FC46FE">
        <w:rPr>
          <w:rFonts w:eastAsiaTheme="minorEastAsia"/>
          <w:iCs/>
          <w:spacing w:val="-1"/>
        </w:rPr>
        <w:t xml:space="preserve"> es una medida de la valoración de la producción doméstica o cómo la producción doméstica se traslada a consumo</w:t>
      </w:r>
      <w:r w:rsidRPr="00FC46FE">
        <w:rPr>
          <w:rStyle w:val="Refdenotaalpie"/>
          <w:rFonts w:eastAsiaTheme="minorEastAsia"/>
          <w:iCs/>
          <w:spacing w:val="-1"/>
        </w:rPr>
        <w:footnoteReference w:id="13"/>
      </w:r>
      <w:r w:rsidRPr="00FC46FE">
        <w:rPr>
          <w:rFonts w:eastAsiaTheme="minorEastAsia"/>
          <w:iCs/>
          <w:spacing w:val="-1"/>
        </w:rPr>
        <w:t>.</w:t>
      </w:r>
      <w:r w:rsidRPr="00FC46FE">
        <w:rPr>
          <w:spacing w:val="-1"/>
        </w:rPr>
        <w:t xml:space="preserve"> Para entender este término, nótese que a los precios actuales, requiere </w:t>
      </w:r>
      <m:oMath>
        <m:f>
          <m:fPr>
            <m:type m:val="lin"/>
            <m:ctrlPr>
              <w:rPr>
                <w:rFonts w:ascii="Cambria Math" w:eastAsiaTheme="minorEastAsia" w:hAnsi="Cambria Math"/>
                <w:i/>
                <w:spacing w:val="-1"/>
              </w:rPr>
            </m:ctrlPr>
          </m:fPr>
          <m:num>
            <m:r>
              <m:rPr>
                <m:nor/>
              </m:rPr>
              <w:rPr>
                <w:i/>
                <w:iCs/>
                <w:spacing w:val="-1"/>
              </w:rPr>
              <m:t>1</m:t>
            </m:r>
          </m:num>
          <m:den>
            <m:r>
              <m:rPr>
                <m:nor/>
              </m:rPr>
              <w:rPr>
                <w:i/>
                <w:spacing w:val="-1"/>
              </w:rPr>
              <m:t>τ</m:t>
            </m:r>
          </m:den>
        </m:f>
      </m:oMath>
      <w:r>
        <w:rPr>
          <w:rFonts w:eastAsiaTheme="minorEastAsia"/>
          <w:spacing w:val="-1"/>
        </w:rPr>
        <w:t> </w:t>
      </w:r>
      <w:r w:rsidRPr="00FC46FE">
        <w:rPr>
          <w:rFonts w:eastAsiaTheme="minorEastAsia"/>
          <w:spacing w:val="-1"/>
        </w:rPr>
        <w:t>unidades de producto del país </w:t>
      </w:r>
      <w:r w:rsidRPr="00FC46FE">
        <w:rPr>
          <w:rFonts w:eastAsiaTheme="minorEastAsia"/>
          <w:i/>
          <w:iCs/>
          <w:spacing w:val="-1"/>
        </w:rPr>
        <w:t>A</w:t>
      </w:r>
      <w:r w:rsidRPr="00FC46FE">
        <w:rPr>
          <w:rFonts w:eastAsiaTheme="minorEastAsia"/>
          <w:spacing w:val="-1"/>
        </w:rPr>
        <w:t xml:space="preserve"> para comprar una unidad de la cesta de consumo del país </w:t>
      </w:r>
      <w:r w:rsidRPr="00FC46FE">
        <w:rPr>
          <w:rFonts w:eastAsiaTheme="minorEastAsia"/>
          <w:i/>
          <w:iCs/>
          <w:spacing w:val="-1"/>
        </w:rPr>
        <w:t>A</w:t>
      </w:r>
      <w:r w:rsidRPr="00FC46FE">
        <w:rPr>
          <w:rFonts w:eastAsiaTheme="minorEastAsia"/>
          <w:spacing w:val="-1"/>
        </w:rPr>
        <w:t xml:space="preserve"> (una definición simétrica aplica en el país </w:t>
      </w:r>
      <w:r w:rsidRPr="00FC46FE">
        <w:rPr>
          <w:rFonts w:eastAsiaTheme="minorEastAsia"/>
          <w:i/>
          <w:iCs/>
          <w:spacing w:val="-1"/>
        </w:rPr>
        <w:t>B</w:t>
      </w:r>
      <w:r w:rsidRPr="00FC46FE">
        <w:rPr>
          <w:rFonts w:eastAsiaTheme="minorEastAsia"/>
          <w:spacing w:val="-1"/>
        </w:rPr>
        <w:t>).</w:t>
      </w:r>
    </w:p>
    <w:p w14:paraId="58F6B84D" w14:textId="77777777" w:rsidR="00E304C3" w:rsidRPr="00DE0737" w:rsidRDefault="00E304C3" w:rsidP="00E304C3">
      <w:pPr>
        <w:pStyle w:val="Nivel5"/>
        <w:spacing w:line="240" w:lineRule="auto"/>
        <w:ind w:left="1871"/>
      </w:pPr>
      <m:oMath>
        <m:r>
          <m:rPr>
            <m:nor/>
          </m:rPr>
          <w:rPr>
            <w:i/>
            <w:spacing w:val="-1"/>
          </w:rPr>
          <m:t>τ</m:t>
        </m:r>
      </m:oMath>
      <w:r w:rsidRPr="00DE0737">
        <w:rPr>
          <w:rFonts w:eastAsiaTheme="minorEastAsia"/>
          <w:spacing w:val="-1"/>
        </w:rPr>
        <w:t xml:space="preserve"> y </w:t>
      </w:r>
      <m:oMath>
        <m:r>
          <m:rPr>
            <m:nor/>
          </m:rPr>
          <w:rPr>
            <w:i/>
            <w:spacing w:val="-1"/>
          </w:rPr>
          <m:t>τ*</m:t>
        </m:r>
      </m:oMath>
      <w:r w:rsidRPr="00DE0737">
        <w:rPr>
          <w:rFonts w:eastAsiaTheme="minorEastAsia"/>
          <w:spacing w:val="-1"/>
        </w:rPr>
        <w:t xml:space="preserve"> dependen positivamente de la RRI</w:t>
      </w:r>
      <w:r w:rsidRPr="00DE0737">
        <w:rPr>
          <w:rFonts w:eastAsiaTheme="minorEastAsia"/>
          <w:spacing w:val="-1"/>
          <w:sz w:val="19"/>
          <w:szCs w:val="19"/>
        </w:rPr>
        <w:t xml:space="preserve"> (por lo tanto </w:t>
      </w:r>
      <m:oMath>
        <m:r>
          <m:rPr>
            <m:nor/>
          </m:rPr>
          <w:rPr>
            <w:i/>
            <w:spacing w:val="-1"/>
            <w:sz w:val="19"/>
            <w:szCs w:val="19"/>
          </w:rPr>
          <m:t>τ</m:t>
        </m:r>
      </m:oMath>
      <w:r w:rsidRPr="00DE0737">
        <w:rPr>
          <w:rFonts w:eastAsiaTheme="minorEastAsia"/>
          <w:spacing w:val="-1"/>
          <w:sz w:val="19"/>
          <w:szCs w:val="19"/>
        </w:rPr>
        <w:t xml:space="preserve"> depende positivamente de </w:t>
      </w:r>
      <m:oMath>
        <m:f>
          <m:fPr>
            <m:type m:val="lin"/>
            <m:ctrlPr>
              <w:rPr>
                <w:rFonts w:ascii="Cambria Math" w:eastAsiaTheme="minorEastAsia" w:hAnsi="Cambria Math"/>
                <w:i/>
                <w:spacing w:val="-1"/>
                <w:sz w:val="19"/>
                <w:szCs w:val="19"/>
              </w:rPr>
            </m:ctrlPr>
          </m:fPr>
          <m:num>
            <m:sSub>
              <m:sSubPr>
                <m:ctrlPr>
                  <w:rPr>
                    <w:rFonts w:ascii="Cambria Math" w:eastAsiaTheme="minorEastAsia" w:hAnsi="Cambria Math"/>
                    <w:i/>
                    <w:spacing w:val="-1"/>
                    <w:sz w:val="19"/>
                    <w:szCs w:val="19"/>
                  </w:rPr>
                </m:ctrlPr>
              </m:sSubPr>
              <m:e>
                <m:r>
                  <m:rPr>
                    <m:nor/>
                  </m:rPr>
                  <w:rPr>
                    <w:rFonts w:eastAsiaTheme="minorEastAsia"/>
                    <w:i/>
                    <w:spacing w:val="-1"/>
                    <w:sz w:val="19"/>
                    <w:szCs w:val="19"/>
                  </w:rPr>
                  <m:t>P</m:t>
                </m:r>
              </m:e>
              <m:sub>
                <m:r>
                  <m:rPr>
                    <m:nor/>
                  </m:rPr>
                  <w:rPr>
                    <w:rFonts w:eastAsiaTheme="minorEastAsia"/>
                    <w:i/>
                    <w:spacing w:val="-1"/>
                    <w:sz w:val="19"/>
                    <w:szCs w:val="19"/>
                  </w:rPr>
                  <m:t>A</m:t>
                </m:r>
              </m:sub>
            </m:sSub>
          </m:num>
          <m:den>
            <m:sSub>
              <m:sSubPr>
                <m:ctrlPr>
                  <w:rPr>
                    <w:rFonts w:ascii="Cambria Math" w:eastAsiaTheme="minorEastAsia" w:hAnsi="Cambria Math"/>
                    <w:i/>
                    <w:spacing w:val="-1"/>
                    <w:sz w:val="19"/>
                    <w:szCs w:val="19"/>
                  </w:rPr>
                </m:ctrlPr>
              </m:sSubPr>
              <m:e>
                <m:r>
                  <m:rPr>
                    <m:nor/>
                  </m:rPr>
                  <w:rPr>
                    <w:rFonts w:eastAsiaTheme="minorEastAsia"/>
                    <w:i/>
                    <w:spacing w:val="-1"/>
                    <w:sz w:val="19"/>
                    <w:szCs w:val="19"/>
                  </w:rPr>
                  <m:t>P</m:t>
                </m:r>
              </m:e>
              <m:sub>
                <m:r>
                  <m:rPr>
                    <m:nor/>
                  </m:rPr>
                  <w:rPr>
                    <w:rFonts w:eastAsiaTheme="minorEastAsia"/>
                    <w:i/>
                    <w:spacing w:val="-1"/>
                    <w:sz w:val="19"/>
                    <w:szCs w:val="19"/>
                  </w:rPr>
                  <m:t>B</m:t>
                </m:r>
              </m:sub>
            </m:sSub>
          </m:den>
        </m:f>
      </m:oMath>
      <w:r w:rsidRPr="00DE0737">
        <w:rPr>
          <w:rFonts w:eastAsiaTheme="minorEastAsia"/>
          <w:spacing w:val="-1"/>
          <w:sz w:val="19"/>
          <w:szCs w:val="19"/>
        </w:rPr>
        <w:t xml:space="preserve"> y </w:t>
      </w:r>
      <m:oMath>
        <m:r>
          <m:rPr>
            <m:nor/>
          </m:rPr>
          <w:rPr>
            <w:i/>
            <w:spacing w:val="-1"/>
            <w:sz w:val="19"/>
            <w:szCs w:val="19"/>
          </w:rPr>
          <m:t>τ*</m:t>
        </m:r>
      </m:oMath>
      <w:r w:rsidRPr="00DE0737">
        <w:rPr>
          <w:rFonts w:eastAsiaTheme="minorEastAsia"/>
          <w:spacing w:val="-1"/>
          <w:sz w:val="19"/>
          <w:szCs w:val="19"/>
        </w:rPr>
        <w:t xml:space="preserve"> negativamente)</w:t>
      </w:r>
      <w:r w:rsidRPr="00DE0737">
        <w:rPr>
          <w:rFonts w:eastAsiaTheme="minorEastAsia"/>
          <w:spacing w:val="-1"/>
        </w:rPr>
        <w:t>.</w:t>
      </w:r>
    </w:p>
    <w:p w14:paraId="0C094B66" w14:textId="77777777" w:rsidR="00E304C3" w:rsidRPr="00A229AE" w:rsidRDefault="00E304C3" w:rsidP="00E304C3">
      <w:pPr>
        <w:pStyle w:val="Nivel5"/>
        <w:spacing w:line="240" w:lineRule="auto"/>
        <w:ind w:left="1871"/>
      </w:pPr>
      <w:r w:rsidRPr="00A229AE">
        <w:t>La RRI depende del tipo de cambio nominal,</w:t>
      </w:r>
      <m:oMath>
        <m:r>
          <w:rPr>
            <w:rFonts w:ascii="Cambria Math" w:hAnsi="Cambria Math"/>
          </w:rPr>
          <m:t xml:space="preserve"> </m:t>
        </m:r>
        <m:r>
          <m:rPr>
            <m:nor/>
          </m:rPr>
          <w:rPr>
            <w:i/>
          </w:rPr>
          <m:t>E</m:t>
        </m:r>
      </m:oMath>
      <w:r w:rsidRPr="00A229AE">
        <w:t xml:space="preserve"> </w:t>
      </w:r>
      <w:r w:rsidRPr="00A229AE">
        <w:rPr>
          <w:sz w:val="19"/>
          <w:szCs w:val="19"/>
        </w:rPr>
        <w:t>(se asume tipo de cambio flexible)</w:t>
      </w:r>
      <w:r w:rsidRPr="00A229AE">
        <w:t>.</w:t>
      </w:r>
    </w:p>
    <w:p w14:paraId="5B9E5155" w14:textId="77777777" w:rsidR="00E304C3" w:rsidRDefault="00E304C3" w:rsidP="00E304C3">
      <w:pPr>
        <w:pStyle w:val="Nivel5"/>
        <w:spacing w:line="240" w:lineRule="auto"/>
        <w:ind w:left="1871"/>
      </w:pPr>
      <w:r w:rsidRPr="00A229AE">
        <w:t>A su vez, el tipo de cambio nominal depende del tono de política monetaria. Una política monetaria expansiva deprecia el tipo de cambio:</w:t>
      </w:r>
      <m:oMath>
        <m:r>
          <w:rPr>
            <w:rFonts w:ascii="Cambria Math" w:hAnsi="Cambria Math"/>
          </w:rPr>
          <m:t xml:space="preserve"> </m:t>
        </m:r>
        <m:r>
          <m:rPr>
            <m:nor/>
          </m:rPr>
          <w:rPr>
            <w:i/>
          </w:rPr>
          <m:t>E</m:t>
        </m:r>
        <m:r>
          <w:rPr>
            <w:rFonts w:ascii="Cambria Math" w:hAnsi="Cambria Math"/>
          </w:rPr>
          <m:t>=</m:t>
        </m:r>
        <m:f>
          <m:fPr>
            <m:type m:val="lin"/>
            <m:ctrlPr>
              <w:rPr>
                <w:rFonts w:ascii="Cambria Math" w:hAnsi="Cambria Math"/>
                <w:i/>
              </w:rPr>
            </m:ctrlPr>
          </m:fPr>
          <m:num>
            <m:r>
              <m:rPr>
                <m:nor/>
              </m:rPr>
              <w:rPr>
                <w:i/>
                <w:iCs/>
              </w:rPr>
              <m:t>μ</m:t>
            </m:r>
          </m:num>
          <m:den>
            <m:r>
              <m:rPr>
                <m:nor/>
              </m:rPr>
              <w:rPr>
                <w:i/>
                <w:iCs/>
              </w:rPr>
              <m:t>μ*</m:t>
            </m:r>
          </m:den>
        </m:f>
      </m:oMath>
      <w:r w:rsidRPr="00A229AE">
        <w:rPr>
          <w:rFonts w:eastAsiaTheme="minorEastAsia"/>
        </w:rPr>
        <w:t>.</w:t>
      </w:r>
    </w:p>
    <w:p w14:paraId="63A31C71" w14:textId="77777777" w:rsidR="00E304C3" w:rsidRPr="005A2451" w:rsidRDefault="00E304C3">
      <w:pPr>
        <w:pStyle w:val="Prrafodelista"/>
        <w:keepNext/>
        <w:numPr>
          <w:ilvl w:val="0"/>
          <w:numId w:val="20"/>
        </w:numPr>
        <w:spacing w:after="0" w:line="228" w:lineRule="auto"/>
        <w:ind w:left="568" w:hanging="284"/>
        <w:rPr>
          <w:i/>
          <w:lang w:val="en-US"/>
        </w:rPr>
      </w:pPr>
      <w:r w:rsidRPr="005A2451">
        <w:rPr>
          <w:rFonts w:eastAsiaTheme="minorEastAsia"/>
          <w:i/>
          <w:u w:val="single"/>
          <w:lang w:val="en-US"/>
        </w:rPr>
        <w:t>Curva NR</w:t>
      </w:r>
      <w:r w:rsidRPr="005A2451">
        <w:rPr>
          <w:rFonts w:eastAsiaTheme="minorEastAsia"/>
          <w:i/>
          <w:lang w:val="en-US"/>
        </w:rPr>
        <w:t xml:space="preserve"> (Natural Rate):</w:t>
      </w:r>
      <w:r w:rsidRPr="005A2451">
        <w:rPr>
          <w:rFonts w:eastAsiaTheme="minorEastAsia"/>
          <w:iCs/>
          <w:lang w:val="en-US"/>
        </w:rPr>
        <w:t xml:space="preserve"> </w:t>
      </w:r>
      <m:oMath>
        <m:borderBox>
          <m:borderBoxPr>
            <m:ctrlPr>
              <w:rPr>
                <w:rFonts w:ascii="Cambria Math" w:hAnsi="Cambria Math"/>
                <w:i/>
              </w:rPr>
            </m:ctrlPr>
          </m:borderBoxPr>
          <m:e>
            <m:acc>
              <m:accPr>
                <m:chr m:val="̅"/>
                <m:ctrlPr>
                  <w:rPr>
                    <w:rFonts w:ascii="Cambria Math" w:hAnsi="Cambria Math"/>
                    <w:i/>
                    <w:iCs/>
                  </w:rPr>
                </m:ctrlPr>
              </m:accPr>
              <m:e>
                <m:r>
                  <m:rPr>
                    <m:scr m:val="script"/>
                  </m:rPr>
                  <w:rPr>
                    <w:rFonts w:ascii="Cambria Math" w:hAnsi="Cambria Math"/>
                    <w:lang w:val="en-US"/>
                  </w:rPr>
                  <m:t>l</m:t>
                </m:r>
              </m:e>
            </m:acc>
            <m:r>
              <w:rPr>
                <w:rFonts w:ascii="Cambria Math" w:hAnsi="Cambria Math"/>
                <w:lang w:val="en-US"/>
              </w:rPr>
              <m:t>=</m:t>
            </m:r>
            <m:f>
              <m:fPr>
                <m:ctrlPr>
                  <w:rPr>
                    <w:rFonts w:ascii="Cambria Math" w:hAnsi="Cambria Math"/>
                    <w:i/>
                    <w:lang w:val="en-US"/>
                  </w:rPr>
                </m:ctrlPr>
              </m:fPr>
              <m:num>
                <m:r>
                  <m:rPr>
                    <m:nor/>
                  </m:rPr>
                  <w:rPr>
                    <w:i/>
                    <w:iCs/>
                    <w:lang w:val="en-US"/>
                  </w:rPr>
                  <m:t>σ</m:t>
                </m:r>
                <m:r>
                  <w:rPr>
                    <w:rFonts w:ascii="Cambria Math" w:hAnsi="Cambria Math"/>
                    <w:lang w:val="en-US"/>
                  </w:rPr>
                  <m:t>-</m:t>
                </m:r>
                <m:r>
                  <m:rPr>
                    <m:nor/>
                  </m:rPr>
                  <w:rPr>
                    <w:i/>
                    <w:iCs/>
                    <w:lang w:val="en-US"/>
                  </w:rPr>
                  <m:t>1</m:t>
                </m:r>
              </m:num>
              <m:den>
                <m:r>
                  <m:rPr>
                    <m:nor/>
                  </m:rPr>
                  <w:rPr>
                    <w:i/>
                    <w:iCs/>
                    <w:lang w:val="en-US"/>
                  </w:rPr>
                  <m:t>σ</m:t>
                </m:r>
                <m:r>
                  <w:rPr>
                    <w:rFonts w:ascii="Cambria Math" w:hAnsi="Cambria Math"/>
                    <w:lang w:val="en-US"/>
                  </w:rPr>
                  <m:t>∙</m:t>
                </m:r>
                <m:r>
                  <m:rPr>
                    <m:nor/>
                  </m:rPr>
                  <w:rPr>
                    <w:i/>
                    <w:iCs/>
                    <w:lang w:val="en-US"/>
                  </w:rPr>
                  <m:t>κ</m:t>
                </m:r>
              </m:den>
            </m:f>
          </m:e>
        </m:borderBox>
      </m:oMath>
    </w:p>
    <w:p w14:paraId="038710D8" w14:textId="77777777" w:rsidR="00E304C3" w:rsidRDefault="00E304C3" w:rsidP="00E304C3">
      <w:pPr>
        <w:pStyle w:val="Nivel3SM"/>
        <w:keepNext/>
        <w:spacing w:line="240" w:lineRule="auto"/>
      </w:pPr>
      <w:r>
        <w:t xml:space="preserve">Marca el nivel de empleo potencial, </w:t>
      </w:r>
      <m:oMath>
        <m:acc>
          <m:accPr>
            <m:chr m:val="̅"/>
            <m:ctrlPr>
              <w:rPr>
                <w:rFonts w:ascii="Cambria Math" w:hAnsi="Cambria Math"/>
                <w:i/>
                <w:iCs/>
              </w:rPr>
            </m:ctrlPr>
          </m:accPr>
          <m:e>
            <m:r>
              <m:rPr>
                <m:scr m:val="script"/>
              </m:rPr>
              <w:rPr>
                <w:rFonts w:ascii="Cambria Math" w:hAnsi="Cambria Math"/>
              </w:rPr>
              <m:t>l</m:t>
            </m:r>
          </m:e>
        </m:acc>
      </m:oMath>
      <w:r>
        <w:t>, imperante con flexibilidad de precios, que viene determinado por:</w:t>
      </w:r>
    </w:p>
    <w:p w14:paraId="6F9DD042" w14:textId="77777777" w:rsidR="00E304C3" w:rsidRDefault="00E304C3" w:rsidP="00E304C3">
      <w:pPr>
        <w:pStyle w:val="Nivel4"/>
        <w:keepNext/>
        <w:spacing w:line="240" w:lineRule="auto"/>
        <w:ind w:left="1474"/>
      </w:pPr>
      <w:r>
        <w:t xml:space="preserve">El peso de la desutilidad del trabajo en la función de utilidad, </w:t>
      </w:r>
      <m:oMath>
        <m:r>
          <m:rPr>
            <m:nor/>
          </m:rPr>
          <w:rPr>
            <w:i/>
            <w:lang w:val="en-US"/>
          </w:rPr>
          <m:t>κ</m:t>
        </m:r>
      </m:oMath>
      <w:r>
        <w:t>, y</w:t>
      </w:r>
    </w:p>
    <w:p w14:paraId="144B711C" w14:textId="77777777" w:rsidR="00E304C3" w:rsidRDefault="00E304C3" w:rsidP="00E304C3">
      <w:pPr>
        <w:pStyle w:val="Nivel4"/>
        <w:spacing w:line="240" w:lineRule="auto"/>
        <w:ind w:left="1474"/>
      </w:pPr>
      <w:r>
        <w:t xml:space="preserve">La elasticidad de sustitución entre variedades, </w:t>
      </w:r>
      <m:oMath>
        <m:r>
          <m:rPr>
            <m:nor/>
          </m:rPr>
          <w:rPr>
            <w:i/>
          </w:rPr>
          <m:t>σ</m:t>
        </m:r>
      </m:oMath>
      <w:r>
        <w:rPr>
          <w:rStyle w:val="Refdenotaalpie"/>
        </w:rPr>
        <w:footnoteReference w:id="14"/>
      </w:r>
      <w:r>
        <w:t xml:space="preserve"> </w:t>
      </w:r>
      <w:r w:rsidRPr="00C90401">
        <w:rPr>
          <w:sz w:val="19"/>
          <w:szCs w:val="19"/>
        </w:rPr>
        <w:t>(a mayor preferencia por la variedad, menos trabajo)</w:t>
      </w:r>
      <w:r>
        <w:t>.</w:t>
      </w:r>
    </w:p>
    <w:p w14:paraId="2D3EFFD6" w14:textId="77777777" w:rsidR="00E304C3" w:rsidRDefault="00E304C3" w:rsidP="00E304C3">
      <w:pPr>
        <w:pStyle w:val="Nivel1SM"/>
        <w:spacing w:before="60" w:after="40" w:line="240" w:lineRule="auto"/>
      </w:pPr>
      <w:r>
        <w:t xml:space="preserve">El equilibrio del modelo con rigideces se da por la confluencia de </w:t>
      </w:r>
      <w:r>
        <w:rPr>
          <w:i/>
          <w:iCs/>
        </w:rPr>
        <w:t>AD</w:t>
      </w:r>
      <w:r>
        <w:t xml:space="preserve"> y </w:t>
      </w:r>
      <w:r>
        <w:rPr>
          <w:i/>
          <w:iCs/>
        </w:rPr>
        <w:t>AS</w:t>
      </w:r>
      <w:r>
        <w:t xml:space="preserve">, marcando </w:t>
      </w:r>
      <w:r>
        <w:rPr>
          <w:i/>
          <w:iCs/>
        </w:rPr>
        <w:t>NR</w:t>
      </w:r>
      <w:r>
        <w:t xml:space="preserve"> el nivel de empleo que se daría en caso de precios flexibles, y por tanto, el que se buscaría recuperar ante perturbaciones.</w:t>
      </w:r>
    </w:p>
    <w:p w14:paraId="64E98537" w14:textId="67627F2B" w:rsidR="00E304C3" w:rsidRPr="00975B1C" w:rsidRDefault="00E304C3" w:rsidP="00E304C3">
      <w:pPr>
        <w:pStyle w:val="Ttuloimagen"/>
        <w:spacing w:line="216" w:lineRule="auto"/>
        <w:rPr>
          <w:i/>
          <w:iCs/>
          <w:smallCaps w:val="0"/>
        </w:rPr>
      </w:pPr>
      <w:r w:rsidRPr="00975B1C">
        <w:t>Imagen</w:t>
      </w:r>
      <w:r>
        <w:t> </w:t>
      </w:r>
      <w:r>
        <w:fldChar w:fldCharType="begin"/>
      </w:r>
      <w:r w:rsidRPr="00975B1C">
        <w:instrText xml:space="preserve"> SEQ Ilustración \* ARABIC </w:instrText>
      </w:r>
      <w:r>
        <w:fldChar w:fldCharType="separate"/>
      </w:r>
      <w:r w:rsidR="00E37AC1">
        <w:t>4</w:t>
      </w:r>
      <w:r>
        <w:fldChar w:fldCharType="end"/>
      </w:r>
      <w:r w:rsidRPr="00975B1C">
        <w:rPr>
          <w:smallCaps w:val="0"/>
        </w:rPr>
        <w:t xml:space="preserve">.– </w:t>
      </w:r>
      <w:r w:rsidRPr="00975B1C">
        <w:rPr>
          <w:i/>
          <w:iCs/>
          <w:smallCaps w:val="0"/>
        </w:rPr>
        <w:t>Equilibrio inicial en e</w:t>
      </w:r>
      <w:r>
        <w:rPr>
          <w:i/>
          <w:iCs/>
          <w:smallCaps w:val="0"/>
        </w:rPr>
        <w:t xml:space="preserve">l modelo de </w:t>
      </w:r>
      <w:r>
        <w:rPr>
          <w:i/>
          <w:iCs/>
        </w:rPr>
        <w:t>Corsetti</w:t>
      </w:r>
      <w:r>
        <w:rPr>
          <w:i/>
          <w:iCs/>
          <w:smallCaps w:val="0"/>
        </w:rPr>
        <w:t xml:space="preserve"> y </w:t>
      </w:r>
      <w:r>
        <w:rPr>
          <w:i/>
          <w:iCs/>
        </w:rPr>
        <w:t>Pesenti</w:t>
      </w:r>
      <w:r>
        <w:rPr>
          <w:i/>
          <w:iCs/>
          <w:smallCaps w:val="0"/>
        </w:rPr>
        <w:t xml:space="preserve"> (2005) para un único país</w:t>
      </w:r>
    </w:p>
    <w:p w14:paraId="6DA86BF7" w14:textId="77777777" w:rsidR="00E304C3" w:rsidRPr="00975B1C" w:rsidRDefault="00E304C3" w:rsidP="00E304C3">
      <w:pPr>
        <w:pStyle w:val="Imagen"/>
      </w:pPr>
      <w:r w:rsidRPr="00385DDC">
        <w:drawing>
          <wp:inline distT="0" distB="0" distL="0" distR="0" wp14:anchorId="5D5576CF" wp14:editId="32BBC3A2">
            <wp:extent cx="1598151" cy="936000"/>
            <wp:effectExtent l="0" t="0" r="2540" b="0"/>
            <wp:docPr id="21" name="Imagen 21"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Gráfico&#10;&#10;Descripción generada automáticamente con confianza media"/>
                    <pic:cNvPicPr/>
                  </pic:nvPicPr>
                  <pic:blipFill rotWithShape="1">
                    <a:blip r:embed="rId15"/>
                    <a:srcRect l="902" t="5958" b="6308"/>
                    <a:stretch/>
                  </pic:blipFill>
                  <pic:spPr bwMode="auto">
                    <a:xfrm>
                      <a:off x="0" y="0"/>
                      <a:ext cx="1598151" cy="936000"/>
                    </a:xfrm>
                    <a:prstGeom prst="rect">
                      <a:avLst/>
                    </a:prstGeom>
                    <a:ln>
                      <a:noFill/>
                    </a:ln>
                    <a:extLst>
                      <a:ext uri="{53640926-AAD7-44D8-BBD7-CCE9431645EC}">
                        <a14:shadowObscured xmlns:a14="http://schemas.microsoft.com/office/drawing/2010/main"/>
                      </a:ext>
                    </a:extLst>
                  </pic:spPr>
                </pic:pic>
              </a:graphicData>
            </a:graphic>
          </wp:inline>
        </w:drawing>
      </w:r>
      <w:r w:rsidRPr="00385DDC">
        <w:drawing>
          <wp:inline distT="0" distB="0" distL="0" distR="0" wp14:anchorId="684CEEEC" wp14:editId="6A76C21A">
            <wp:extent cx="634908" cy="108000"/>
            <wp:effectExtent l="0" t="0" r="0" b="6350"/>
            <wp:docPr id="10" name="Imagen 10"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Gráfico&#10;&#10;Descripción generada automáticamente con confianza media"/>
                    <pic:cNvPicPr/>
                  </pic:nvPicPr>
                  <pic:blipFill rotWithShape="1">
                    <a:blip r:embed="rId15"/>
                    <a:srcRect l="8139" t="92080" r="63665" b="670"/>
                    <a:stretch/>
                  </pic:blipFill>
                  <pic:spPr bwMode="auto">
                    <a:xfrm>
                      <a:off x="0" y="0"/>
                      <a:ext cx="634908" cy="108000"/>
                    </a:xfrm>
                    <a:prstGeom prst="rect">
                      <a:avLst/>
                    </a:prstGeom>
                    <a:ln>
                      <a:noFill/>
                    </a:ln>
                    <a:extLst>
                      <a:ext uri="{53640926-AAD7-44D8-BBD7-CCE9431645EC}">
                        <a14:shadowObscured xmlns:a14="http://schemas.microsoft.com/office/drawing/2010/main"/>
                      </a:ext>
                    </a:extLst>
                  </pic:spPr>
                </pic:pic>
              </a:graphicData>
            </a:graphic>
          </wp:inline>
        </w:drawing>
      </w:r>
    </w:p>
    <w:p w14:paraId="7142CC87" w14:textId="77777777" w:rsidR="00E304C3" w:rsidRPr="00C455F7" w:rsidRDefault="00E304C3" w:rsidP="00E304C3">
      <w:pPr>
        <w:pStyle w:val="PiedeImagen"/>
        <w:spacing w:line="216" w:lineRule="auto"/>
        <w:rPr>
          <w:i w:val="0"/>
          <w:iCs/>
          <w:lang w:val="en-US"/>
        </w:rPr>
      </w:pPr>
      <w:r>
        <w:t>Fuente</w:t>
      </w:r>
      <w:r>
        <w:rPr>
          <w:i w:val="0"/>
          <w:iCs/>
        </w:rPr>
        <w:t xml:space="preserve">: </w:t>
      </w:r>
      <w:r w:rsidRPr="00975B1C">
        <w:rPr>
          <w:i w:val="0"/>
          <w:iCs/>
        </w:rPr>
        <w:t>Corsetti, G. &amp; Pesenti, P. (2005).</w:t>
      </w:r>
      <w:r w:rsidRPr="00975B1C">
        <w:t xml:space="preserve"> </w:t>
      </w:r>
      <w:r w:rsidRPr="00975B1C">
        <w:rPr>
          <w:lang w:val="en-US"/>
        </w:rPr>
        <w:t>The Simple Geometry of Transmission and Stabilization in Closed and Open Economies</w:t>
      </w:r>
      <w:r w:rsidRPr="00975B1C">
        <w:rPr>
          <w:i w:val="0"/>
          <w:iCs/>
          <w:lang w:val="en-US"/>
        </w:rPr>
        <w:t xml:space="preserve"> (Working Paper N.º</w:t>
      </w:r>
      <w:r>
        <w:rPr>
          <w:i w:val="0"/>
          <w:iCs/>
          <w:lang w:val="en-US"/>
        </w:rPr>
        <w:t> </w:t>
      </w:r>
      <w:r w:rsidRPr="00975B1C">
        <w:rPr>
          <w:i w:val="0"/>
          <w:iCs/>
          <w:lang w:val="en-US"/>
        </w:rPr>
        <w:t>11341). National Bureau of Economic Research.</w:t>
      </w:r>
      <w:r w:rsidRPr="00975B1C">
        <w:rPr>
          <w:lang w:val="en-US"/>
        </w:rPr>
        <w:t xml:space="preserve"> </w:t>
      </w:r>
      <w:r w:rsidR="00000000">
        <w:fldChar w:fldCharType="begin"/>
      </w:r>
      <w:r w:rsidR="00000000" w:rsidRPr="00E37AC1">
        <w:rPr>
          <w:lang w:val="en-US"/>
        </w:rPr>
        <w:instrText>HYPERLINK "https://www.nber.org/system/files/working_papers/w11341/w11341.pdf"</w:instrText>
      </w:r>
      <w:r w:rsidR="00000000">
        <w:fldChar w:fldCharType="separate"/>
      </w:r>
      <w:r w:rsidRPr="00C455F7">
        <w:rPr>
          <w:rStyle w:val="Hipervnculo"/>
          <w:i w:val="0"/>
          <w:iCs/>
          <w:lang w:val="en-US"/>
        </w:rPr>
        <w:t>https://www.nber.org/system/files/working_papers/w11341/w11341.pdf</w:t>
      </w:r>
      <w:r w:rsidR="00000000">
        <w:rPr>
          <w:rStyle w:val="Hipervnculo"/>
          <w:i w:val="0"/>
          <w:iCs/>
          <w:lang w:val="en-US"/>
        </w:rPr>
        <w:fldChar w:fldCharType="end"/>
      </w:r>
    </w:p>
    <w:p w14:paraId="2AAD432B" w14:textId="45A94596" w:rsidR="00E304C3" w:rsidRPr="00975B1C" w:rsidRDefault="00E304C3" w:rsidP="00E304C3">
      <w:pPr>
        <w:pStyle w:val="Ttuloimagen"/>
        <w:rPr>
          <w:i/>
          <w:iCs/>
          <w:smallCaps w:val="0"/>
        </w:rPr>
      </w:pPr>
      <w:r w:rsidRPr="00975B1C">
        <w:t>Imagen</w:t>
      </w:r>
      <w:r>
        <w:t> </w:t>
      </w:r>
      <w:r>
        <w:fldChar w:fldCharType="begin"/>
      </w:r>
      <w:r w:rsidRPr="00975B1C">
        <w:instrText xml:space="preserve"> SEQ Ilustración \* ARABIC </w:instrText>
      </w:r>
      <w:r>
        <w:fldChar w:fldCharType="separate"/>
      </w:r>
      <w:r w:rsidR="00E37AC1">
        <w:t>5</w:t>
      </w:r>
      <w:r>
        <w:fldChar w:fldCharType="end"/>
      </w:r>
      <w:r w:rsidRPr="00975B1C">
        <w:rPr>
          <w:smallCaps w:val="0"/>
        </w:rPr>
        <w:t xml:space="preserve">.– </w:t>
      </w:r>
      <w:r w:rsidRPr="00975B1C">
        <w:rPr>
          <w:i/>
          <w:iCs/>
          <w:smallCaps w:val="0"/>
        </w:rPr>
        <w:t>Equilibrio inicial en e</w:t>
      </w:r>
      <w:r>
        <w:rPr>
          <w:i/>
          <w:iCs/>
          <w:smallCaps w:val="0"/>
        </w:rPr>
        <w:t xml:space="preserve">l modelo de </w:t>
      </w:r>
      <w:r>
        <w:rPr>
          <w:i/>
          <w:iCs/>
        </w:rPr>
        <w:t>Corsetti</w:t>
      </w:r>
      <w:r>
        <w:rPr>
          <w:i/>
          <w:iCs/>
          <w:smallCaps w:val="0"/>
        </w:rPr>
        <w:t xml:space="preserve"> y </w:t>
      </w:r>
      <w:r>
        <w:rPr>
          <w:i/>
          <w:iCs/>
        </w:rPr>
        <w:t>Pesenti</w:t>
      </w:r>
      <w:r>
        <w:rPr>
          <w:i/>
          <w:iCs/>
          <w:smallCaps w:val="0"/>
        </w:rPr>
        <w:t xml:space="preserve"> (2005) con dos países</w:t>
      </w:r>
    </w:p>
    <w:p w14:paraId="53F6804B" w14:textId="77777777" w:rsidR="00E304C3" w:rsidRPr="00975B1C" w:rsidRDefault="00E304C3" w:rsidP="00E304C3">
      <w:pPr>
        <w:pStyle w:val="Imagen"/>
      </w:pPr>
      <w:r w:rsidRPr="00975B1C">
        <w:drawing>
          <wp:inline distT="0" distB="0" distL="0" distR="0" wp14:anchorId="69014EA3" wp14:editId="7232B255">
            <wp:extent cx="3046786" cy="1800000"/>
            <wp:effectExtent l="0" t="0" r="1270" b="0"/>
            <wp:docPr id="13" name="Imagen 13"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Gráfico, Diagrama&#10;&#10;Descripción generada automáticamente"/>
                    <pic:cNvPicPr/>
                  </pic:nvPicPr>
                  <pic:blipFill>
                    <a:blip r:embed="rId16"/>
                    <a:stretch>
                      <a:fillRect/>
                    </a:stretch>
                  </pic:blipFill>
                  <pic:spPr>
                    <a:xfrm>
                      <a:off x="0" y="0"/>
                      <a:ext cx="3046786" cy="1800000"/>
                    </a:xfrm>
                    <a:prstGeom prst="rect">
                      <a:avLst/>
                    </a:prstGeom>
                  </pic:spPr>
                </pic:pic>
              </a:graphicData>
            </a:graphic>
          </wp:inline>
        </w:drawing>
      </w:r>
    </w:p>
    <w:p w14:paraId="32A49583" w14:textId="77777777" w:rsidR="00E304C3" w:rsidRPr="00C455F7" w:rsidRDefault="00E304C3" w:rsidP="00E304C3">
      <w:pPr>
        <w:pStyle w:val="PiedeImagen"/>
        <w:rPr>
          <w:i w:val="0"/>
          <w:iCs/>
          <w:lang w:val="en-US"/>
        </w:rPr>
      </w:pPr>
      <w:r>
        <w:t>Fuente</w:t>
      </w:r>
      <w:r>
        <w:rPr>
          <w:i w:val="0"/>
          <w:iCs/>
        </w:rPr>
        <w:t xml:space="preserve">: </w:t>
      </w:r>
      <w:r w:rsidRPr="00975B1C">
        <w:rPr>
          <w:i w:val="0"/>
          <w:iCs/>
        </w:rPr>
        <w:t>Corsetti, G. &amp; Pesenti, P. (2005).</w:t>
      </w:r>
      <w:r w:rsidRPr="00975B1C">
        <w:t xml:space="preserve"> </w:t>
      </w:r>
      <w:r w:rsidRPr="00975B1C">
        <w:rPr>
          <w:lang w:val="en-US"/>
        </w:rPr>
        <w:t>The Simple Geometry of Transmission and Stabilization in Closed and Open Economies</w:t>
      </w:r>
      <w:r w:rsidRPr="00975B1C">
        <w:rPr>
          <w:i w:val="0"/>
          <w:iCs/>
          <w:lang w:val="en-US"/>
        </w:rPr>
        <w:t xml:space="preserve"> (Working Paper N.º</w:t>
      </w:r>
      <w:r>
        <w:rPr>
          <w:i w:val="0"/>
          <w:iCs/>
          <w:lang w:val="en-US"/>
        </w:rPr>
        <w:t> </w:t>
      </w:r>
      <w:r w:rsidRPr="00975B1C">
        <w:rPr>
          <w:i w:val="0"/>
          <w:iCs/>
          <w:lang w:val="en-US"/>
        </w:rPr>
        <w:t>11341). National Bureau of Economic Research.</w:t>
      </w:r>
      <w:r w:rsidRPr="00975B1C">
        <w:rPr>
          <w:lang w:val="en-US"/>
        </w:rPr>
        <w:t xml:space="preserve"> </w:t>
      </w:r>
      <w:r w:rsidR="00000000">
        <w:fldChar w:fldCharType="begin"/>
      </w:r>
      <w:r w:rsidR="00000000" w:rsidRPr="00E37AC1">
        <w:rPr>
          <w:lang w:val="en-US"/>
        </w:rPr>
        <w:instrText>HYPERLINK "https://www.nber.org/system/files/working_papers/w11341/w11341.pdf"</w:instrText>
      </w:r>
      <w:r w:rsidR="00000000">
        <w:fldChar w:fldCharType="separate"/>
      </w:r>
      <w:r w:rsidRPr="00C455F7">
        <w:rPr>
          <w:rStyle w:val="Hipervnculo"/>
          <w:i w:val="0"/>
          <w:iCs/>
          <w:lang w:val="en-US"/>
        </w:rPr>
        <w:t>https://www.nber.org/system/files/working_papers/w11341/w11341.pdf</w:t>
      </w:r>
      <w:r w:rsidR="00000000">
        <w:rPr>
          <w:rStyle w:val="Hipervnculo"/>
          <w:i w:val="0"/>
          <w:iCs/>
          <w:lang w:val="en-US"/>
        </w:rPr>
        <w:fldChar w:fldCharType="end"/>
      </w:r>
    </w:p>
    <w:p w14:paraId="6F089B61" w14:textId="77777777" w:rsidR="00E304C3" w:rsidRDefault="00E304C3" w:rsidP="00E304C3">
      <w:pPr>
        <w:pStyle w:val="Ttulo8"/>
      </w:pPr>
      <w:bookmarkStart w:id="30" w:name="_Toc173970587"/>
      <w:r>
        <w:t>Efectos de las políticas económicas</w:t>
      </w:r>
      <w:bookmarkEnd w:id="30"/>
    </w:p>
    <w:p w14:paraId="383DBB72" w14:textId="77777777" w:rsidR="00E304C3" w:rsidRDefault="00E304C3" w:rsidP="00E304C3">
      <w:pPr>
        <w:pStyle w:val="Nivel1SM"/>
        <w:keepNext/>
        <w:spacing w:before="0" w:after="0"/>
      </w:pPr>
      <w:r>
        <w:t xml:space="preserve">Una vez hemos desarrollado el marco, podemos analizar los </w:t>
      </w:r>
      <w:r w:rsidRPr="00E2580D">
        <w:rPr>
          <w:i/>
          <w:iCs/>
        </w:rPr>
        <w:t>efectos de distintas políticas económicas</w:t>
      </w:r>
      <w:r>
        <w:t>.</w:t>
      </w:r>
    </w:p>
    <w:p w14:paraId="334CCAC6" w14:textId="77777777" w:rsidR="00E304C3" w:rsidRPr="00037EE2" w:rsidRDefault="00E304C3" w:rsidP="00E304C3">
      <w:pPr>
        <w:pStyle w:val="Ttulo9"/>
      </w:pPr>
      <w:bookmarkStart w:id="31" w:name="_Toc173970588"/>
      <w:r>
        <w:t>Efectos de reformas estructurales</w:t>
      </w:r>
      <w:bookmarkEnd w:id="31"/>
    </w:p>
    <w:p w14:paraId="240BD6E9" w14:textId="77777777" w:rsidR="00E304C3" w:rsidRDefault="00E304C3" w:rsidP="00E304C3">
      <w:pPr>
        <w:pStyle w:val="Nivel1SM"/>
        <w:keepNext/>
        <w:spacing w:before="0" w:after="0"/>
      </w:pPr>
      <w:r>
        <w:t>Comencemos por analizar los efectos internacionales de una reforma estructural que reduzcan el grado de poder de monopolio en el país </w:t>
      </w:r>
      <w:r>
        <w:rPr>
          <w:i/>
          <w:iCs/>
        </w:rPr>
        <w:t>A</w:t>
      </w:r>
      <w:r>
        <w:t xml:space="preserve"> (</w:t>
      </w:r>
      <m:oMath>
        <m:r>
          <m:rPr>
            <m:nor/>
          </m:rPr>
          <w:rPr>
            <w:rFonts w:ascii="Times New Roman" w:hAnsi="Times New Roman" w:cs="Times New Roman"/>
            <w:i/>
          </w:rPr>
          <m:t>↓</m:t>
        </m:r>
        <m:r>
          <m:rPr>
            <m:nor/>
          </m:rPr>
          <w:rPr>
            <w:i/>
          </w:rPr>
          <m:t>σ</m:t>
        </m:r>
      </m:oMath>
      <w:r>
        <w:t>).</w:t>
      </w:r>
    </w:p>
    <w:p w14:paraId="75407F55" w14:textId="77777777" w:rsidR="00E304C3" w:rsidRDefault="00E304C3" w:rsidP="00E304C3">
      <w:pPr>
        <w:pStyle w:val="Nivel2SM"/>
        <w:keepNext/>
        <w:spacing w:after="0"/>
      </w:pPr>
      <w:r>
        <w:t xml:space="preserve">La reducción en el poder de monopolio en </w:t>
      </w:r>
      <w:r>
        <w:rPr>
          <w:i/>
          <w:iCs/>
        </w:rPr>
        <w:t>A</w:t>
      </w:r>
      <w:r>
        <w:t xml:space="preserve"> (</w:t>
      </w:r>
      <m:oMath>
        <m:r>
          <m:rPr>
            <m:nor/>
          </m:rPr>
          <w:rPr>
            <w:rFonts w:ascii="Times New Roman" w:hAnsi="Times New Roman" w:cs="Times New Roman"/>
            <w:i/>
          </w:rPr>
          <m:t>↓</m:t>
        </m:r>
        <m:r>
          <m:rPr>
            <m:nor/>
          </m:rPr>
          <w:rPr>
            <w:i/>
          </w:rPr>
          <m:t>σ</m:t>
        </m:r>
      </m:oMath>
      <w:r>
        <w:t>),</w:t>
      </w:r>
    </w:p>
    <w:p w14:paraId="4661E626" w14:textId="77777777" w:rsidR="00E304C3" w:rsidRDefault="00E304C3" w:rsidP="00E304C3">
      <w:pPr>
        <w:pStyle w:val="Nivel3SM"/>
      </w:pPr>
      <w:r>
        <w:t>Supone un aumento de la tasa natural de empleo (</w:t>
      </w:r>
      <m:oMath>
        <m:r>
          <m:rPr>
            <m:nor/>
          </m:rPr>
          <w:rPr>
            <w:rFonts w:ascii="Times New Roman" w:hAnsi="Times New Roman" w:cs="Times New Roman"/>
            <w:i/>
          </w:rPr>
          <m:t>↑</m:t>
        </m:r>
        <m:acc>
          <m:accPr>
            <m:chr m:val="̅"/>
            <m:ctrlPr>
              <w:rPr>
                <w:rFonts w:ascii="Cambria Math" w:hAnsi="Cambria Math"/>
                <w:i/>
              </w:rPr>
            </m:ctrlPr>
          </m:accPr>
          <m:e>
            <m:r>
              <m:rPr>
                <m:scr m:val="script"/>
              </m:rPr>
              <w:rPr>
                <w:rFonts w:ascii="Cambria Math" w:hAnsi="Cambria Math"/>
              </w:rPr>
              <m:t>l</m:t>
            </m:r>
          </m:e>
        </m:acc>
      </m:oMath>
      <w:r>
        <w:t>, i.e. un desplazamiento a la derecha de la recta </w:t>
      </w:r>
      <w:r>
        <w:rPr>
          <w:i/>
        </w:rPr>
        <w:t>NR</w:t>
      </w:r>
      <w:r>
        <w:t>).</w:t>
      </w:r>
    </w:p>
    <w:p w14:paraId="34C72CD4" w14:textId="77777777" w:rsidR="00E304C3" w:rsidRDefault="00E304C3" w:rsidP="00E304C3">
      <w:pPr>
        <w:pStyle w:val="Nivel3SM"/>
      </w:pPr>
      <w:r>
        <w:lastRenderedPageBreak/>
        <w:t xml:space="preserve">Esto provoca una mayor producción doméstica, y por lo tanto una mayor oferta de bienes producidos en </w:t>
      </w:r>
      <w:r>
        <w:rPr>
          <w:i/>
        </w:rPr>
        <w:t>A</w:t>
      </w:r>
      <w:r>
        <w:t xml:space="preserve">, lo que lleva a una disminución relativa del precio de los bienes de </w:t>
      </w:r>
      <w:r>
        <w:rPr>
          <w:i/>
        </w:rPr>
        <w:t>A</w:t>
      </w:r>
      <w:r>
        <w:t xml:space="preserve"> en comparación con los precios de </w:t>
      </w:r>
      <w:r>
        <w:rPr>
          <w:i/>
        </w:rPr>
        <w:t>B</w:t>
      </w:r>
      <w:r>
        <w:t xml:space="preserve"> (</w:t>
      </w:r>
      <m:oMath>
        <m:r>
          <m:rPr>
            <m:nor/>
          </m:rPr>
          <w:rPr>
            <w:rFonts w:ascii="Times New Roman" w:hAnsi="Times New Roman" w:cs="Times New Roman"/>
            <w:i/>
          </w:rPr>
          <m:t>↓</m:t>
        </m:r>
        <m:r>
          <m:rPr>
            <m:nor/>
          </m:rPr>
          <w:rPr>
            <w:i/>
          </w:rPr>
          <m:t>τ</m:t>
        </m:r>
      </m:oMath>
      <w:r>
        <w:t xml:space="preserve"> y </w:t>
      </w:r>
      <m:oMath>
        <m:r>
          <m:rPr>
            <m:nor/>
          </m:rPr>
          <w:rPr>
            <w:rFonts w:ascii="Times New Roman" w:hAnsi="Times New Roman" w:cs="Times New Roman"/>
            <w:i/>
          </w:rPr>
          <m:t>↑</m:t>
        </m:r>
        <m:r>
          <m:rPr>
            <m:nor/>
          </m:rPr>
          <w:rPr>
            <w:i/>
          </w:rPr>
          <m:t>τ*</m:t>
        </m:r>
      </m:oMath>
      <w:r>
        <w:t>, i.e. la curva </w:t>
      </w:r>
      <w:r>
        <w:rPr>
          <w:i/>
        </w:rPr>
        <w:t>AS</w:t>
      </w:r>
      <w:r>
        <w:t xml:space="preserve"> reduce su pendiente y la curva </w:t>
      </w:r>
      <w:r>
        <w:rPr>
          <w:i/>
        </w:rPr>
        <w:t>AS*</w:t>
      </w:r>
      <w:r>
        <w:t xml:space="preserve"> aumenta su pendiente).</w:t>
      </w:r>
    </w:p>
    <w:p w14:paraId="580F7F81" w14:textId="77777777" w:rsidR="00E304C3" w:rsidRDefault="00E304C3" w:rsidP="00E304C3">
      <w:pPr>
        <w:pStyle w:val="Nivel3SM"/>
      </w:pPr>
      <w:r>
        <w:t xml:space="preserve">Por otro lado, la reducción en el poder de monopolio en </w:t>
      </w:r>
      <w:r>
        <w:rPr>
          <w:i/>
        </w:rPr>
        <w:t>A</w:t>
      </w:r>
      <w:r>
        <w:t xml:space="preserve"> lleva a un menor precio de los bienes domésticos y con ello a un menor precio tanto en el país </w:t>
      </w:r>
      <w:r>
        <w:rPr>
          <w:i/>
        </w:rPr>
        <w:t>A</w:t>
      </w:r>
      <w:r>
        <w:t xml:space="preserve"> como en el país </w:t>
      </w:r>
      <w:r>
        <w:rPr>
          <w:i/>
        </w:rPr>
        <w:t>B</w:t>
      </w:r>
      <w:r>
        <w:t xml:space="preserve">, desplazando las curvas </w:t>
      </w:r>
      <w:r>
        <w:rPr>
          <w:i/>
        </w:rPr>
        <w:t>AD</w:t>
      </w:r>
      <w:r>
        <w:t xml:space="preserve"> y </w:t>
      </w:r>
      <w:r>
        <w:rPr>
          <w:i/>
        </w:rPr>
        <w:t>AD*</w:t>
      </w:r>
      <w:r>
        <w:t xml:space="preserve"> hacia arriba.</w:t>
      </w:r>
    </w:p>
    <w:p w14:paraId="659B646F" w14:textId="77777777" w:rsidR="00E304C3" w:rsidRDefault="00E304C3" w:rsidP="00E304C3">
      <w:pPr>
        <w:pStyle w:val="Nivel2SM"/>
        <w:keepNext/>
        <w:spacing w:after="0"/>
      </w:pPr>
      <w:r>
        <w:t>En el equilibrio final, en comparación con la situación de partida, los individuos del país </w:t>
      </w:r>
      <w:r>
        <w:rPr>
          <w:i/>
          <w:iCs/>
        </w:rPr>
        <w:t>A</w:t>
      </w:r>
      <w:r>
        <w:t xml:space="preserve"> trabajan más y consumen más (al igual que ocurriría en el caso de una economía cerrada), pero algunos de los beneficios de la reforma se filtran al extranjero. El país </w:t>
      </w:r>
      <w:r>
        <w:rPr>
          <w:i/>
          <w:iCs/>
        </w:rPr>
        <w:t>B</w:t>
      </w:r>
      <w:r>
        <w:t xml:space="preserve"> consigue una RRI más beneficiosa, que le lleva a consumir más trabajando lo mismo (y por lo tanto, mejora su nivel de utilidad y se producen ganancias de bienestar).</w:t>
      </w:r>
    </w:p>
    <w:p w14:paraId="1568D7BC" w14:textId="77777777" w:rsidR="00E304C3" w:rsidRPr="00785FED" w:rsidRDefault="00E304C3" w:rsidP="00E304C3">
      <w:pPr>
        <w:pStyle w:val="Nivel3SM"/>
        <w:rPr>
          <w:spacing w:val="-5"/>
        </w:rPr>
      </w:pPr>
      <w:r w:rsidRPr="00785FED">
        <w:rPr>
          <w:spacing w:val="-5"/>
        </w:rPr>
        <w:t>Este es un ejemplo de efectos spillovers positivos (en el largo plazo) de reformas estructurales (o reformas por el lado de la oferta) efectivas en la reducción de las distorsiones monopolísticas.</w:t>
      </w:r>
    </w:p>
    <w:p w14:paraId="7228FFDD" w14:textId="049E3DD7" w:rsidR="00E304C3" w:rsidRPr="00975B1C" w:rsidRDefault="00E304C3" w:rsidP="00E304C3">
      <w:pPr>
        <w:pStyle w:val="Ttuloimagen"/>
        <w:rPr>
          <w:i/>
          <w:iCs/>
          <w:smallCaps w:val="0"/>
        </w:rPr>
      </w:pPr>
      <w:r w:rsidRPr="00975B1C">
        <w:t>Imagen</w:t>
      </w:r>
      <w:r>
        <w:t> </w:t>
      </w:r>
      <w:r>
        <w:fldChar w:fldCharType="begin"/>
      </w:r>
      <w:r w:rsidRPr="00975B1C">
        <w:instrText xml:space="preserve"> SEQ Ilustración \* ARABIC </w:instrText>
      </w:r>
      <w:r>
        <w:fldChar w:fldCharType="separate"/>
      </w:r>
      <w:r w:rsidR="00E37AC1">
        <w:t>6</w:t>
      </w:r>
      <w:r>
        <w:fldChar w:fldCharType="end"/>
      </w:r>
      <w:r w:rsidRPr="00975B1C">
        <w:rPr>
          <w:smallCaps w:val="0"/>
        </w:rPr>
        <w:t xml:space="preserve">.– </w:t>
      </w:r>
      <w:r w:rsidRPr="00975B1C">
        <w:rPr>
          <w:i/>
          <w:iCs/>
          <w:smallCaps w:val="0"/>
        </w:rPr>
        <w:t>E</w:t>
      </w:r>
      <w:r>
        <w:rPr>
          <w:i/>
          <w:iCs/>
          <w:smallCaps w:val="0"/>
        </w:rPr>
        <w:t xml:space="preserve">fectos internacionales de una reforma estructural </w:t>
      </w:r>
      <w:r w:rsidRPr="00975B1C">
        <w:rPr>
          <w:i/>
          <w:iCs/>
          <w:smallCaps w:val="0"/>
        </w:rPr>
        <w:t>en e</w:t>
      </w:r>
      <w:r>
        <w:rPr>
          <w:i/>
          <w:iCs/>
          <w:smallCaps w:val="0"/>
        </w:rPr>
        <w:t xml:space="preserve">l modelo de </w:t>
      </w:r>
      <w:r>
        <w:rPr>
          <w:i/>
          <w:iCs/>
        </w:rPr>
        <w:t>Corsetti</w:t>
      </w:r>
      <w:r>
        <w:rPr>
          <w:i/>
          <w:iCs/>
          <w:smallCaps w:val="0"/>
        </w:rPr>
        <w:t xml:space="preserve"> y </w:t>
      </w:r>
      <w:r>
        <w:rPr>
          <w:i/>
          <w:iCs/>
        </w:rPr>
        <w:t>Pesenti</w:t>
      </w:r>
      <w:r>
        <w:rPr>
          <w:i/>
          <w:iCs/>
          <w:smallCaps w:val="0"/>
        </w:rPr>
        <w:t xml:space="preserve"> (2005)</w:t>
      </w:r>
    </w:p>
    <w:p w14:paraId="29ECC6CF" w14:textId="77777777" w:rsidR="00E304C3" w:rsidRPr="00975B1C" w:rsidRDefault="00E304C3" w:rsidP="00E304C3">
      <w:pPr>
        <w:pStyle w:val="Imagen"/>
      </w:pPr>
      <w:r w:rsidRPr="00037EE2">
        <w:drawing>
          <wp:inline distT="0" distB="0" distL="0" distR="0" wp14:anchorId="1DF04F08" wp14:editId="2714ABF7">
            <wp:extent cx="3536881" cy="1800000"/>
            <wp:effectExtent l="0" t="0" r="6985" b="0"/>
            <wp:docPr id="25" name="Imagen 25" descr="Gráfico, Diagrama,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Gráfico, Diagrama, Gráfico de líneas&#10;&#10;Descripción generada automáticamente"/>
                    <pic:cNvPicPr/>
                  </pic:nvPicPr>
                  <pic:blipFill>
                    <a:blip r:embed="rId17"/>
                    <a:stretch>
                      <a:fillRect/>
                    </a:stretch>
                  </pic:blipFill>
                  <pic:spPr>
                    <a:xfrm>
                      <a:off x="0" y="0"/>
                      <a:ext cx="3536881" cy="1800000"/>
                    </a:xfrm>
                    <a:prstGeom prst="rect">
                      <a:avLst/>
                    </a:prstGeom>
                  </pic:spPr>
                </pic:pic>
              </a:graphicData>
            </a:graphic>
          </wp:inline>
        </w:drawing>
      </w:r>
    </w:p>
    <w:p w14:paraId="7B93C10C" w14:textId="77777777" w:rsidR="00E304C3" w:rsidRPr="00C455F7" w:rsidRDefault="00E304C3" w:rsidP="00E304C3">
      <w:pPr>
        <w:pStyle w:val="PiedeImagen"/>
        <w:rPr>
          <w:i w:val="0"/>
          <w:iCs/>
          <w:lang w:val="en-US"/>
        </w:rPr>
      </w:pPr>
      <w:r>
        <w:t>Fuente</w:t>
      </w:r>
      <w:r>
        <w:rPr>
          <w:i w:val="0"/>
          <w:iCs/>
        </w:rPr>
        <w:t xml:space="preserve">: </w:t>
      </w:r>
      <w:r w:rsidRPr="00975B1C">
        <w:rPr>
          <w:i w:val="0"/>
          <w:iCs/>
        </w:rPr>
        <w:t>Corsetti, G. &amp; Pesenti, P. (2005).</w:t>
      </w:r>
      <w:r w:rsidRPr="00975B1C">
        <w:t xml:space="preserve"> </w:t>
      </w:r>
      <w:r w:rsidRPr="00975B1C">
        <w:rPr>
          <w:lang w:val="en-US"/>
        </w:rPr>
        <w:t>The Simple Geometry of Transmission and Stabilization in Closed and Open Economies</w:t>
      </w:r>
      <w:r w:rsidRPr="00975B1C">
        <w:rPr>
          <w:i w:val="0"/>
          <w:iCs/>
          <w:lang w:val="en-US"/>
        </w:rPr>
        <w:t xml:space="preserve"> (Working Paper N.º</w:t>
      </w:r>
      <w:r>
        <w:rPr>
          <w:i w:val="0"/>
          <w:iCs/>
          <w:lang w:val="en-US"/>
        </w:rPr>
        <w:t> </w:t>
      </w:r>
      <w:r w:rsidRPr="00975B1C">
        <w:rPr>
          <w:i w:val="0"/>
          <w:iCs/>
          <w:lang w:val="en-US"/>
        </w:rPr>
        <w:t>11341). National Bureau of Economic Research.</w:t>
      </w:r>
      <w:r w:rsidRPr="00975B1C">
        <w:rPr>
          <w:lang w:val="en-US"/>
        </w:rPr>
        <w:t xml:space="preserve"> </w:t>
      </w:r>
      <w:r w:rsidR="00000000">
        <w:fldChar w:fldCharType="begin"/>
      </w:r>
      <w:r w:rsidR="00000000" w:rsidRPr="00E37AC1">
        <w:rPr>
          <w:lang w:val="en-US"/>
        </w:rPr>
        <w:instrText>HYPERLINK "https://www.nber.org/system/files/working_papers/w11341/w11341.pdf"</w:instrText>
      </w:r>
      <w:r w:rsidR="00000000">
        <w:fldChar w:fldCharType="separate"/>
      </w:r>
      <w:r w:rsidRPr="00C455F7">
        <w:rPr>
          <w:rStyle w:val="Hipervnculo"/>
          <w:i w:val="0"/>
          <w:iCs/>
          <w:lang w:val="en-US"/>
        </w:rPr>
        <w:t>https://www.nber.org/system/files/working_papers/w11341/w11341.pdf</w:t>
      </w:r>
      <w:r w:rsidR="00000000">
        <w:rPr>
          <w:rStyle w:val="Hipervnculo"/>
          <w:i w:val="0"/>
          <w:iCs/>
          <w:lang w:val="en-US"/>
        </w:rPr>
        <w:fldChar w:fldCharType="end"/>
      </w:r>
    </w:p>
    <w:p w14:paraId="6E61DEFF" w14:textId="77777777" w:rsidR="00E304C3" w:rsidRDefault="00E304C3" w:rsidP="00E304C3">
      <w:pPr>
        <w:pStyle w:val="Ttulo9"/>
      </w:pPr>
      <w:bookmarkStart w:id="32" w:name="_Toc173970589"/>
      <w:r>
        <w:t>Efectos de un shock de productividad y de la política monetaria estabilizadora</w:t>
      </w:r>
      <w:bookmarkEnd w:id="32"/>
    </w:p>
    <w:p w14:paraId="3BB4BD5F" w14:textId="77777777" w:rsidR="00E304C3" w:rsidRDefault="00E304C3" w:rsidP="00E304C3">
      <w:pPr>
        <w:pStyle w:val="Ttulo10"/>
        <w:spacing w:before="0"/>
      </w:pPr>
      <w:r>
        <w:t>Precios flexibles</w:t>
      </w:r>
    </w:p>
    <w:p w14:paraId="1FD1AC2C" w14:textId="77777777" w:rsidR="00E304C3" w:rsidRDefault="00E304C3" w:rsidP="00E304C3">
      <w:pPr>
        <w:pStyle w:val="Nivel1SM"/>
        <w:keepNext/>
        <w:spacing w:before="0" w:after="0"/>
      </w:pPr>
      <w:r>
        <w:t xml:space="preserve">Supongamos que, partiendo del equilibrio inicial, y bajo precios rígidos, se produce un </w:t>
      </w:r>
      <w:r>
        <w:rPr>
          <w:i/>
          <w:iCs/>
        </w:rPr>
        <w:t>shock</w:t>
      </w:r>
      <w:r>
        <w:t xml:space="preserve"> de productividad positivo en el país </w:t>
      </w:r>
      <w:r>
        <w:rPr>
          <w:i/>
          <w:iCs/>
        </w:rPr>
        <w:t>A</w:t>
      </w:r>
      <w:r>
        <w:t xml:space="preserve"> (</w:t>
      </w:r>
      <m:oMath>
        <m:r>
          <m:rPr>
            <m:nor/>
          </m:rPr>
          <w:rPr>
            <w:rFonts w:ascii="Times New Roman" w:hAnsi="Times New Roman" w:cs="Times New Roman"/>
            <w:i/>
          </w:rPr>
          <m:t>↑</m:t>
        </m:r>
        <m:r>
          <m:rPr>
            <m:nor/>
          </m:rPr>
          <w:rPr>
            <w:i/>
          </w:rPr>
          <m:t>Z</m:t>
        </m:r>
      </m:oMath>
      <w:r>
        <w:t>).</w:t>
      </w:r>
    </w:p>
    <w:p w14:paraId="49C6D279" w14:textId="77777777" w:rsidR="00E304C3" w:rsidRPr="00965126" w:rsidRDefault="00E304C3" w:rsidP="00E304C3">
      <w:pPr>
        <w:pStyle w:val="Nivel2SM"/>
        <w:keepNext/>
        <w:spacing w:after="0"/>
        <w:rPr>
          <w:spacing w:val="-2"/>
        </w:rPr>
      </w:pPr>
      <w:r w:rsidRPr="00965126">
        <w:rPr>
          <w:spacing w:val="-2"/>
        </w:rPr>
        <w:t xml:space="preserve">El </w:t>
      </w:r>
      <w:r w:rsidRPr="00965126">
        <w:rPr>
          <w:i/>
          <w:iCs/>
          <w:spacing w:val="-2"/>
        </w:rPr>
        <w:t>shock</w:t>
      </w:r>
      <w:r w:rsidRPr="00965126">
        <w:rPr>
          <w:spacing w:val="-2"/>
        </w:rPr>
        <w:t xml:space="preserve"> provocará un aumento de la pendiente de la curva </w:t>
      </w:r>
      <w:r w:rsidRPr="00965126">
        <w:rPr>
          <w:i/>
          <w:iCs/>
          <w:spacing w:val="-2"/>
        </w:rPr>
        <w:t>AS</w:t>
      </w:r>
      <w:r w:rsidRPr="00965126">
        <w:rPr>
          <w:spacing w:val="-2"/>
        </w:rPr>
        <w:t xml:space="preserve">, y como los precios son flexibles, la mayor oferta de bienes domésticos llevará a una </w:t>
      </w:r>
      <w:r w:rsidRPr="00965126">
        <w:rPr>
          <w:i/>
          <w:iCs/>
          <w:spacing w:val="-2"/>
        </w:rPr>
        <w:t>reducción de su precio</w:t>
      </w:r>
      <w:r w:rsidRPr="00965126">
        <w:rPr>
          <w:spacing w:val="-2"/>
        </w:rPr>
        <w:t>, lo que llevará a 2 efectos:</w:t>
      </w:r>
    </w:p>
    <w:p w14:paraId="6B855887" w14:textId="77777777" w:rsidR="00E304C3" w:rsidRDefault="00E304C3">
      <w:pPr>
        <w:pStyle w:val="Prrafodelista"/>
        <w:numPr>
          <w:ilvl w:val="0"/>
          <w:numId w:val="22"/>
        </w:numPr>
        <w:spacing w:after="0"/>
        <w:ind w:left="1135" w:hanging="284"/>
      </w:pPr>
      <w:r>
        <w:t xml:space="preserve">Por un lado, se producirá una disminución relativa del precio de los bienes de </w:t>
      </w:r>
      <w:r>
        <w:rPr>
          <w:i/>
          <w:iCs/>
        </w:rPr>
        <w:t>A</w:t>
      </w:r>
      <w:r>
        <w:t xml:space="preserve"> en comparación con los precios de </w:t>
      </w:r>
      <w:r>
        <w:rPr>
          <w:i/>
          <w:iCs/>
        </w:rPr>
        <w:t>B</w:t>
      </w:r>
      <w:r>
        <w:t xml:space="preserve"> (</w:t>
      </w:r>
      <m:oMath>
        <m:r>
          <m:rPr>
            <m:nor/>
          </m:rPr>
          <w:rPr>
            <w:rFonts w:ascii="Times New Roman" w:hAnsi="Times New Roman" w:cs="Times New Roman"/>
            <w:i/>
          </w:rPr>
          <m:t>↓</m:t>
        </m:r>
        <m:r>
          <m:rPr>
            <m:nor/>
          </m:rPr>
          <w:rPr>
            <w:i/>
          </w:rPr>
          <m:t>τ</m:t>
        </m:r>
      </m:oMath>
      <w:r>
        <w:rPr>
          <w:rFonts w:eastAsiaTheme="minorEastAsia"/>
        </w:rPr>
        <w:t xml:space="preserve"> y </w:t>
      </w:r>
      <m:oMath>
        <m:r>
          <m:rPr>
            <m:nor/>
          </m:rPr>
          <w:rPr>
            <w:rFonts w:ascii="Times New Roman" w:hAnsi="Times New Roman" w:cs="Times New Roman"/>
            <w:i/>
          </w:rPr>
          <m:t>↑</m:t>
        </m:r>
        <m:r>
          <m:rPr>
            <m:nor/>
          </m:rPr>
          <w:rPr>
            <w:i/>
          </w:rPr>
          <m:t>τ*</m:t>
        </m:r>
      </m:oMath>
      <w:r>
        <w:rPr>
          <w:rFonts w:eastAsiaTheme="minorEastAsia"/>
        </w:rPr>
        <w:t>, i.e. la curva </w:t>
      </w:r>
      <w:r>
        <w:rPr>
          <w:rFonts w:eastAsiaTheme="minorEastAsia"/>
          <w:i/>
          <w:iCs/>
        </w:rPr>
        <w:t>AS</w:t>
      </w:r>
      <w:r>
        <w:rPr>
          <w:rFonts w:eastAsiaTheme="minorEastAsia"/>
        </w:rPr>
        <w:t xml:space="preserve"> reduce su pendiente y la curva </w:t>
      </w:r>
      <w:r>
        <w:rPr>
          <w:rFonts w:eastAsiaTheme="minorEastAsia"/>
          <w:i/>
          <w:iCs/>
        </w:rPr>
        <w:t>AS*</w:t>
      </w:r>
      <w:r>
        <w:rPr>
          <w:rFonts w:eastAsiaTheme="minorEastAsia"/>
        </w:rPr>
        <w:t xml:space="preserve"> aumenta su pendiente</w:t>
      </w:r>
      <w:r>
        <w:t>).</w:t>
      </w:r>
    </w:p>
    <w:p w14:paraId="75A21472" w14:textId="77777777" w:rsidR="00E304C3" w:rsidRDefault="00E304C3">
      <w:pPr>
        <w:pStyle w:val="Prrafodelista"/>
        <w:numPr>
          <w:ilvl w:val="0"/>
          <w:numId w:val="22"/>
        </w:numPr>
        <w:spacing w:after="0"/>
        <w:ind w:left="1135" w:hanging="284"/>
      </w:pPr>
      <w:r>
        <w:t xml:space="preserve">Por otro lado, la reducción del precio lleva a que las curvas </w:t>
      </w:r>
      <w:r>
        <w:rPr>
          <w:i/>
          <w:iCs/>
        </w:rPr>
        <w:t>AD</w:t>
      </w:r>
      <w:r>
        <w:t xml:space="preserve"> y </w:t>
      </w:r>
      <w:r>
        <w:rPr>
          <w:i/>
          <w:iCs/>
        </w:rPr>
        <w:t>AD*</w:t>
      </w:r>
      <w:r>
        <w:t xml:space="preserve"> se desplacen hacia arriba.</w:t>
      </w:r>
    </w:p>
    <w:p w14:paraId="65F75EB6" w14:textId="77777777" w:rsidR="00E304C3" w:rsidRDefault="00E304C3" w:rsidP="00E304C3">
      <w:pPr>
        <w:pStyle w:val="Nivel2SM"/>
        <w:keepNext/>
        <w:spacing w:after="0"/>
      </w:pPr>
      <w:r>
        <w:t>En el país </w:t>
      </w:r>
      <w:r>
        <w:rPr>
          <w:i/>
          <w:iCs/>
        </w:rPr>
        <w:t>A</w:t>
      </w:r>
      <w:r>
        <w:t>, el equilibrio se mueve desde el punto </w:t>
      </w:r>
      <w:r>
        <w:rPr>
          <w:i/>
          <w:iCs/>
        </w:rPr>
        <w:t>O</w:t>
      </w:r>
      <w:r>
        <w:t xml:space="preserve"> hasta </w:t>
      </w:r>
      <w:r>
        <w:rPr>
          <w:i/>
          <w:iCs/>
        </w:rPr>
        <w:t>A</w:t>
      </w:r>
      <w:r>
        <w:t>.</w:t>
      </w:r>
    </w:p>
    <w:p w14:paraId="5DF94B59" w14:textId="77777777" w:rsidR="00E304C3" w:rsidRPr="00F33AC7" w:rsidRDefault="00E304C3" w:rsidP="00E304C3">
      <w:pPr>
        <w:pStyle w:val="Nivel3SM"/>
        <w:rPr>
          <w:spacing w:val="-2"/>
        </w:rPr>
      </w:pPr>
      <w:r w:rsidRPr="00F33AC7">
        <w:rPr>
          <w:spacing w:val="-2"/>
        </w:rPr>
        <w:t xml:space="preserve">El </w:t>
      </w:r>
      <w:r w:rsidRPr="00F33AC7">
        <w:rPr>
          <w:i/>
          <w:iCs/>
          <w:spacing w:val="-2"/>
        </w:rPr>
        <w:t>consumo aumenta</w:t>
      </w:r>
      <w:r w:rsidRPr="00F33AC7">
        <w:rPr>
          <w:spacing w:val="-2"/>
        </w:rPr>
        <w:t xml:space="preserve"> y el </w:t>
      </w:r>
      <w:r w:rsidRPr="00F33AC7">
        <w:rPr>
          <w:i/>
          <w:iCs/>
          <w:spacing w:val="-2"/>
        </w:rPr>
        <w:t>trabajo se mantiene inalterado</w:t>
      </w:r>
      <w:r w:rsidRPr="00F33AC7">
        <w:rPr>
          <w:spacing w:val="-2"/>
        </w:rPr>
        <w:t>, produciéndose una mejora de bienestar.</w:t>
      </w:r>
    </w:p>
    <w:p w14:paraId="3FCC905D" w14:textId="77777777" w:rsidR="00E304C3" w:rsidRDefault="00E304C3" w:rsidP="00E304C3">
      <w:pPr>
        <w:pStyle w:val="Nivel3SM"/>
      </w:pPr>
      <w:r>
        <w:t>A nivel cualitativo, el efecto es análogo al de una economía cerrada. Sin embargo, parte de los efectos positivos se filtran al país </w:t>
      </w:r>
      <w:r>
        <w:rPr>
          <w:i/>
          <w:iCs/>
        </w:rPr>
        <w:t>B</w:t>
      </w:r>
      <w:r>
        <w:t xml:space="preserve"> a través de la RRI.</w:t>
      </w:r>
    </w:p>
    <w:p w14:paraId="25CB235E" w14:textId="77777777" w:rsidR="00E304C3" w:rsidRDefault="00E304C3" w:rsidP="00E304C3">
      <w:pPr>
        <w:pStyle w:val="Nivel2SM"/>
        <w:keepNext/>
        <w:spacing w:after="0"/>
      </w:pPr>
      <w:r>
        <w:t>En el país </w:t>
      </w:r>
      <w:r>
        <w:rPr>
          <w:i/>
          <w:iCs/>
        </w:rPr>
        <w:t>B</w:t>
      </w:r>
      <w:r>
        <w:t>, el equilibrio se mueve desde el punto </w:t>
      </w:r>
      <w:r>
        <w:rPr>
          <w:i/>
          <w:iCs/>
        </w:rPr>
        <w:t>O*</w:t>
      </w:r>
      <w:r>
        <w:t xml:space="preserve"> hasta </w:t>
      </w:r>
      <w:r>
        <w:rPr>
          <w:i/>
          <w:iCs/>
        </w:rPr>
        <w:t>A*</w:t>
      </w:r>
      <w:r>
        <w:t>.</w:t>
      </w:r>
    </w:p>
    <w:p w14:paraId="7D188FFB" w14:textId="77777777" w:rsidR="00E304C3" w:rsidRPr="00F33AC7" w:rsidRDefault="00E304C3" w:rsidP="00E304C3">
      <w:pPr>
        <w:pStyle w:val="Nivel3SM"/>
        <w:rPr>
          <w:spacing w:val="-2"/>
        </w:rPr>
      </w:pPr>
      <w:r w:rsidRPr="00F33AC7">
        <w:rPr>
          <w:spacing w:val="-2"/>
        </w:rPr>
        <w:t xml:space="preserve">El </w:t>
      </w:r>
      <w:r w:rsidRPr="00F33AC7">
        <w:rPr>
          <w:i/>
          <w:iCs/>
          <w:spacing w:val="-2"/>
        </w:rPr>
        <w:t>consumo aumenta</w:t>
      </w:r>
      <w:r w:rsidRPr="00F33AC7">
        <w:rPr>
          <w:spacing w:val="-2"/>
        </w:rPr>
        <w:t xml:space="preserve"> y el </w:t>
      </w:r>
      <w:r w:rsidRPr="00F33AC7">
        <w:rPr>
          <w:i/>
          <w:iCs/>
          <w:spacing w:val="-2"/>
        </w:rPr>
        <w:t>trabajo se mantiene inalterado</w:t>
      </w:r>
      <w:r w:rsidRPr="00F33AC7">
        <w:rPr>
          <w:spacing w:val="-2"/>
        </w:rPr>
        <w:t>, produciéndose una mejora de bienestar.</w:t>
      </w:r>
    </w:p>
    <w:p w14:paraId="32589149" w14:textId="2113019C" w:rsidR="00E304C3" w:rsidRPr="00975B1C" w:rsidRDefault="00E304C3" w:rsidP="00E304C3">
      <w:pPr>
        <w:pStyle w:val="Ttuloimagen"/>
        <w:rPr>
          <w:i/>
          <w:iCs/>
          <w:smallCaps w:val="0"/>
        </w:rPr>
      </w:pPr>
      <w:r w:rsidRPr="00975B1C">
        <w:lastRenderedPageBreak/>
        <w:t>Imagen</w:t>
      </w:r>
      <w:r>
        <w:t> </w:t>
      </w:r>
      <w:r>
        <w:fldChar w:fldCharType="begin"/>
      </w:r>
      <w:r w:rsidRPr="00975B1C">
        <w:instrText xml:space="preserve"> SEQ Ilustración \* ARABIC </w:instrText>
      </w:r>
      <w:r>
        <w:fldChar w:fldCharType="separate"/>
      </w:r>
      <w:r w:rsidR="00E37AC1">
        <w:t>7</w:t>
      </w:r>
      <w:r>
        <w:fldChar w:fldCharType="end"/>
      </w:r>
      <w:r w:rsidRPr="00975B1C">
        <w:rPr>
          <w:smallCaps w:val="0"/>
        </w:rPr>
        <w:t xml:space="preserve">.– </w:t>
      </w:r>
      <w:r w:rsidRPr="00975B1C">
        <w:rPr>
          <w:i/>
          <w:iCs/>
          <w:smallCaps w:val="0"/>
        </w:rPr>
        <w:t>E</w:t>
      </w:r>
      <w:r>
        <w:rPr>
          <w:i/>
          <w:iCs/>
          <w:smallCaps w:val="0"/>
        </w:rPr>
        <w:t>fectos de un shock positivo de productividad con precios flexibles</w:t>
      </w:r>
      <w:r>
        <w:rPr>
          <w:i/>
          <w:iCs/>
          <w:smallCaps w:val="0"/>
        </w:rPr>
        <w:br/>
      </w:r>
      <w:r w:rsidRPr="00975B1C">
        <w:rPr>
          <w:i/>
          <w:iCs/>
          <w:smallCaps w:val="0"/>
        </w:rPr>
        <w:t>en e</w:t>
      </w:r>
      <w:r>
        <w:rPr>
          <w:i/>
          <w:iCs/>
          <w:smallCaps w:val="0"/>
        </w:rPr>
        <w:t xml:space="preserve">l modelo de </w:t>
      </w:r>
      <w:r>
        <w:rPr>
          <w:i/>
          <w:iCs/>
        </w:rPr>
        <w:t>Corsetti</w:t>
      </w:r>
      <w:r>
        <w:rPr>
          <w:i/>
          <w:iCs/>
          <w:smallCaps w:val="0"/>
        </w:rPr>
        <w:t xml:space="preserve"> y </w:t>
      </w:r>
      <w:r>
        <w:rPr>
          <w:i/>
          <w:iCs/>
        </w:rPr>
        <w:t>Pesenti</w:t>
      </w:r>
      <w:r>
        <w:rPr>
          <w:i/>
          <w:iCs/>
          <w:smallCaps w:val="0"/>
        </w:rPr>
        <w:t xml:space="preserve"> (2005)</w:t>
      </w:r>
    </w:p>
    <w:p w14:paraId="0ACA762A" w14:textId="77777777" w:rsidR="00E304C3" w:rsidRPr="00975B1C" w:rsidRDefault="00E304C3" w:rsidP="00E304C3">
      <w:pPr>
        <w:pStyle w:val="Imagen"/>
      </w:pPr>
      <w:r w:rsidRPr="005644DD">
        <w:drawing>
          <wp:inline distT="0" distB="0" distL="0" distR="0" wp14:anchorId="5F15F633" wp14:editId="6892E9B4">
            <wp:extent cx="3020695" cy="1682483"/>
            <wp:effectExtent l="0" t="0" r="8255" b="0"/>
            <wp:docPr id="32" name="Imagen 3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Gráfico, Gráfico de líneas&#10;&#10;Descripción generada automáticamente"/>
                    <pic:cNvPicPr/>
                  </pic:nvPicPr>
                  <pic:blipFill rotWithShape="1">
                    <a:blip r:embed="rId18"/>
                    <a:srcRect t="4235" b="2258"/>
                    <a:stretch/>
                  </pic:blipFill>
                  <pic:spPr bwMode="auto">
                    <a:xfrm>
                      <a:off x="0" y="0"/>
                      <a:ext cx="3021843" cy="1683122"/>
                    </a:xfrm>
                    <a:prstGeom prst="rect">
                      <a:avLst/>
                    </a:prstGeom>
                    <a:ln>
                      <a:noFill/>
                    </a:ln>
                    <a:extLst>
                      <a:ext uri="{53640926-AAD7-44D8-BBD7-CCE9431645EC}">
                        <a14:shadowObscured xmlns:a14="http://schemas.microsoft.com/office/drawing/2010/main"/>
                      </a:ext>
                    </a:extLst>
                  </pic:spPr>
                </pic:pic>
              </a:graphicData>
            </a:graphic>
          </wp:inline>
        </w:drawing>
      </w:r>
    </w:p>
    <w:p w14:paraId="1423D82A" w14:textId="77777777" w:rsidR="00E304C3" w:rsidRPr="00C455F7" w:rsidRDefault="00E304C3" w:rsidP="00E304C3">
      <w:pPr>
        <w:pStyle w:val="PiedeImagen"/>
        <w:rPr>
          <w:i w:val="0"/>
          <w:iCs/>
          <w:lang w:val="en-US"/>
        </w:rPr>
      </w:pPr>
      <w:r>
        <w:t>Fuente</w:t>
      </w:r>
      <w:r>
        <w:rPr>
          <w:i w:val="0"/>
          <w:iCs/>
        </w:rPr>
        <w:t xml:space="preserve">: </w:t>
      </w:r>
      <w:r w:rsidRPr="00975B1C">
        <w:rPr>
          <w:i w:val="0"/>
          <w:iCs/>
        </w:rPr>
        <w:t>Corsetti, G. &amp; Pesenti, P. (2005).</w:t>
      </w:r>
      <w:r w:rsidRPr="00975B1C">
        <w:t xml:space="preserve"> </w:t>
      </w:r>
      <w:r w:rsidRPr="00975B1C">
        <w:rPr>
          <w:lang w:val="en-US"/>
        </w:rPr>
        <w:t>The Simple Geometry of Transmission and Stabilization in Closed and Open Economies</w:t>
      </w:r>
      <w:r w:rsidRPr="00975B1C">
        <w:rPr>
          <w:i w:val="0"/>
          <w:iCs/>
          <w:lang w:val="en-US"/>
        </w:rPr>
        <w:t xml:space="preserve"> (Working Paper N.º</w:t>
      </w:r>
      <w:r>
        <w:rPr>
          <w:i w:val="0"/>
          <w:iCs/>
          <w:lang w:val="en-US"/>
        </w:rPr>
        <w:t> </w:t>
      </w:r>
      <w:r w:rsidRPr="00975B1C">
        <w:rPr>
          <w:i w:val="0"/>
          <w:iCs/>
          <w:lang w:val="en-US"/>
        </w:rPr>
        <w:t>11341). National Bureau of Economic Research.</w:t>
      </w:r>
      <w:r w:rsidRPr="00975B1C">
        <w:rPr>
          <w:lang w:val="en-US"/>
        </w:rPr>
        <w:t xml:space="preserve"> </w:t>
      </w:r>
      <w:r w:rsidR="00000000">
        <w:fldChar w:fldCharType="begin"/>
      </w:r>
      <w:r w:rsidR="00000000" w:rsidRPr="00E37AC1">
        <w:rPr>
          <w:lang w:val="en-US"/>
        </w:rPr>
        <w:instrText>HYPERLINK "https://www.nber.org/system/files/working_papers/w11341/w11341.pdf"</w:instrText>
      </w:r>
      <w:r w:rsidR="00000000">
        <w:fldChar w:fldCharType="separate"/>
      </w:r>
      <w:r w:rsidRPr="00C455F7">
        <w:rPr>
          <w:rStyle w:val="Hipervnculo"/>
          <w:i w:val="0"/>
          <w:iCs/>
          <w:lang w:val="en-US"/>
        </w:rPr>
        <w:t>https://www.nber.org/system/files/working_papers/w11341/w11341.pdf</w:t>
      </w:r>
      <w:r w:rsidR="00000000">
        <w:rPr>
          <w:rStyle w:val="Hipervnculo"/>
          <w:i w:val="0"/>
          <w:iCs/>
          <w:lang w:val="en-US"/>
        </w:rPr>
        <w:fldChar w:fldCharType="end"/>
      </w:r>
    </w:p>
    <w:p w14:paraId="3E2891DC" w14:textId="77777777" w:rsidR="00E304C3" w:rsidRPr="00AF2020" w:rsidRDefault="00E304C3" w:rsidP="00E304C3">
      <w:pPr>
        <w:pStyle w:val="Ttulo10"/>
      </w:pPr>
      <w:r>
        <w:t>Precios rígidos: No-transmisión de los shocks de productividad</w:t>
      </w:r>
    </w:p>
    <w:p w14:paraId="35706D27" w14:textId="77777777" w:rsidR="00E304C3" w:rsidRDefault="00E304C3" w:rsidP="00E304C3">
      <w:pPr>
        <w:pStyle w:val="Nivel1SM"/>
        <w:keepNext/>
        <w:spacing w:before="0" w:after="0"/>
      </w:pPr>
      <w:r>
        <w:t xml:space="preserve">Supongamos que, partiendo del equilibrio inicial, y bajo precios rígidos, se produce un </w:t>
      </w:r>
      <w:r>
        <w:rPr>
          <w:i/>
          <w:iCs/>
        </w:rPr>
        <w:t>shock</w:t>
      </w:r>
      <w:r>
        <w:t xml:space="preserve"> de productividad positivo en el país </w:t>
      </w:r>
      <w:r>
        <w:rPr>
          <w:i/>
          <w:iCs/>
        </w:rPr>
        <w:t>A</w:t>
      </w:r>
      <w:r>
        <w:t xml:space="preserve"> (</w:t>
      </w:r>
      <m:oMath>
        <m:r>
          <m:rPr>
            <m:nor/>
          </m:rPr>
          <w:rPr>
            <w:rFonts w:ascii="Times New Roman" w:hAnsi="Times New Roman" w:cs="Times New Roman"/>
            <w:i/>
          </w:rPr>
          <m:t>↑</m:t>
        </m:r>
        <m:r>
          <m:rPr>
            <m:nor/>
          </m:rPr>
          <w:rPr>
            <w:i/>
          </w:rPr>
          <m:t>Z</m:t>
        </m:r>
      </m:oMath>
      <w:r>
        <w:t>).</w:t>
      </w:r>
    </w:p>
    <w:p w14:paraId="35184EE7" w14:textId="77777777" w:rsidR="00E304C3" w:rsidRDefault="00E304C3" w:rsidP="00E304C3">
      <w:pPr>
        <w:pStyle w:val="Nivel2SM"/>
        <w:keepNext/>
        <w:spacing w:after="0"/>
      </w:pPr>
      <w:r>
        <w:t xml:space="preserve">El </w:t>
      </w:r>
      <w:r>
        <w:rPr>
          <w:i/>
          <w:iCs/>
        </w:rPr>
        <w:t>shock</w:t>
      </w:r>
      <w:r>
        <w:t xml:space="preserve"> provocará un aumento de la pendiente de la curva </w:t>
      </w:r>
      <w:r>
        <w:rPr>
          <w:i/>
          <w:iCs/>
        </w:rPr>
        <w:t>AS</w:t>
      </w:r>
      <w:r>
        <w:t xml:space="preserve">, y como los precios son fijos, se abre un </w:t>
      </w:r>
      <w:r>
        <w:rPr>
          <w:i/>
          <w:iCs/>
        </w:rPr>
        <w:t>output/</w:t>
      </w:r>
      <w:proofErr w:type="spellStart"/>
      <w:r>
        <w:rPr>
          <w:i/>
          <w:iCs/>
        </w:rPr>
        <w:t>employment</w:t>
      </w:r>
      <w:proofErr w:type="spellEnd"/>
      <w:r>
        <w:rPr>
          <w:i/>
          <w:iCs/>
        </w:rPr>
        <w:t xml:space="preserve"> gap</w:t>
      </w:r>
      <w:r>
        <w:t>. El equilibrio se mueve desde el punto </w:t>
      </w:r>
      <w:r>
        <w:rPr>
          <w:i/>
          <w:iCs/>
        </w:rPr>
        <w:t>O</w:t>
      </w:r>
      <w:r>
        <w:t xml:space="preserve"> hasta </w:t>
      </w:r>
      <w:r>
        <w:rPr>
          <w:i/>
          <w:iCs/>
        </w:rPr>
        <w:t>B</w:t>
      </w:r>
      <w:r>
        <w:t>.</w:t>
      </w:r>
    </w:p>
    <w:p w14:paraId="0097D6AD" w14:textId="77777777" w:rsidR="00E304C3" w:rsidRDefault="00E304C3" w:rsidP="00E304C3">
      <w:pPr>
        <w:pStyle w:val="Nivel3SM"/>
      </w:pPr>
      <w:r>
        <w:t>El consumo se mantiene inalterado y la actividad económica se reduce (al igual que pasaría en una economía cerrada).</w:t>
      </w:r>
    </w:p>
    <w:p w14:paraId="5C136DC2" w14:textId="77777777" w:rsidR="00E304C3" w:rsidRDefault="00E304C3" w:rsidP="00E304C3">
      <w:pPr>
        <w:pStyle w:val="Nivel2SM"/>
      </w:pPr>
      <w:r w:rsidRPr="00AF2020">
        <w:t>El país</w:t>
      </w:r>
      <w:r>
        <w:t> </w:t>
      </w:r>
      <w:r w:rsidRPr="00AF2020">
        <w:rPr>
          <w:i/>
          <w:iCs/>
        </w:rPr>
        <w:t>B</w:t>
      </w:r>
      <w:r w:rsidRPr="00AF2020">
        <w:t xml:space="preserve"> no </w:t>
      </w:r>
      <w:r>
        <w:t xml:space="preserve">se ve afectado por el </w:t>
      </w:r>
      <w:r>
        <w:rPr>
          <w:i/>
          <w:iCs/>
        </w:rPr>
        <w:t>shock</w:t>
      </w:r>
      <w:r>
        <w:t xml:space="preserve"> y permanece en el equilibrio inicial.</w:t>
      </w:r>
    </w:p>
    <w:p w14:paraId="70668D2E" w14:textId="77777777" w:rsidR="00E304C3" w:rsidRDefault="00E304C3" w:rsidP="00E304C3">
      <w:pPr>
        <w:pStyle w:val="Nivel2SM"/>
        <w:keepNext/>
        <w:spacing w:after="0"/>
      </w:pPr>
      <w:r>
        <w:t xml:space="preserve">Este resultado es independiente de la especificación de las rigideces nominales en los mercados de exportación </w:t>
      </w:r>
      <w:r w:rsidRPr="00AF2020">
        <w:t>(i.e. PCP</w:t>
      </w:r>
      <w:r>
        <w:t>,</w:t>
      </w:r>
      <w:r w:rsidRPr="00AF2020">
        <w:t xml:space="preserve"> LCP o DP)</w:t>
      </w:r>
      <w:r>
        <w:t>.</w:t>
      </w:r>
    </w:p>
    <w:p w14:paraId="294323FC" w14:textId="77777777" w:rsidR="00E304C3" w:rsidRPr="00AF2020" w:rsidRDefault="00E304C3" w:rsidP="00E304C3">
      <w:pPr>
        <w:pStyle w:val="Nivel3SM"/>
      </w:pPr>
      <w:r>
        <w:t xml:space="preserve">En cualquiera de los casos, los </w:t>
      </w:r>
      <w:r>
        <w:rPr>
          <w:i/>
          <w:iCs/>
        </w:rPr>
        <w:t>shocks</w:t>
      </w:r>
      <w:r>
        <w:t xml:space="preserve"> de productividad no tienen efectos directos sobre los precios o sobre los tipos de cambio.</w:t>
      </w:r>
    </w:p>
    <w:p w14:paraId="0FC84135" w14:textId="49213A95" w:rsidR="00E304C3" w:rsidRPr="00AF2020" w:rsidRDefault="00E304C3" w:rsidP="00E304C3">
      <w:pPr>
        <w:pStyle w:val="Nivel2SM"/>
        <w:keepNext/>
        <w:spacing w:after="0"/>
      </w:pPr>
      <w:r w:rsidRPr="00AF2020">
        <w:t>Sin embargo, y al igu</w:t>
      </w:r>
      <w:r>
        <w:t xml:space="preserve">al que sucedería en el caso de una economía cerrada, los </w:t>
      </w:r>
      <w:r>
        <w:rPr>
          <w:i/>
          <w:iCs/>
        </w:rPr>
        <w:t>shocks</w:t>
      </w:r>
      <w:r>
        <w:t xml:space="preserve"> se trasladan a fluctuaciones no deseadas del empleo (abriendo un </w:t>
      </w:r>
      <w:r>
        <w:rPr>
          <w:i/>
          <w:iCs/>
        </w:rPr>
        <w:t>output/</w:t>
      </w:r>
      <w:proofErr w:type="spellStart"/>
      <w:r>
        <w:rPr>
          <w:i/>
          <w:iCs/>
        </w:rPr>
        <w:t>employment</w:t>
      </w:r>
      <w:proofErr w:type="spellEnd"/>
      <w:r>
        <w:rPr>
          <w:i/>
          <w:iCs/>
        </w:rPr>
        <w:t xml:space="preserve"> gap</w:t>
      </w:r>
      <w:r>
        <w:t>). Esto invita a una respuesta de política monetaria</w:t>
      </w:r>
      <w:r w:rsidR="00ED7F1D">
        <w:rPr>
          <w:rStyle w:val="Refdenotaalpie"/>
        </w:rPr>
        <w:footnoteReference w:id="15"/>
      </w:r>
      <w:r>
        <w:t>.</w:t>
      </w:r>
    </w:p>
    <w:p w14:paraId="107A4CBF" w14:textId="77777777" w:rsidR="00E304C3" w:rsidRPr="00AF2020" w:rsidRDefault="00E304C3" w:rsidP="00E304C3">
      <w:pPr>
        <w:pStyle w:val="Nivel3SM"/>
      </w:pPr>
      <w:r w:rsidRPr="00AF2020">
        <w:t>Por lo tanto, los shocks de productividad pueden tener efectos indirectos sobre los</w:t>
      </w:r>
      <w:r>
        <w:t xml:space="preserve"> </w:t>
      </w:r>
      <w:r w:rsidRPr="00AF2020">
        <w:t>pr</w:t>
      </w:r>
      <w:r>
        <w:t>e</w:t>
      </w:r>
      <w:r w:rsidRPr="00AF2020">
        <w:t>c</w:t>
      </w:r>
      <w:r>
        <w:t>io</w:t>
      </w:r>
      <w:r w:rsidRPr="00AF2020">
        <w:t xml:space="preserve">s, </w:t>
      </w:r>
      <w:r>
        <w:t>a través de respuestas estabilizadoras de política monetaria.</w:t>
      </w:r>
    </w:p>
    <w:p w14:paraId="3EDF0198" w14:textId="7BF65CCE" w:rsidR="00E304C3" w:rsidRPr="00975B1C" w:rsidRDefault="00E304C3" w:rsidP="00E304C3">
      <w:pPr>
        <w:pStyle w:val="Ttuloimagen"/>
        <w:rPr>
          <w:i/>
          <w:iCs/>
          <w:smallCaps w:val="0"/>
        </w:rPr>
      </w:pPr>
      <w:bookmarkStart w:id="33" w:name="_Ref122513054"/>
      <w:r w:rsidRPr="00975B1C">
        <w:t>Imagen</w:t>
      </w:r>
      <w:r>
        <w:t> </w:t>
      </w:r>
      <w:r>
        <w:fldChar w:fldCharType="begin"/>
      </w:r>
      <w:r w:rsidRPr="00975B1C">
        <w:instrText xml:space="preserve"> SEQ Ilustración \* ARABIC </w:instrText>
      </w:r>
      <w:r>
        <w:fldChar w:fldCharType="separate"/>
      </w:r>
      <w:r w:rsidR="00E37AC1">
        <w:t>8</w:t>
      </w:r>
      <w:r>
        <w:fldChar w:fldCharType="end"/>
      </w:r>
      <w:bookmarkEnd w:id="33"/>
      <w:r w:rsidRPr="00975B1C">
        <w:rPr>
          <w:smallCaps w:val="0"/>
        </w:rPr>
        <w:t xml:space="preserve">.– </w:t>
      </w:r>
      <w:r w:rsidRPr="00975B1C">
        <w:rPr>
          <w:i/>
          <w:iCs/>
          <w:smallCaps w:val="0"/>
        </w:rPr>
        <w:t>E</w:t>
      </w:r>
      <w:r>
        <w:rPr>
          <w:i/>
          <w:iCs/>
          <w:smallCaps w:val="0"/>
        </w:rPr>
        <w:t>fectos de un shock positivo de productividad con precios rígidos</w:t>
      </w:r>
      <w:r>
        <w:rPr>
          <w:i/>
          <w:iCs/>
          <w:smallCaps w:val="0"/>
        </w:rPr>
        <w:br/>
        <w:t xml:space="preserve">(no-transmisión de los shocks de productividad) </w:t>
      </w:r>
      <w:r w:rsidRPr="00975B1C">
        <w:rPr>
          <w:i/>
          <w:iCs/>
          <w:smallCaps w:val="0"/>
        </w:rPr>
        <w:t>en e</w:t>
      </w:r>
      <w:r>
        <w:rPr>
          <w:i/>
          <w:iCs/>
          <w:smallCaps w:val="0"/>
        </w:rPr>
        <w:t xml:space="preserve">l modelo de </w:t>
      </w:r>
      <w:r>
        <w:rPr>
          <w:i/>
          <w:iCs/>
        </w:rPr>
        <w:t>Corsetti</w:t>
      </w:r>
      <w:r>
        <w:rPr>
          <w:i/>
          <w:iCs/>
          <w:smallCaps w:val="0"/>
        </w:rPr>
        <w:t xml:space="preserve"> y </w:t>
      </w:r>
      <w:r>
        <w:rPr>
          <w:i/>
          <w:iCs/>
        </w:rPr>
        <w:t>Pesenti</w:t>
      </w:r>
      <w:r>
        <w:rPr>
          <w:i/>
          <w:iCs/>
          <w:smallCaps w:val="0"/>
        </w:rPr>
        <w:t xml:space="preserve"> (2005)</w:t>
      </w:r>
    </w:p>
    <w:p w14:paraId="0C4D05A1" w14:textId="77777777" w:rsidR="00E304C3" w:rsidRPr="00975B1C" w:rsidRDefault="00E304C3" w:rsidP="00E304C3">
      <w:pPr>
        <w:pStyle w:val="Imagen"/>
      </w:pPr>
      <w:r w:rsidRPr="00466EEB">
        <w:drawing>
          <wp:inline distT="0" distB="0" distL="0" distR="0" wp14:anchorId="671C7CCC" wp14:editId="4AEC9937">
            <wp:extent cx="3275858" cy="1728000"/>
            <wp:effectExtent l="0" t="0" r="1270" b="5715"/>
            <wp:docPr id="29" name="Imagen 2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Diagrama&#10;&#10;Descripción generada automáticamente"/>
                    <pic:cNvPicPr/>
                  </pic:nvPicPr>
                  <pic:blipFill>
                    <a:blip r:embed="rId19"/>
                    <a:stretch>
                      <a:fillRect/>
                    </a:stretch>
                  </pic:blipFill>
                  <pic:spPr>
                    <a:xfrm>
                      <a:off x="0" y="0"/>
                      <a:ext cx="3275858" cy="1728000"/>
                    </a:xfrm>
                    <a:prstGeom prst="rect">
                      <a:avLst/>
                    </a:prstGeom>
                  </pic:spPr>
                </pic:pic>
              </a:graphicData>
            </a:graphic>
          </wp:inline>
        </w:drawing>
      </w:r>
    </w:p>
    <w:p w14:paraId="01DDAA10" w14:textId="77777777" w:rsidR="00E304C3" w:rsidRPr="00C455F7" w:rsidRDefault="00E304C3" w:rsidP="00E304C3">
      <w:pPr>
        <w:pStyle w:val="PiedeImagen"/>
        <w:rPr>
          <w:i w:val="0"/>
          <w:iCs/>
          <w:lang w:val="en-US"/>
        </w:rPr>
      </w:pPr>
      <w:r>
        <w:t>Fuente</w:t>
      </w:r>
      <w:r>
        <w:rPr>
          <w:i w:val="0"/>
          <w:iCs/>
        </w:rPr>
        <w:t xml:space="preserve">: </w:t>
      </w:r>
      <w:r w:rsidRPr="00975B1C">
        <w:rPr>
          <w:i w:val="0"/>
          <w:iCs/>
        </w:rPr>
        <w:t>Corsetti, G. &amp; Pesenti, P. (2005).</w:t>
      </w:r>
      <w:r w:rsidRPr="00975B1C">
        <w:t xml:space="preserve"> </w:t>
      </w:r>
      <w:r w:rsidRPr="00975B1C">
        <w:rPr>
          <w:lang w:val="en-US"/>
        </w:rPr>
        <w:t>The Simple Geometry of Transmission and Stabilization in Closed and Open Economies</w:t>
      </w:r>
      <w:r w:rsidRPr="00975B1C">
        <w:rPr>
          <w:i w:val="0"/>
          <w:iCs/>
          <w:lang w:val="en-US"/>
        </w:rPr>
        <w:t xml:space="preserve"> (Working Paper N.º</w:t>
      </w:r>
      <w:r>
        <w:rPr>
          <w:i w:val="0"/>
          <w:iCs/>
          <w:lang w:val="en-US"/>
        </w:rPr>
        <w:t> </w:t>
      </w:r>
      <w:r w:rsidRPr="00975B1C">
        <w:rPr>
          <w:i w:val="0"/>
          <w:iCs/>
          <w:lang w:val="en-US"/>
        </w:rPr>
        <w:t>11341). National Bureau of Economic Research.</w:t>
      </w:r>
      <w:r w:rsidRPr="00975B1C">
        <w:rPr>
          <w:lang w:val="en-US"/>
        </w:rPr>
        <w:t xml:space="preserve"> </w:t>
      </w:r>
      <w:r w:rsidR="00000000">
        <w:fldChar w:fldCharType="begin"/>
      </w:r>
      <w:r w:rsidR="00000000" w:rsidRPr="00E37AC1">
        <w:rPr>
          <w:lang w:val="en-US"/>
        </w:rPr>
        <w:instrText>HYPERLINK "https://www.nber.org/system/files/working_papers/w11341/w11341.pdf"</w:instrText>
      </w:r>
      <w:r w:rsidR="00000000">
        <w:fldChar w:fldCharType="separate"/>
      </w:r>
      <w:r w:rsidRPr="00C455F7">
        <w:rPr>
          <w:rStyle w:val="Hipervnculo"/>
          <w:i w:val="0"/>
          <w:iCs/>
          <w:lang w:val="en-US"/>
        </w:rPr>
        <w:t>https://www.nber.org/system/files/working_papers/w11341/w11341.pdf</w:t>
      </w:r>
      <w:r w:rsidR="00000000">
        <w:rPr>
          <w:rStyle w:val="Hipervnculo"/>
          <w:i w:val="0"/>
          <w:iCs/>
          <w:lang w:val="en-US"/>
        </w:rPr>
        <w:fldChar w:fldCharType="end"/>
      </w:r>
    </w:p>
    <w:p w14:paraId="2FD1E09C" w14:textId="77777777" w:rsidR="00E304C3" w:rsidRPr="00784BE1" w:rsidRDefault="00E304C3" w:rsidP="00E304C3">
      <w:pPr>
        <w:pStyle w:val="Ttulo10"/>
      </w:pPr>
      <w:r w:rsidRPr="00784BE1">
        <w:lastRenderedPageBreak/>
        <w:t>Efectos indirectos de la p</w:t>
      </w:r>
      <w:r>
        <w:t>olítica monetaria de estabilización</w:t>
      </w:r>
    </w:p>
    <w:p w14:paraId="21A28E61" w14:textId="77777777" w:rsidR="00E304C3" w:rsidRDefault="00E304C3" w:rsidP="00E304C3">
      <w:pPr>
        <w:pStyle w:val="Nivel1SM"/>
        <w:keepNext/>
        <w:spacing w:before="0" w:after="0"/>
      </w:pPr>
      <w:r>
        <w:t xml:space="preserve">Los efectos indirectos de la política monetaria de estabilización van a depender de la </w:t>
      </w:r>
      <w:r w:rsidRPr="00AF2020">
        <w:rPr>
          <w:b/>
          <w:bCs/>
        </w:rPr>
        <w:t>fijación de precios por parte de los productores</w:t>
      </w:r>
      <w:r>
        <w:t xml:space="preserve"> (i.e. de la especificación de las rigideces nominales en los mercados de exportación). La fijación de precios por parte de los productores puede ser</w:t>
      </w:r>
      <w:r>
        <w:rPr>
          <w:rStyle w:val="Refdenotaalpie"/>
        </w:rPr>
        <w:footnoteReference w:id="16"/>
      </w:r>
      <w:r>
        <w:t>:</w:t>
      </w:r>
    </w:p>
    <w:p w14:paraId="743CD136" w14:textId="77777777" w:rsidR="00E304C3" w:rsidRDefault="00E304C3">
      <w:pPr>
        <w:pStyle w:val="Prrafodelista"/>
        <w:numPr>
          <w:ilvl w:val="0"/>
          <w:numId w:val="21"/>
        </w:numPr>
        <w:spacing w:after="100"/>
        <w:ind w:left="568" w:hanging="284"/>
        <w:rPr>
          <w:lang w:val="en-US"/>
        </w:rPr>
      </w:pPr>
      <w:r w:rsidRPr="00975B1C">
        <w:rPr>
          <w:lang w:val="en-US"/>
        </w:rPr>
        <w:t xml:space="preserve">En </w:t>
      </w:r>
      <w:proofErr w:type="spellStart"/>
      <w:r w:rsidRPr="00975B1C">
        <w:rPr>
          <w:lang w:val="en-US"/>
        </w:rPr>
        <w:t>moneda</w:t>
      </w:r>
      <w:proofErr w:type="spellEnd"/>
      <w:r w:rsidRPr="00975B1C">
        <w:rPr>
          <w:lang w:val="en-US"/>
        </w:rPr>
        <w:t xml:space="preserve"> lo</w:t>
      </w:r>
      <w:r>
        <w:rPr>
          <w:lang w:val="en-US"/>
        </w:rPr>
        <w:t>c</w:t>
      </w:r>
      <w:r w:rsidRPr="00975B1C">
        <w:rPr>
          <w:lang w:val="en-US"/>
        </w:rPr>
        <w:t>al</w:t>
      </w:r>
      <w:r>
        <w:rPr>
          <w:lang w:val="en-US"/>
        </w:rPr>
        <w:t xml:space="preserve"> del productor</w:t>
      </w:r>
      <w:r w:rsidRPr="00975B1C">
        <w:rPr>
          <w:lang w:val="en-US"/>
        </w:rPr>
        <w:t xml:space="preserve"> (alto pass-through) – </w:t>
      </w:r>
      <w:r w:rsidRPr="00DB048D">
        <w:rPr>
          <w:i/>
          <w:iCs/>
          <w:lang w:val="en-US"/>
        </w:rPr>
        <w:t>Producer Currency Pricing</w:t>
      </w:r>
    </w:p>
    <w:p w14:paraId="5C330ABD" w14:textId="77777777" w:rsidR="00E304C3" w:rsidRPr="00DB048D" w:rsidRDefault="00E304C3">
      <w:pPr>
        <w:pStyle w:val="Prrafodelista"/>
        <w:numPr>
          <w:ilvl w:val="0"/>
          <w:numId w:val="21"/>
        </w:numPr>
        <w:spacing w:after="100"/>
        <w:ind w:left="568" w:hanging="284"/>
        <w:rPr>
          <w:spacing w:val="-2"/>
        </w:rPr>
      </w:pPr>
      <w:r w:rsidRPr="00DB048D">
        <w:rPr>
          <w:spacing w:val="-2"/>
        </w:rPr>
        <w:t>En moneda del mercado en que se vende e</w:t>
      </w:r>
      <w:r>
        <w:rPr>
          <w:spacing w:val="-2"/>
        </w:rPr>
        <w:t>l</w:t>
      </w:r>
      <w:r w:rsidRPr="00DB048D">
        <w:rPr>
          <w:spacing w:val="-2"/>
        </w:rPr>
        <w:t xml:space="preserve"> producto (bajo pass-through) – </w:t>
      </w:r>
      <w:r w:rsidRPr="00DB048D">
        <w:rPr>
          <w:i/>
          <w:iCs/>
          <w:spacing w:val="-2"/>
        </w:rPr>
        <w:t>Local Currency Pricing</w:t>
      </w:r>
    </w:p>
    <w:p w14:paraId="2D2FD3E5" w14:textId="77777777" w:rsidR="00E304C3" w:rsidRPr="00DB048D" w:rsidRDefault="00E304C3">
      <w:pPr>
        <w:pStyle w:val="Prrafodelista"/>
        <w:numPr>
          <w:ilvl w:val="0"/>
          <w:numId w:val="21"/>
        </w:numPr>
        <w:spacing w:after="100"/>
        <w:ind w:left="568" w:hanging="284"/>
        <w:contextualSpacing w:val="0"/>
      </w:pPr>
      <w:r w:rsidRPr="00DB048D">
        <w:t>En otra moneda diferen</w:t>
      </w:r>
      <w:r>
        <w:t>te</w:t>
      </w:r>
      <w:r w:rsidRPr="00DB048D">
        <w:t xml:space="preserve"> (pass-through asimétrico) – </w:t>
      </w:r>
      <w:r w:rsidRPr="00DB048D">
        <w:rPr>
          <w:i/>
          <w:iCs/>
        </w:rPr>
        <w:t>Dollar Pricing</w:t>
      </w:r>
    </w:p>
    <w:p w14:paraId="1EE0CCDD" w14:textId="517EB626" w:rsidR="00E304C3" w:rsidRPr="00CB266C" w:rsidRDefault="00E304C3">
      <w:pPr>
        <w:pStyle w:val="Prrafodelista"/>
        <w:keepNext/>
        <w:numPr>
          <w:ilvl w:val="0"/>
          <w:numId w:val="31"/>
        </w:numPr>
        <w:spacing w:before="100" w:after="0"/>
        <w:ind w:left="1701" w:hanging="170"/>
        <w:contextualSpacing w:val="0"/>
        <w:rPr>
          <w:i/>
          <w:iCs/>
          <w:color w:val="240F33"/>
          <w:spacing w:val="-6"/>
          <w:w w:val="96"/>
          <w:sz w:val="18"/>
          <w:szCs w:val="18"/>
          <w:u w:val="dotted"/>
          <w:lang w:val="en-US"/>
        </w:rPr>
      </w:pPr>
      <w:r w:rsidRPr="00CB266C">
        <w:rPr>
          <w:i/>
          <w:iCs/>
          <w:color w:val="240F33"/>
          <w:spacing w:val="-6"/>
          <w:w w:val="96"/>
          <w:sz w:val="18"/>
          <w:szCs w:val="18"/>
          <w:u w:val="dotted"/>
          <w:lang w:val="en-US"/>
        </w:rPr>
        <w:t>Alto pass-through – Producer Currency Pricing (PCP)</w:t>
      </w:r>
    </w:p>
    <w:p w14:paraId="311FF781" w14:textId="77777777" w:rsidR="00E304C3" w:rsidRPr="00752542" w:rsidRDefault="00E304C3" w:rsidP="00E304C3">
      <w:pPr>
        <w:pStyle w:val="Nivel1SM"/>
        <w:keepNext/>
        <w:spacing w:before="0" w:after="0"/>
      </w:pPr>
      <w:r>
        <w:t xml:space="preserve">El productor fija los precios en su propia moneda y deja que sus precios se vean afectados perfectamente por movimientos del tipo de cambio. Esto es, el exportador extranjero fija </w:t>
      </w:r>
      <m:oMath>
        <m:r>
          <m:rPr>
            <m:nor/>
          </m:rPr>
          <w:rPr>
            <w:i/>
            <w:iCs/>
          </w:rPr>
          <m:t>P*</m:t>
        </m:r>
      </m:oMath>
      <w:r>
        <w:t xml:space="preserve"> y los </w:t>
      </w:r>
      <w:r w:rsidRPr="00752542">
        <w:t xml:space="preserve">importadores nacionales pagan </w:t>
      </w:r>
      <m:oMath>
        <m:f>
          <m:fPr>
            <m:type m:val="lin"/>
            <m:ctrlPr>
              <w:rPr>
                <w:rFonts w:ascii="Cambria Math" w:hAnsi="Cambria Math"/>
                <w:i/>
              </w:rPr>
            </m:ctrlPr>
          </m:fPr>
          <m:num>
            <m:r>
              <m:rPr>
                <m:nor/>
              </m:rPr>
              <w:rPr>
                <w:i/>
                <w:iCs/>
              </w:rPr>
              <m:t>P*</m:t>
            </m:r>
          </m:num>
          <m:den>
            <m:r>
              <m:rPr>
                <m:nor/>
              </m:rPr>
              <w:rPr>
                <w:i/>
              </w:rPr>
              <m:t>E</m:t>
            </m:r>
          </m:den>
        </m:f>
      </m:oMath>
      <w:r w:rsidRPr="00752542">
        <w:t xml:space="preserve"> unidades de la moneda doméstica.</w:t>
      </w:r>
    </w:p>
    <w:p w14:paraId="3266D2B3" w14:textId="77777777" w:rsidR="00E304C3" w:rsidRPr="00752542" w:rsidRDefault="00E304C3" w:rsidP="00E304C3">
      <w:pPr>
        <w:pStyle w:val="Nivel2SM"/>
      </w:pPr>
      <w:r w:rsidRPr="00752542">
        <w:t>En este escenario, toda la variación del tipo de cambio se traslada a precios que paga a la economía doméstica por bienes importados: una depreciación nominal se traslada perfectamente a una depreciación real (igual que en el modelo de Mundell-Fleming).</w:t>
      </w:r>
    </w:p>
    <w:p w14:paraId="2DADF7C4" w14:textId="77777777" w:rsidR="00E304C3" w:rsidRPr="00752542" w:rsidRDefault="00E304C3" w:rsidP="00E304C3">
      <w:pPr>
        <w:pStyle w:val="Nivel2SM"/>
      </w:pPr>
      <w:r w:rsidRPr="00752542">
        <w:t>Si los precios de las importaciones sí se ajustan, no habrá rigidez nominal externa, con lo que se suavizan las rigideces nominales internas que impiden que precios nacionales se ajusten ante perturbaciones internas.</w:t>
      </w:r>
    </w:p>
    <w:p w14:paraId="0606F2C6" w14:textId="12EEAAA0" w:rsidR="00E304C3" w:rsidRPr="00752542" w:rsidRDefault="00E304C3" w:rsidP="00E304C3">
      <w:pPr>
        <w:pStyle w:val="Nivel1SM"/>
        <w:keepNext/>
        <w:spacing w:after="0"/>
      </w:pPr>
      <w:r w:rsidRPr="00752542">
        <w:t>Partimos del equilibrio</w:t>
      </w:r>
      <w:r>
        <w:t> </w:t>
      </w:r>
      <w:r w:rsidRPr="00752542">
        <w:rPr>
          <w:i/>
          <w:iCs/>
        </w:rPr>
        <w:t>B</w:t>
      </w:r>
      <w:r w:rsidRPr="00752542">
        <w:t xml:space="preserve"> en la </w:t>
      </w:r>
      <w:r w:rsidRPr="00752542">
        <w:fldChar w:fldCharType="begin"/>
      </w:r>
      <w:r w:rsidRPr="00752542">
        <w:instrText xml:space="preserve"> REF _Ref122513054 \h  \* MERGEFORMAT </w:instrText>
      </w:r>
      <w:r w:rsidRPr="00752542">
        <w:fldChar w:fldCharType="separate"/>
      </w:r>
      <w:r w:rsidR="00E37AC1" w:rsidRPr="00975B1C">
        <w:t>Imagen</w:t>
      </w:r>
      <w:r w:rsidR="00E37AC1">
        <w:t> 8</w:t>
      </w:r>
      <w:r w:rsidRPr="00752542">
        <w:fldChar w:fldCharType="end"/>
      </w:r>
      <w:r w:rsidRPr="00752542">
        <w:t>, y suponemos que el país</w:t>
      </w:r>
      <w:r>
        <w:t> </w:t>
      </w:r>
      <w:r w:rsidRPr="00752542">
        <w:rPr>
          <w:i/>
          <w:iCs/>
        </w:rPr>
        <w:t>A</w:t>
      </w:r>
      <w:r w:rsidRPr="00752542">
        <w:t xml:space="preserve"> responde con una política monetaria expansiva (</w:t>
      </w:r>
      <m:oMath>
        <m:r>
          <m:rPr>
            <m:nor/>
          </m:rPr>
          <w:rPr>
            <w:rFonts w:ascii="Times New Roman" w:hAnsi="Times New Roman" w:cs="Times New Roman"/>
            <w:i/>
          </w:rPr>
          <m:t>↑</m:t>
        </m:r>
        <m:r>
          <m:rPr>
            <m:nor/>
          </m:rPr>
          <w:rPr>
            <w:i/>
            <w:iCs/>
          </w:rPr>
          <m:t>μ</m:t>
        </m:r>
      </m:oMath>
      <w:r w:rsidRPr="00752542">
        <w:t>) que busque maximizar el bienestar dentro del propio país.</w:t>
      </w:r>
    </w:p>
    <w:p w14:paraId="539C3DDE" w14:textId="77777777" w:rsidR="00E304C3" w:rsidRPr="00752542" w:rsidRDefault="00E304C3" w:rsidP="00E304C3">
      <w:pPr>
        <w:pStyle w:val="Nivel2SM"/>
        <w:keepNext/>
        <w:spacing w:after="0"/>
      </w:pPr>
      <w:r w:rsidRPr="00752542">
        <w:t xml:space="preserve">Esta política monetaria tendrá </w:t>
      </w:r>
      <w:r>
        <w:t>2 </w:t>
      </w:r>
      <w:r w:rsidRPr="00752542">
        <w:t>efectos:</w:t>
      </w:r>
    </w:p>
    <w:p w14:paraId="2BFE405F" w14:textId="04711D9D" w:rsidR="00E304C3" w:rsidRPr="00A475E1" w:rsidRDefault="00E304C3">
      <w:pPr>
        <w:pStyle w:val="Prrafodelista"/>
        <w:numPr>
          <w:ilvl w:val="0"/>
          <w:numId w:val="23"/>
        </w:numPr>
        <w:spacing w:after="0"/>
        <w:ind w:left="1135" w:hanging="284"/>
        <w:rPr>
          <w:spacing w:val="-1"/>
        </w:rPr>
      </w:pPr>
      <w:r w:rsidRPr="00A475E1">
        <w:t>En primer lugar, llevará a una depreciación de la moneda (</w:t>
      </w:r>
      <m:oMath>
        <m:r>
          <m:rPr>
            <m:nor/>
          </m:rPr>
          <w:rPr>
            <w:rFonts w:ascii="Times New Roman" w:hAnsi="Times New Roman" w:cs="Times New Roman"/>
            <w:iCs/>
          </w:rPr>
          <m:t>↑</m:t>
        </m:r>
        <m:r>
          <m:rPr>
            <m:nor/>
          </m:rPr>
          <w:rPr>
            <w:i/>
          </w:rPr>
          <m:t>E</m:t>
        </m:r>
        <m:r>
          <w:rPr>
            <w:rFonts w:ascii="Cambria Math" w:hAnsi="Cambria Math"/>
          </w:rPr>
          <m:t>=</m:t>
        </m:r>
        <m:f>
          <m:fPr>
            <m:type m:val="lin"/>
            <m:ctrlPr>
              <w:rPr>
                <w:rFonts w:ascii="Cambria Math" w:hAnsi="Cambria Math"/>
                <w:i/>
              </w:rPr>
            </m:ctrlPr>
          </m:fPr>
          <m:num>
            <m:r>
              <m:rPr>
                <m:nor/>
              </m:rPr>
              <w:rPr>
                <w:rFonts w:ascii="Times New Roman" w:hAnsi="Times New Roman" w:cs="Times New Roman"/>
                <w:iCs/>
              </w:rPr>
              <m:t>↑</m:t>
            </m:r>
            <m:r>
              <m:rPr>
                <m:nor/>
              </m:rPr>
              <w:rPr>
                <w:i/>
                <w:iCs/>
              </w:rPr>
              <m:t>μ</m:t>
            </m:r>
          </m:num>
          <m:den>
            <m:r>
              <m:rPr>
                <m:nor/>
              </m:rPr>
              <w:rPr>
                <w:i/>
                <w:iCs/>
              </w:rPr>
              <m:t>μ*</m:t>
            </m:r>
          </m:den>
        </m:f>
      </m:oMath>
      <w:r w:rsidRPr="00A475E1">
        <w:t xml:space="preserve">), que como suponemos un </w:t>
      </w:r>
      <w:r w:rsidRPr="00A475E1">
        <w:rPr>
          <w:i/>
          <w:iCs/>
        </w:rPr>
        <w:t>alto pass-through</w:t>
      </w:r>
      <w:r>
        <w:rPr>
          <w:rStyle w:val="Refdenotaalpie"/>
        </w:rPr>
        <w:footnoteReference w:id="17"/>
      </w:r>
      <w:r w:rsidRPr="00A475E1">
        <w:t>, se trasladará perfectamente a una depreciación real (</w:t>
      </w:r>
      <m:oMath>
        <m:r>
          <m:rPr>
            <m:nor/>
          </m:rPr>
          <w:rPr>
            <w:rFonts w:ascii="Times New Roman" w:hAnsi="Times New Roman" w:cs="Times New Roman"/>
            <w:iCs/>
          </w:rPr>
          <m:t>↑</m:t>
        </m:r>
        <m:r>
          <m:rPr>
            <m:nor/>
          </m:rPr>
          <w:rPr>
            <w:i/>
          </w:rPr>
          <m:t>e</m:t>
        </m:r>
        <m:r>
          <w:rPr>
            <w:rFonts w:ascii="Cambria Math" w:eastAsiaTheme="minorEastAsia" w:hAnsi="Cambria Math"/>
          </w:rPr>
          <m:t>=</m:t>
        </m:r>
        <m:f>
          <m:fPr>
            <m:type m:val="lin"/>
            <m:ctrlPr>
              <w:rPr>
                <w:rFonts w:ascii="Cambria Math" w:eastAsiaTheme="minorEastAsia" w:hAnsi="Cambria Math"/>
                <w:i/>
              </w:rPr>
            </m:ctrlPr>
          </m:fPr>
          <m:num>
            <m:r>
              <m:rPr>
                <m:nor/>
              </m:rPr>
              <w:rPr>
                <w:rFonts w:ascii="Times New Roman" w:hAnsi="Times New Roman" w:cs="Times New Roman"/>
                <w:iCs/>
              </w:rPr>
              <m:t>↑</m:t>
            </m:r>
            <m:r>
              <m:rPr>
                <m:nor/>
              </m:rPr>
              <w:rPr>
                <w:i/>
              </w:rPr>
              <m:t>E</m:t>
            </m:r>
            <m:r>
              <w:rPr>
                <w:rFonts w:ascii="Cambria Math" w:hAnsi="Cambria Math"/>
                <w:noProof/>
              </w:rPr>
              <m:t>∙</m:t>
            </m:r>
            <m:sSubSup>
              <m:sSubSupPr>
                <m:ctrlPr>
                  <w:rPr>
                    <w:rFonts w:ascii="Cambria Math" w:hAnsi="Cambria Math"/>
                    <w:i/>
                    <w:sz w:val="16"/>
                    <w:szCs w:val="20"/>
                  </w:rPr>
                </m:ctrlPr>
              </m:sSubSupPr>
              <m:e>
                <m:r>
                  <m:rPr>
                    <m:nor/>
                  </m:rPr>
                  <w:rPr>
                    <w:i/>
                  </w:rPr>
                  <m:t>P</m:t>
                </m:r>
              </m:e>
              <m:sub>
                <m:r>
                  <m:rPr>
                    <m:nor/>
                  </m:rPr>
                  <w:rPr>
                    <w:i/>
                  </w:rPr>
                  <m:t>H</m:t>
                </m:r>
              </m:sub>
              <m:sup>
                <m:r>
                  <m:rPr>
                    <m:nor/>
                  </m:rPr>
                  <w:rPr>
                    <w:i/>
                  </w:rPr>
                  <m:t>*</m:t>
                </m:r>
              </m:sup>
            </m:sSubSup>
          </m:num>
          <m:den>
            <m:sSub>
              <m:sSubPr>
                <m:ctrlPr>
                  <w:rPr>
                    <w:rFonts w:ascii="Cambria Math" w:hAnsi="Cambria Math"/>
                    <w:i/>
                    <w:sz w:val="16"/>
                    <w:szCs w:val="20"/>
                  </w:rPr>
                </m:ctrlPr>
              </m:sSubPr>
              <m:e>
                <m:r>
                  <m:rPr>
                    <m:nor/>
                  </m:rPr>
                  <w:rPr>
                    <w:i/>
                  </w:rPr>
                  <m:t>P</m:t>
                </m:r>
              </m:e>
              <m:sub>
                <m:r>
                  <m:rPr>
                    <m:nor/>
                  </m:rPr>
                  <w:rPr>
                    <w:i/>
                  </w:rPr>
                  <m:t>F</m:t>
                </m:r>
              </m:sub>
            </m:sSub>
          </m:den>
        </m:f>
      </m:oMath>
      <w:r w:rsidRPr="00A475E1">
        <w:rPr>
          <w:rFonts w:eastAsiaTheme="minorEastAsia"/>
        </w:rPr>
        <w:t>)</w:t>
      </w:r>
      <w:r w:rsidRPr="00A475E1">
        <w:rPr>
          <w:rFonts w:eastAsiaTheme="minorEastAsia"/>
          <w:spacing w:val="-2"/>
        </w:rPr>
        <w:t>, y por lo tanto,</w:t>
      </w:r>
      <w:bookmarkStart w:id="34" w:name="_Hlk122521839"/>
      <w:r w:rsidRPr="00A475E1">
        <w:rPr>
          <w:rFonts w:eastAsiaTheme="minorEastAsia"/>
          <w:spacing w:val="-2"/>
        </w:rPr>
        <w:t xml:space="preserve"> </w:t>
      </w:r>
      <w:r w:rsidR="001A227D">
        <w:rPr>
          <w:rFonts w:eastAsiaTheme="minorEastAsia"/>
          <w:spacing w:val="-2"/>
        </w:rPr>
        <w:t xml:space="preserve">se pueden comprar menos importaciones con la misma producción y </w:t>
      </w:r>
      <w:r w:rsidRPr="00A475E1">
        <w:rPr>
          <w:rFonts w:eastAsiaTheme="minorEastAsia"/>
          <w:spacing w:val="-2"/>
        </w:rPr>
        <w:t xml:space="preserve">se traslada menor producción doméstica a consumo, lo que llevará a </w:t>
      </w:r>
      <w:bookmarkEnd w:id="34"/>
      <m:oMath>
        <m:r>
          <m:rPr>
            <m:nor/>
          </m:rPr>
          <w:rPr>
            <w:rFonts w:ascii="Times New Roman" w:hAnsi="Times New Roman" w:cs="Times New Roman"/>
            <w:i/>
            <w:spacing w:val="-2"/>
          </w:rPr>
          <m:t>↓</m:t>
        </m:r>
        <m:r>
          <m:rPr>
            <m:nor/>
          </m:rPr>
          <w:rPr>
            <w:i/>
            <w:spacing w:val="-2"/>
          </w:rPr>
          <m:t>τ</m:t>
        </m:r>
      </m:oMath>
      <w:r w:rsidRPr="00A475E1">
        <w:rPr>
          <w:rFonts w:eastAsiaTheme="minorEastAsia"/>
          <w:spacing w:val="-2"/>
        </w:rPr>
        <w:t xml:space="preserve"> y a </w:t>
      </w:r>
      <m:oMath>
        <m:r>
          <m:rPr>
            <m:nor/>
          </m:rPr>
          <w:rPr>
            <w:rFonts w:ascii="Times New Roman" w:hAnsi="Times New Roman" w:cs="Times New Roman"/>
            <w:iCs/>
            <w:spacing w:val="-2"/>
          </w:rPr>
          <m:t>↑</m:t>
        </m:r>
        <m:r>
          <m:rPr>
            <m:nor/>
          </m:rPr>
          <w:rPr>
            <w:i/>
            <w:spacing w:val="-2"/>
          </w:rPr>
          <m:t>τ*</m:t>
        </m:r>
      </m:oMath>
      <w:r w:rsidRPr="00A475E1">
        <w:rPr>
          <w:rFonts w:eastAsiaTheme="minorEastAsia"/>
          <w:spacing w:val="-2"/>
        </w:rPr>
        <w:t xml:space="preserve"> (i.e. la curva </w:t>
      </w:r>
      <w:r w:rsidRPr="00A475E1">
        <w:rPr>
          <w:rFonts w:eastAsiaTheme="minorEastAsia"/>
          <w:i/>
          <w:iCs/>
          <w:spacing w:val="-2"/>
        </w:rPr>
        <w:t>AS</w:t>
      </w:r>
      <w:r w:rsidRPr="00A475E1">
        <w:rPr>
          <w:rFonts w:eastAsiaTheme="minorEastAsia"/>
          <w:spacing w:val="-2"/>
        </w:rPr>
        <w:t xml:space="preserve"> reducirá su pendiente (compensando parcialmente el efecto del aumento de la productividad inicial) y la curva </w:t>
      </w:r>
      <w:r w:rsidRPr="00A475E1">
        <w:rPr>
          <w:rFonts w:eastAsiaTheme="minorEastAsia"/>
          <w:i/>
          <w:iCs/>
          <w:spacing w:val="-2"/>
        </w:rPr>
        <w:t>AS*</w:t>
      </w:r>
      <w:r w:rsidRPr="00A475E1">
        <w:rPr>
          <w:rFonts w:eastAsiaTheme="minorEastAsia"/>
          <w:spacing w:val="-2"/>
        </w:rPr>
        <w:t xml:space="preserve"> aumentará su pendiente).</w:t>
      </w:r>
    </w:p>
    <w:p w14:paraId="53F8445E" w14:textId="0D079C66" w:rsidR="00E304C3" w:rsidRPr="00A475E1" w:rsidRDefault="00E304C3">
      <w:pPr>
        <w:pStyle w:val="Prrafodelista"/>
        <w:numPr>
          <w:ilvl w:val="0"/>
          <w:numId w:val="23"/>
        </w:numPr>
        <w:spacing w:after="0"/>
        <w:ind w:left="1135" w:hanging="284"/>
      </w:pPr>
      <w:r w:rsidRPr="00A475E1">
        <w:rPr>
          <w:rFonts w:eastAsiaTheme="minorEastAsia"/>
        </w:rPr>
        <w:t xml:space="preserve">En segundo lugar, </w:t>
      </w:r>
      <w:r w:rsidRPr="00A475E1">
        <w:t>al mismo tiempo, la política monetaria más laxa (</w:t>
      </w:r>
      <m:oMath>
        <m:r>
          <m:rPr>
            <m:nor/>
          </m:rPr>
          <w:rPr>
            <w:rFonts w:ascii="Times New Roman" w:hAnsi="Times New Roman" w:cs="Times New Roman"/>
            <w:i/>
          </w:rPr>
          <m:t>↑</m:t>
        </m:r>
        <m:r>
          <m:rPr>
            <m:nor/>
          </m:rPr>
          <w:rPr>
            <w:i/>
            <w:iCs/>
          </w:rPr>
          <m:t>μ</m:t>
        </m:r>
      </m:oMath>
      <w:r w:rsidRPr="00A475E1">
        <w:t>) desplaza la curva </w:t>
      </w:r>
      <w:r w:rsidRPr="00A475E1">
        <w:rPr>
          <w:i/>
          <w:iCs/>
        </w:rPr>
        <w:t>AD</w:t>
      </w:r>
      <w:r w:rsidRPr="00A475E1">
        <w:t xml:space="preserve"> hacia arriba, pero menos que proporcionalmente. Esto es así ya que, en la medida en que los precios de las importaciones aumentan con la depreciación del tipo de cambio, el país experimenta algo de inflación de IPC. Igualmente, los menores precios de importaciones para el país </w:t>
      </w:r>
      <w:r w:rsidRPr="00A475E1">
        <w:rPr>
          <w:i/>
          <w:iCs/>
        </w:rPr>
        <w:t>B</w:t>
      </w:r>
      <w:r w:rsidRPr="00A475E1">
        <w:t xml:space="preserve"> se traducen en una caída del IPC en este país desplazando la curva </w:t>
      </w:r>
      <w:r w:rsidRPr="00A475E1">
        <w:rPr>
          <w:i/>
          <w:iCs/>
        </w:rPr>
        <w:t>AD*</w:t>
      </w:r>
      <w:r w:rsidRPr="00A475E1">
        <w:t xml:space="preserve"> hacia arriba.</w:t>
      </w:r>
    </w:p>
    <w:p w14:paraId="7663AB67" w14:textId="77777777" w:rsidR="00E304C3" w:rsidRDefault="00E304C3" w:rsidP="00E304C3">
      <w:pPr>
        <w:pStyle w:val="Nivel2SM"/>
        <w:keepNext/>
        <w:spacing w:after="0"/>
      </w:pPr>
      <w:r>
        <w:t>Por lo tanto, ambos países alcanzan un nuevo equilibrio:</w:t>
      </w:r>
    </w:p>
    <w:p w14:paraId="68B385C7" w14:textId="77777777" w:rsidR="00E304C3" w:rsidRDefault="00E304C3" w:rsidP="00E304C3">
      <w:pPr>
        <w:pStyle w:val="Nivel3SM"/>
      </w:pPr>
      <w:r w:rsidRPr="003A1BCD">
        <w:t>El país</w:t>
      </w:r>
      <w:r>
        <w:t> </w:t>
      </w:r>
      <w:r w:rsidRPr="003A1BCD">
        <w:rPr>
          <w:i/>
          <w:iCs/>
        </w:rPr>
        <w:t>A</w:t>
      </w:r>
      <w:r w:rsidRPr="003A1BCD">
        <w:t xml:space="preserve"> se mueve desde el equil</w:t>
      </w:r>
      <w:r>
        <w:t>ibrio inicial</w:t>
      </w:r>
      <w:r w:rsidRPr="003A1BCD">
        <w:t xml:space="preserve"> </w:t>
      </w:r>
      <w:r w:rsidRPr="003A1BCD">
        <w:rPr>
          <w:i/>
          <w:iCs/>
        </w:rPr>
        <w:t>O</w:t>
      </w:r>
      <w:r w:rsidRPr="003A1BCD">
        <w:t xml:space="preserve"> </w:t>
      </w:r>
      <w:r>
        <w:t>hasta</w:t>
      </w:r>
      <w:r w:rsidRPr="003A1BCD">
        <w:t xml:space="preserve"> </w:t>
      </w:r>
      <w:r w:rsidRPr="003A1BCD">
        <w:rPr>
          <w:i/>
          <w:iCs/>
        </w:rPr>
        <w:t>P</w:t>
      </w:r>
      <w:r w:rsidRPr="003A1BCD">
        <w:t xml:space="preserve"> a</w:t>
      </w:r>
      <w:r>
        <w:t xml:space="preserve"> </w:t>
      </w:r>
      <w:r w:rsidRPr="003A1BCD">
        <w:t>lo</w:t>
      </w:r>
      <w:r>
        <w:t xml:space="preserve"> largo de la recta </w:t>
      </w:r>
      <w:r>
        <w:rPr>
          <w:i/>
          <w:iCs/>
        </w:rPr>
        <w:t>NR</w:t>
      </w:r>
      <w:r w:rsidRPr="003A1BCD">
        <w:t>.</w:t>
      </w:r>
    </w:p>
    <w:p w14:paraId="4A200AC5" w14:textId="77777777" w:rsidR="00E304C3" w:rsidRPr="003A1BCD" w:rsidRDefault="00E304C3" w:rsidP="00E304C3">
      <w:pPr>
        <w:pStyle w:val="Nivel3SM"/>
      </w:pPr>
      <w:r>
        <w:t>El país </w:t>
      </w:r>
      <w:r>
        <w:rPr>
          <w:i/>
          <w:iCs/>
        </w:rPr>
        <w:t>B</w:t>
      </w:r>
      <w:r>
        <w:t xml:space="preserve"> </w:t>
      </w:r>
      <w:r w:rsidRPr="003A1BCD">
        <w:t>se mueve desde el equil</w:t>
      </w:r>
      <w:r>
        <w:t>ibrio inicial</w:t>
      </w:r>
      <w:r w:rsidRPr="003A1BCD">
        <w:t xml:space="preserve"> </w:t>
      </w:r>
      <w:r w:rsidRPr="003A1BCD">
        <w:rPr>
          <w:i/>
          <w:iCs/>
        </w:rPr>
        <w:t>O</w:t>
      </w:r>
      <w:r>
        <w:rPr>
          <w:i/>
          <w:iCs/>
        </w:rPr>
        <w:t>*</w:t>
      </w:r>
      <w:r w:rsidRPr="003A1BCD">
        <w:t xml:space="preserve"> </w:t>
      </w:r>
      <w:r>
        <w:t>hasta</w:t>
      </w:r>
      <w:r w:rsidRPr="003A1BCD">
        <w:t xml:space="preserve"> </w:t>
      </w:r>
      <w:r w:rsidRPr="003A1BCD">
        <w:rPr>
          <w:i/>
          <w:iCs/>
        </w:rPr>
        <w:t>P</w:t>
      </w:r>
      <w:r>
        <w:rPr>
          <w:i/>
          <w:iCs/>
        </w:rPr>
        <w:t>*</w:t>
      </w:r>
      <w:r w:rsidRPr="003A1BCD">
        <w:t xml:space="preserve"> a</w:t>
      </w:r>
      <w:r>
        <w:t xml:space="preserve"> </w:t>
      </w:r>
      <w:r w:rsidRPr="003A1BCD">
        <w:t>lo</w:t>
      </w:r>
      <w:r>
        <w:t xml:space="preserve"> largo de la recta </w:t>
      </w:r>
      <w:r>
        <w:rPr>
          <w:i/>
          <w:iCs/>
        </w:rPr>
        <w:t>NR*</w:t>
      </w:r>
      <w:r w:rsidRPr="003A1BCD">
        <w:t>.</w:t>
      </w:r>
    </w:p>
    <w:p w14:paraId="4A49FB7C" w14:textId="77777777" w:rsidR="00E304C3" w:rsidRPr="003A1BCD" w:rsidRDefault="00E304C3" w:rsidP="00E304C3">
      <w:pPr>
        <w:pStyle w:val="Nivel2SM"/>
      </w:pPr>
      <w:r>
        <w:t xml:space="preserve">Nótese que en este modelo con rigideces, la política monetaria en un contexto de </w:t>
      </w:r>
      <w:r>
        <w:rPr>
          <w:i/>
          <w:iCs/>
        </w:rPr>
        <w:t>alto pass-through</w:t>
      </w:r>
      <w:r>
        <w:t xml:space="preserve"> ocasiona que a través del tipo de cambio flexible se produzca el mismo equilibrio que en un modelo con precios flexibles</w:t>
      </w:r>
      <w:r>
        <w:rPr>
          <w:rStyle w:val="Refdenotaalpie"/>
        </w:rPr>
        <w:footnoteReference w:id="18"/>
      </w:r>
      <w:r>
        <w:t>.</w:t>
      </w:r>
    </w:p>
    <w:p w14:paraId="1341AEAC" w14:textId="77777777" w:rsidR="00E304C3" w:rsidRPr="007D7277" w:rsidRDefault="00E304C3" w:rsidP="00E304C3">
      <w:pPr>
        <w:pStyle w:val="Nivel1SM"/>
        <w:keepNext/>
        <w:spacing w:after="0"/>
        <w:rPr>
          <w:spacing w:val="-3"/>
        </w:rPr>
      </w:pPr>
      <w:r w:rsidRPr="007D7277">
        <w:rPr>
          <w:spacing w:val="-3"/>
        </w:rPr>
        <w:lastRenderedPageBreak/>
        <w:t>Por tanto, en comparación con los resultados del modelo Mundell-Fleming:</w:t>
      </w:r>
    </w:p>
    <w:p w14:paraId="59D6C22B" w14:textId="77777777" w:rsidR="00E304C3" w:rsidRPr="007D7277" w:rsidRDefault="00E304C3" w:rsidP="00E304C3">
      <w:pPr>
        <w:pStyle w:val="Nivel2SM"/>
      </w:pPr>
      <w:r w:rsidRPr="007D7277">
        <w:t>Al igual que el modelo</w:t>
      </w:r>
      <w:r>
        <w:t> </w:t>
      </w:r>
      <w:r w:rsidRPr="007D7277">
        <w:t xml:space="preserve">IS-LM-BP, </w:t>
      </w:r>
      <w:r>
        <w:t xml:space="preserve">se producen efectos positivos sobre </w:t>
      </w:r>
      <w:r w:rsidRPr="007D7277">
        <w:t>el output</w:t>
      </w:r>
      <w:r>
        <w:t xml:space="preserve"> (i.e. sobre el consumo) debido al canal de las rigideces nominales.</w:t>
      </w:r>
    </w:p>
    <w:p w14:paraId="1EE3C29D" w14:textId="77777777" w:rsidR="00E304C3" w:rsidRDefault="00E304C3" w:rsidP="00E304C3">
      <w:pPr>
        <w:pStyle w:val="Nivel2SM"/>
        <w:keepNext/>
        <w:spacing w:after="0"/>
      </w:pPr>
      <w:r w:rsidRPr="007D7277">
        <w:t>A diferencia del modelo</w:t>
      </w:r>
      <w:r>
        <w:t> </w:t>
      </w:r>
      <w:r w:rsidRPr="007D7277">
        <w:t>IS-LM-BP,</w:t>
      </w:r>
    </w:p>
    <w:p w14:paraId="22ADD675" w14:textId="77777777" w:rsidR="00E304C3" w:rsidRDefault="00E304C3" w:rsidP="00E304C3">
      <w:pPr>
        <w:pStyle w:val="Nivel3SM"/>
      </w:pPr>
      <w:r>
        <w:t>La depreciación del tipo de cambio tiene un efecto negativo (el empeoramiento de la RRI) y no tiene el efecto positivo de estimular las exportaciones netas (de hecho el modelo no trabaja con ellas)</w:t>
      </w:r>
      <w:r>
        <w:rPr>
          <w:rStyle w:val="Refdenotaalpie"/>
        </w:rPr>
        <w:footnoteReference w:id="19"/>
      </w:r>
      <w:r>
        <w:t>.</w:t>
      </w:r>
    </w:p>
    <w:p w14:paraId="0208FCAE" w14:textId="77777777" w:rsidR="00E304C3" w:rsidRDefault="00E304C3" w:rsidP="00E304C3">
      <w:pPr>
        <w:pStyle w:val="Nivel3SM"/>
      </w:pPr>
      <w:r>
        <w:t>Los efectos de las políticas se transmiten vía canal del tipo de cambio y vía RRI, mientras que en el modelo IS-LM-BP existe el canal del tipo de cambio y el canal de la renta.</w:t>
      </w:r>
    </w:p>
    <w:p w14:paraId="2DD25F33" w14:textId="77777777" w:rsidR="00E304C3" w:rsidRPr="007D7277" w:rsidRDefault="00E304C3" w:rsidP="00E304C3">
      <w:pPr>
        <w:pStyle w:val="Nivel3SM"/>
      </w:pPr>
      <w:r>
        <w:t>El efecto de una política monetaria con tipo de cambios flexibles es de empobrecimiento del vecino en Mundell-Fleming por la apreciación del tipo de cambio, mientras que aquí es de locomotora por la mejora de la RRI para el país </w:t>
      </w:r>
      <w:r>
        <w:rPr>
          <w:i/>
          <w:iCs/>
        </w:rPr>
        <w:t>B</w:t>
      </w:r>
      <w:r>
        <w:t>.</w:t>
      </w:r>
    </w:p>
    <w:p w14:paraId="7A9B0603" w14:textId="4C1B3DA5" w:rsidR="00E304C3" w:rsidRPr="00975B1C" w:rsidRDefault="00E304C3" w:rsidP="00E304C3">
      <w:pPr>
        <w:pStyle w:val="Ttuloimagen"/>
        <w:rPr>
          <w:i/>
          <w:iCs/>
          <w:smallCaps w:val="0"/>
        </w:rPr>
      </w:pPr>
      <w:bookmarkStart w:id="35" w:name="_Ref122523299"/>
      <w:r w:rsidRPr="00975B1C">
        <w:t>Imagen</w:t>
      </w:r>
      <w:r>
        <w:t> </w:t>
      </w:r>
      <w:r>
        <w:fldChar w:fldCharType="begin"/>
      </w:r>
      <w:r w:rsidRPr="00975B1C">
        <w:instrText xml:space="preserve"> SEQ Ilustración \* ARABIC </w:instrText>
      </w:r>
      <w:r>
        <w:fldChar w:fldCharType="separate"/>
      </w:r>
      <w:r w:rsidR="00E37AC1">
        <w:t>9</w:t>
      </w:r>
      <w:r>
        <w:fldChar w:fldCharType="end"/>
      </w:r>
      <w:bookmarkEnd w:id="35"/>
      <w:r w:rsidRPr="00975B1C">
        <w:rPr>
          <w:smallCaps w:val="0"/>
        </w:rPr>
        <w:t xml:space="preserve">.– </w:t>
      </w:r>
      <w:r w:rsidRPr="00975B1C">
        <w:rPr>
          <w:i/>
          <w:iCs/>
          <w:smallCaps w:val="0"/>
        </w:rPr>
        <w:t>E</w:t>
      </w:r>
      <w:r>
        <w:rPr>
          <w:i/>
          <w:iCs/>
          <w:smallCaps w:val="0"/>
        </w:rPr>
        <w:t>fectos internacionales de una política de estabilización doméstica con high pass-through (PCP)</w:t>
      </w:r>
      <w:r>
        <w:rPr>
          <w:i/>
          <w:iCs/>
          <w:smallCaps w:val="0"/>
        </w:rPr>
        <w:br/>
      </w:r>
      <w:r w:rsidRPr="00975B1C">
        <w:rPr>
          <w:i/>
          <w:iCs/>
          <w:smallCaps w:val="0"/>
        </w:rPr>
        <w:t>en e</w:t>
      </w:r>
      <w:r>
        <w:rPr>
          <w:i/>
          <w:iCs/>
          <w:smallCaps w:val="0"/>
        </w:rPr>
        <w:t xml:space="preserve">l modelo de </w:t>
      </w:r>
      <w:r>
        <w:rPr>
          <w:i/>
          <w:iCs/>
        </w:rPr>
        <w:t>Corsetti</w:t>
      </w:r>
      <w:r>
        <w:rPr>
          <w:i/>
          <w:iCs/>
          <w:smallCaps w:val="0"/>
        </w:rPr>
        <w:t xml:space="preserve"> y </w:t>
      </w:r>
      <w:r>
        <w:rPr>
          <w:i/>
          <w:iCs/>
        </w:rPr>
        <w:t>Pesenti</w:t>
      </w:r>
      <w:r>
        <w:rPr>
          <w:i/>
          <w:iCs/>
          <w:smallCaps w:val="0"/>
        </w:rPr>
        <w:t xml:space="preserve"> (2005)</w:t>
      </w:r>
    </w:p>
    <w:p w14:paraId="284293CF" w14:textId="77777777" w:rsidR="00E304C3" w:rsidRPr="00975B1C" w:rsidRDefault="00E304C3" w:rsidP="00E304C3">
      <w:pPr>
        <w:pStyle w:val="Imagen"/>
      </w:pPr>
      <w:r w:rsidRPr="00975B1C">
        <w:drawing>
          <wp:inline distT="0" distB="0" distL="0" distR="0" wp14:anchorId="71BEBD87" wp14:editId="3D79C91F">
            <wp:extent cx="3133327" cy="1764000"/>
            <wp:effectExtent l="0" t="0" r="0" b="8255"/>
            <wp:docPr id="17" name="Imagen 17" descr="Mapa de colore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Mapa de colores&#10;&#10;Descripción generada automáticamente con confianza media"/>
                    <pic:cNvPicPr/>
                  </pic:nvPicPr>
                  <pic:blipFill>
                    <a:blip r:embed="rId20"/>
                    <a:stretch>
                      <a:fillRect/>
                    </a:stretch>
                  </pic:blipFill>
                  <pic:spPr>
                    <a:xfrm>
                      <a:off x="0" y="0"/>
                      <a:ext cx="3133327" cy="1764000"/>
                    </a:xfrm>
                    <a:prstGeom prst="rect">
                      <a:avLst/>
                    </a:prstGeom>
                  </pic:spPr>
                </pic:pic>
              </a:graphicData>
            </a:graphic>
          </wp:inline>
        </w:drawing>
      </w:r>
    </w:p>
    <w:p w14:paraId="1D2D2346" w14:textId="77777777" w:rsidR="00E304C3" w:rsidRPr="00C455F7" w:rsidRDefault="00E304C3" w:rsidP="00E304C3">
      <w:pPr>
        <w:pStyle w:val="PiedeImagen"/>
        <w:rPr>
          <w:i w:val="0"/>
          <w:iCs/>
          <w:lang w:val="en-US"/>
        </w:rPr>
      </w:pPr>
      <w:r>
        <w:t>Fuente</w:t>
      </w:r>
      <w:r>
        <w:rPr>
          <w:i w:val="0"/>
          <w:iCs/>
        </w:rPr>
        <w:t xml:space="preserve">: </w:t>
      </w:r>
      <w:r w:rsidRPr="00975B1C">
        <w:rPr>
          <w:i w:val="0"/>
          <w:iCs/>
        </w:rPr>
        <w:t>Corsetti, G. &amp; Pesenti, P. (2005).</w:t>
      </w:r>
      <w:r w:rsidRPr="00975B1C">
        <w:t xml:space="preserve"> </w:t>
      </w:r>
      <w:r w:rsidRPr="00975B1C">
        <w:rPr>
          <w:lang w:val="en-US"/>
        </w:rPr>
        <w:t>The Simple Geometry of Transmission and Stabilization in Closed and Open Economies</w:t>
      </w:r>
      <w:r w:rsidRPr="00975B1C">
        <w:rPr>
          <w:i w:val="0"/>
          <w:iCs/>
          <w:lang w:val="en-US"/>
        </w:rPr>
        <w:t xml:space="preserve"> (Working Paper N.º</w:t>
      </w:r>
      <w:r>
        <w:rPr>
          <w:i w:val="0"/>
          <w:iCs/>
          <w:lang w:val="en-US"/>
        </w:rPr>
        <w:t> </w:t>
      </w:r>
      <w:r w:rsidRPr="00975B1C">
        <w:rPr>
          <w:i w:val="0"/>
          <w:iCs/>
          <w:lang w:val="en-US"/>
        </w:rPr>
        <w:t>11341). National Bureau of Economic Research.</w:t>
      </w:r>
      <w:r w:rsidRPr="00975B1C">
        <w:rPr>
          <w:lang w:val="en-US"/>
        </w:rPr>
        <w:t xml:space="preserve"> </w:t>
      </w:r>
      <w:r w:rsidR="00000000">
        <w:fldChar w:fldCharType="begin"/>
      </w:r>
      <w:r w:rsidR="00000000" w:rsidRPr="00E37AC1">
        <w:rPr>
          <w:lang w:val="en-US"/>
        </w:rPr>
        <w:instrText>HYPERLINK "https://www.nber.org/system/files/working_papers/w11341/w11341.pdf"</w:instrText>
      </w:r>
      <w:r w:rsidR="00000000">
        <w:fldChar w:fldCharType="separate"/>
      </w:r>
      <w:r w:rsidRPr="00C455F7">
        <w:rPr>
          <w:rStyle w:val="Hipervnculo"/>
          <w:i w:val="0"/>
          <w:iCs/>
          <w:lang w:val="en-US"/>
        </w:rPr>
        <w:t>https://www.nber.org/system/files/working_papers/w11341/w11341.pdf</w:t>
      </w:r>
      <w:r w:rsidR="00000000">
        <w:rPr>
          <w:rStyle w:val="Hipervnculo"/>
          <w:i w:val="0"/>
          <w:iCs/>
          <w:lang w:val="en-US"/>
        </w:rPr>
        <w:fldChar w:fldCharType="end"/>
      </w:r>
    </w:p>
    <w:p w14:paraId="67AEFB4F" w14:textId="77777777" w:rsidR="00E304C3" w:rsidRPr="00CB266C" w:rsidRDefault="00E304C3">
      <w:pPr>
        <w:pStyle w:val="Prrafodelista"/>
        <w:keepNext/>
        <w:numPr>
          <w:ilvl w:val="0"/>
          <w:numId w:val="31"/>
        </w:numPr>
        <w:spacing w:before="100" w:after="0"/>
        <w:ind w:left="1701" w:hanging="170"/>
        <w:contextualSpacing w:val="0"/>
        <w:rPr>
          <w:i/>
          <w:iCs/>
          <w:color w:val="240F33"/>
          <w:spacing w:val="-6"/>
          <w:w w:val="96"/>
          <w:sz w:val="18"/>
          <w:szCs w:val="18"/>
          <w:u w:val="dotted"/>
          <w:lang w:val="en-US"/>
        </w:rPr>
      </w:pPr>
      <w:r w:rsidRPr="00CB266C">
        <w:rPr>
          <w:i/>
          <w:iCs/>
          <w:color w:val="240F33"/>
          <w:spacing w:val="-6"/>
          <w:w w:val="96"/>
          <w:sz w:val="18"/>
          <w:szCs w:val="18"/>
          <w:u w:val="dotted"/>
          <w:lang w:val="en-US"/>
        </w:rPr>
        <w:t>Bajo pass-through – Local Currency Pricing (LCP)</w:t>
      </w:r>
    </w:p>
    <w:p w14:paraId="3EEBFF75" w14:textId="77777777" w:rsidR="00E304C3" w:rsidRDefault="00E304C3" w:rsidP="00E304C3">
      <w:pPr>
        <w:pStyle w:val="Nivel1SM"/>
        <w:keepNext/>
        <w:spacing w:before="0" w:after="0"/>
      </w:pPr>
      <w:r>
        <w:t xml:space="preserve">De acuerdo con la perspectiva convencional, los movimientos del tipo de cambio modifican el precio relativo de los bienes domésticos e importados. Sin embargo, estudios empíricos sugieren que, en la práctica, los precios de la mayoría de los bienes importados son bastante inelásticos a variaciones en los tipos de cambio (i.e. se produce un </w:t>
      </w:r>
      <w:r w:rsidRPr="00A73D07">
        <w:rPr>
          <w:i/>
          <w:iCs/>
        </w:rPr>
        <w:t>bajo</w:t>
      </w:r>
      <w:r>
        <w:t xml:space="preserve"> </w:t>
      </w:r>
      <w:r>
        <w:rPr>
          <w:i/>
          <w:iCs/>
        </w:rPr>
        <w:t>pass-through</w:t>
      </w:r>
      <w:r>
        <w:t>).</w:t>
      </w:r>
    </w:p>
    <w:p w14:paraId="7EB40BB5" w14:textId="77777777" w:rsidR="00E304C3" w:rsidRDefault="00E304C3" w:rsidP="00E304C3">
      <w:pPr>
        <w:pStyle w:val="Nivel2SM"/>
      </w:pPr>
      <w:r>
        <w:t>En estas circunstancias, variaciones del tipo de cambio podrían no inducir los importantes efectos de cambio del gasto que la perspectiva convencional sitúa en el corazón del mecanismo de transmisión.</w:t>
      </w:r>
    </w:p>
    <w:p w14:paraId="5C3227A6" w14:textId="77777777" w:rsidR="00E304C3" w:rsidRDefault="00E304C3" w:rsidP="00E304C3">
      <w:pPr>
        <w:pStyle w:val="Nivel1SM"/>
        <w:keepNext/>
        <w:spacing w:after="0"/>
      </w:pPr>
      <w:r>
        <w:t>Para estudiar esta situación, consideremos este modelo bajo el supuesto de que el productor fija precios en función del mercado donde se va a vender el bien, es decir, fija los precios en moneda doméstica para el mercado doméstico y en moneda extranjera para el mercado extranjero (</w:t>
      </w:r>
      <w:r w:rsidRPr="00A73D07">
        <w:rPr>
          <w:i/>
          <w:iCs/>
        </w:rPr>
        <w:t>Local Currency Pricing</w:t>
      </w:r>
      <w:r>
        <w:t>, LCP).</w:t>
      </w:r>
    </w:p>
    <w:p w14:paraId="0B27DFC1" w14:textId="77777777" w:rsidR="00E304C3" w:rsidRPr="00E11755" w:rsidRDefault="00E304C3" w:rsidP="00E304C3">
      <w:pPr>
        <w:pStyle w:val="Nivel2SM"/>
      </w:pPr>
      <w:r w:rsidRPr="00E11755">
        <w:t xml:space="preserve">Esto implica que las </w:t>
      </w:r>
      <w:r w:rsidRPr="00E11755">
        <w:rPr>
          <w:i/>
          <w:iCs/>
        </w:rPr>
        <w:t>variaciones del tipo de cambio</w:t>
      </w:r>
      <w:r w:rsidRPr="00E11755">
        <w:t xml:space="preserve"> </w:t>
      </w:r>
      <w:r w:rsidRPr="00E11755">
        <w:rPr>
          <w:i/>
          <w:iCs/>
        </w:rPr>
        <w:t>no afectan a los precios de los bienes importados</w:t>
      </w:r>
      <w:r w:rsidRPr="00E11755">
        <w:t>.</w:t>
      </w:r>
    </w:p>
    <w:p w14:paraId="13BF976E" w14:textId="77777777" w:rsidR="00E304C3" w:rsidRPr="00E45B25" w:rsidRDefault="00E304C3" w:rsidP="00E304C3">
      <w:pPr>
        <w:pStyle w:val="Nivel1SM"/>
        <w:keepNext/>
        <w:spacing w:after="0"/>
      </w:pPr>
      <w:r w:rsidRPr="00FC171C">
        <w:t>Con rigideces nominales, todos los precios de la economía mundial están fijados en el corto plazo, independientemente de las fluctuaciones en el tipo de cambio. En contraposición al caso PCP, las variaciones en el tipo de cambio no afectan al precio de los bienes del país</w:t>
      </w:r>
      <w:r>
        <w:t> </w:t>
      </w:r>
      <w:r w:rsidRPr="00FC171C">
        <w:rPr>
          <w:i/>
          <w:iCs/>
        </w:rPr>
        <w:t>A</w:t>
      </w:r>
      <w:r w:rsidRPr="00FC171C">
        <w:t xml:space="preserve"> en el país</w:t>
      </w:r>
      <w:r>
        <w:t> </w:t>
      </w:r>
      <w:r w:rsidRPr="00FC171C">
        <w:rPr>
          <w:i/>
          <w:iCs/>
        </w:rPr>
        <w:t>B</w:t>
      </w:r>
      <w:r w:rsidRPr="00FC171C">
        <w:t xml:space="preserve"> y tampoco redirigen la demanda mundial hacia ellos. El efecto crucial de movimientos en el tipo de cambio en esta economía es sob</w:t>
      </w:r>
      <w:r w:rsidRPr="00E45B25">
        <w:t>re los beneficios y márgenes de las empresas.</w:t>
      </w:r>
    </w:p>
    <w:p w14:paraId="3820FFCC" w14:textId="77777777" w:rsidR="00E304C3" w:rsidRPr="00E45B25" w:rsidRDefault="00E304C3" w:rsidP="00E304C3">
      <w:pPr>
        <w:pStyle w:val="Nivel2SM"/>
      </w:pPr>
      <w:r w:rsidRPr="00E45B25">
        <w:t>Como el precio de los bienes producidos en el país</w:t>
      </w:r>
      <w:r>
        <w:t> </w:t>
      </w:r>
      <w:r w:rsidRPr="00E45B25">
        <w:rPr>
          <w:i/>
          <w:iCs/>
        </w:rPr>
        <w:t>A</w:t>
      </w:r>
      <w:r w:rsidRPr="00E45B25">
        <w:t xml:space="preserve"> y vendidos en el país</w:t>
      </w:r>
      <w:r>
        <w:t> </w:t>
      </w:r>
      <w:r w:rsidRPr="00E45B25">
        <w:rPr>
          <w:i/>
          <w:iCs/>
        </w:rPr>
        <w:t>B</w:t>
      </w:r>
      <w:r w:rsidRPr="00E45B25">
        <w:t xml:space="preserve"> está fijado en moneda extranjera, una depreciación del tipo de cambio doméstico aumenta el ingreso en moneda doméstica de cada unidad de producto vendida en el extranjero: por lo tanto, el </w:t>
      </w:r>
      <w:r w:rsidRPr="00E45B25">
        <w:lastRenderedPageBreak/>
        <w:t>margen sobre los costes marginales aumenta con la deprecación. Pero esto significa que la depreciación nominal mejora –en vez de empeorar– la RRI del país</w:t>
      </w:r>
      <w:r>
        <w:t> </w:t>
      </w:r>
      <w:r w:rsidRPr="00E45B25">
        <w:rPr>
          <w:i/>
          <w:iCs/>
        </w:rPr>
        <w:t>A</w:t>
      </w:r>
      <w:r w:rsidRPr="00E45B25">
        <w:t>.</w:t>
      </w:r>
    </w:p>
    <w:p w14:paraId="65020EB9" w14:textId="08540F3E" w:rsidR="00E304C3" w:rsidRDefault="00E304C3" w:rsidP="00E304C3">
      <w:pPr>
        <w:pStyle w:val="Nivel1SM"/>
        <w:keepNext/>
        <w:spacing w:after="0"/>
      </w:pPr>
      <w:r>
        <w:t>Partimos del equilibrio </w:t>
      </w:r>
      <w:r>
        <w:rPr>
          <w:i/>
          <w:iCs/>
        </w:rPr>
        <w:t>B</w:t>
      </w:r>
      <w:r>
        <w:t xml:space="preserve"> en la </w:t>
      </w:r>
      <w:r>
        <w:fldChar w:fldCharType="begin"/>
      </w:r>
      <w:r>
        <w:instrText xml:space="preserve"> REF _Ref122513054 \h </w:instrText>
      </w:r>
      <w:r>
        <w:fldChar w:fldCharType="separate"/>
      </w:r>
      <w:r w:rsidR="00E37AC1" w:rsidRPr="00975B1C">
        <w:t>Imagen</w:t>
      </w:r>
      <w:r w:rsidR="00E37AC1">
        <w:t> </w:t>
      </w:r>
      <w:r w:rsidR="00E37AC1">
        <w:rPr>
          <w:noProof/>
        </w:rPr>
        <w:t>8</w:t>
      </w:r>
      <w:r>
        <w:fldChar w:fldCharType="end"/>
      </w:r>
      <w:r>
        <w:t>, y suponemos que el país </w:t>
      </w:r>
      <w:r>
        <w:rPr>
          <w:i/>
          <w:iCs/>
        </w:rPr>
        <w:t>A</w:t>
      </w:r>
      <w:r>
        <w:t xml:space="preserve"> responde con una política monetaria expansiva (</w:t>
      </w:r>
      <m:oMath>
        <m:r>
          <m:rPr>
            <m:nor/>
          </m:rPr>
          <w:rPr>
            <w:rFonts w:ascii="Times New Roman" w:hAnsi="Times New Roman" w:cs="Times New Roman"/>
            <w:i/>
          </w:rPr>
          <m:t>↑</m:t>
        </m:r>
        <m:r>
          <m:rPr>
            <m:nor/>
          </m:rPr>
          <w:rPr>
            <w:i/>
            <w:iCs/>
          </w:rPr>
          <m:t>μ</m:t>
        </m:r>
      </m:oMath>
      <w:r>
        <w:t>) que busque maximizar el bienestar dentro del propio país.</w:t>
      </w:r>
    </w:p>
    <w:p w14:paraId="1AFBB257" w14:textId="77777777" w:rsidR="00E304C3" w:rsidRDefault="00E304C3" w:rsidP="00E304C3">
      <w:pPr>
        <w:pStyle w:val="Nivel2SM"/>
        <w:keepNext/>
        <w:spacing w:after="0"/>
      </w:pPr>
      <w:r>
        <w:t>Esta política monetaria tendrá 2 efectos:</w:t>
      </w:r>
    </w:p>
    <w:p w14:paraId="44F572FF" w14:textId="20D93481" w:rsidR="00E304C3" w:rsidRPr="003A1BCD" w:rsidRDefault="00E304C3">
      <w:pPr>
        <w:pStyle w:val="Prrafodelista"/>
        <w:numPr>
          <w:ilvl w:val="0"/>
          <w:numId w:val="24"/>
        </w:numPr>
        <w:spacing w:after="0"/>
        <w:ind w:left="1135" w:hanging="284"/>
      </w:pPr>
      <w:r>
        <w:t>En primer lugar, llevará a una depreciación de la moneda (</w:t>
      </w:r>
      <m:oMath>
        <m:r>
          <m:rPr>
            <m:nor/>
          </m:rPr>
          <w:rPr>
            <w:rFonts w:ascii="Times New Roman" w:hAnsi="Times New Roman" w:cs="Times New Roman"/>
            <w:iCs/>
          </w:rPr>
          <m:t>↑</m:t>
        </m:r>
        <m:r>
          <m:rPr>
            <m:nor/>
          </m:rPr>
          <w:rPr>
            <w:i/>
          </w:rPr>
          <m:t>E</m:t>
        </m:r>
        <m:r>
          <w:rPr>
            <w:rFonts w:ascii="Cambria Math" w:hAnsi="Cambria Math"/>
          </w:rPr>
          <m:t>=</m:t>
        </m:r>
        <m:f>
          <m:fPr>
            <m:type m:val="lin"/>
            <m:ctrlPr>
              <w:rPr>
                <w:rFonts w:ascii="Cambria Math" w:hAnsi="Cambria Math"/>
                <w:i/>
              </w:rPr>
            </m:ctrlPr>
          </m:fPr>
          <m:num>
            <m:r>
              <m:rPr>
                <m:nor/>
              </m:rPr>
              <w:rPr>
                <w:rFonts w:ascii="Times New Roman" w:hAnsi="Times New Roman" w:cs="Times New Roman"/>
                <w:iCs/>
              </w:rPr>
              <m:t>↑</m:t>
            </m:r>
            <m:r>
              <m:rPr>
                <m:nor/>
              </m:rPr>
              <w:rPr>
                <w:i/>
                <w:iCs/>
              </w:rPr>
              <m:t>μ</m:t>
            </m:r>
          </m:num>
          <m:den>
            <m:r>
              <m:rPr>
                <m:nor/>
              </m:rPr>
              <w:rPr>
                <w:i/>
                <w:iCs/>
              </w:rPr>
              <m:t>μ*</m:t>
            </m:r>
          </m:den>
        </m:f>
      </m:oMath>
      <w:r>
        <w:t xml:space="preserve">), que como suponemos un </w:t>
      </w:r>
      <w:r>
        <w:rPr>
          <w:i/>
          <w:iCs/>
        </w:rPr>
        <w:t>baj</w:t>
      </w:r>
      <w:r w:rsidRPr="002E5BAC">
        <w:rPr>
          <w:i/>
          <w:iCs/>
        </w:rPr>
        <w:t>o pass-through</w:t>
      </w:r>
      <w:r>
        <w:t xml:space="preserve"> (LCP), no va a suponer un deterioro de la RRI del país </w:t>
      </w:r>
      <w:r>
        <w:rPr>
          <w:i/>
          <w:iCs/>
        </w:rPr>
        <w:t>A</w:t>
      </w:r>
      <w:r>
        <w:t xml:space="preserve"> sino una mejora, ya que los productores extranjeros fijan precios en una moneda que vale menos</w:t>
      </w:r>
      <w:r w:rsidRPr="00881644">
        <w:rPr>
          <w:rFonts w:eastAsiaTheme="minorEastAsia"/>
        </w:rPr>
        <w:t>, y por lo tanto,</w:t>
      </w:r>
      <w:r>
        <w:rPr>
          <w:rFonts w:eastAsiaTheme="minorEastAsia"/>
        </w:rPr>
        <w:t xml:space="preserve"> se traslada mayor producción doméstica a consumo, lo que llevará a</w:t>
      </w:r>
      <w:r w:rsidRPr="00881644">
        <w:rPr>
          <w:rFonts w:eastAsiaTheme="minorEastAsia"/>
        </w:rPr>
        <w:t xml:space="preserve"> </w:t>
      </w:r>
      <m:oMath>
        <m:r>
          <m:rPr>
            <m:nor/>
          </m:rPr>
          <w:rPr>
            <w:rFonts w:ascii="Times New Roman" w:hAnsi="Times New Roman" w:cs="Times New Roman"/>
            <w:iCs/>
          </w:rPr>
          <m:t>↑</m:t>
        </m:r>
        <m:r>
          <m:rPr>
            <m:nor/>
          </m:rPr>
          <w:rPr>
            <w:i/>
          </w:rPr>
          <m:t>τ</m:t>
        </m:r>
      </m:oMath>
      <w:r w:rsidRPr="00881644">
        <w:rPr>
          <w:rFonts w:eastAsiaTheme="minorEastAsia"/>
        </w:rPr>
        <w:t xml:space="preserve"> y a </w:t>
      </w:r>
      <m:oMath>
        <m:r>
          <m:rPr>
            <m:nor/>
          </m:rPr>
          <w:rPr>
            <w:rFonts w:ascii="Times New Roman" w:hAnsi="Times New Roman" w:cs="Times New Roman"/>
            <w:i/>
          </w:rPr>
          <m:t>↓</m:t>
        </m:r>
        <m:r>
          <m:rPr>
            <m:nor/>
          </m:rPr>
          <w:rPr>
            <w:i/>
          </w:rPr>
          <m:t>τ*</m:t>
        </m:r>
      </m:oMath>
      <w:r w:rsidRPr="00881644">
        <w:rPr>
          <w:rFonts w:eastAsiaTheme="minorEastAsia"/>
        </w:rPr>
        <w:t xml:space="preserve"> (i.e. la curva</w:t>
      </w:r>
      <w:r>
        <w:rPr>
          <w:rFonts w:eastAsiaTheme="minorEastAsia"/>
        </w:rPr>
        <w:t> </w:t>
      </w:r>
      <w:r w:rsidRPr="00881644">
        <w:rPr>
          <w:rFonts w:eastAsiaTheme="minorEastAsia"/>
          <w:i/>
          <w:iCs/>
        </w:rPr>
        <w:t>AS</w:t>
      </w:r>
      <w:r w:rsidRPr="00881644">
        <w:rPr>
          <w:rFonts w:eastAsiaTheme="minorEastAsia"/>
        </w:rPr>
        <w:t xml:space="preserve"> aumentará su pendiente (ampliando el efecto del aumento de la productividad inicial) y la curva</w:t>
      </w:r>
      <w:r>
        <w:rPr>
          <w:rFonts w:eastAsiaTheme="minorEastAsia"/>
        </w:rPr>
        <w:t> </w:t>
      </w:r>
      <w:r w:rsidRPr="00881644">
        <w:rPr>
          <w:rFonts w:eastAsiaTheme="minorEastAsia"/>
          <w:i/>
          <w:iCs/>
        </w:rPr>
        <w:t>AS*</w:t>
      </w:r>
      <w:r w:rsidRPr="00881644">
        <w:rPr>
          <w:rFonts w:eastAsiaTheme="minorEastAsia"/>
        </w:rPr>
        <w:t xml:space="preserve"> disminuirá su pendiente).</w:t>
      </w:r>
    </w:p>
    <w:p w14:paraId="17496DBE" w14:textId="77777777" w:rsidR="00E304C3" w:rsidRPr="00881644" w:rsidRDefault="00E304C3">
      <w:pPr>
        <w:pStyle w:val="Prrafodelista"/>
        <w:numPr>
          <w:ilvl w:val="0"/>
          <w:numId w:val="24"/>
        </w:numPr>
        <w:spacing w:after="0"/>
        <w:ind w:left="1135" w:hanging="284"/>
      </w:pPr>
      <w:r w:rsidRPr="00530AE7">
        <w:rPr>
          <w:rFonts w:eastAsiaTheme="minorEastAsia"/>
        </w:rPr>
        <w:t xml:space="preserve">En segundo lugar, </w:t>
      </w:r>
      <w:r w:rsidRPr="00530AE7">
        <w:t>al mismo tiempo, la política monetar</w:t>
      </w:r>
      <w:r w:rsidRPr="001F4A62">
        <w:t>ia fiscal más laxa (</w:t>
      </w:r>
      <m:oMath>
        <m:r>
          <m:rPr>
            <m:nor/>
          </m:rPr>
          <w:rPr>
            <w:rFonts w:ascii="Times New Roman" w:hAnsi="Times New Roman" w:cs="Times New Roman"/>
            <w:i/>
          </w:rPr>
          <m:t>↑</m:t>
        </m:r>
        <m:r>
          <m:rPr>
            <m:nor/>
          </m:rPr>
          <w:rPr>
            <w:i/>
            <w:iCs/>
          </w:rPr>
          <m:t>μ</m:t>
        </m:r>
      </m:oMath>
      <w:r w:rsidRPr="001F4A62">
        <w:t>) desplaza la curva</w:t>
      </w:r>
      <w:r>
        <w:t> </w:t>
      </w:r>
      <w:r w:rsidRPr="001F4A62">
        <w:rPr>
          <w:i/>
          <w:iCs/>
        </w:rPr>
        <w:t>AD</w:t>
      </w:r>
      <w:r w:rsidRPr="001F4A62">
        <w:t xml:space="preserve"> hacia arriba </w:t>
      </w:r>
      <w:r w:rsidRPr="00F222D9">
        <w:t xml:space="preserve">proporcionalmente. Esto es así ya que, en la medida en que los precios de las </w:t>
      </w:r>
      <w:r w:rsidRPr="00881644">
        <w:t>importaciones están fijos pese a la depreciación del tipo de cambio, el país no experimenta inflación de IPC. Igualmente, los precios de importaciones constantes para el país</w:t>
      </w:r>
      <w:r>
        <w:t> </w:t>
      </w:r>
      <w:r w:rsidRPr="00881644">
        <w:rPr>
          <w:i/>
          <w:iCs/>
        </w:rPr>
        <w:t>B</w:t>
      </w:r>
      <w:r w:rsidRPr="00881644">
        <w:t xml:space="preserve"> se traducen en un IPC constante en este país manteniendo la curva</w:t>
      </w:r>
      <w:r>
        <w:t> </w:t>
      </w:r>
      <w:r w:rsidRPr="00881644">
        <w:rPr>
          <w:i/>
          <w:iCs/>
        </w:rPr>
        <w:t>AD*</w:t>
      </w:r>
      <w:r w:rsidRPr="00881644">
        <w:t xml:space="preserve"> inalterada.</w:t>
      </w:r>
    </w:p>
    <w:p w14:paraId="7703C1F9" w14:textId="77777777" w:rsidR="00E304C3" w:rsidRDefault="00E304C3" w:rsidP="00E304C3">
      <w:pPr>
        <w:pStyle w:val="Nivel2SM"/>
        <w:keepNext/>
        <w:spacing w:after="0"/>
      </w:pPr>
      <w:r w:rsidRPr="00881644">
        <w:t>Por lo tanto, ambos países</w:t>
      </w:r>
      <w:r>
        <w:t xml:space="preserve"> alcanzan un nuevo equilibrio:</w:t>
      </w:r>
    </w:p>
    <w:p w14:paraId="66357740" w14:textId="77777777" w:rsidR="00E304C3" w:rsidRDefault="00E304C3" w:rsidP="00E304C3">
      <w:pPr>
        <w:pStyle w:val="Nivel3SM"/>
      </w:pPr>
      <w:r w:rsidRPr="003A1BCD">
        <w:t>El país</w:t>
      </w:r>
      <w:r>
        <w:t> </w:t>
      </w:r>
      <w:r w:rsidRPr="003A1BCD">
        <w:rPr>
          <w:i/>
          <w:iCs/>
        </w:rPr>
        <w:t>A</w:t>
      </w:r>
      <w:r w:rsidRPr="003A1BCD">
        <w:t xml:space="preserve"> se mueve desde el equil</w:t>
      </w:r>
      <w:r>
        <w:t>ibrio inicial</w:t>
      </w:r>
      <w:r w:rsidRPr="003A1BCD">
        <w:t xml:space="preserve"> </w:t>
      </w:r>
      <w:r w:rsidRPr="003A1BCD">
        <w:rPr>
          <w:i/>
          <w:iCs/>
        </w:rPr>
        <w:t>O</w:t>
      </w:r>
      <w:r w:rsidRPr="003A1BCD">
        <w:t xml:space="preserve"> </w:t>
      </w:r>
      <w:r>
        <w:t>hasta</w:t>
      </w:r>
      <w:r w:rsidRPr="003A1BCD">
        <w:t xml:space="preserve"> </w:t>
      </w:r>
      <w:r>
        <w:rPr>
          <w:i/>
          <w:iCs/>
        </w:rPr>
        <w:t>L</w:t>
      </w:r>
      <w:r w:rsidRPr="003A1BCD">
        <w:t xml:space="preserve"> a</w:t>
      </w:r>
      <w:r>
        <w:t xml:space="preserve"> </w:t>
      </w:r>
      <w:r w:rsidRPr="003A1BCD">
        <w:t>lo</w:t>
      </w:r>
      <w:r>
        <w:t xml:space="preserve"> largo de la recta </w:t>
      </w:r>
      <w:r>
        <w:rPr>
          <w:i/>
          <w:iCs/>
        </w:rPr>
        <w:t>NR</w:t>
      </w:r>
      <w:r w:rsidRPr="003A1BCD">
        <w:t>.</w:t>
      </w:r>
    </w:p>
    <w:p w14:paraId="2C2CAD97" w14:textId="77777777" w:rsidR="00E304C3" w:rsidRPr="003A1BCD" w:rsidRDefault="00E304C3" w:rsidP="00E304C3">
      <w:pPr>
        <w:pStyle w:val="Nivel3SM"/>
      </w:pPr>
      <w:r>
        <w:t>El país </w:t>
      </w:r>
      <w:r>
        <w:rPr>
          <w:i/>
          <w:iCs/>
        </w:rPr>
        <w:t>B</w:t>
      </w:r>
      <w:r>
        <w:t xml:space="preserve"> </w:t>
      </w:r>
      <w:r w:rsidRPr="003A1BCD">
        <w:t>se mueve desde el equil</w:t>
      </w:r>
      <w:r>
        <w:t>ibrio inicial</w:t>
      </w:r>
      <w:r w:rsidRPr="003A1BCD">
        <w:t xml:space="preserve"> </w:t>
      </w:r>
      <w:r w:rsidRPr="003A1BCD">
        <w:rPr>
          <w:i/>
          <w:iCs/>
        </w:rPr>
        <w:t>O</w:t>
      </w:r>
      <w:r>
        <w:rPr>
          <w:i/>
          <w:iCs/>
        </w:rPr>
        <w:t>*</w:t>
      </w:r>
      <w:r w:rsidRPr="003A1BCD">
        <w:t xml:space="preserve"> </w:t>
      </w:r>
      <w:r>
        <w:t>hasta</w:t>
      </w:r>
      <w:r w:rsidRPr="003A1BCD">
        <w:t xml:space="preserve"> </w:t>
      </w:r>
      <w:r>
        <w:rPr>
          <w:i/>
          <w:iCs/>
        </w:rPr>
        <w:t>L*</w:t>
      </w:r>
      <w:r w:rsidRPr="003A1BCD">
        <w:t xml:space="preserve"> a</w:t>
      </w:r>
      <w:r>
        <w:t xml:space="preserve"> </w:t>
      </w:r>
      <w:r w:rsidRPr="003A1BCD">
        <w:t>lo</w:t>
      </w:r>
      <w:r>
        <w:t xml:space="preserve"> largo de la recta </w:t>
      </w:r>
      <w:r>
        <w:rPr>
          <w:i/>
          <w:iCs/>
        </w:rPr>
        <w:t>AD*</w:t>
      </w:r>
      <w:r w:rsidRPr="003A1BCD">
        <w:t>.</w:t>
      </w:r>
    </w:p>
    <w:p w14:paraId="490C3D71" w14:textId="77777777" w:rsidR="00E304C3" w:rsidRPr="008D0C92" w:rsidRDefault="00E304C3" w:rsidP="00E304C3">
      <w:pPr>
        <w:pStyle w:val="Nivel2SM"/>
        <w:rPr>
          <w:spacing w:val="-2"/>
        </w:rPr>
      </w:pPr>
      <w:r w:rsidRPr="008D0C92">
        <w:rPr>
          <w:spacing w:val="-2"/>
        </w:rPr>
        <w:t xml:space="preserve">En resumen, los efectos de una política monetaria expansiva con </w:t>
      </w:r>
      <w:r w:rsidRPr="008D0C92">
        <w:rPr>
          <w:i/>
          <w:iCs/>
          <w:spacing w:val="-2"/>
        </w:rPr>
        <w:t>Local Currency Pricing</w:t>
      </w:r>
      <w:r w:rsidRPr="008D0C92">
        <w:rPr>
          <w:spacing w:val="-2"/>
        </w:rPr>
        <w:t xml:space="preserve"> serán de empobrecimiento del vecino (</w:t>
      </w:r>
      <w:proofErr w:type="spellStart"/>
      <w:r w:rsidRPr="008D0C92">
        <w:rPr>
          <w:i/>
          <w:iCs/>
          <w:spacing w:val="-2"/>
        </w:rPr>
        <w:t>beggar-thy-neighbour</w:t>
      </w:r>
      <w:proofErr w:type="spellEnd"/>
      <w:r w:rsidRPr="008D0C92">
        <w:rPr>
          <w:spacing w:val="-2"/>
        </w:rPr>
        <w:t>), pues en equilibrio, en el país </w:t>
      </w:r>
      <w:r w:rsidRPr="008D0C92">
        <w:rPr>
          <w:i/>
          <w:iCs/>
          <w:spacing w:val="-2"/>
        </w:rPr>
        <w:t>B</w:t>
      </w:r>
      <w:r w:rsidRPr="008D0C92">
        <w:rPr>
          <w:spacing w:val="-2"/>
        </w:rPr>
        <w:t xml:space="preserve"> nos encontramos con un mayor trabajo (que genera desutilidad) e igual consumo. Por lo tanto, en el país </w:t>
      </w:r>
      <w:r w:rsidRPr="008D0C92">
        <w:rPr>
          <w:i/>
          <w:iCs/>
          <w:spacing w:val="-2"/>
        </w:rPr>
        <w:t>B</w:t>
      </w:r>
      <w:r w:rsidRPr="008D0C92">
        <w:rPr>
          <w:spacing w:val="-2"/>
        </w:rPr>
        <w:t xml:space="preserve"> el bienestar, medido en términos de utilidad, empeora con respecto a la situación inicial.</w:t>
      </w:r>
    </w:p>
    <w:p w14:paraId="759DEBBE" w14:textId="77777777" w:rsidR="00E304C3" w:rsidRPr="00572180" w:rsidRDefault="00E304C3" w:rsidP="00E304C3">
      <w:pPr>
        <w:pStyle w:val="Nivel1SM"/>
        <w:keepNext/>
        <w:spacing w:after="0"/>
        <w:rPr>
          <w:highlight w:val="yellow"/>
        </w:rPr>
      </w:pPr>
      <w:r w:rsidRPr="00572180">
        <w:rPr>
          <w:highlight w:val="yellow"/>
        </w:rPr>
        <w:t>Es importante tener en consideración esta posibilidad, ya que:</w:t>
      </w:r>
    </w:p>
    <w:p w14:paraId="4669D41B" w14:textId="77777777" w:rsidR="00E304C3" w:rsidRPr="00572180" w:rsidRDefault="00E304C3" w:rsidP="00E304C3">
      <w:pPr>
        <w:pStyle w:val="Nivel2SM"/>
        <w:rPr>
          <w:highlight w:val="yellow"/>
        </w:rPr>
      </w:pPr>
      <w:r w:rsidRPr="00572180">
        <w:rPr>
          <w:highlight w:val="yellow"/>
        </w:rPr>
        <w:t>Introduce una fuente adicional de rigidez nominal.</w:t>
      </w:r>
    </w:p>
    <w:p w14:paraId="64FAE1DA" w14:textId="77777777" w:rsidR="00E304C3" w:rsidRPr="00572180" w:rsidRDefault="00E304C3" w:rsidP="00E304C3">
      <w:pPr>
        <w:pStyle w:val="Nivel2SM"/>
        <w:rPr>
          <w:highlight w:val="yellow"/>
        </w:rPr>
      </w:pPr>
      <w:r w:rsidRPr="00572180">
        <w:rPr>
          <w:highlight w:val="yellow"/>
        </w:rPr>
        <w:t>Guarda un cierto respaldo empírico: muchas veces los precios de los bienes importados son poco sensibles a variaciones en el tipo de cambio, sobre todo en un mundo donde la fijación de precios en dólar (</w:t>
      </w:r>
      <w:proofErr w:type="spellStart"/>
      <w:r w:rsidRPr="00572180">
        <w:rPr>
          <w:i/>
          <w:iCs/>
          <w:highlight w:val="yellow"/>
        </w:rPr>
        <w:t>dollar</w:t>
      </w:r>
      <w:proofErr w:type="spellEnd"/>
      <w:r w:rsidRPr="00572180">
        <w:rPr>
          <w:i/>
          <w:iCs/>
          <w:highlight w:val="yellow"/>
        </w:rPr>
        <w:t xml:space="preserve"> </w:t>
      </w:r>
      <w:proofErr w:type="spellStart"/>
      <w:r w:rsidRPr="00572180">
        <w:rPr>
          <w:i/>
          <w:iCs/>
          <w:highlight w:val="yellow"/>
        </w:rPr>
        <w:t>pricing</w:t>
      </w:r>
      <w:proofErr w:type="spellEnd"/>
      <w:r w:rsidRPr="00572180">
        <w:rPr>
          <w:highlight w:val="yellow"/>
        </w:rPr>
        <w:t>) está muy extendida.</w:t>
      </w:r>
    </w:p>
    <w:p w14:paraId="07B7646E" w14:textId="77777777" w:rsidR="00E304C3" w:rsidRPr="00572180" w:rsidRDefault="00E304C3" w:rsidP="00E304C3">
      <w:pPr>
        <w:pStyle w:val="Nivel1SM"/>
        <w:rPr>
          <w:highlight w:val="yellow"/>
        </w:rPr>
      </w:pPr>
      <w:r w:rsidRPr="00572180">
        <w:rPr>
          <w:highlight w:val="yellow"/>
        </w:rPr>
        <w:t xml:space="preserve">Una variación del tipo de cambio de la misma magnitud que en el caso de </w:t>
      </w:r>
      <w:r w:rsidRPr="00572180">
        <w:rPr>
          <w:i/>
          <w:iCs/>
          <w:highlight w:val="yellow"/>
        </w:rPr>
        <w:t>Producer Currency Pricing</w:t>
      </w:r>
      <w:r w:rsidRPr="00572180">
        <w:rPr>
          <w:highlight w:val="yellow"/>
        </w:rPr>
        <w:t>, va a tener un efecto mucho menor en cuanto a efectos sobre importaciones y exportaciones.</w:t>
      </w:r>
    </w:p>
    <w:p w14:paraId="21948995" w14:textId="77777777" w:rsidR="00E304C3" w:rsidRPr="00572180" w:rsidRDefault="00E304C3" w:rsidP="00E304C3">
      <w:pPr>
        <w:pStyle w:val="Nivel1SM"/>
        <w:rPr>
          <w:highlight w:val="yellow"/>
        </w:rPr>
      </w:pPr>
      <w:r w:rsidRPr="00572180">
        <w:rPr>
          <w:highlight w:val="yellow"/>
        </w:rPr>
        <w:t>Sin embargo, ante un aumento de la oferta monetaria, se precisa que exista una partida de ajuste.</w:t>
      </w:r>
    </w:p>
    <w:p w14:paraId="5A6EE6C1" w14:textId="77777777" w:rsidR="00E304C3" w:rsidRPr="00572180" w:rsidRDefault="00E304C3" w:rsidP="00E304C3">
      <w:pPr>
        <w:pStyle w:val="Nivel1SM"/>
        <w:rPr>
          <w:highlight w:val="yellow"/>
        </w:rPr>
      </w:pPr>
      <w:proofErr w:type="spellStart"/>
      <w:r w:rsidRPr="00572180">
        <w:rPr>
          <w:smallCaps/>
          <w:highlight w:val="yellow"/>
        </w:rPr>
        <w:t>Betts</w:t>
      </w:r>
      <w:proofErr w:type="spellEnd"/>
      <w:r w:rsidRPr="00572180">
        <w:rPr>
          <w:highlight w:val="yellow"/>
        </w:rPr>
        <w:t xml:space="preserve"> y </w:t>
      </w:r>
      <w:r w:rsidRPr="00572180">
        <w:rPr>
          <w:smallCaps/>
          <w:highlight w:val="yellow"/>
        </w:rPr>
        <w:t>Devereux</w:t>
      </w:r>
      <w:r w:rsidRPr="00572180">
        <w:rPr>
          <w:highlight w:val="yellow"/>
        </w:rPr>
        <w:t xml:space="preserve"> argumentan que el tipo de cambio sigue siendo la partida de ajuste pero debe sobrerreaccionar para permitir el ajuste = resultado de </w:t>
      </w:r>
      <w:r w:rsidRPr="00572180">
        <w:rPr>
          <w:smallCaps/>
          <w:highlight w:val="yellow"/>
        </w:rPr>
        <w:t>Dornbusch</w:t>
      </w:r>
      <w:r w:rsidRPr="00572180">
        <w:rPr>
          <w:highlight w:val="yellow"/>
        </w:rPr>
        <w:t>.</w:t>
      </w:r>
    </w:p>
    <w:p w14:paraId="6B975AD8" w14:textId="2D6E8DCD" w:rsidR="00E304C3" w:rsidRPr="00975B1C" w:rsidRDefault="00E304C3" w:rsidP="00E304C3">
      <w:pPr>
        <w:pStyle w:val="Ttuloimagen"/>
        <w:rPr>
          <w:i/>
          <w:iCs/>
          <w:smallCaps w:val="0"/>
        </w:rPr>
      </w:pPr>
      <w:bookmarkStart w:id="36" w:name="_Ref122523301"/>
      <w:r w:rsidRPr="00975B1C">
        <w:t>Imagen</w:t>
      </w:r>
      <w:r>
        <w:t> </w:t>
      </w:r>
      <w:r>
        <w:fldChar w:fldCharType="begin"/>
      </w:r>
      <w:r w:rsidRPr="00975B1C">
        <w:instrText xml:space="preserve"> SEQ Ilustración \* ARABIC </w:instrText>
      </w:r>
      <w:r>
        <w:fldChar w:fldCharType="separate"/>
      </w:r>
      <w:r w:rsidR="00E37AC1">
        <w:t>10</w:t>
      </w:r>
      <w:r>
        <w:fldChar w:fldCharType="end"/>
      </w:r>
      <w:bookmarkEnd w:id="36"/>
      <w:r w:rsidRPr="00975B1C">
        <w:rPr>
          <w:smallCaps w:val="0"/>
        </w:rPr>
        <w:t xml:space="preserve">.– </w:t>
      </w:r>
      <w:r w:rsidRPr="00975B1C">
        <w:rPr>
          <w:i/>
          <w:iCs/>
          <w:smallCaps w:val="0"/>
        </w:rPr>
        <w:t>E</w:t>
      </w:r>
      <w:r>
        <w:rPr>
          <w:i/>
          <w:iCs/>
          <w:smallCaps w:val="0"/>
        </w:rPr>
        <w:t>fectos internacionales de una política de estabilización doméstica con low pass-through (LCP)</w:t>
      </w:r>
      <w:r>
        <w:rPr>
          <w:i/>
          <w:iCs/>
          <w:smallCaps w:val="0"/>
        </w:rPr>
        <w:br/>
      </w:r>
      <w:r w:rsidRPr="00975B1C">
        <w:rPr>
          <w:i/>
          <w:iCs/>
          <w:smallCaps w:val="0"/>
        </w:rPr>
        <w:t>en e</w:t>
      </w:r>
      <w:r>
        <w:rPr>
          <w:i/>
          <w:iCs/>
          <w:smallCaps w:val="0"/>
        </w:rPr>
        <w:t xml:space="preserve">l modelo de </w:t>
      </w:r>
      <w:r>
        <w:rPr>
          <w:i/>
          <w:iCs/>
        </w:rPr>
        <w:t>Corsetti</w:t>
      </w:r>
      <w:r>
        <w:rPr>
          <w:i/>
          <w:iCs/>
          <w:smallCaps w:val="0"/>
        </w:rPr>
        <w:t xml:space="preserve"> y </w:t>
      </w:r>
      <w:r>
        <w:rPr>
          <w:i/>
          <w:iCs/>
        </w:rPr>
        <w:t>Pesenti</w:t>
      </w:r>
      <w:r>
        <w:rPr>
          <w:i/>
          <w:iCs/>
          <w:smallCaps w:val="0"/>
        </w:rPr>
        <w:t xml:space="preserve"> (2005)</w:t>
      </w:r>
    </w:p>
    <w:p w14:paraId="2884FD6B" w14:textId="77777777" w:rsidR="00E304C3" w:rsidRPr="00975B1C" w:rsidRDefault="00E304C3" w:rsidP="00E304C3">
      <w:pPr>
        <w:pStyle w:val="Imagen"/>
      </w:pPr>
      <w:r w:rsidRPr="00975B1C">
        <w:drawing>
          <wp:inline distT="0" distB="0" distL="0" distR="0" wp14:anchorId="04258574" wp14:editId="2E7D68CA">
            <wp:extent cx="3251809" cy="1800000"/>
            <wp:effectExtent l="0" t="0" r="6350" b="0"/>
            <wp:docPr id="16" name="Imagen 16" descr="Gráfico, Diagrama,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Gráfico, Diagrama, Gráfico de líneas&#10;&#10;Descripción generada automáticamente"/>
                    <pic:cNvPicPr/>
                  </pic:nvPicPr>
                  <pic:blipFill>
                    <a:blip r:embed="rId21"/>
                    <a:stretch>
                      <a:fillRect/>
                    </a:stretch>
                  </pic:blipFill>
                  <pic:spPr>
                    <a:xfrm>
                      <a:off x="0" y="0"/>
                      <a:ext cx="3251809" cy="1800000"/>
                    </a:xfrm>
                    <a:prstGeom prst="rect">
                      <a:avLst/>
                    </a:prstGeom>
                  </pic:spPr>
                </pic:pic>
              </a:graphicData>
            </a:graphic>
          </wp:inline>
        </w:drawing>
      </w:r>
    </w:p>
    <w:p w14:paraId="10FAA98C" w14:textId="77777777" w:rsidR="00E304C3" w:rsidRPr="00C455F7" w:rsidRDefault="00E304C3" w:rsidP="00E304C3">
      <w:pPr>
        <w:pStyle w:val="PiedeImagen"/>
        <w:rPr>
          <w:i w:val="0"/>
          <w:iCs/>
          <w:lang w:val="en-US"/>
        </w:rPr>
      </w:pPr>
      <w:r>
        <w:t>Fuente</w:t>
      </w:r>
      <w:r>
        <w:rPr>
          <w:i w:val="0"/>
          <w:iCs/>
        </w:rPr>
        <w:t xml:space="preserve">: </w:t>
      </w:r>
      <w:r w:rsidRPr="00975B1C">
        <w:rPr>
          <w:i w:val="0"/>
          <w:iCs/>
        </w:rPr>
        <w:t>Corsetti, G. &amp; Pesenti, P. (2005).</w:t>
      </w:r>
      <w:r w:rsidRPr="00975B1C">
        <w:t xml:space="preserve"> </w:t>
      </w:r>
      <w:r w:rsidRPr="00975B1C">
        <w:rPr>
          <w:lang w:val="en-US"/>
        </w:rPr>
        <w:t>The Simple Geometry of Transmission and Stabilization in Closed and Open Economies</w:t>
      </w:r>
      <w:r w:rsidRPr="00975B1C">
        <w:rPr>
          <w:i w:val="0"/>
          <w:iCs/>
          <w:lang w:val="en-US"/>
        </w:rPr>
        <w:t xml:space="preserve"> (Working Paper N.º</w:t>
      </w:r>
      <w:r>
        <w:rPr>
          <w:i w:val="0"/>
          <w:iCs/>
          <w:lang w:val="en-US"/>
        </w:rPr>
        <w:t> </w:t>
      </w:r>
      <w:r w:rsidRPr="00975B1C">
        <w:rPr>
          <w:i w:val="0"/>
          <w:iCs/>
          <w:lang w:val="en-US"/>
        </w:rPr>
        <w:t>11341). National Bureau of Economic Research.</w:t>
      </w:r>
      <w:r w:rsidRPr="00975B1C">
        <w:rPr>
          <w:lang w:val="en-US"/>
        </w:rPr>
        <w:t xml:space="preserve"> </w:t>
      </w:r>
      <w:r w:rsidR="00000000">
        <w:fldChar w:fldCharType="begin"/>
      </w:r>
      <w:r w:rsidR="00000000" w:rsidRPr="00E37AC1">
        <w:rPr>
          <w:lang w:val="en-US"/>
        </w:rPr>
        <w:instrText>HYPERLINK "https://www.nber.org/system/files/working_papers/w11341/w11341.pdf"</w:instrText>
      </w:r>
      <w:r w:rsidR="00000000">
        <w:fldChar w:fldCharType="separate"/>
      </w:r>
      <w:r w:rsidRPr="00C455F7">
        <w:rPr>
          <w:rStyle w:val="Hipervnculo"/>
          <w:i w:val="0"/>
          <w:iCs/>
          <w:lang w:val="en-US"/>
        </w:rPr>
        <w:t>https://www.nber.org/system/files/working_papers/w11341/w11341.pdf</w:t>
      </w:r>
      <w:r w:rsidR="00000000">
        <w:rPr>
          <w:rStyle w:val="Hipervnculo"/>
          <w:i w:val="0"/>
          <w:iCs/>
          <w:lang w:val="en-US"/>
        </w:rPr>
        <w:fldChar w:fldCharType="end"/>
      </w:r>
    </w:p>
    <w:p w14:paraId="7B4711C2" w14:textId="77777777" w:rsidR="00E304C3" w:rsidRPr="00CB266C" w:rsidRDefault="00E304C3">
      <w:pPr>
        <w:pStyle w:val="Prrafodelista"/>
        <w:keepNext/>
        <w:numPr>
          <w:ilvl w:val="0"/>
          <w:numId w:val="31"/>
        </w:numPr>
        <w:spacing w:before="100" w:after="0"/>
        <w:ind w:left="1701" w:hanging="170"/>
        <w:contextualSpacing w:val="0"/>
        <w:rPr>
          <w:i/>
          <w:iCs/>
          <w:color w:val="240F33"/>
          <w:spacing w:val="-6"/>
          <w:w w:val="96"/>
          <w:sz w:val="18"/>
          <w:szCs w:val="18"/>
          <w:u w:val="dotted"/>
          <w:lang w:val="en-US"/>
        </w:rPr>
      </w:pPr>
      <w:r w:rsidRPr="00CB266C">
        <w:rPr>
          <w:i/>
          <w:iCs/>
          <w:color w:val="240F33"/>
          <w:spacing w:val="-6"/>
          <w:w w:val="96"/>
          <w:sz w:val="18"/>
          <w:szCs w:val="18"/>
          <w:u w:val="dotted"/>
          <w:lang w:val="en-US"/>
        </w:rPr>
        <w:lastRenderedPageBreak/>
        <w:t xml:space="preserve">Pass-through </w:t>
      </w:r>
      <w:proofErr w:type="spellStart"/>
      <w:r w:rsidRPr="00CB266C">
        <w:rPr>
          <w:i/>
          <w:iCs/>
          <w:color w:val="240F33"/>
          <w:spacing w:val="-6"/>
          <w:w w:val="96"/>
          <w:sz w:val="18"/>
          <w:szCs w:val="18"/>
          <w:u w:val="dotted"/>
          <w:lang w:val="en-US"/>
        </w:rPr>
        <w:t>asimétrico</w:t>
      </w:r>
      <w:proofErr w:type="spellEnd"/>
      <w:r w:rsidRPr="00CB266C">
        <w:rPr>
          <w:i/>
          <w:iCs/>
          <w:color w:val="240F33"/>
          <w:spacing w:val="-6"/>
          <w:w w:val="96"/>
          <w:sz w:val="18"/>
          <w:szCs w:val="18"/>
          <w:u w:val="dotted"/>
          <w:lang w:val="en-US"/>
        </w:rPr>
        <w:t xml:space="preserve"> – Dollar Pricing (DP)</w:t>
      </w:r>
    </w:p>
    <w:p w14:paraId="70813EA1" w14:textId="77777777" w:rsidR="00E304C3" w:rsidRDefault="00E304C3" w:rsidP="00E304C3">
      <w:pPr>
        <w:pStyle w:val="Nivel1SM"/>
        <w:keepNext/>
        <w:spacing w:before="0" w:after="0"/>
      </w:pPr>
      <w:r w:rsidRPr="000B0DE8">
        <w:t xml:space="preserve">Finalmente, una tercera posibilidad es que </w:t>
      </w:r>
      <w:r>
        <w:t>los productores fijen sus precios en una tercera moneda (que no se vea afectada por las decisiones de política monetaria de ninguno de los dos países).</w:t>
      </w:r>
    </w:p>
    <w:p w14:paraId="294C89C5" w14:textId="77777777" w:rsidR="00E304C3" w:rsidRDefault="00E304C3" w:rsidP="00E304C3">
      <w:pPr>
        <w:pStyle w:val="Nivel2SM"/>
      </w:pPr>
      <w:r w:rsidRPr="000B0DE8">
        <w:t>La transmisi</w:t>
      </w:r>
      <w:r>
        <w:t>ó</w:t>
      </w:r>
      <w:r w:rsidRPr="000B0DE8">
        <w:t>n en una</w:t>
      </w:r>
      <w:r>
        <w:t xml:space="preserve"> economía en la que todos los precios de exportación están fijados en una moneda (</w:t>
      </w:r>
      <w:r>
        <w:rPr>
          <w:i/>
          <w:iCs/>
        </w:rPr>
        <w:t>Dollar Pricing</w:t>
      </w:r>
      <w:r>
        <w:t>), combina los casos de PCP y LCP</w:t>
      </w:r>
      <w:r>
        <w:rPr>
          <w:rStyle w:val="Refdenotaalpie"/>
        </w:rPr>
        <w:footnoteReference w:id="20"/>
      </w:r>
      <w:r>
        <w:t>.</w:t>
      </w:r>
    </w:p>
    <w:p w14:paraId="784E17F7" w14:textId="77777777" w:rsidR="00E304C3" w:rsidRPr="00451942" w:rsidRDefault="00E304C3" w:rsidP="00E304C3">
      <w:pPr>
        <w:pStyle w:val="Nivel1SM"/>
        <w:keepNext/>
        <w:spacing w:after="0"/>
      </w:pPr>
      <w:r>
        <w:t xml:space="preserve">El rasgo crucial de este caso, es que existen distintos mecanismos por los que la política monetaria no tiene efectos en </w:t>
      </w:r>
      <w:r>
        <w:rPr>
          <w:rFonts w:eastAsiaTheme="minorEastAsia"/>
        </w:rPr>
        <w:t>la relación entre la producción doméstica y el consumo, lo que llevará a</w:t>
      </w:r>
      <w:r w:rsidRPr="00881644">
        <w:rPr>
          <w:rFonts w:eastAsiaTheme="minorEastAsia"/>
        </w:rPr>
        <w:t xml:space="preserve"> </w:t>
      </w:r>
      <w:r>
        <w:rPr>
          <w:rFonts w:eastAsiaTheme="minorEastAsia"/>
          <w:iCs/>
        </w:rPr>
        <w:t xml:space="preserve">que </w:t>
      </w:r>
      <m:oMath>
        <m:r>
          <m:rPr>
            <m:nor/>
          </m:rPr>
          <w:rPr>
            <w:i/>
          </w:rPr>
          <m:t>τ</m:t>
        </m:r>
      </m:oMath>
      <w:r w:rsidRPr="00881644">
        <w:rPr>
          <w:rFonts w:eastAsiaTheme="minorEastAsia"/>
        </w:rPr>
        <w:t xml:space="preserve"> y </w:t>
      </w:r>
      <m:oMath>
        <m:r>
          <m:rPr>
            <m:nor/>
          </m:rPr>
          <w:rPr>
            <w:i/>
          </w:rPr>
          <m:t>τ*</m:t>
        </m:r>
      </m:oMath>
      <w:r>
        <w:rPr>
          <w:rFonts w:eastAsiaTheme="minorEastAsia"/>
        </w:rPr>
        <w:t xml:space="preserve"> permanezcan constantes.</w:t>
      </w:r>
    </w:p>
    <w:p w14:paraId="66FA50EB" w14:textId="77777777" w:rsidR="00E304C3" w:rsidRDefault="00E304C3" w:rsidP="00E304C3">
      <w:pPr>
        <w:pStyle w:val="Nivel2SM"/>
      </w:pPr>
      <w:r>
        <w:t>En el país </w:t>
      </w:r>
      <w:r>
        <w:rPr>
          <w:i/>
          <w:iCs/>
        </w:rPr>
        <w:t>A</w:t>
      </w:r>
      <w:r>
        <w:t xml:space="preserve">, los precios del consumidor no responden ante variaciones en el tipo de cambio, mientras que el </w:t>
      </w:r>
      <w:proofErr w:type="spellStart"/>
      <w:r>
        <w:rPr>
          <w:i/>
          <w:iCs/>
        </w:rPr>
        <w:t>dollar</w:t>
      </w:r>
      <w:proofErr w:type="spellEnd"/>
      <w:r>
        <w:rPr>
          <w:i/>
          <w:iCs/>
        </w:rPr>
        <w:t xml:space="preserve"> </w:t>
      </w:r>
      <w:proofErr w:type="spellStart"/>
      <w:r>
        <w:rPr>
          <w:i/>
          <w:iCs/>
        </w:rPr>
        <w:t>pricing</w:t>
      </w:r>
      <w:proofErr w:type="spellEnd"/>
      <w:r>
        <w:t xml:space="preserve"> aísla los márgenes de los exportadores de variaciones del tipo de cambio.</w:t>
      </w:r>
    </w:p>
    <w:p w14:paraId="2BFF40AE" w14:textId="77777777" w:rsidR="00E304C3" w:rsidRPr="000B0DE8" w:rsidRDefault="00E304C3" w:rsidP="00E304C3">
      <w:pPr>
        <w:pStyle w:val="Nivel2SM"/>
      </w:pPr>
      <w:r>
        <w:t>En el país </w:t>
      </w:r>
      <w:r>
        <w:rPr>
          <w:i/>
          <w:iCs/>
        </w:rPr>
        <w:t>B</w:t>
      </w:r>
      <w:r>
        <w:t>, los efectos positivos de precios de importación más bajos se ven compensados por una caída en los beneficios de las exportaciones: el valor de las exportaciones en términos de moneda local cae con la depreciación doméstica.</w:t>
      </w:r>
    </w:p>
    <w:p w14:paraId="7A612FF8" w14:textId="20A8ECF4" w:rsidR="00E304C3" w:rsidRPr="00451942" w:rsidRDefault="00E304C3" w:rsidP="00E304C3">
      <w:pPr>
        <w:pStyle w:val="Nivel1SM"/>
        <w:keepNext/>
        <w:spacing w:after="0"/>
      </w:pPr>
      <w:r w:rsidRPr="00451942">
        <w:rPr>
          <w:lang w:val="es"/>
        </w:rPr>
        <w:t>Podemos visualizar estos</w:t>
      </w:r>
      <w:r>
        <w:rPr>
          <w:lang w:val="es"/>
        </w:rPr>
        <w:t xml:space="preserve"> </w:t>
      </w:r>
      <w:r w:rsidRPr="00451942">
        <w:rPr>
          <w:lang w:val="es"/>
        </w:rPr>
        <w:t xml:space="preserve">efectos en la </w:t>
      </w:r>
      <w:r>
        <w:rPr>
          <w:lang w:val="es"/>
        </w:rPr>
        <w:fldChar w:fldCharType="begin"/>
      </w:r>
      <w:r>
        <w:rPr>
          <w:lang w:val="es"/>
        </w:rPr>
        <w:instrText xml:space="preserve"> REF _Ref122523295 \h </w:instrText>
      </w:r>
      <w:r>
        <w:rPr>
          <w:lang w:val="es"/>
        </w:rPr>
      </w:r>
      <w:r>
        <w:rPr>
          <w:lang w:val="es"/>
        </w:rPr>
        <w:fldChar w:fldCharType="separate"/>
      </w:r>
      <w:r w:rsidR="00E37AC1" w:rsidRPr="00975B1C">
        <w:t>Imagen</w:t>
      </w:r>
      <w:r w:rsidR="00E37AC1">
        <w:t> </w:t>
      </w:r>
      <w:r w:rsidR="00E37AC1">
        <w:rPr>
          <w:noProof/>
        </w:rPr>
        <w:t>11</w:t>
      </w:r>
      <w:r>
        <w:rPr>
          <w:lang w:val="es"/>
        </w:rPr>
        <w:fldChar w:fldCharType="end"/>
      </w:r>
      <w:r w:rsidRPr="00451942">
        <w:rPr>
          <w:lang w:val="es"/>
        </w:rPr>
        <w:t>.</w:t>
      </w:r>
    </w:p>
    <w:p w14:paraId="7D7A3859" w14:textId="77777777" w:rsidR="00E304C3" w:rsidRPr="00451942" w:rsidRDefault="00E304C3" w:rsidP="00E304C3">
      <w:pPr>
        <w:pStyle w:val="Nivel2SM"/>
        <w:keepNext/>
        <w:spacing w:after="0"/>
      </w:pPr>
      <w:r>
        <w:rPr>
          <w:lang w:val="es"/>
        </w:rPr>
        <w:t>En el país </w:t>
      </w:r>
      <w:r w:rsidRPr="00451942">
        <w:rPr>
          <w:i/>
          <w:iCs/>
          <w:lang w:val="es"/>
        </w:rPr>
        <w:t>A</w:t>
      </w:r>
      <w:r>
        <w:rPr>
          <w:lang w:val="es"/>
        </w:rPr>
        <w:t>,</w:t>
      </w:r>
    </w:p>
    <w:p w14:paraId="54D0A6E4" w14:textId="77777777" w:rsidR="00E304C3" w:rsidRPr="00451942" w:rsidRDefault="00E304C3" w:rsidP="00E304C3">
      <w:pPr>
        <w:pStyle w:val="Nivel3SM"/>
      </w:pPr>
      <w:r w:rsidRPr="00451942">
        <w:rPr>
          <w:lang w:val="es"/>
        </w:rPr>
        <w:t>Una vez más, el shock</w:t>
      </w:r>
      <w:r>
        <w:rPr>
          <w:lang w:val="es"/>
        </w:rPr>
        <w:t xml:space="preserve"> de productividad </w:t>
      </w:r>
      <w:r>
        <w:t>positivo en el país </w:t>
      </w:r>
      <w:r>
        <w:rPr>
          <w:i/>
          <w:iCs/>
        </w:rPr>
        <w:t>A</w:t>
      </w:r>
      <w:r>
        <w:t xml:space="preserve"> (</w:t>
      </w:r>
      <m:oMath>
        <m:r>
          <m:rPr>
            <m:nor/>
          </m:rPr>
          <w:rPr>
            <w:rFonts w:ascii="Times New Roman" w:hAnsi="Times New Roman" w:cs="Times New Roman"/>
            <w:i/>
          </w:rPr>
          <m:t>↑</m:t>
        </m:r>
        <m:r>
          <m:rPr>
            <m:nor/>
          </m:rPr>
          <w:rPr>
            <w:i/>
          </w:rPr>
          <m:t>Z</m:t>
        </m:r>
      </m:oMath>
      <w:r>
        <w:t>)</w:t>
      </w:r>
      <w:r w:rsidRPr="00451942">
        <w:rPr>
          <w:lang w:val="es"/>
        </w:rPr>
        <w:t xml:space="preserve"> inclina </w:t>
      </w:r>
      <w:r>
        <w:rPr>
          <w:lang w:val="es"/>
        </w:rPr>
        <w:t>la recta </w:t>
      </w:r>
      <w:r w:rsidRPr="00451942">
        <w:rPr>
          <w:i/>
          <w:iCs/>
          <w:lang w:val="es"/>
        </w:rPr>
        <w:t>AS</w:t>
      </w:r>
      <w:r w:rsidRPr="00451942">
        <w:rPr>
          <w:lang w:val="es"/>
        </w:rPr>
        <w:t xml:space="preserve"> hacia arriba y provoca un aumento </w:t>
      </w:r>
      <w:r>
        <w:rPr>
          <w:lang w:val="es"/>
        </w:rPr>
        <w:t xml:space="preserve">de </w:t>
      </w:r>
      <m:oMath>
        <m:r>
          <m:rPr>
            <m:nor/>
          </m:rPr>
          <w:rPr>
            <w:i/>
            <w:iCs/>
          </w:rPr>
          <m:t>μ</m:t>
        </m:r>
      </m:oMath>
      <w:r>
        <w:rPr>
          <w:lang w:val="es"/>
        </w:rPr>
        <w:t xml:space="preserve"> </w:t>
      </w:r>
      <w:r w:rsidRPr="00451942">
        <w:rPr>
          <w:lang w:val="es"/>
        </w:rPr>
        <w:t xml:space="preserve">para cerrar </w:t>
      </w:r>
      <w:r>
        <w:rPr>
          <w:lang w:val="es"/>
        </w:rPr>
        <w:t xml:space="preserve">el </w:t>
      </w:r>
      <w:r>
        <w:rPr>
          <w:i/>
          <w:iCs/>
          <w:lang w:val="es"/>
        </w:rPr>
        <w:t>output gap</w:t>
      </w:r>
      <w:r w:rsidRPr="00451942">
        <w:rPr>
          <w:lang w:val="es"/>
        </w:rPr>
        <w:t>.</w:t>
      </w:r>
    </w:p>
    <w:p w14:paraId="639F5CB5" w14:textId="77777777" w:rsidR="00E304C3" w:rsidRPr="00A37063" w:rsidRDefault="00E304C3" w:rsidP="00E304C3">
      <w:pPr>
        <w:pStyle w:val="Nivel3SM"/>
      </w:pPr>
      <w:r>
        <w:rPr>
          <w:lang w:val="es"/>
        </w:rPr>
        <w:t>Además, e</w:t>
      </w:r>
      <w:r w:rsidRPr="00451942">
        <w:rPr>
          <w:lang w:val="es"/>
        </w:rPr>
        <w:t>n el país</w:t>
      </w:r>
      <w:r>
        <w:rPr>
          <w:lang w:val="es"/>
        </w:rPr>
        <w:t> </w:t>
      </w:r>
      <w:r w:rsidRPr="00451942">
        <w:rPr>
          <w:i/>
          <w:iCs/>
          <w:lang w:val="es"/>
        </w:rPr>
        <w:t>A</w:t>
      </w:r>
      <w:r w:rsidRPr="00451942">
        <w:rPr>
          <w:lang w:val="es"/>
        </w:rPr>
        <w:t xml:space="preserve">, donde todos los precios están preestablecidos en moneda local, la expansión monetaria aumenta la demanda interna </w:t>
      </w:r>
      <w:r>
        <w:rPr>
          <w:lang w:val="es"/>
        </w:rPr>
        <w:t>proporcionalmente (i.e. la curva </w:t>
      </w:r>
      <w:r>
        <w:rPr>
          <w:i/>
          <w:iCs/>
          <w:lang w:val="es"/>
        </w:rPr>
        <w:t>AD</w:t>
      </w:r>
      <w:r>
        <w:rPr>
          <w:lang w:val="es"/>
        </w:rPr>
        <w:t xml:space="preserve"> se desplaza hacia arriba)</w:t>
      </w:r>
      <w:r w:rsidRPr="00451942">
        <w:rPr>
          <w:lang w:val="es"/>
        </w:rPr>
        <w:t>.</w:t>
      </w:r>
    </w:p>
    <w:p w14:paraId="73B46A76" w14:textId="77777777" w:rsidR="00E304C3" w:rsidRPr="00A37063" w:rsidRDefault="00E304C3" w:rsidP="00E304C3">
      <w:pPr>
        <w:pStyle w:val="Nivel3SM"/>
      </w:pPr>
      <w:r w:rsidRPr="00451942">
        <w:rPr>
          <w:lang w:val="es"/>
        </w:rPr>
        <w:t xml:space="preserve">La consiguiente depreciación de la </w:t>
      </w:r>
      <w:r>
        <w:rPr>
          <w:lang w:val="es"/>
        </w:rPr>
        <w:t>moneda nacional</w:t>
      </w:r>
      <w:r w:rsidRPr="00451942">
        <w:rPr>
          <w:lang w:val="es"/>
        </w:rPr>
        <w:t xml:space="preserve"> no tiene consecuencias para los </w:t>
      </w:r>
      <w:r>
        <w:rPr>
          <w:lang w:val="es"/>
        </w:rPr>
        <w:t>beneficios</w:t>
      </w:r>
      <w:r w:rsidRPr="00451942">
        <w:rPr>
          <w:lang w:val="es"/>
        </w:rPr>
        <w:t xml:space="preserve"> de las</w:t>
      </w:r>
      <w:r>
        <w:rPr>
          <w:lang w:val="es"/>
        </w:rPr>
        <w:t xml:space="preserve"> empresas nacionales, ya que la transmisión de los movimientos de los tipos de cambio a los </w:t>
      </w:r>
      <w:r w:rsidRPr="00451942">
        <w:rPr>
          <w:lang w:val="es"/>
        </w:rPr>
        <w:t xml:space="preserve">precios de exportación </w:t>
      </w:r>
      <w:r>
        <w:rPr>
          <w:lang w:val="es"/>
        </w:rPr>
        <w:t>del país </w:t>
      </w:r>
      <w:r>
        <w:rPr>
          <w:i/>
          <w:iCs/>
          <w:lang w:val="es"/>
        </w:rPr>
        <w:t>A</w:t>
      </w:r>
      <w:r w:rsidRPr="00451942">
        <w:rPr>
          <w:lang w:val="es"/>
        </w:rPr>
        <w:t xml:space="preserve"> es completa.</w:t>
      </w:r>
    </w:p>
    <w:p w14:paraId="6B65217B" w14:textId="66D671C3" w:rsidR="00E304C3" w:rsidRPr="00451942" w:rsidRDefault="00E304C3" w:rsidP="00E304C3">
      <w:pPr>
        <w:pStyle w:val="Nivel3SM"/>
      </w:pPr>
      <w:r w:rsidRPr="00451942">
        <w:rPr>
          <w:lang w:val="es"/>
        </w:rPr>
        <w:t xml:space="preserve">El consumo se eleva por encima de la tasa natural, mientras que el empleo se mantiene en la tasa natural. La economía doméstica se mueve de </w:t>
      </w:r>
      <w:r w:rsidRPr="00A37063">
        <w:rPr>
          <w:i/>
          <w:iCs/>
          <w:lang w:val="es"/>
        </w:rPr>
        <w:t>O</w:t>
      </w:r>
      <w:r w:rsidRPr="00451942">
        <w:rPr>
          <w:lang w:val="es"/>
        </w:rPr>
        <w:t xml:space="preserve"> a </w:t>
      </w:r>
      <w:r w:rsidRPr="00A37063">
        <w:rPr>
          <w:i/>
          <w:iCs/>
          <w:lang w:val="es"/>
        </w:rPr>
        <w:t>D</w:t>
      </w:r>
      <w:r w:rsidRPr="00451942">
        <w:rPr>
          <w:lang w:val="es"/>
        </w:rPr>
        <w:t>, donde la longitud del segmento</w:t>
      </w:r>
      <w:r>
        <w:rPr>
          <w:lang w:val="es"/>
        </w:rPr>
        <w:t> </w:t>
      </w:r>
      <w:r w:rsidRPr="00A37063">
        <w:rPr>
          <w:i/>
          <w:iCs/>
          <w:lang w:val="es"/>
        </w:rPr>
        <w:t>OD</w:t>
      </w:r>
      <w:r w:rsidRPr="00451942">
        <w:rPr>
          <w:lang w:val="es"/>
        </w:rPr>
        <w:t xml:space="preserve"> se encuentra en algún lugar entre </w:t>
      </w:r>
      <w:r w:rsidRPr="00A37063">
        <w:rPr>
          <w:i/>
          <w:iCs/>
          <w:lang w:val="es"/>
        </w:rPr>
        <w:t>OP</w:t>
      </w:r>
      <w:r w:rsidRPr="00451942">
        <w:rPr>
          <w:lang w:val="es"/>
        </w:rPr>
        <w:t xml:space="preserve"> en la </w:t>
      </w:r>
      <w:r>
        <w:rPr>
          <w:lang w:val="es"/>
        </w:rPr>
        <w:fldChar w:fldCharType="begin"/>
      </w:r>
      <w:r>
        <w:rPr>
          <w:lang w:val="es"/>
        </w:rPr>
        <w:instrText xml:space="preserve"> REF _Ref122523299 \h </w:instrText>
      </w:r>
      <w:r>
        <w:rPr>
          <w:lang w:val="es"/>
        </w:rPr>
      </w:r>
      <w:r>
        <w:rPr>
          <w:lang w:val="es"/>
        </w:rPr>
        <w:fldChar w:fldCharType="separate"/>
      </w:r>
      <w:r w:rsidR="00E37AC1" w:rsidRPr="00975B1C">
        <w:t>Imagen</w:t>
      </w:r>
      <w:r w:rsidR="00E37AC1">
        <w:t> </w:t>
      </w:r>
      <w:r w:rsidR="00E37AC1">
        <w:rPr>
          <w:noProof/>
        </w:rPr>
        <w:t>9</w:t>
      </w:r>
      <w:r>
        <w:rPr>
          <w:lang w:val="es"/>
        </w:rPr>
        <w:fldChar w:fldCharType="end"/>
      </w:r>
      <w:r w:rsidRPr="00451942">
        <w:rPr>
          <w:lang w:val="es"/>
        </w:rPr>
        <w:t xml:space="preserve"> y </w:t>
      </w:r>
      <w:r w:rsidRPr="00A37063">
        <w:rPr>
          <w:i/>
          <w:iCs/>
          <w:lang w:val="es"/>
        </w:rPr>
        <w:t>OL</w:t>
      </w:r>
      <w:r w:rsidRPr="00451942">
        <w:rPr>
          <w:lang w:val="es"/>
        </w:rPr>
        <w:t xml:space="preserve"> en la </w:t>
      </w:r>
      <w:r>
        <w:rPr>
          <w:lang w:val="es"/>
        </w:rPr>
        <w:fldChar w:fldCharType="begin"/>
      </w:r>
      <w:r>
        <w:rPr>
          <w:lang w:val="es"/>
        </w:rPr>
        <w:instrText xml:space="preserve"> REF _Ref122523301 \h </w:instrText>
      </w:r>
      <w:r>
        <w:rPr>
          <w:lang w:val="es"/>
        </w:rPr>
      </w:r>
      <w:r>
        <w:rPr>
          <w:lang w:val="es"/>
        </w:rPr>
        <w:fldChar w:fldCharType="separate"/>
      </w:r>
      <w:r w:rsidR="00E37AC1" w:rsidRPr="00975B1C">
        <w:t>Imagen</w:t>
      </w:r>
      <w:r w:rsidR="00E37AC1">
        <w:t> </w:t>
      </w:r>
      <w:r w:rsidR="00E37AC1">
        <w:rPr>
          <w:noProof/>
        </w:rPr>
        <w:t>10</w:t>
      </w:r>
      <w:r>
        <w:rPr>
          <w:lang w:val="es"/>
        </w:rPr>
        <w:fldChar w:fldCharType="end"/>
      </w:r>
      <w:r w:rsidRPr="00451942">
        <w:rPr>
          <w:lang w:val="es"/>
        </w:rPr>
        <w:t>.</w:t>
      </w:r>
    </w:p>
    <w:p w14:paraId="21C26C30" w14:textId="77777777" w:rsidR="00E304C3" w:rsidRPr="00451942" w:rsidRDefault="00E304C3" w:rsidP="00E304C3">
      <w:pPr>
        <w:pStyle w:val="Nivel2SM"/>
        <w:keepNext/>
        <w:spacing w:after="0"/>
      </w:pPr>
      <w:r w:rsidRPr="00451942">
        <w:rPr>
          <w:lang w:val="es"/>
        </w:rPr>
        <w:t>En el país extranjero,</w:t>
      </w:r>
    </w:p>
    <w:p w14:paraId="3ABD34B2" w14:textId="77777777" w:rsidR="00E304C3" w:rsidRPr="00210259" w:rsidRDefault="00E304C3" w:rsidP="00E304C3">
      <w:pPr>
        <w:pStyle w:val="Nivel3SM"/>
      </w:pPr>
      <w:r>
        <w:rPr>
          <w:lang w:val="es"/>
        </w:rPr>
        <w:t>L</w:t>
      </w:r>
      <w:r w:rsidRPr="00451942">
        <w:rPr>
          <w:lang w:val="es"/>
        </w:rPr>
        <w:t xml:space="preserve">a depreciación de la </w:t>
      </w:r>
      <w:r>
        <w:rPr>
          <w:lang w:val="es"/>
        </w:rPr>
        <w:t>moneda nacional</w:t>
      </w:r>
      <w:r w:rsidRPr="00451942">
        <w:rPr>
          <w:lang w:val="es"/>
        </w:rPr>
        <w:t xml:space="preserve"> se traduce en precios de importación más bajos, por lo tanto, en un IPC más bajo. Para una determinada orientación monetaria interna, l</w:t>
      </w:r>
      <w:r>
        <w:rPr>
          <w:lang w:val="es"/>
        </w:rPr>
        <w:t>a recta </w:t>
      </w:r>
      <w:r w:rsidRPr="00210259">
        <w:rPr>
          <w:i/>
          <w:iCs/>
          <w:lang w:val="es"/>
        </w:rPr>
        <w:t>AD*</w:t>
      </w:r>
      <w:r w:rsidRPr="00451942">
        <w:rPr>
          <w:lang w:val="es"/>
        </w:rPr>
        <w:t xml:space="preserve"> se desplaza hacia arriba.</w:t>
      </w:r>
    </w:p>
    <w:p w14:paraId="079B608B" w14:textId="77777777" w:rsidR="00E304C3" w:rsidRPr="00210259" w:rsidRDefault="00E304C3" w:rsidP="00E304C3">
      <w:pPr>
        <w:pStyle w:val="Nivel3SM"/>
      </w:pPr>
      <w:r w:rsidRPr="00451942">
        <w:rPr>
          <w:lang w:val="es"/>
        </w:rPr>
        <w:t>Pero como no hay efectos</w:t>
      </w:r>
      <w:r>
        <w:rPr>
          <w:lang w:val="es"/>
        </w:rPr>
        <w:t xml:space="preserve"> s</w:t>
      </w:r>
      <w:r w:rsidRPr="00451942">
        <w:rPr>
          <w:lang w:val="es"/>
        </w:rPr>
        <w:t xml:space="preserve">obre el precio relativo del consumo en términos de producción, el </w:t>
      </w:r>
      <w:r w:rsidRPr="00210259">
        <w:rPr>
          <w:i/>
          <w:iCs/>
          <w:lang w:val="es"/>
        </w:rPr>
        <w:t>AS*</w:t>
      </w:r>
      <w:r w:rsidRPr="00451942">
        <w:rPr>
          <w:lang w:val="es"/>
        </w:rPr>
        <w:t xml:space="preserve"> no gira. La economía exterior se mueve del punto</w:t>
      </w:r>
      <w:r>
        <w:rPr>
          <w:lang w:val="es"/>
        </w:rPr>
        <w:t> </w:t>
      </w:r>
      <w:r w:rsidRPr="00210259">
        <w:rPr>
          <w:i/>
          <w:iCs/>
          <w:lang w:val="es"/>
        </w:rPr>
        <w:t>O</w:t>
      </w:r>
      <w:r w:rsidRPr="00451942">
        <w:rPr>
          <w:lang w:val="es"/>
        </w:rPr>
        <w:t xml:space="preserve"> al punto</w:t>
      </w:r>
      <w:r>
        <w:rPr>
          <w:lang w:val="es"/>
        </w:rPr>
        <w:t> </w:t>
      </w:r>
      <w:r w:rsidRPr="00210259">
        <w:rPr>
          <w:i/>
          <w:iCs/>
          <w:lang w:val="es"/>
        </w:rPr>
        <w:t>D</w:t>
      </w:r>
      <w:r w:rsidRPr="00451942">
        <w:rPr>
          <w:lang w:val="es"/>
        </w:rPr>
        <w:t xml:space="preserve"> a lo largo de</w:t>
      </w:r>
      <w:r>
        <w:rPr>
          <w:lang w:val="es"/>
        </w:rPr>
        <w:t xml:space="preserve"> la recta </w:t>
      </w:r>
      <w:r w:rsidRPr="00210259">
        <w:rPr>
          <w:i/>
          <w:iCs/>
          <w:lang w:val="es"/>
        </w:rPr>
        <w:t>AS*</w:t>
      </w:r>
      <w:r>
        <w:rPr>
          <w:lang w:val="es"/>
        </w:rPr>
        <w:t xml:space="preserve"> sin cambios</w:t>
      </w:r>
      <w:r w:rsidRPr="00451942">
        <w:rPr>
          <w:lang w:val="es"/>
        </w:rPr>
        <w:t>.</w:t>
      </w:r>
    </w:p>
    <w:p w14:paraId="6ED359BC" w14:textId="575F347B" w:rsidR="00E304C3" w:rsidRPr="00F4044E" w:rsidRDefault="00E304C3" w:rsidP="00E304C3">
      <w:pPr>
        <w:pStyle w:val="Nivel3SM"/>
        <w:keepNext/>
      </w:pPr>
      <w:r w:rsidRPr="00451942">
        <w:rPr>
          <w:lang w:val="es"/>
        </w:rPr>
        <w:t>Así, en el nuevo equilibrio</w:t>
      </w:r>
      <w:r>
        <w:rPr>
          <w:lang w:val="es"/>
        </w:rPr>
        <w:t>,</w:t>
      </w:r>
      <w:r w:rsidRPr="00451942">
        <w:rPr>
          <w:lang w:val="es"/>
        </w:rPr>
        <w:t xml:space="preserve"> </w:t>
      </w:r>
      <w:r>
        <w:rPr>
          <w:lang w:val="es"/>
        </w:rPr>
        <w:t>l</w:t>
      </w:r>
      <w:r w:rsidRPr="00451942">
        <w:rPr>
          <w:lang w:val="es"/>
        </w:rPr>
        <w:t xml:space="preserve">os hogares extranjeros disfrutan de un mayor consumo (en realidad, tan alto como en el caso del PCP: </w:t>
      </w:r>
      <w:r>
        <w:rPr>
          <w:lang w:val="es"/>
        </w:rPr>
        <w:t xml:space="preserve">la distancia vertical </w:t>
      </w:r>
      <w:r w:rsidRPr="00210259">
        <w:rPr>
          <w:i/>
          <w:iCs/>
          <w:lang w:val="es"/>
        </w:rPr>
        <w:t>O</w:t>
      </w:r>
      <w:r>
        <w:rPr>
          <w:i/>
          <w:iCs/>
          <w:lang w:val="es"/>
        </w:rPr>
        <w:t>*</w:t>
      </w:r>
      <w:r w:rsidRPr="00210259">
        <w:rPr>
          <w:i/>
          <w:iCs/>
          <w:lang w:val="es"/>
        </w:rPr>
        <w:t>D</w:t>
      </w:r>
      <w:r>
        <w:rPr>
          <w:i/>
          <w:iCs/>
          <w:lang w:val="es"/>
        </w:rPr>
        <w:t>*</w:t>
      </w:r>
      <w:r w:rsidRPr="00451942">
        <w:rPr>
          <w:lang w:val="es"/>
        </w:rPr>
        <w:t xml:space="preserve"> en la </w:t>
      </w:r>
      <w:r>
        <w:rPr>
          <w:lang w:val="es"/>
        </w:rPr>
        <w:fldChar w:fldCharType="begin"/>
      </w:r>
      <w:r>
        <w:rPr>
          <w:lang w:val="es"/>
        </w:rPr>
        <w:instrText xml:space="preserve"> REF _Ref122523295 \h </w:instrText>
      </w:r>
      <w:r>
        <w:rPr>
          <w:lang w:val="es"/>
        </w:rPr>
      </w:r>
      <w:r>
        <w:rPr>
          <w:lang w:val="es"/>
        </w:rPr>
        <w:fldChar w:fldCharType="separate"/>
      </w:r>
      <w:r w:rsidR="00E37AC1" w:rsidRPr="00975B1C">
        <w:t>Imagen</w:t>
      </w:r>
      <w:r w:rsidR="00E37AC1">
        <w:t> </w:t>
      </w:r>
      <w:r w:rsidR="00E37AC1">
        <w:rPr>
          <w:noProof/>
        </w:rPr>
        <w:t>11</w:t>
      </w:r>
      <w:r>
        <w:rPr>
          <w:lang w:val="es"/>
        </w:rPr>
        <w:fldChar w:fldCharType="end"/>
      </w:r>
      <w:r w:rsidRPr="00451942">
        <w:rPr>
          <w:lang w:val="es"/>
        </w:rPr>
        <w:t xml:space="preserve"> es igual a</w:t>
      </w:r>
      <w:r>
        <w:rPr>
          <w:lang w:val="es"/>
        </w:rPr>
        <w:t xml:space="preserve"> </w:t>
      </w:r>
      <w:r w:rsidRPr="00451942">
        <w:rPr>
          <w:lang w:val="es"/>
        </w:rPr>
        <w:t>l</w:t>
      </w:r>
      <w:r>
        <w:rPr>
          <w:lang w:val="es"/>
        </w:rPr>
        <w:t>a distancia vertical</w:t>
      </w:r>
      <w:r w:rsidRPr="00451942">
        <w:rPr>
          <w:lang w:val="es"/>
        </w:rPr>
        <w:t xml:space="preserve"> </w:t>
      </w:r>
      <w:r w:rsidRPr="00210259">
        <w:rPr>
          <w:i/>
          <w:iCs/>
          <w:lang w:val="es"/>
        </w:rPr>
        <w:t>O</w:t>
      </w:r>
      <w:r>
        <w:rPr>
          <w:i/>
          <w:iCs/>
          <w:lang w:val="es"/>
        </w:rPr>
        <w:t>*</w:t>
      </w:r>
      <w:r w:rsidRPr="00210259">
        <w:rPr>
          <w:i/>
          <w:iCs/>
          <w:lang w:val="es"/>
        </w:rPr>
        <w:t>P</w:t>
      </w:r>
      <w:r>
        <w:rPr>
          <w:i/>
          <w:iCs/>
          <w:lang w:val="es"/>
        </w:rPr>
        <w:t>*</w:t>
      </w:r>
      <w:r w:rsidRPr="00451942">
        <w:rPr>
          <w:lang w:val="es"/>
        </w:rPr>
        <w:t xml:space="preserve"> en la </w:t>
      </w:r>
      <w:r>
        <w:rPr>
          <w:lang w:val="es"/>
        </w:rPr>
        <w:fldChar w:fldCharType="begin"/>
      </w:r>
      <w:r>
        <w:rPr>
          <w:lang w:val="es"/>
        </w:rPr>
        <w:instrText xml:space="preserve"> REF _Ref122523299 \h </w:instrText>
      </w:r>
      <w:r>
        <w:rPr>
          <w:lang w:val="es"/>
        </w:rPr>
      </w:r>
      <w:r>
        <w:rPr>
          <w:lang w:val="es"/>
        </w:rPr>
        <w:fldChar w:fldCharType="separate"/>
      </w:r>
      <w:r w:rsidR="00E37AC1" w:rsidRPr="00975B1C">
        <w:t>Imagen</w:t>
      </w:r>
      <w:r w:rsidR="00E37AC1">
        <w:t> </w:t>
      </w:r>
      <w:r w:rsidR="00E37AC1">
        <w:rPr>
          <w:noProof/>
        </w:rPr>
        <w:t>9</w:t>
      </w:r>
      <w:r>
        <w:rPr>
          <w:lang w:val="es"/>
        </w:rPr>
        <w:fldChar w:fldCharType="end"/>
      </w:r>
      <w:r w:rsidRPr="00451942">
        <w:rPr>
          <w:lang w:val="es"/>
        </w:rPr>
        <w:t>), pero también trabajan más.</w:t>
      </w:r>
    </w:p>
    <w:p w14:paraId="3D2665B4" w14:textId="77777777" w:rsidR="00E304C3" w:rsidRPr="00D17CBB" w:rsidRDefault="00E304C3" w:rsidP="00E304C3">
      <w:pPr>
        <w:pStyle w:val="Nivel4"/>
        <w:spacing w:after="100"/>
        <w:ind w:left="1474"/>
      </w:pPr>
      <w:r w:rsidRPr="00451942">
        <w:rPr>
          <w:lang w:val="es"/>
        </w:rPr>
        <w:t xml:space="preserve">En otras palabras, la transmisión internacional es positiva en lo que respecta al consumo, negativa en lo que respecta al trabajo. Sin embargo, debido a las distorsiones monopolísticas en la producción, el primer componente domina y </w:t>
      </w:r>
      <w:r>
        <w:rPr>
          <w:lang w:val="es"/>
        </w:rPr>
        <w:t>el efecto neto de la transmisión internacional es</w:t>
      </w:r>
      <w:r w:rsidRPr="00451942">
        <w:rPr>
          <w:lang w:val="es"/>
        </w:rPr>
        <w:t xml:space="preserve"> positiv</w:t>
      </w:r>
      <w:r>
        <w:rPr>
          <w:lang w:val="es"/>
        </w:rPr>
        <w:t>o</w:t>
      </w:r>
      <w:r>
        <w:rPr>
          <w:rStyle w:val="Refdenotaalpie"/>
          <w:lang w:val="es"/>
        </w:rPr>
        <w:footnoteReference w:id="21"/>
      </w:r>
      <w:r w:rsidRPr="00451942">
        <w:rPr>
          <w:lang w:val="es"/>
        </w:rPr>
        <w:t>.</w:t>
      </w:r>
    </w:p>
    <w:p w14:paraId="05186D28" w14:textId="005B7969" w:rsidR="00E304C3" w:rsidRPr="00975B1C" w:rsidRDefault="00E304C3" w:rsidP="00E304C3">
      <w:pPr>
        <w:pStyle w:val="Ttuloimagen"/>
        <w:rPr>
          <w:i/>
          <w:iCs/>
          <w:smallCaps w:val="0"/>
        </w:rPr>
      </w:pPr>
      <w:bookmarkStart w:id="37" w:name="_Ref122523295"/>
      <w:r w:rsidRPr="00975B1C">
        <w:lastRenderedPageBreak/>
        <w:t>Imagen</w:t>
      </w:r>
      <w:r>
        <w:t> </w:t>
      </w:r>
      <w:r>
        <w:fldChar w:fldCharType="begin"/>
      </w:r>
      <w:r w:rsidRPr="00975B1C">
        <w:instrText xml:space="preserve"> SEQ Ilustración \* ARABIC </w:instrText>
      </w:r>
      <w:r>
        <w:fldChar w:fldCharType="separate"/>
      </w:r>
      <w:r w:rsidR="00E37AC1">
        <w:t>11</w:t>
      </w:r>
      <w:r>
        <w:fldChar w:fldCharType="end"/>
      </w:r>
      <w:bookmarkEnd w:id="37"/>
      <w:r w:rsidRPr="00975B1C">
        <w:rPr>
          <w:smallCaps w:val="0"/>
        </w:rPr>
        <w:t xml:space="preserve">.– </w:t>
      </w:r>
      <w:r w:rsidRPr="00975B1C">
        <w:rPr>
          <w:i/>
          <w:iCs/>
          <w:smallCaps w:val="0"/>
        </w:rPr>
        <w:t>E</w:t>
      </w:r>
      <w:r>
        <w:rPr>
          <w:i/>
          <w:iCs/>
          <w:smallCaps w:val="0"/>
        </w:rPr>
        <w:t>fectos internacionales de una política de estabilización doméstica bajo dollar pricing (DP)</w:t>
      </w:r>
      <w:r>
        <w:rPr>
          <w:i/>
          <w:iCs/>
          <w:smallCaps w:val="0"/>
        </w:rPr>
        <w:br/>
      </w:r>
      <w:r w:rsidRPr="00975B1C">
        <w:rPr>
          <w:i/>
          <w:iCs/>
          <w:smallCaps w:val="0"/>
        </w:rPr>
        <w:t>en e</w:t>
      </w:r>
      <w:r>
        <w:rPr>
          <w:i/>
          <w:iCs/>
          <w:smallCaps w:val="0"/>
        </w:rPr>
        <w:t xml:space="preserve">l modelo de </w:t>
      </w:r>
      <w:r>
        <w:rPr>
          <w:i/>
          <w:iCs/>
        </w:rPr>
        <w:t>Corsetti</w:t>
      </w:r>
      <w:r>
        <w:rPr>
          <w:i/>
          <w:iCs/>
          <w:smallCaps w:val="0"/>
        </w:rPr>
        <w:t xml:space="preserve"> y </w:t>
      </w:r>
      <w:r>
        <w:rPr>
          <w:i/>
          <w:iCs/>
        </w:rPr>
        <w:t>Pesenti</w:t>
      </w:r>
      <w:r>
        <w:rPr>
          <w:i/>
          <w:iCs/>
          <w:smallCaps w:val="0"/>
        </w:rPr>
        <w:t xml:space="preserve"> (2005)</w:t>
      </w:r>
    </w:p>
    <w:p w14:paraId="152044F1" w14:textId="77777777" w:rsidR="00E304C3" w:rsidRPr="00975B1C" w:rsidRDefault="00E304C3" w:rsidP="00E304C3">
      <w:pPr>
        <w:pStyle w:val="Imagen"/>
      </w:pPr>
      <w:r w:rsidRPr="00DB048D">
        <w:drawing>
          <wp:inline distT="0" distB="0" distL="0" distR="0" wp14:anchorId="1C29E953" wp14:editId="0EE8C3C3">
            <wp:extent cx="3387698" cy="1800000"/>
            <wp:effectExtent l="0" t="0" r="3810" b="0"/>
            <wp:docPr id="35" name="Imagen 3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Diagrama&#10;&#10;Descripción generada automáticamente"/>
                    <pic:cNvPicPr/>
                  </pic:nvPicPr>
                  <pic:blipFill>
                    <a:blip r:embed="rId22"/>
                    <a:stretch>
                      <a:fillRect/>
                    </a:stretch>
                  </pic:blipFill>
                  <pic:spPr>
                    <a:xfrm>
                      <a:off x="0" y="0"/>
                      <a:ext cx="3387698" cy="1800000"/>
                    </a:xfrm>
                    <a:prstGeom prst="rect">
                      <a:avLst/>
                    </a:prstGeom>
                  </pic:spPr>
                </pic:pic>
              </a:graphicData>
            </a:graphic>
          </wp:inline>
        </w:drawing>
      </w:r>
    </w:p>
    <w:p w14:paraId="120187E0" w14:textId="77777777" w:rsidR="00E304C3" w:rsidRPr="00C455F7" w:rsidRDefault="00E304C3" w:rsidP="00E304C3">
      <w:pPr>
        <w:pStyle w:val="PiedeImagen"/>
        <w:rPr>
          <w:i w:val="0"/>
          <w:iCs/>
          <w:lang w:val="en-US"/>
        </w:rPr>
      </w:pPr>
      <w:r>
        <w:t>Fuente</w:t>
      </w:r>
      <w:r>
        <w:rPr>
          <w:i w:val="0"/>
          <w:iCs/>
        </w:rPr>
        <w:t xml:space="preserve">: </w:t>
      </w:r>
      <w:r w:rsidRPr="00975B1C">
        <w:rPr>
          <w:i w:val="0"/>
          <w:iCs/>
        </w:rPr>
        <w:t>Corsetti, G. &amp; Pesenti, P. (2005).</w:t>
      </w:r>
      <w:r w:rsidRPr="00975B1C">
        <w:t xml:space="preserve"> </w:t>
      </w:r>
      <w:r w:rsidRPr="00975B1C">
        <w:rPr>
          <w:lang w:val="en-US"/>
        </w:rPr>
        <w:t>The Simple Geometry of Transmission and Stabilization in Closed and Open Economies</w:t>
      </w:r>
      <w:r w:rsidRPr="00975B1C">
        <w:rPr>
          <w:i w:val="0"/>
          <w:iCs/>
          <w:lang w:val="en-US"/>
        </w:rPr>
        <w:t xml:space="preserve"> (Working Paper N.º</w:t>
      </w:r>
      <w:r>
        <w:rPr>
          <w:i w:val="0"/>
          <w:iCs/>
          <w:lang w:val="en-US"/>
        </w:rPr>
        <w:t> </w:t>
      </w:r>
      <w:r w:rsidRPr="00975B1C">
        <w:rPr>
          <w:i w:val="0"/>
          <w:iCs/>
          <w:lang w:val="en-US"/>
        </w:rPr>
        <w:t>11341). National Bureau of Economic Research.</w:t>
      </w:r>
      <w:r w:rsidRPr="00975B1C">
        <w:rPr>
          <w:lang w:val="en-US"/>
        </w:rPr>
        <w:t xml:space="preserve"> </w:t>
      </w:r>
      <w:r w:rsidR="00000000">
        <w:fldChar w:fldCharType="begin"/>
      </w:r>
      <w:r w:rsidR="00000000" w:rsidRPr="00E37AC1">
        <w:rPr>
          <w:lang w:val="en-US"/>
        </w:rPr>
        <w:instrText>HYPERLINK "https://www.nber.org/system/files/working_papers/w11341/w11341.pdf"</w:instrText>
      </w:r>
      <w:r w:rsidR="00000000">
        <w:fldChar w:fldCharType="separate"/>
      </w:r>
      <w:r w:rsidRPr="00C455F7">
        <w:rPr>
          <w:rStyle w:val="Hipervnculo"/>
          <w:i w:val="0"/>
          <w:iCs/>
          <w:lang w:val="en-US"/>
        </w:rPr>
        <w:t>https://www.nber.org/system/files/working_papers/w11341/w11341.pdf</w:t>
      </w:r>
      <w:r w:rsidR="00000000">
        <w:rPr>
          <w:rStyle w:val="Hipervnculo"/>
          <w:i w:val="0"/>
          <w:iCs/>
          <w:lang w:val="en-US"/>
        </w:rPr>
        <w:fldChar w:fldCharType="end"/>
      </w:r>
    </w:p>
    <w:p w14:paraId="5FC66A4C" w14:textId="77777777" w:rsidR="00E304C3" w:rsidRDefault="00E304C3" w:rsidP="00CB266C">
      <w:pPr>
        <w:pStyle w:val="Ttulo7"/>
      </w:pPr>
      <w:bookmarkStart w:id="38" w:name="_Toc173970590"/>
      <w:r>
        <w:t>Implicaciones</w:t>
      </w:r>
      <w:bookmarkEnd w:id="38"/>
    </w:p>
    <w:p w14:paraId="59E8E237" w14:textId="77777777" w:rsidR="00E304C3" w:rsidRDefault="00E304C3" w:rsidP="00E304C3">
      <w:pPr>
        <w:pStyle w:val="Nivel1SM"/>
        <w:spacing w:before="0"/>
      </w:pPr>
      <w:r>
        <w:t xml:space="preserve">En un modelo con rigideces nominales internas y externas, se da el resultado del </w:t>
      </w:r>
      <w:r w:rsidRPr="0036279C">
        <w:rPr>
          <w:i/>
          <w:iCs/>
        </w:rPr>
        <w:t>overshooting</w:t>
      </w:r>
      <w:r>
        <w:t xml:space="preserve">, cuando la magnitud de las rigideces nominales externas es considerable, en otras palabras, cuando existe un cierto fenómeno de </w:t>
      </w:r>
      <w:r w:rsidRPr="0036279C">
        <w:rPr>
          <w:i/>
          <w:iCs/>
        </w:rPr>
        <w:t>“</w:t>
      </w:r>
      <w:proofErr w:type="spellStart"/>
      <w:r w:rsidRPr="0036279C">
        <w:rPr>
          <w:i/>
          <w:iCs/>
        </w:rPr>
        <w:t>Pricing</w:t>
      </w:r>
      <w:proofErr w:type="spellEnd"/>
      <w:r w:rsidRPr="0036279C">
        <w:rPr>
          <w:i/>
          <w:iCs/>
        </w:rPr>
        <w:t xml:space="preserve"> </w:t>
      </w:r>
      <w:proofErr w:type="spellStart"/>
      <w:r w:rsidRPr="0036279C">
        <w:rPr>
          <w:i/>
          <w:iCs/>
        </w:rPr>
        <w:t>to</w:t>
      </w:r>
      <w:proofErr w:type="spellEnd"/>
      <w:r w:rsidRPr="0036279C">
        <w:rPr>
          <w:i/>
          <w:iCs/>
        </w:rPr>
        <w:t xml:space="preserve"> </w:t>
      </w:r>
      <w:proofErr w:type="spellStart"/>
      <w:r w:rsidRPr="0036279C">
        <w:rPr>
          <w:i/>
          <w:iCs/>
        </w:rPr>
        <w:t>Market</w:t>
      </w:r>
      <w:proofErr w:type="spellEnd"/>
      <w:r w:rsidRPr="0036279C">
        <w:rPr>
          <w:i/>
          <w:iCs/>
        </w:rPr>
        <w:t>”</w:t>
      </w:r>
      <w:r>
        <w:t xml:space="preserve">, algo con cierto respaldo empírico (comercio internacional = </w:t>
      </w:r>
      <w:proofErr w:type="spellStart"/>
      <w:r>
        <w:t>dollar</w:t>
      </w:r>
      <w:proofErr w:type="spellEnd"/>
      <w:r>
        <w:t xml:space="preserve"> </w:t>
      </w:r>
      <w:proofErr w:type="spellStart"/>
      <w:r>
        <w:t>pricing</w:t>
      </w:r>
      <w:proofErr w:type="spellEnd"/>
      <w:r>
        <w:t>).</w:t>
      </w:r>
    </w:p>
    <w:p w14:paraId="563B3471" w14:textId="77777777" w:rsidR="00E304C3" w:rsidRPr="002925FF" w:rsidRDefault="00E304C3" w:rsidP="00E304C3">
      <w:pPr>
        <w:pStyle w:val="Nivel1SM"/>
        <w:keepNext/>
        <w:spacing w:after="0"/>
      </w:pPr>
      <w:r w:rsidRPr="002925FF">
        <w:t>(existen ganancias de coordinación de las políticas?)</w:t>
      </w:r>
    </w:p>
    <w:p w14:paraId="3857B26F" w14:textId="77777777" w:rsidR="00E304C3" w:rsidRPr="002925FF" w:rsidRDefault="00E304C3" w:rsidP="00E304C3">
      <w:pPr>
        <w:pStyle w:val="Nivel2SM"/>
      </w:pPr>
      <w:r w:rsidRPr="002925FF">
        <w:t>Esta posibilidad de políticas con efectos externos plantea la cuestión de si sería beneficioso llevar a cabo una coordinación de las políticas económicas mutuamente beneficiosas.</w:t>
      </w:r>
    </w:p>
    <w:p w14:paraId="17652EEF" w14:textId="77777777" w:rsidR="00E304C3" w:rsidRPr="002925FF" w:rsidRDefault="00E304C3" w:rsidP="00E304C3">
      <w:pPr>
        <w:pStyle w:val="Nivel2SM"/>
      </w:pPr>
      <w:r w:rsidRPr="002925FF">
        <w:t xml:space="preserve">Sin embargo, el modelo teórico lleva a concluir que las reglas monetarias óptimas son idénticas tanto si los países actúan de manera independiente como si actúan de manera coordinada, tanto para </w:t>
      </w:r>
      <w:r w:rsidRPr="002925FF">
        <w:rPr>
          <w:i/>
          <w:iCs/>
        </w:rPr>
        <w:t>alto pass-through</w:t>
      </w:r>
      <w:r w:rsidRPr="002925FF">
        <w:t xml:space="preserve"> como para </w:t>
      </w:r>
      <w:r w:rsidRPr="002925FF">
        <w:rPr>
          <w:i/>
          <w:iCs/>
        </w:rPr>
        <w:t>bajo pass-through</w:t>
      </w:r>
      <w:r w:rsidRPr="002925FF">
        <w:t>.</w:t>
      </w:r>
    </w:p>
    <w:p w14:paraId="1FC63BCD" w14:textId="77777777" w:rsidR="00E304C3" w:rsidRPr="002925FF" w:rsidRDefault="00E304C3" w:rsidP="00E304C3">
      <w:pPr>
        <w:pStyle w:val="Nivel2SM"/>
      </w:pPr>
      <w:r w:rsidRPr="002925FF">
        <w:t xml:space="preserve">La intuición es que la coordinación no aporta al fin último del modelo (actuación de la política monetaria </w:t>
      </w:r>
      <w:proofErr w:type="spellStart"/>
      <w:r w:rsidRPr="002925FF">
        <w:t>maximizadora</w:t>
      </w:r>
      <w:proofErr w:type="spellEnd"/>
      <w:r w:rsidRPr="002925FF">
        <w:t xml:space="preserve"> de la utilidad del agente representativo).</w:t>
      </w:r>
    </w:p>
    <w:p w14:paraId="12F0EB10" w14:textId="77777777" w:rsidR="00E304C3" w:rsidRPr="002925FF" w:rsidRDefault="00E304C3" w:rsidP="00E304C3">
      <w:pPr>
        <w:pStyle w:val="Nivel1SM"/>
      </w:pPr>
      <w:r w:rsidRPr="002925FF">
        <w:t>Sorprendentemente, el modelo teórico lleva a concluir que las reglas monetarias óptimas son idénticas tanto si los países actúan independientemente como si actúan de manera coordinada: no hay ganancias de la coordinación. Para otros modelos de la NOEM con especificaciones distintas, el escepticismo respecto a la coordinación se mantiene: aun existiendo ganancias de la cooperación, éstas son muy pequeñas. En conclusión, la lección general que ofrecen por el momento los modelos de la NOEM es un nuevo argumento (basado en análisis de bienestar) en contra de la cooperación. Por el momento…</w:t>
      </w:r>
    </w:p>
    <w:p w14:paraId="3F767225" w14:textId="77777777" w:rsidR="00E304C3" w:rsidRDefault="00E304C3" w:rsidP="00CB266C">
      <w:pPr>
        <w:pStyle w:val="Ttulo6"/>
      </w:pPr>
      <w:bookmarkStart w:id="39" w:name="_Toc173970591"/>
      <w:r>
        <w:t>Extensiones</w:t>
      </w:r>
      <w:bookmarkEnd w:id="39"/>
    </w:p>
    <w:p w14:paraId="3E05CB29" w14:textId="77777777" w:rsidR="00E304C3" w:rsidRDefault="00E304C3" w:rsidP="00E304C3">
      <w:pPr>
        <w:pStyle w:val="Nivel1SM"/>
        <w:spacing w:before="0"/>
      </w:pPr>
      <w:r>
        <w:t>Para otros modelos de la NOEM con especificaciones distintas, predicen ganancias pequeñas de la cooperación.</w:t>
      </w:r>
    </w:p>
    <w:p w14:paraId="7F4FB5F0" w14:textId="77777777" w:rsidR="00E304C3" w:rsidRDefault="00E304C3" w:rsidP="00CB266C">
      <w:pPr>
        <w:pStyle w:val="Ttulo7"/>
      </w:pPr>
      <w:bookmarkStart w:id="40" w:name="_Toc173970592"/>
      <w:r>
        <w:t>Mutualización de riesgos</w:t>
      </w:r>
      <w:bookmarkEnd w:id="40"/>
    </w:p>
    <w:p w14:paraId="3003B46B" w14:textId="77777777" w:rsidR="00E304C3" w:rsidRPr="00131B07" w:rsidRDefault="00E304C3" w:rsidP="00E304C3">
      <w:pPr>
        <w:pStyle w:val="Nivel1SM"/>
        <w:keepNext/>
        <w:spacing w:before="0" w:after="0"/>
        <w:rPr>
          <w:spacing w:val="-1"/>
        </w:rPr>
      </w:pPr>
      <w:r w:rsidRPr="00131B07">
        <w:rPr>
          <w:spacing w:val="-1"/>
        </w:rPr>
        <w:t xml:space="preserve">Una especificación incluye la posibilidad de mutualización de riesgos ante shocks aleatorios de tal manera que las políticas económicas se puedan coordinar para realizar transferencias a un país a otro en función de a quién le afecte el </w:t>
      </w:r>
      <w:r w:rsidRPr="00131B07">
        <w:rPr>
          <w:i/>
          <w:iCs/>
          <w:spacing w:val="-1"/>
        </w:rPr>
        <w:t>shock</w:t>
      </w:r>
      <w:r w:rsidRPr="00131B07">
        <w:rPr>
          <w:spacing w:val="-1"/>
        </w:rPr>
        <w:t>, y conseguir amortiguar niveles de consumo del país afectado.</w:t>
      </w:r>
    </w:p>
    <w:p w14:paraId="192D4D02" w14:textId="77777777" w:rsidR="00E304C3" w:rsidRDefault="00E304C3" w:rsidP="00E304C3">
      <w:pPr>
        <w:pStyle w:val="Nivel2SM"/>
      </w:pPr>
      <w:r w:rsidRPr="00572180">
        <w:rPr>
          <w:smallCaps/>
        </w:rPr>
        <w:t>Obstfeld</w:t>
      </w:r>
      <w:r>
        <w:t xml:space="preserve"> y </w:t>
      </w:r>
      <w:r w:rsidRPr="00572180">
        <w:rPr>
          <w:smallCaps/>
        </w:rPr>
        <w:t>Rogoff</w:t>
      </w:r>
      <w:r>
        <w:t xml:space="preserve"> encuentran ganancias pequeñas positivas en un modelo de mutualización imperfecta de riesgos.</w:t>
      </w:r>
    </w:p>
    <w:p w14:paraId="2E3B6C94" w14:textId="77777777" w:rsidR="004003BE" w:rsidRDefault="004003BE" w:rsidP="004003BE">
      <w:pPr>
        <w:pStyle w:val="Nivel1SM"/>
        <w:keepNext/>
        <w:spacing w:after="0"/>
        <w:rPr>
          <w:lang w:val="en-US"/>
        </w:rPr>
      </w:pPr>
      <w:r w:rsidRPr="004003BE">
        <w:rPr>
          <w:lang w:val="en-US"/>
        </w:rPr>
        <w:t xml:space="preserve">A second type of motivation offered for international policy coordination is the possibility that countries can benefit by </w:t>
      </w:r>
      <w:r w:rsidRPr="004003BE">
        <w:rPr>
          <w:i/>
          <w:iCs/>
          <w:u w:val="single"/>
          <w:lang w:val="en-US"/>
        </w:rPr>
        <w:t>mutually insuring each other against the effects of shocks</w:t>
      </w:r>
      <w:r w:rsidRPr="004003BE">
        <w:rPr>
          <w:lang w:val="en-US"/>
        </w:rPr>
        <w:t>.</w:t>
      </w:r>
    </w:p>
    <w:p w14:paraId="27B5C0F7" w14:textId="77777777" w:rsidR="004003BE" w:rsidRDefault="004003BE" w:rsidP="004003BE">
      <w:pPr>
        <w:pStyle w:val="Nivel2SM"/>
        <w:rPr>
          <w:lang w:val="en-US"/>
        </w:rPr>
      </w:pPr>
      <w:r w:rsidRPr="004003BE">
        <w:rPr>
          <w:lang w:val="en-US"/>
        </w:rPr>
        <w:t xml:space="preserve">Ideally private asset markets would include trade in securities contingent on the incidence of shocks, which households could use to insure themselves. For example, in the case of a fall in productivity and output in just one country, such securities would require a transfer of wealth </w:t>
      </w:r>
      <w:r w:rsidRPr="004003BE">
        <w:rPr>
          <w:lang w:val="en-US"/>
        </w:rPr>
        <w:lastRenderedPageBreak/>
        <w:t>from abroad to this country as a way of buffering the level of consumption despite the fall in domestic production. International trade in equities could serve this function. Suppose the residents of two countries each own half of the firms in the other country’s stock market, and they thereby have claim to half of the output of each other’s total production. If a productivity shock lowers the output of the home country but leaves the foreign country unaffected, when each country sends half of its respective production to the other country, this implies a net payoff from the foreign country to the home country. This transfer effectively spreads the impact of the productivity shock over the consumption levels of both countries and acts as a type of insurance.</w:t>
      </w:r>
    </w:p>
    <w:p w14:paraId="7909A159" w14:textId="512588F3" w:rsidR="004003BE" w:rsidRDefault="004003BE" w:rsidP="004003BE">
      <w:pPr>
        <w:pStyle w:val="Nivel2SM"/>
        <w:rPr>
          <w:lang w:val="en-US"/>
        </w:rPr>
      </w:pPr>
      <w:r w:rsidRPr="004003BE">
        <w:rPr>
          <w:lang w:val="en-US"/>
        </w:rPr>
        <w:t xml:space="preserve">However, </w:t>
      </w:r>
      <w:r w:rsidRPr="004003BE">
        <w:rPr>
          <w:i/>
          <w:iCs/>
          <w:lang w:val="en-US"/>
        </w:rPr>
        <w:t>in the absence of a private market for such securities</w:t>
      </w:r>
      <w:r w:rsidRPr="004003BE">
        <w:rPr>
          <w:lang w:val="en-US"/>
        </w:rPr>
        <w:t xml:space="preserve">, there may be a </w:t>
      </w:r>
      <w:r w:rsidRPr="004003BE">
        <w:rPr>
          <w:i/>
          <w:iCs/>
          <w:u w:val="single"/>
          <w:lang w:val="en-US"/>
        </w:rPr>
        <w:t>role for policy coordination to replicate these insurance benefits</w:t>
      </w:r>
      <w:r w:rsidRPr="004003BE">
        <w:rPr>
          <w:lang w:val="en-US"/>
        </w:rPr>
        <w:t xml:space="preserve">. For example, consider again the story above of a negative shock to productivity in one country. Another motivation for the policymaker to employ a contractionary monetary policy is to raise the value of the domestic currency, </w:t>
      </w:r>
      <w:proofErr w:type="gramStart"/>
      <w:r w:rsidRPr="004003BE">
        <w:rPr>
          <w:lang w:val="en-US"/>
        </w:rPr>
        <w:t>in order to</w:t>
      </w:r>
      <w:proofErr w:type="gramEnd"/>
      <w:r w:rsidRPr="004003BE">
        <w:rPr>
          <w:lang w:val="en-US"/>
        </w:rPr>
        <w:t xml:space="preserve"> raise the relative price of its exports to imports, the terms of trade. By making home goods more valuable, </w:t>
      </w:r>
      <w:r w:rsidR="00CA3C0E">
        <w:rPr>
          <w:lang w:val="en-US"/>
        </w:rPr>
        <w:t>t</w:t>
      </w:r>
      <w:r w:rsidRPr="004003BE">
        <w:rPr>
          <w:lang w:val="en-US"/>
        </w:rPr>
        <w:t>he</w:t>
      </w:r>
      <w:r w:rsidR="00CA3C0E">
        <w:rPr>
          <w:lang w:val="en-US"/>
        </w:rPr>
        <w:t xml:space="preserve"> policymaker</w:t>
      </w:r>
      <w:r w:rsidRPr="004003BE">
        <w:rPr>
          <w:lang w:val="en-US"/>
        </w:rPr>
        <w:t xml:space="preserve"> raises the revenue from export sales abroad, transferring wealth to the affected country. The ability to manipulate the exchange rate to transfer wealth from the foreign to home country clearly could present a temptation to pursue </w:t>
      </w:r>
      <w:r w:rsidRPr="005C007D">
        <w:rPr>
          <w:i/>
          <w:iCs/>
          <w:lang w:val="en-US"/>
        </w:rPr>
        <w:t>beggar-thy-</w:t>
      </w:r>
      <w:proofErr w:type="spellStart"/>
      <w:r w:rsidRPr="005C007D">
        <w:rPr>
          <w:i/>
          <w:iCs/>
          <w:lang w:val="en-US"/>
        </w:rPr>
        <w:t>neighbour</w:t>
      </w:r>
      <w:proofErr w:type="spellEnd"/>
      <w:r w:rsidRPr="004003BE">
        <w:rPr>
          <w:lang w:val="en-US"/>
        </w:rPr>
        <w:t xml:space="preserve"> policies. But in the hands of a central policy coordinator, this </w:t>
      </w:r>
      <w:r>
        <w:rPr>
          <w:lang w:val="en-US"/>
        </w:rPr>
        <w:t>becomes a means of making transfers between countries when useful for insurance purposes.</w:t>
      </w:r>
    </w:p>
    <w:p w14:paraId="7A8AA4F8" w14:textId="77777777" w:rsidR="00B73AED" w:rsidRDefault="004003BE" w:rsidP="00B73AED">
      <w:pPr>
        <w:pStyle w:val="Nivel2SM"/>
        <w:keepNext/>
        <w:spacing w:after="0"/>
        <w:rPr>
          <w:lang w:val="en-US"/>
        </w:rPr>
      </w:pPr>
      <w:r w:rsidRPr="004003BE">
        <w:rPr>
          <w:lang w:val="en-US"/>
        </w:rPr>
        <w:t xml:space="preserve">Note that a coordinated policy motivated by the objective of risk sharing might in principle conflict with the motivation for coordination laid out in previous sections. There is no reason to suppose that the degree of monetary contraction needed to transfer enough wealth to pool risk is also that degree needed to discourage production to the level consistent with flexible prices. </w:t>
      </w:r>
      <w:r w:rsidRPr="00B73AED">
        <w:rPr>
          <w:lang w:val="en-US"/>
        </w:rPr>
        <w:t>That is, it may not be possible to use policy coordination to offset two economic distortions at the same time, the sticky-price and imperfect risk-sharing distortions.</w:t>
      </w:r>
    </w:p>
    <w:p w14:paraId="7B09AF2E" w14:textId="5C711DA2" w:rsidR="004003BE" w:rsidRPr="004003BE" w:rsidRDefault="004003BE" w:rsidP="00B73AED">
      <w:pPr>
        <w:pStyle w:val="Nivel3SM"/>
        <w:rPr>
          <w:lang w:val="en-US"/>
        </w:rPr>
      </w:pPr>
      <w:r w:rsidRPr="00B73AED">
        <w:rPr>
          <w:lang w:val="en-US"/>
        </w:rPr>
        <w:t xml:space="preserve">This is a point emphasized in the influential work of </w:t>
      </w:r>
      <w:r w:rsidRPr="00B73AED">
        <w:rPr>
          <w:smallCaps/>
          <w:lang w:val="en-US"/>
        </w:rPr>
        <w:t>Obstfeld</w:t>
      </w:r>
      <w:r w:rsidRPr="00B73AED">
        <w:rPr>
          <w:lang w:val="en-US"/>
        </w:rPr>
        <w:t xml:space="preserve"> and </w:t>
      </w:r>
      <w:r w:rsidRPr="00B73AED">
        <w:rPr>
          <w:smallCaps/>
          <w:lang w:val="en-US"/>
        </w:rPr>
        <w:t>Rogoff</w:t>
      </w:r>
      <w:r w:rsidRPr="00B73AED">
        <w:rPr>
          <w:lang w:val="en-US"/>
        </w:rPr>
        <w:t xml:space="preserve"> (2002).</w:t>
      </w:r>
    </w:p>
    <w:p w14:paraId="79EFFAEC" w14:textId="77777777" w:rsidR="00E304C3" w:rsidRPr="004003BE" w:rsidRDefault="00E304C3" w:rsidP="00CB266C">
      <w:pPr>
        <w:pStyle w:val="Ttulo7"/>
        <w:rPr>
          <w:lang w:val="en-US"/>
        </w:rPr>
      </w:pPr>
      <w:bookmarkStart w:id="41" w:name="_Toc173970593"/>
      <w:proofErr w:type="spellStart"/>
      <w:r w:rsidRPr="004003BE">
        <w:rPr>
          <w:lang w:val="en-US"/>
        </w:rPr>
        <w:t>Inclusión</w:t>
      </w:r>
      <w:proofErr w:type="spellEnd"/>
      <w:r w:rsidRPr="004003BE">
        <w:rPr>
          <w:lang w:val="en-US"/>
        </w:rPr>
        <w:t xml:space="preserve"> de CGV</w:t>
      </w:r>
      <w:bookmarkEnd w:id="41"/>
    </w:p>
    <w:p w14:paraId="067A2E98" w14:textId="77777777" w:rsidR="00E304C3" w:rsidRPr="00572180" w:rsidRDefault="00E304C3" w:rsidP="00E304C3">
      <w:pPr>
        <w:pStyle w:val="Nivel1SM"/>
        <w:spacing w:before="0"/>
      </w:pPr>
      <w:r>
        <w:t>También existen modelos que por su diseño generan mayores efectos desbordamiento de las políticas de un país a otro, debido a modelizar mayor interdependencia. Una posibilidad es incluir bienes que se importan por un país para después ser exportados (i.e. bienes intermedios). Por tanto, el canal RRI es más potente y existirían más beneficios de la coordinación de las políticas económicas.</w:t>
      </w:r>
    </w:p>
    <w:p w14:paraId="185A1E44" w14:textId="40C59026" w:rsidR="00E304C3" w:rsidRDefault="00E304C3" w:rsidP="00CB266C">
      <w:pPr>
        <w:pStyle w:val="Ttulo6"/>
      </w:pPr>
      <w:bookmarkStart w:id="42" w:name="_Toc173970594"/>
      <w:r>
        <w:t>Evidencia empírica</w:t>
      </w:r>
      <w:r w:rsidR="003639B2">
        <w:t xml:space="preserve"> y extensiones</w:t>
      </w:r>
      <w:bookmarkEnd w:id="42"/>
    </w:p>
    <w:p w14:paraId="41AA883D" w14:textId="00FF33C6" w:rsidR="00657F8D" w:rsidRDefault="00657F8D" w:rsidP="00CB1E15">
      <w:pPr>
        <w:pStyle w:val="Nivel1SM"/>
        <w:spacing w:before="0"/>
      </w:pPr>
      <w:r w:rsidRPr="002A6CFF">
        <w:t xml:space="preserve">Los efectos </w:t>
      </w:r>
      <w:r w:rsidR="00BB01CE">
        <w:t>spillover</w:t>
      </w:r>
      <w:r w:rsidRPr="002A6CFF">
        <w:t xml:space="preserve"> de las políticas y las interacciones estratégicas de los responsables de la formulación de políticas son temas introducidos en la investigación de </w:t>
      </w:r>
      <w:r w:rsidRPr="00657F8D">
        <w:rPr>
          <w:smallCaps/>
        </w:rPr>
        <w:t>Hamada</w:t>
      </w:r>
      <w:r>
        <w:t xml:space="preserve"> (1974), </w:t>
      </w:r>
      <w:r w:rsidRPr="00657F8D">
        <w:rPr>
          <w:smallCaps/>
        </w:rPr>
        <w:t>Oudiz y Sachs</w:t>
      </w:r>
      <w:r>
        <w:t xml:space="preserve"> (1984) y </w:t>
      </w:r>
      <w:proofErr w:type="spellStart"/>
      <w:r w:rsidRPr="00657F8D">
        <w:rPr>
          <w:smallCaps/>
        </w:rPr>
        <w:t>Canzoneri</w:t>
      </w:r>
      <w:proofErr w:type="spellEnd"/>
      <w:r>
        <w:t xml:space="preserve"> y </w:t>
      </w:r>
      <w:r w:rsidRPr="00657F8D">
        <w:rPr>
          <w:smallCaps/>
        </w:rPr>
        <w:t>Gray</w:t>
      </w:r>
      <w:r>
        <w:t xml:space="preserve"> (1985).</w:t>
      </w:r>
    </w:p>
    <w:p w14:paraId="55EF91C3" w14:textId="666ED78A" w:rsidR="003639B2" w:rsidRPr="00657F8D" w:rsidRDefault="003639B2" w:rsidP="003639B2">
      <w:pPr>
        <w:pStyle w:val="Ttulo7"/>
      </w:pPr>
      <w:bookmarkStart w:id="43" w:name="_Toc173970595"/>
      <w:r>
        <w:t>Primeros resultados: ganancias de la coordinación demasiado limitadas (</w:t>
      </w:r>
      <w:r w:rsidRPr="003639B2">
        <w:rPr>
          <w:smallCaps/>
        </w:rPr>
        <w:t>Oudiz</w:t>
      </w:r>
      <w:r w:rsidRPr="003639B2">
        <w:t xml:space="preserve"> y </w:t>
      </w:r>
      <w:r>
        <w:rPr>
          <w:smallCaps/>
        </w:rPr>
        <w:t>Sachs</w:t>
      </w:r>
      <w:r>
        <w:t>, 1984)</w:t>
      </w:r>
      <w:bookmarkEnd w:id="43"/>
    </w:p>
    <w:p w14:paraId="664A1BE8" w14:textId="77777777" w:rsidR="00BB01CE" w:rsidRDefault="00657F8D" w:rsidP="003639B2">
      <w:pPr>
        <w:pStyle w:val="Nivel1SM"/>
        <w:keepNext/>
        <w:spacing w:before="0" w:after="0"/>
      </w:pPr>
      <w:r>
        <w:t xml:space="preserve">Cuando un modelo teórico keynesiano que incorpora los </w:t>
      </w:r>
      <w:r w:rsidR="00BB01CE">
        <w:t>efectos desbordamiento</w:t>
      </w:r>
      <w:r>
        <w:t xml:space="preserve"> </w:t>
      </w:r>
      <w:r w:rsidR="00BB01CE">
        <w:t>mencionado</w:t>
      </w:r>
      <w:r>
        <w:t xml:space="preserve">s fue cuantificado por </w:t>
      </w:r>
      <w:r w:rsidRPr="00657F8D">
        <w:rPr>
          <w:smallCaps/>
        </w:rPr>
        <w:t>Oudiz</w:t>
      </w:r>
      <w:r>
        <w:t xml:space="preserve"> y </w:t>
      </w:r>
      <w:r w:rsidRPr="00657F8D">
        <w:rPr>
          <w:smallCaps/>
        </w:rPr>
        <w:t>Sachs</w:t>
      </w:r>
      <w:r>
        <w:t xml:space="preserve"> (1984), se encontró que </w:t>
      </w:r>
      <w:r w:rsidRPr="00BB01CE">
        <w:rPr>
          <w:i/>
          <w:iCs/>
          <w:u w:val="single"/>
        </w:rPr>
        <w:t>las ganancias de la coordinación eran demasiado pequeñas para justificar el esfuerzo</w:t>
      </w:r>
      <w:r>
        <w:t>.</w:t>
      </w:r>
    </w:p>
    <w:p w14:paraId="22026B92" w14:textId="58A08895" w:rsidR="00657F8D" w:rsidRPr="00657F8D" w:rsidRDefault="00657F8D" w:rsidP="00417D90">
      <w:pPr>
        <w:pStyle w:val="Nivel2SM"/>
      </w:pPr>
      <w:r>
        <w:t>Las exportaciones de mercancías estadounidenses a Europa en ese momento sólo representaban el 1,6</w:t>
      </w:r>
      <w:r w:rsidR="00BB01CE">
        <w:t> </w:t>
      </w:r>
      <w:r>
        <w:t>% del PNB estadounidense.</w:t>
      </w:r>
      <w:r w:rsidR="00BB01CE">
        <w:t xml:space="preserve"> </w:t>
      </w:r>
      <w:r>
        <w:t>Como resultado, las ganancias de la coordinación se estimaron en solo alrededor de 0,5</w:t>
      </w:r>
      <w:r w:rsidR="00BB01CE">
        <w:t> </w:t>
      </w:r>
      <w:r>
        <w:t>p</w:t>
      </w:r>
      <w:r w:rsidR="00BB01CE">
        <w:t>.</w:t>
      </w:r>
      <w:r>
        <w:t>p</w:t>
      </w:r>
      <w:r w:rsidR="00BB01CE">
        <w:t xml:space="preserve">. </w:t>
      </w:r>
      <w:r>
        <w:t>del PIB para los Estados Unidos.</w:t>
      </w:r>
    </w:p>
    <w:p w14:paraId="51E594EF" w14:textId="518FC2BE" w:rsidR="00657F8D" w:rsidRPr="00657F8D" w:rsidRDefault="00657F8D" w:rsidP="00CB1E15">
      <w:pPr>
        <w:pStyle w:val="Nivel2SM"/>
      </w:pPr>
      <w:r>
        <w:t xml:space="preserve">La lección es que, dado que la integración internacional es en realidad bastante baja, la coordinación de políticas </w:t>
      </w:r>
      <w:r w:rsidR="00BB01CE">
        <w:t xml:space="preserve">no </w:t>
      </w:r>
      <w:r>
        <w:t xml:space="preserve">desempeña </w:t>
      </w:r>
      <w:r w:rsidR="00BB01CE">
        <w:t xml:space="preserve">un </w:t>
      </w:r>
      <w:r>
        <w:t>papel</w:t>
      </w:r>
      <w:r w:rsidR="00BB01CE">
        <w:t xml:space="preserve"> importante</w:t>
      </w:r>
      <w:r>
        <w:t>.</w:t>
      </w:r>
    </w:p>
    <w:p w14:paraId="6F8F66F1" w14:textId="54AB7847" w:rsidR="00657F8D" w:rsidRDefault="00657F8D" w:rsidP="00CB1E15">
      <w:pPr>
        <w:pStyle w:val="Nivel2SM"/>
      </w:pPr>
      <w:r>
        <w:lastRenderedPageBreak/>
        <w:t xml:space="preserve">Una pregunta que </w:t>
      </w:r>
      <w:r w:rsidR="003639B2">
        <w:t>surge</w:t>
      </w:r>
      <w:r>
        <w:t xml:space="preserve"> es si esta conclusión sigue siendo válida en un mundo progresivamente más globalizado e integrado</w:t>
      </w:r>
      <w:r w:rsidR="004071CA">
        <w:rPr>
          <w:rStyle w:val="Refdenotaalpie"/>
        </w:rPr>
        <w:footnoteReference w:id="22"/>
      </w:r>
      <w:r>
        <w:t>.</w:t>
      </w:r>
    </w:p>
    <w:p w14:paraId="626CB7AC" w14:textId="04968158" w:rsidR="003639B2" w:rsidRDefault="003639B2" w:rsidP="003639B2">
      <w:pPr>
        <w:pStyle w:val="Ttulo7"/>
      </w:pPr>
      <w:bookmarkStart w:id="44" w:name="_Toc173970596"/>
      <w:r>
        <w:t>¿Y si tenemos en cuenta el argumento de la mutualización de riesgos? Siguen siendo reducidos</w:t>
      </w:r>
      <w:bookmarkEnd w:id="44"/>
    </w:p>
    <w:p w14:paraId="4320D666" w14:textId="799F4670" w:rsidR="00FB4446" w:rsidRDefault="00FB4446" w:rsidP="003639B2">
      <w:pPr>
        <w:pStyle w:val="Nivel1SM"/>
        <w:keepLines/>
        <w:spacing w:before="0"/>
      </w:pPr>
      <w:r>
        <w:t xml:space="preserve">Incluso teniendo en cuenta las teorías más recientes que proveen nuevas justificaciones para la coordinación de políticas económicas (p.ej. la mutualización de riesgos), </w:t>
      </w:r>
      <w:r>
        <w:rPr>
          <w:smallCaps/>
        </w:rPr>
        <w:t>Obstfeld</w:t>
      </w:r>
      <w:r>
        <w:t xml:space="preserve"> y </w:t>
      </w:r>
      <w:r>
        <w:rPr>
          <w:smallCaps/>
        </w:rPr>
        <w:t>Rogoff</w:t>
      </w:r>
      <w:r>
        <w:t xml:space="preserve"> encuentran que existen beneficios de la coordinación internacional de política económica, pero que estos son reducidos.</w:t>
      </w:r>
    </w:p>
    <w:p w14:paraId="29121F7E" w14:textId="2749F704" w:rsidR="003639B2" w:rsidRPr="007F604D" w:rsidRDefault="003639B2" w:rsidP="003639B2">
      <w:pPr>
        <w:pStyle w:val="Ttulo7"/>
        <w:jc w:val="left"/>
        <w:rPr>
          <w:spacing w:val="-10"/>
          <w:w w:val="99"/>
          <w:sz w:val="19"/>
          <w:szCs w:val="19"/>
          <w:u w:val="none"/>
        </w:rPr>
      </w:pPr>
      <w:bookmarkStart w:id="45" w:name="_Toc173970597"/>
      <w:r>
        <w:t>Otros factores a tener en cuenta que sesgan los resultados:</w:t>
      </w:r>
      <w:r>
        <w:br/>
      </w:r>
      <w:r w:rsidRPr="007F604D">
        <w:rPr>
          <w:spacing w:val="-10"/>
          <w:w w:val="99"/>
          <w:sz w:val="19"/>
          <w:szCs w:val="19"/>
          <w:u w:val="none"/>
        </w:rPr>
        <w:t>(</w:t>
      </w:r>
      <w:r w:rsidR="00EB7781">
        <w:rPr>
          <w:spacing w:val="-10"/>
          <w:w w:val="99"/>
          <w:sz w:val="19"/>
          <w:szCs w:val="19"/>
          <w:u w:val="none"/>
        </w:rPr>
        <w:t>−</w:t>
      </w:r>
      <w:r w:rsidRPr="007F604D">
        <w:rPr>
          <w:spacing w:val="-10"/>
          <w:w w:val="99"/>
          <w:sz w:val="19"/>
          <w:szCs w:val="19"/>
          <w:u w:val="none"/>
        </w:rPr>
        <w:t>) regímenes de fijación de precios de las exportaciones vs (</w:t>
      </w:r>
      <w:r w:rsidR="007F604D">
        <w:rPr>
          <w:spacing w:val="-10"/>
          <w:w w:val="99"/>
          <w:sz w:val="19"/>
          <w:szCs w:val="19"/>
          <w:u w:val="none"/>
        </w:rPr>
        <w:t>+</w:t>
      </w:r>
      <w:r w:rsidRPr="007F604D">
        <w:rPr>
          <w:spacing w:val="-10"/>
          <w:w w:val="99"/>
          <w:sz w:val="19"/>
          <w:szCs w:val="19"/>
          <w:u w:val="none"/>
        </w:rPr>
        <w:t>) consideración de cadenas globales de valor</w:t>
      </w:r>
      <w:r w:rsidR="007F604D" w:rsidRPr="007F604D">
        <w:rPr>
          <w:spacing w:val="-10"/>
          <w:w w:val="99"/>
          <w:sz w:val="19"/>
          <w:szCs w:val="19"/>
          <w:u w:val="none"/>
        </w:rPr>
        <w:t xml:space="preserve"> y bienes no comercializables</w:t>
      </w:r>
      <w:bookmarkEnd w:id="45"/>
    </w:p>
    <w:p w14:paraId="3B2C227B" w14:textId="1AC4C4C2" w:rsidR="00FB4446" w:rsidRDefault="00FB4446" w:rsidP="003639B2">
      <w:pPr>
        <w:pStyle w:val="Nivel1SM"/>
        <w:keepNext/>
        <w:spacing w:before="0" w:after="0"/>
      </w:pPr>
      <w:r>
        <w:t xml:space="preserve">En cualquier caso, la evidencia empírica ha buscado contrastar </w:t>
      </w:r>
      <w:r w:rsidRPr="003639B2">
        <w:rPr>
          <w:b/>
          <w:bCs/>
        </w:rPr>
        <w:t>escenarios más realistas</w:t>
      </w:r>
      <w:r>
        <w:t xml:space="preserve"> que sesgan los resultados en ambas direcciones:</w:t>
      </w:r>
    </w:p>
    <w:p w14:paraId="0873DE8B" w14:textId="28188F4D" w:rsidR="003639B2" w:rsidRDefault="003639B2" w:rsidP="003639B2">
      <w:pPr>
        <w:pStyle w:val="Nivel2SM"/>
        <w:keepNext/>
        <w:spacing w:after="0"/>
      </w:pPr>
      <w:r>
        <w:t xml:space="preserve">Por un lado, la consideración de distintos regímenes de fijación de precios de las exportaciones podría </w:t>
      </w:r>
      <w:r w:rsidRPr="003639B2">
        <w:rPr>
          <w:i/>
          <w:iCs/>
          <w:u w:val="single"/>
        </w:rPr>
        <w:t>reducir los beneficios de la coordinación de las políticas económicas</w:t>
      </w:r>
      <w:r>
        <w:t>.</w:t>
      </w:r>
    </w:p>
    <w:p w14:paraId="2A2CD309" w14:textId="20556B55" w:rsidR="00FB4446" w:rsidRDefault="00FB4446" w:rsidP="003639B2">
      <w:pPr>
        <w:pStyle w:val="Nivel3SM"/>
      </w:pPr>
      <w:r>
        <w:t xml:space="preserve">Así, </w:t>
      </w:r>
      <w:r>
        <w:rPr>
          <w:smallCaps/>
        </w:rPr>
        <w:t>Devereux</w:t>
      </w:r>
      <w:r>
        <w:t xml:space="preserve"> y </w:t>
      </w:r>
      <w:r>
        <w:rPr>
          <w:smallCaps/>
        </w:rPr>
        <w:t>Engel</w:t>
      </w:r>
      <w:r>
        <w:t xml:space="preserve"> (2003) demuestran que en un régimen de </w:t>
      </w:r>
      <w:r>
        <w:rPr>
          <w:i/>
          <w:iCs/>
        </w:rPr>
        <w:t>local currency pricing</w:t>
      </w:r>
      <w:r>
        <w:t xml:space="preserve">, no existen incentivos a llevar a cabo políticas de </w:t>
      </w:r>
      <w:proofErr w:type="spellStart"/>
      <w:r>
        <w:rPr>
          <w:i/>
          <w:iCs/>
        </w:rPr>
        <w:t>beggar-thy-neighbour</w:t>
      </w:r>
      <w:proofErr w:type="spellEnd"/>
      <w:r>
        <w:t xml:space="preserve"> y, por lo tanto, no existe motivación para la coordinación de política económica.</w:t>
      </w:r>
    </w:p>
    <w:p w14:paraId="707B9928" w14:textId="47EEF880" w:rsidR="003639B2" w:rsidRDefault="003639B2" w:rsidP="003639B2">
      <w:pPr>
        <w:pStyle w:val="Nivel2SM"/>
        <w:keepNext/>
        <w:spacing w:after="0"/>
      </w:pPr>
      <w:r>
        <w:t xml:space="preserve">Por otro lado, otras características que presenta la realidad económica </w:t>
      </w:r>
      <w:r w:rsidRPr="003639B2">
        <w:rPr>
          <w:i/>
          <w:iCs/>
          <w:u w:val="single"/>
        </w:rPr>
        <w:t>favorece la defensa de la coordinación de políticas económicas</w:t>
      </w:r>
      <w:r>
        <w:t>:</w:t>
      </w:r>
    </w:p>
    <w:p w14:paraId="7F34B577" w14:textId="17AD6346" w:rsidR="00EB7781" w:rsidRPr="00EB7781" w:rsidRDefault="00EB7781" w:rsidP="00A863D1">
      <w:pPr>
        <w:pStyle w:val="Nivel3SM"/>
      </w:pPr>
      <w:r w:rsidRPr="003639B2">
        <w:t xml:space="preserve">Entre ellas figura la </w:t>
      </w:r>
      <w:r w:rsidRPr="00EB7781">
        <w:rPr>
          <w:i/>
          <w:iCs/>
        </w:rPr>
        <w:t xml:space="preserve">dependencia de los bienes importados como </w:t>
      </w:r>
      <w:r>
        <w:rPr>
          <w:i/>
          <w:iCs/>
        </w:rPr>
        <w:t xml:space="preserve">bienes </w:t>
      </w:r>
      <w:r w:rsidRPr="00EB7781">
        <w:rPr>
          <w:i/>
          <w:iCs/>
        </w:rPr>
        <w:t>intermedios en el proceso de producción nacional</w:t>
      </w:r>
      <w:r w:rsidRPr="003639B2">
        <w:t>, en cuyo caso las fluctuaciones aleatorias del tipo de cambio pueden perturbar gravemente la producción nacional. Es probable que estas cuestiones sean más importantes para las pequeñas economías, especialmente las que se especializan en operaciones de ensamblaje de componentes importados para la exportación final.</w:t>
      </w:r>
    </w:p>
    <w:p w14:paraId="45BFB7B9" w14:textId="76D140AF" w:rsidR="00EB7781" w:rsidRPr="004071CA" w:rsidRDefault="00EB7781" w:rsidP="00EB7781">
      <w:pPr>
        <w:pStyle w:val="Nivel3SM"/>
        <w:keepNext/>
      </w:pPr>
      <w:r w:rsidRPr="004071CA">
        <w:t xml:space="preserve">Otra característica relevante es la </w:t>
      </w:r>
      <w:r w:rsidRPr="004071CA">
        <w:rPr>
          <w:i/>
          <w:iCs/>
        </w:rPr>
        <w:t>presencia de bienes no comercializables</w:t>
      </w:r>
      <w:r w:rsidRPr="004071CA">
        <w:t xml:space="preserve">. Si los shocks de productividad que afectan al sector </w:t>
      </w:r>
      <w:r w:rsidR="004071CA" w:rsidRPr="004071CA">
        <w:t xml:space="preserve">de bienes </w:t>
      </w:r>
      <w:r w:rsidRPr="004071CA">
        <w:t>no</w:t>
      </w:r>
      <w:r w:rsidR="004071CA" w:rsidRPr="004071CA">
        <w:t> comercializables</w:t>
      </w:r>
      <w:r w:rsidRPr="004071CA">
        <w:t xml:space="preserve"> difieren del sector </w:t>
      </w:r>
      <w:r w:rsidR="004071CA" w:rsidRPr="004071CA">
        <w:t>de bienes comercializables</w:t>
      </w:r>
      <w:r w:rsidRPr="004071CA">
        <w:t>, puede resultar difícil para el comercio internacional en los mercados de activos asegurarse contra ellos.</w:t>
      </w:r>
    </w:p>
    <w:p w14:paraId="5464D915" w14:textId="0AD919CE" w:rsidR="00EB7781" w:rsidRPr="00EB7781" w:rsidRDefault="00EB7781" w:rsidP="00EB7781">
      <w:pPr>
        <w:pStyle w:val="Nivel4"/>
        <w:ind w:left="1474"/>
      </w:pPr>
      <w:r w:rsidRPr="003639B2">
        <w:t xml:space="preserve">La calibración y simulación de modelos con estas características más realistas indica que es posible que algunas economías se beneficien sustancialmente de la coordinación de políticas (véase </w:t>
      </w:r>
      <w:proofErr w:type="spellStart"/>
      <w:r w:rsidRPr="003639B2">
        <w:rPr>
          <w:smallCaps/>
        </w:rPr>
        <w:t>Tchakarov</w:t>
      </w:r>
      <w:proofErr w:type="spellEnd"/>
      <w:r w:rsidRPr="003639B2">
        <w:t>, 2004).</w:t>
      </w:r>
    </w:p>
    <w:p w14:paraId="2837E92C" w14:textId="434ED3B0" w:rsidR="003639B2" w:rsidRPr="003639B2" w:rsidRDefault="003639B2" w:rsidP="003639B2">
      <w:pPr>
        <w:pStyle w:val="Nivel1SM"/>
        <w:rPr>
          <w:lang w:val="en-US"/>
        </w:rPr>
      </w:pPr>
      <w:r w:rsidRPr="003639B2">
        <w:rPr>
          <w:lang w:val="en-US"/>
        </w:rPr>
        <w:t xml:space="preserve">In sum, the size of benefits from coordination depends on </w:t>
      </w:r>
      <w:proofErr w:type="gramStart"/>
      <w:r w:rsidRPr="003639B2">
        <w:rPr>
          <w:lang w:val="en-US"/>
        </w:rPr>
        <w:t>a number of</w:t>
      </w:r>
      <w:proofErr w:type="gramEnd"/>
      <w:r w:rsidRPr="003639B2">
        <w:rPr>
          <w:lang w:val="en-US"/>
        </w:rPr>
        <w:t xml:space="preserve"> key characteristics of economies. These include how developed asset markets are, how responsive trade flows are to relative prices, how important it is to households to smooth their consumption levels over time, how </w:t>
      </w:r>
      <w:r w:rsidRPr="003639B2">
        <w:rPr>
          <w:lang w:val="en-US"/>
        </w:rPr>
        <w:lastRenderedPageBreak/>
        <w:t>imports are used, and how sticky prices are set. Whether policy coordination is worthwhile for a country depends largely on the individual characteristics of that country.</w:t>
      </w:r>
    </w:p>
    <w:p w14:paraId="61BC7187" w14:textId="0D3252B6" w:rsidR="00E304C3" w:rsidRPr="002A6CFF" w:rsidRDefault="00E304C3" w:rsidP="00CB266C">
      <w:pPr>
        <w:pStyle w:val="Ttulo6"/>
        <w:rPr>
          <w:lang w:val="en-US"/>
        </w:rPr>
      </w:pPr>
      <w:bookmarkStart w:id="46" w:name="_Toc173970598"/>
      <w:proofErr w:type="spellStart"/>
      <w:r w:rsidRPr="002A6CFF">
        <w:rPr>
          <w:lang w:val="en-US"/>
        </w:rPr>
        <w:t>Valoración</w:t>
      </w:r>
      <w:bookmarkEnd w:id="46"/>
      <w:proofErr w:type="spellEnd"/>
    </w:p>
    <w:p w14:paraId="155C2D33" w14:textId="62D150AA" w:rsidR="00E304C3" w:rsidRPr="00BB01CE" w:rsidRDefault="00E304C3" w:rsidP="00E304C3">
      <w:pPr>
        <w:pStyle w:val="Nivel1SM"/>
        <w:spacing w:before="0"/>
        <w:rPr>
          <w:spacing w:val="-2"/>
        </w:rPr>
      </w:pPr>
      <w:r w:rsidRPr="00BB01CE">
        <w:rPr>
          <w:spacing w:val="-2"/>
        </w:rPr>
        <w:t xml:space="preserve">En la práctica existen obstáculos de carácter económico y político que dificultan la coordinación en la práctica, algo que puede explicar </w:t>
      </w:r>
      <w:r w:rsidR="00CB266C" w:rsidRPr="00BB01CE">
        <w:rPr>
          <w:spacing w:val="-2"/>
        </w:rPr>
        <w:t>por qué</w:t>
      </w:r>
      <w:r w:rsidRPr="00BB01CE">
        <w:rPr>
          <w:spacing w:val="-2"/>
        </w:rPr>
        <w:t xml:space="preserve"> autores como </w:t>
      </w:r>
      <w:r w:rsidRPr="00BB01CE">
        <w:rPr>
          <w:smallCaps/>
          <w:spacing w:val="-2"/>
        </w:rPr>
        <w:t>Blanchard</w:t>
      </w:r>
      <w:r w:rsidRPr="00BB01CE">
        <w:rPr>
          <w:spacing w:val="-2"/>
        </w:rPr>
        <w:t xml:space="preserve"> se refieren a ella como </w:t>
      </w:r>
      <w:r w:rsidRPr="00BB01CE">
        <w:rPr>
          <w:i/>
          <w:iCs/>
          <w:spacing w:val="-2"/>
        </w:rPr>
        <w:t>“el monstruo del Lago Ness”</w:t>
      </w:r>
      <w:r w:rsidRPr="00BB01CE">
        <w:rPr>
          <w:spacing w:val="-2"/>
        </w:rPr>
        <w:t>, refiriéndose a que es una cuestión de la que se habla mucho pero nunca se ve.</w:t>
      </w:r>
    </w:p>
    <w:p w14:paraId="0C3EB940" w14:textId="77777777" w:rsidR="00E304C3" w:rsidRPr="00CE27A8" w:rsidRDefault="00E304C3" w:rsidP="00E304C3">
      <w:pPr>
        <w:pStyle w:val="Nivel1SM"/>
        <w:spacing w:before="0"/>
      </w:pPr>
      <w:r>
        <w:t>Al margen de estas dificultades asociadas a la coordinación, existen estudios empíricos que tratan de evaluar los beneficios de la coordinación y concluyen al respecto que éstos parecen ser bastante modestos.</w:t>
      </w:r>
    </w:p>
    <w:p w14:paraId="55A97D04" w14:textId="21E8014E" w:rsidR="00E304C3" w:rsidRPr="007F7398" w:rsidRDefault="007F7398" w:rsidP="00E304C3">
      <w:pPr>
        <w:pStyle w:val="Ttulo2"/>
      </w:pPr>
      <w:bookmarkStart w:id="47" w:name="_Toc173970599"/>
      <w:r w:rsidRPr="007F7398">
        <w:t>Deseabilidad de la coordinación internacional de las políticas macroeconómicas.</w:t>
      </w:r>
      <w:r w:rsidRPr="007F7398">
        <w:br/>
        <w:t>Condición suficiente: Beneficios. Análisis desde un marco de teoría de juegos.</w:t>
      </w:r>
      <w:bookmarkEnd w:id="47"/>
    </w:p>
    <w:p w14:paraId="622DE7E7" w14:textId="77777777" w:rsidR="00E304C3" w:rsidRPr="00F17ACB" w:rsidRDefault="00E304C3" w:rsidP="00E304C3">
      <w:pPr>
        <w:pStyle w:val="Ttulo6"/>
        <w:spacing w:before="0"/>
      </w:pPr>
      <w:bookmarkStart w:id="48" w:name="_Toc173970600"/>
      <w:r>
        <w:t>Idea</w:t>
      </w:r>
      <w:bookmarkEnd w:id="48"/>
    </w:p>
    <w:p w14:paraId="162686E0" w14:textId="13656F4A" w:rsidR="00E304C3" w:rsidRDefault="00E304C3" w:rsidP="00E304C3">
      <w:pPr>
        <w:pStyle w:val="Nivel1SM"/>
        <w:keepNext/>
        <w:spacing w:before="0" w:after="0"/>
      </w:pPr>
      <w:r>
        <w:t xml:space="preserve">La existencia de </w:t>
      </w:r>
      <w:r w:rsidRPr="005B4C3B">
        <w:rPr>
          <w:i/>
          <w:iCs/>
        </w:rPr>
        <w:t>efectos desbordamiento</w:t>
      </w:r>
      <w:r>
        <w:t xml:space="preserve"> constituye una </w:t>
      </w:r>
      <w:r w:rsidRPr="005B4C3B">
        <w:rPr>
          <w:i/>
          <w:iCs/>
          <w:u w:val="single"/>
        </w:rPr>
        <w:t>condición necesaria</w:t>
      </w:r>
      <w:r>
        <w:t xml:space="preserve"> para justificar la coordinación de políticas económicas, pero la </w:t>
      </w:r>
      <w:r w:rsidRPr="005B4C3B">
        <w:rPr>
          <w:i/>
          <w:iCs/>
          <w:u w:val="single"/>
        </w:rPr>
        <w:t>condición suficiente</w:t>
      </w:r>
      <w:r>
        <w:t xml:space="preserve"> es que existan ciertos </w:t>
      </w:r>
      <w:r w:rsidRPr="005B4C3B">
        <w:rPr>
          <w:i/>
          <w:iCs/>
        </w:rPr>
        <w:t>beneficios derivados de la toma de decisiones coordinadas respecto a la no</w:t>
      </w:r>
      <w:r w:rsidR="00CB266C">
        <w:rPr>
          <w:i/>
          <w:iCs/>
        </w:rPr>
        <w:t> </w:t>
      </w:r>
      <w:r w:rsidRPr="005B4C3B">
        <w:rPr>
          <w:i/>
          <w:iCs/>
        </w:rPr>
        <w:t>coordinación</w:t>
      </w:r>
      <w:r>
        <w:t>.</w:t>
      </w:r>
    </w:p>
    <w:p w14:paraId="5F10FFD0" w14:textId="77777777" w:rsidR="00E304C3" w:rsidRDefault="00E304C3" w:rsidP="00E304C3">
      <w:pPr>
        <w:pStyle w:val="Nivel2SM"/>
      </w:pPr>
      <w:r>
        <w:t xml:space="preserve">Una vez que hemos visto que </w:t>
      </w:r>
      <w:r w:rsidRPr="00F17ACB">
        <w:t>la política macroeconómica puede producir efectos desbordamiento</w:t>
      </w:r>
      <w:r>
        <w:t xml:space="preserve">, vamos a ver cómo la </w:t>
      </w:r>
      <w:r w:rsidRPr="00F17ACB">
        <w:rPr>
          <w:b/>
          <w:bCs/>
        </w:rPr>
        <w:t>coordinación internacional</w:t>
      </w:r>
      <w:r>
        <w:t xml:space="preserve"> permite alcanzar un </w:t>
      </w:r>
      <w:r w:rsidRPr="00F17ACB">
        <w:rPr>
          <w:b/>
          <w:bCs/>
        </w:rPr>
        <w:t>resultado más eficiente</w:t>
      </w:r>
      <w:r>
        <w:t xml:space="preserve"> que la no cooperación.</w:t>
      </w:r>
    </w:p>
    <w:p w14:paraId="2A32B07F" w14:textId="6FE8A3BF" w:rsidR="00E304C3" w:rsidRDefault="00E304C3" w:rsidP="00E304C3">
      <w:pPr>
        <w:pStyle w:val="Nivel1SM"/>
        <w:keepNext/>
        <w:spacing w:after="0"/>
      </w:pPr>
      <w:r>
        <w:t xml:space="preserve">Los modelos teóricos que analizan la coordinación internacional de políticas macroeconómicas hacen un uso profuso de la </w:t>
      </w:r>
      <w:r>
        <w:rPr>
          <w:b/>
          <w:bCs/>
        </w:rPr>
        <w:t>teoría de juegos</w:t>
      </w:r>
      <w:r>
        <w:t xml:space="preserve">, lo cual es lógico dado que examinan situaciones en las que existe </w:t>
      </w:r>
      <w:r>
        <w:rPr>
          <w:b/>
          <w:bCs/>
        </w:rPr>
        <w:t>interdependencia estratégica</w:t>
      </w:r>
      <w:r>
        <w:t xml:space="preserve"> entre los jugadores y éstos son conscientes de dicha interdependencia </w:t>
      </w:r>
      <w:r w:rsidRPr="00F17ACB">
        <w:rPr>
          <w:color w:val="767171" w:themeColor="background2" w:themeShade="80"/>
          <w:sz w:val="19"/>
          <w:szCs w:val="19"/>
        </w:rPr>
        <w:t>[ver tema 3.A.1</w:t>
      </w:r>
      <w:r w:rsidR="00CD1668">
        <w:rPr>
          <w:color w:val="767171" w:themeColor="background2" w:themeShade="80"/>
          <w:sz w:val="19"/>
          <w:szCs w:val="19"/>
        </w:rPr>
        <w:t>4</w:t>
      </w:r>
      <w:r w:rsidRPr="00F17ACB">
        <w:rPr>
          <w:color w:val="767171" w:themeColor="background2" w:themeShade="80"/>
          <w:sz w:val="19"/>
          <w:szCs w:val="19"/>
        </w:rPr>
        <w:t>]</w:t>
      </w:r>
      <w:r>
        <w:t>.</w:t>
      </w:r>
    </w:p>
    <w:p w14:paraId="75A9BB1F" w14:textId="77777777" w:rsidR="00E304C3" w:rsidRDefault="00E304C3" w:rsidP="00E304C3">
      <w:pPr>
        <w:pStyle w:val="Nivel2SM"/>
      </w:pPr>
      <w:r>
        <w:t xml:space="preserve">Básicamente, se trata de esquemas similares al </w:t>
      </w:r>
      <w:r>
        <w:rPr>
          <w:i/>
          <w:iCs/>
          <w:u w:val="single"/>
        </w:rPr>
        <w:t>dilema del prisionero</w:t>
      </w:r>
      <w:r>
        <w:t>, en el que si ambos países cooperan alcanzarán una situación de mayor bienestar que si no lo hacen. El problema es que no cooperar es la estrategia dominante para ambos países.</w:t>
      </w:r>
    </w:p>
    <w:p w14:paraId="0B7C7CF1" w14:textId="77777777" w:rsidR="00E304C3" w:rsidRDefault="00E304C3" w:rsidP="00E304C3">
      <w:pPr>
        <w:pStyle w:val="Nivel1SM"/>
      </w:pPr>
      <w:r>
        <w:t xml:space="preserve">Por tanto, la </w:t>
      </w:r>
      <w:r>
        <w:rPr>
          <w:b/>
          <w:bCs/>
        </w:rPr>
        <w:t>relevancia</w:t>
      </w:r>
      <w:r w:rsidRPr="00AE76A5">
        <w:t xml:space="preserve"> de estos </w:t>
      </w:r>
      <w:r>
        <w:t>modelos reside en que nos permite aproximarnos de forma más precisa al objetivo de esta exposición: la conveniencia de coordinar las políticas económicas.</w:t>
      </w:r>
    </w:p>
    <w:p w14:paraId="41D1D396" w14:textId="77777777" w:rsidR="00E304C3" w:rsidRDefault="00E304C3" w:rsidP="00E304C3">
      <w:pPr>
        <w:pStyle w:val="Nivel1SM"/>
      </w:pPr>
      <w:r>
        <w:t xml:space="preserve">Vamos a estudiar el </w:t>
      </w:r>
      <w:r>
        <w:rPr>
          <w:b/>
          <w:bCs/>
        </w:rPr>
        <w:t xml:space="preserve">modelo de </w:t>
      </w:r>
      <w:r w:rsidRPr="00F17ACB">
        <w:rPr>
          <w:b/>
          <w:bCs/>
          <w:smallCaps/>
        </w:rPr>
        <w:t>Corden</w:t>
      </w:r>
      <w:r>
        <w:t xml:space="preserve"> (1994), que parte del modelo de </w:t>
      </w:r>
      <w:r>
        <w:rPr>
          <w:smallCaps/>
        </w:rPr>
        <w:t>Oudiz</w:t>
      </w:r>
      <w:r>
        <w:t xml:space="preserve"> </w:t>
      </w:r>
      <w:r w:rsidRPr="00F17ACB">
        <w:t>y</w:t>
      </w:r>
      <w:r>
        <w:t xml:space="preserve"> </w:t>
      </w:r>
      <w:r w:rsidRPr="00F17ACB">
        <w:rPr>
          <w:smallCaps/>
        </w:rPr>
        <w:t>Sachs</w:t>
      </w:r>
      <w:r>
        <w:t xml:space="preserve"> (1974).</w:t>
      </w:r>
    </w:p>
    <w:p w14:paraId="29AEF783" w14:textId="77777777" w:rsidR="00E304C3" w:rsidRPr="00F17ACB" w:rsidRDefault="00E304C3" w:rsidP="00E304C3">
      <w:pPr>
        <w:pStyle w:val="Ttulo6"/>
      </w:pPr>
      <w:bookmarkStart w:id="49" w:name="_Toc173970601"/>
      <w:r>
        <w:t xml:space="preserve">Modelo de </w:t>
      </w:r>
      <w:r>
        <w:rPr>
          <w:smallCaps/>
        </w:rPr>
        <w:t>Corden</w:t>
      </w:r>
      <w:r>
        <w:t xml:space="preserve"> (1994)</w:t>
      </w:r>
      <w:bookmarkEnd w:id="49"/>
    </w:p>
    <w:p w14:paraId="385A2426" w14:textId="77777777" w:rsidR="00E304C3" w:rsidRDefault="00E304C3" w:rsidP="00E304C3">
      <w:pPr>
        <w:pStyle w:val="Ttulo7"/>
        <w:spacing w:before="0"/>
      </w:pPr>
      <w:bookmarkStart w:id="50" w:name="_Toc173970602"/>
      <w:r>
        <w:t>Supuestos</w:t>
      </w:r>
      <w:bookmarkEnd w:id="50"/>
    </w:p>
    <w:p w14:paraId="75298B2F" w14:textId="77777777" w:rsidR="00E304C3" w:rsidRDefault="00E304C3" w:rsidP="00E304C3">
      <w:pPr>
        <w:pStyle w:val="Nivel1SM"/>
        <w:keepNext/>
        <w:spacing w:before="0" w:after="0"/>
      </w:pPr>
      <w:r>
        <w:t xml:space="preserve">El modelo de </w:t>
      </w:r>
      <w:r>
        <w:rPr>
          <w:smallCaps/>
        </w:rPr>
        <w:t>Corden</w:t>
      </w:r>
      <w:r>
        <w:t xml:space="preserve"> (1994) parte de los siguiente supuestos:</w:t>
      </w:r>
    </w:p>
    <w:p w14:paraId="55CD91EB" w14:textId="77777777" w:rsidR="00E304C3" w:rsidRPr="005D0C10" w:rsidRDefault="00E304C3">
      <w:pPr>
        <w:pStyle w:val="Prrafodelista"/>
        <w:numPr>
          <w:ilvl w:val="0"/>
          <w:numId w:val="16"/>
        </w:numPr>
        <w:spacing w:after="100"/>
        <w:ind w:left="568" w:hanging="284"/>
      </w:pPr>
      <w:r>
        <w:rPr>
          <w:i/>
          <w:iCs/>
        </w:rPr>
        <w:t>Dos países</w:t>
      </w:r>
      <w:r>
        <w:t xml:space="preserve">, </w:t>
      </w:r>
      <w:r>
        <w:rPr>
          <w:i/>
          <w:iCs/>
        </w:rPr>
        <w:t>A</w:t>
      </w:r>
      <w:r>
        <w:t xml:space="preserve"> y </w:t>
      </w:r>
      <w:r>
        <w:rPr>
          <w:i/>
          <w:iCs/>
        </w:rPr>
        <w:t>B</w:t>
      </w:r>
      <w:r>
        <w:t>.</w:t>
      </w:r>
    </w:p>
    <w:p w14:paraId="4A63CA59" w14:textId="77777777" w:rsidR="00E304C3" w:rsidRDefault="00E304C3">
      <w:pPr>
        <w:pStyle w:val="Prrafodelista"/>
        <w:numPr>
          <w:ilvl w:val="0"/>
          <w:numId w:val="16"/>
        </w:numPr>
        <w:spacing w:after="100"/>
        <w:ind w:left="568" w:hanging="284"/>
      </w:pPr>
      <w:r>
        <w:rPr>
          <w:i/>
          <w:iCs/>
        </w:rPr>
        <w:t>Trade-off</w:t>
      </w:r>
      <w:r>
        <w:t xml:space="preserve"> </w:t>
      </w:r>
      <w:r>
        <w:rPr>
          <w:i/>
          <w:iCs/>
        </w:rPr>
        <w:t>inflación-paro</w:t>
      </w:r>
      <w:r>
        <w:t xml:space="preserve"> (i.e. curva de Phillips), y supondremos que el país </w:t>
      </w:r>
      <w:r>
        <w:rPr>
          <w:i/>
          <w:iCs/>
        </w:rPr>
        <w:t>B</w:t>
      </w:r>
      <w:r>
        <w:t xml:space="preserve"> tiene una mayor aversión a la inflación.</w:t>
      </w:r>
    </w:p>
    <w:p w14:paraId="71569A56" w14:textId="77777777" w:rsidR="00E304C3" w:rsidRDefault="00E304C3">
      <w:pPr>
        <w:pStyle w:val="Prrafodelista"/>
        <w:numPr>
          <w:ilvl w:val="0"/>
          <w:numId w:val="16"/>
        </w:numPr>
        <w:spacing w:after="100"/>
        <w:ind w:left="568" w:hanging="284"/>
      </w:pPr>
      <w:r>
        <w:t xml:space="preserve">Objetivo de </w:t>
      </w:r>
      <w:r w:rsidRPr="00F17ACB">
        <w:rPr>
          <w:i/>
          <w:iCs/>
        </w:rPr>
        <w:t>estabilidad</w:t>
      </w:r>
      <w:r>
        <w:t xml:space="preserve"> de tipo de cambio.</w:t>
      </w:r>
    </w:p>
    <w:p w14:paraId="226BC590" w14:textId="77777777" w:rsidR="00E304C3" w:rsidRDefault="00E304C3">
      <w:pPr>
        <w:pStyle w:val="Prrafodelista"/>
        <w:numPr>
          <w:ilvl w:val="0"/>
          <w:numId w:val="16"/>
        </w:numPr>
        <w:spacing w:after="100"/>
        <w:ind w:left="568" w:hanging="284"/>
      </w:pPr>
      <w:r>
        <w:t xml:space="preserve">Se cumple la </w:t>
      </w:r>
      <w:r>
        <w:rPr>
          <w:i/>
          <w:iCs/>
        </w:rPr>
        <w:t>paridad descubierta de intereses</w:t>
      </w:r>
      <w:r>
        <w:t xml:space="preserve">, de forma que los tipos de interés difieren en la tasa de variación esperada del tipo de cambio: </w:t>
      </w:r>
      <m:oMath>
        <m:r>
          <m:rPr>
            <m:nor/>
          </m:rPr>
          <w:rPr>
            <w:i/>
            <w:iCs/>
          </w:rPr>
          <m:t>Tasa de depreciación esperada de A</m:t>
        </m:r>
        <m:r>
          <w:rPr>
            <w:rFonts w:ascii="Cambria Math"/>
          </w:rPr>
          <m:t>=</m:t>
        </m:r>
        <m:sSub>
          <m:sSubPr>
            <m:ctrlPr>
              <w:rPr>
                <w:rFonts w:ascii="Cambria Math" w:hAnsi="Cambria Math"/>
                <w:i/>
                <w:iCs/>
              </w:rPr>
            </m:ctrlPr>
          </m:sSubPr>
          <m:e>
            <m:r>
              <m:rPr>
                <m:nor/>
              </m:rPr>
              <w:rPr>
                <w:i/>
                <w:iCs/>
              </w:rPr>
              <m:t>i</m:t>
            </m:r>
          </m:e>
          <m:sub>
            <m:r>
              <m:rPr>
                <m:nor/>
              </m:rPr>
              <w:rPr>
                <w:i/>
                <w:iCs/>
              </w:rPr>
              <m:t>A</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B</m:t>
            </m:r>
          </m:sub>
        </m:sSub>
      </m:oMath>
      <w:r>
        <w:rPr>
          <w:rFonts w:eastAsiaTheme="minorEastAsia"/>
          <w:iCs/>
        </w:rPr>
        <w:t>.</w:t>
      </w:r>
    </w:p>
    <w:p w14:paraId="1B86E395" w14:textId="2F47B4F2" w:rsidR="00E304C3" w:rsidRDefault="00E304C3">
      <w:pPr>
        <w:pStyle w:val="Prrafodelista"/>
        <w:keepNext/>
        <w:numPr>
          <w:ilvl w:val="0"/>
          <w:numId w:val="16"/>
        </w:numPr>
        <w:spacing w:after="0"/>
        <w:ind w:left="568" w:hanging="284"/>
      </w:pPr>
      <w:r>
        <w:t xml:space="preserve">Se sigue el modelo monetario de determinación del tipo de cambio </w:t>
      </w:r>
      <w:r w:rsidRPr="00E4671A">
        <w:rPr>
          <w:color w:val="767171" w:themeColor="background2" w:themeShade="80"/>
          <w:sz w:val="19"/>
          <w:szCs w:val="19"/>
        </w:rPr>
        <w:t>[</w:t>
      </w:r>
      <w:r>
        <w:rPr>
          <w:color w:val="767171" w:themeColor="background2" w:themeShade="80"/>
          <w:sz w:val="19"/>
          <w:szCs w:val="19"/>
        </w:rPr>
        <w:t>ver tema 3.B.1</w:t>
      </w:r>
      <w:r w:rsidR="00CD1668">
        <w:rPr>
          <w:color w:val="767171" w:themeColor="background2" w:themeShade="80"/>
          <w:sz w:val="19"/>
          <w:szCs w:val="19"/>
        </w:rPr>
        <w:t>4</w:t>
      </w:r>
      <w:r w:rsidRPr="00E4671A">
        <w:rPr>
          <w:color w:val="767171" w:themeColor="background2" w:themeShade="80"/>
          <w:sz w:val="19"/>
          <w:szCs w:val="19"/>
        </w:rPr>
        <w:t>]</w:t>
      </w:r>
      <w:r>
        <w:t>, de manera que éste se determina, entre otros, a partir de la oferta monetaria relativa (esto es, a partir del cociente de las ofertas monetarias):</w:t>
      </w:r>
      <m:oMath>
        <m:r>
          <w:rPr>
            <w:rFonts w:ascii="Cambria Math" w:hAnsi="Cambria Math"/>
          </w:rPr>
          <m:t xml:space="preserve"> </m:t>
        </m:r>
        <m:r>
          <m:rPr>
            <m:nor/>
          </m:rPr>
          <w:rPr>
            <w:i/>
            <w:iCs/>
          </w:rPr>
          <m:t>E</m:t>
        </m:r>
        <m:r>
          <w:rPr>
            <w:rFonts w:ascii="Cambria Math"/>
          </w:rPr>
          <m:t>=</m:t>
        </m:r>
        <m:r>
          <m:rPr>
            <m:nor/>
          </m:rPr>
          <w:rPr>
            <w:i/>
            <w:iCs/>
          </w:rPr>
          <m:t>f</m:t>
        </m:r>
        <m:d>
          <m:dPr>
            <m:ctrlPr>
              <w:rPr>
                <w:rFonts w:ascii="Cambria Math" w:hAnsi="Cambria Math"/>
                <w:i/>
                <w:iCs/>
              </w:rPr>
            </m:ctrlPr>
          </m:dPr>
          <m:e>
            <m:f>
              <m:fPr>
                <m:type m:val="lin"/>
                <m:ctrlPr>
                  <w:rPr>
                    <w:rFonts w:ascii="Cambria Math" w:hAnsi="Cambria Math"/>
                    <w:i/>
                    <w:iCs/>
                  </w:rPr>
                </m:ctrlPr>
              </m:fPr>
              <m:num>
                <m:sSubSup>
                  <m:sSubSupPr>
                    <m:ctrlPr>
                      <w:rPr>
                        <w:rFonts w:ascii="Cambria Math" w:hAnsi="Cambria Math"/>
                        <w:i/>
                        <w:iCs/>
                      </w:rPr>
                    </m:ctrlPr>
                  </m:sSubSupPr>
                  <m:e>
                    <m:r>
                      <m:rPr>
                        <m:nor/>
                      </m:rPr>
                      <w:rPr>
                        <w:i/>
                        <w:iCs/>
                      </w:rPr>
                      <m:t>M</m:t>
                    </m:r>
                  </m:e>
                  <m:sub>
                    <m:r>
                      <m:rPr>
                        <m:nor/>
                      </m:rPr>
                      <w:rPr>
                        <w:i/>
                        <w:iCs/>
                      </w:rPr>
                      <m:t>A</m:t>
                    </m:r>
                  </m:sub>
                  <m:sup>
                    <m:r>
                      <m:rPr>
                        <m:nor/>
                      </m:rPr>
                      <w:rPr>
                        <w:i/>
                        <w:iCs/>
                      </w:rPr>
                      <m:t>S</m:t>
                    </m:r>
                  </m:sup>
                </m:sSubSup>
              </m:num>
              <m:den>
                <m:sSubSup>
                  <m:sSubSupPr>
                    <m:ctrlPr>
                      <w:rPr>
                        <w:rFonts w:ascii="Cambria Math" w:hAnsi="Cambria Math"/>
                        <w:i/>
                        <w:iCs/>
                      </w:rPr>
                    </m:ctrlPr>
                  </m:sSubSupPr>
                  <m:e>
                    <m:r>
                      <m:rPr>
                        <m:nor/>
                      </m:rPr>
                      <w:rPr>
                        <w:i/>
                        <w:iCs/>
                      </w:rPr>
                      <m:t>M</m:t>
                    </m:r>
                  </m:e>
                  <m:sub>
                    <m:r>
                      <m:rPr>
                        <m:nor/>
                      </m:rPr>
                      <w:rPr>
                        <w:i/>
                        <w:iCs/>
                      </w:rPr>
                      <m:t>B</m:t>
                    </m:r>
                  </m:sub>
                  <m:sup>
                    <m:r>
                      <m:rPr>
                        <m:nor/>
                      </m:rPr>
                      <w:rPr>
                        <w:i/>
                        <w:iCs/>
                      </w:rPr>
                      <m:t>S</m:t>
                    </m:r>
                  </m:sup>
                </m:sSubSup>
              </m:den>
            </m:f>
            <m:r>
              <m:rPr>
                <m:nor/>
              </m:rPr>
              <w:rPr>
                <w:i/>
                <w:iCs/>
              </w:rPr>
              <m:t xml:space="preserve">, </m:t>
            </m:r>
            <m:r>
              <m:rPr>
                <m:nor/>
              </m:rPr>
              <w:rPr>
                <w:i/>
              </w:rPr>
              <m:t>ε</m:t>
            </m:r>
          </m:e>
        </m:d>
      </m:oMath>
      <w:r>
        <w:rPr>
          <w:rFonts w:eastAsiaTheme="minorEastAsia"/>
          <w:iCs/>
        </w:rPr>
        <w:t>.</w:t>
      </w:r>
    </w:p>
    <w:p w14:paraId="20D57C6F" w14:textId="77777777" w:rsidR="00E304C3" w:rsidRDefault="00E304C3" w:rsidP="00E304C3">
      <w:pPr>
        <w:pStyle w:val="Nivel3SM"/>
      </w:pPr>
      <w:r>
        <w:t xml:space="preserve">Así, un aumento de la oferta monetaria relativa del país </w:t>
      </w:r>
      <w:r>
        <w:rPr>
          <w:i/>
          <w:iCs/>
        </w:rPr>
        <w:t>A</w:t>
      </w:r>
      <w:r>
        <w:t xml:space="preserve"> (</w:t>
      </w:r>
      <m:oMath>
        <m:r>
          <m:rPr>
            <m:nor/>
          </m:rPr>
          <w:rPr>
            <w:rFonts w:ascii="Times New Roman" w:hAnsi="Times New Roman" w:cs="Times New Roman"/>
          </w:rPr>
          <m:t>↑</m:t>
        </m:r>
        <m:f>
          <m:fPr>
            <m:type m:val="lin"/>
            <m:ctrlPr>
              <w:rPr>
                <w:rFonts w:ascii="Cambria Math" w:hAnsi="Cambria Math"/>
                <w:i/>
                <w:iCs/>
              </w:rPr>
            </m:ctrlPr>
          </m:fPr>
          <m:num>
            <m:sSubSup>
              <m:sSubSupPr>
                <m:ctrlPr>
                  <w:rPr>
                    <w:rFonts w:ascii="Cambria Math" w:hAnsi="Cambria Math"/>
                    <w:i/>
                    <w:iCs/>
                  </w:rPr>
                </m:ctrlPr>
              </m:sSubSupPr>
              <m:e>
                <m:r>
                  <m:rPr>
                    <m:nor/>
                  </m:rPr>
                  <w:rPr>
                    <w:i/>
                    <w:iCs/>
                  </w:rPr>
                  <m:t>M</m:t>
                </m:r>
              </m:e>
              <m:sub>
                <m:r>
                  <m:rPr>
                    <m:nor/>
                  </m:rPr>
                  <w:rPr>
                    <w:i/>
                    <w:iCs/>
                  </w:rPr>
                  <m:t>A</m:t>
                </m:r>
              </m:sub>
              <m:sup>
                <m:r>
                  <m:rPr>
                    <m:nor/>
                  </m:rPr>
                  <w:rPr>
                    <w:i/>
                    <w:iCs/>
                  </w:rPr>
                  <m:t>S</m:t>
                </m:r>
              </m:sup>
            </m:sSubSup>
          </m:num>
          <m:den>
            <m:sSubSup>
              <m:sSubSupPr>
                <m:ctrlPr>
                  <w:rPr>
                    <w:rFonts w:ascii="Cambria Math" w:hAnsi="Cambria Math"/>
                    <w:i/>
                    <w:iCs/>
                  </w:rPr>
                </m:ctrlPr>
              </m:sSubSupPr>
              <m:e>
                <m:r>
                  <m:rPr>
                    <m:nor/>
                  </m:rPr>
                  <w:rPr>
                    <w:i/>
                    <w:iCs/>
                  </w:rPr>
                  <m:t>M</m:t>
                </m:r>
              </m:e>
              <m:sub>
                <m:r>
                  <m:rPr>
                    <m:nor/>
                  </m:rPr>
                  <w:rPr>
                    <w:i/>
                    <w:iCs/>
                  </w:rPr>
                  <m:t>B</m:t>
                </m:r>
              </m:sub>
              <m:sup>
                <m:r>
                  <m:rPr>
                    <m:nor/>
                  </m:rPr>
                  <w:rPr>
                    <w:i/>
                    <w:iCs/>
                  </w:rPr>
                  <m:t>S</m:t>
                </m:r>
              </m:sup>
            </m:sSubSup>
          </m:den>
        </m:f>
      </m:oMath>
      <w:r>
        <w:t>) deprecia su moneda (</w:t>
      </w:r>
      <m:oMath>
        <m:r>
          <m:rPr>
            <m:nor/>
          </m:rPr>
          <w:rPr>
            <w:rFonts w:ascii="Times New Roman" w:hAnsi="Times New Roman" w:cs="Times New Roman"/>
          </w:rPr>
          <m:t>↑</m:t>
        </m:r>
        <m:r>
          <m:rPr>
            <m:nor/>
          </m:rPr>
          <w:rPr>
            <w:i/>
            <w:iCs/>
          </w:rPr>
          <m:t>E</m:t>
        </m:r>
      </m:oMath>
      <w:r>
        <w:t>).</w:t>
      </w:r>
    </w:p>
    <w:p w14:paraId="391375BB" w14:textId="77777777" w:rsidR="00E304C3" w:rsidRPr="000E330E" w:rsidRDefault="00E304C3">
      <w:pPr>
        <w:pStyle w:val="Prrafodelista"/>
        <w:numPr>
          <w:ilvl w:val="0"/>
          <w:numId w:val="16"/>
        </w:numPr>
        <w:spacing w:after="100"/>
        <w:ind w:left="568" w:hanging="284"/>
        <w:jc w:val="left"/>
      </w:pPr>
      <w:r w:rsidRPr="000E330E">
        <w:t xml:space="preserve">Existe un </w:t>
      </w:r>
      <w:r w:rsidRPr="000E330E">
        <w:rPr>
          <w:i/>
          <w:iCs/>
        </w:rPr>
        <w:t>objetivo común de tipo de cambio</w:t>
      </w:r>
      <w:r w:rsidRPr="000E330E">
        <w:t xml:space="preserve">, </w:t>
      </w:r>
      <m:oMath>
        <m:sSub>
          <m:sSubPr>
            <m:ctrlPr>
              <w:rPr>
                <w:rFonts w:ascii="Cambria Math" w:hAnsi="Cambria Math"/>
                <w:i/>
                <w:iCs/>
              </w:rPr>
            </m:ctrlPr>
          </m:sSubPr>
          <m:e>
            <m:r>
              <m:rPr>
                <m:nor/>
              </m:rPr>
              <w:rPr>
                <w:i/>
                <w:iCs/>
              </w:rPr>
              <m:t>E</m:t>
            </m:r>
          </m:e>
          <m:sub>
            <m:r>
              <m:rPr>
                <m:nor/>
              </m:rPr>
              <w:rPr>
                <w:i/>
                <w:iCs/>
              </w:rPr>
              <m:t>0</m:t>
            </m:r>
          </m:sub>
        </m:sSub>
      </m:oMath>
      <w:r w:rsidRPr="000E330E">
        <w:t xml:space="preserve">, es decir, que el tipo de cambio </w:t>
      </w:r>
      <w:r w:rsidRPr="000E330E">
        <w:rPr>
          <w:i/>
          <w:iCs/>
        </w:rPr>
        <w:t>compatible</w:t>
      </w:r>
      <w:r w:rsidRPr="000E330E">
        <w:t xml:space="preserve"> con los objetivos internos de cada país (i.e. con el punto de máxima felicidad o punto de saturación de cada país) es el mismo para ambos países.</w:t>
      </w:r>
    </w:p>
    <w:p w14:paraId="3A9864BF" w14:textId="77777777" w:rsidR="00E304C3" w:rsidRPr="00F17ACB" w:rsidRDefault="00E304C3">
      <w:pPr>
        <w:pStyle w:val="Prrafodelista"/>
        <w:numPr>
          <w:ilvl w:val="0"/>
          <w:numId w:val="16"/>
        </w:numPr>
        <w:spacing w:after="100"/>
        <w:ind w:left="568" w:hanging="284"/>
        <w:jc w:val="left"/>
      </w:pPr>
      <w:r>
        <w:lastRenderedPageBreak/>
        <w:t xml:space="preserve">Juego </w:t>
      </w:r>
      <w:r w:rsidRPr="00E034C0">
        <w:rPr>
          <w:i/>
          <w:iCs/>
        </w:rPr>
        <w:t>estático</w:t>
      </w:r>
      <w:r>
        <w:t xml:space="preserve"> y </w:t>
      </w:r>
      <w:r w:rsidRPr="00E034C0">
        <w:rPr>
          <w:i/>
          <w:iCs/>
        </w:rPr>
        <w:t>no repetido</w:t>
      </w:r>
      <w:r>
        <w:t>.</w:t>
      </w:r>
    </w:p>
    <w:p w14:paraId="035DB6C0" w14:textId="77777777" w:rsidR="00E304C3" w:rsidRDefault="00E304C3" w:rsidP="00E304C3">
      <w:pPr>
        <w:pStyle w:val="Ttulo7"/>
      </w:pPr>
      <w:bookmarkStart w:id="51" w:name="_Toc173970603"/>
      <w:r>
        <w:t>Desarrollo</w:t>
      </w:r>
      <w:bookmarkEnd w:id="51"/>
    </w:p>
    <w:p w14:paraId="3D38A28A" w14:textId="77777777" w:rsidR="00E304C3" w:rsidRDefault="00E304C3" w:rsidP="00E304C3">
      <w:pPr>
        <w:pStyle w:val="Nivel1SM"/>
        <w:keepNext/>
        <w:spacing w:before="0" w:after="0"/>
      </w:pPr>
      <w:r w:rsidRPr="00C914AB">
        <w:rPr>
          <w:i/>
          <w:iCs/>
          <w:u w:val="single"/>
        </w:rPr>
        <w:t>Analíticamente</w:t>
      </w:r>
      <w:r>
        <w:t xml:space="preserve">, el </w:t>
      </w:r>
      <w:r>
        <w:rPr>
          <w:b/>
          <w:bCs/>
        </w:rPr>
        <w:t>p</w:t>
      </w:r>
      <w:r w:rsidRPr="00C914AB">
        <w:rPr>
          <w:b/>
          <w:bCs/>
        </w:rPr>
        <w:t>rograma de optimización</w:t>
      </w:r>
      <w:r w:rsidRPr="00C914AB">
        <w:t xml:space="preserve"> es el </w:t>
      </w:r>
      <w:r>
        <w:t>siguiente:</w:t>
      </w:r>
    </w:p>
    <w:p w14:paraId="40C06A37" w14:textId="77777777" w:rsidR="00E304C3" w:rsidRPr="00C914AB" w:rsidRDefault="00000000" w:rsidP="00E304C3">
      <w:pPr>
        <w:pStyle w:val="Nivel1SM"/>
        <w:keepNext/>
        <w:numPr>
          <w:ilvl w:val="0"/>
          <w:numId w:val="0"/>
        </w:numPr>
        <w:spacing w:before="0" w:after="0"/>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rPr>
                          <m:t>min</m:t>
                        </m:r>
                      </m:e>
                      <m:lim>
                        <m:d>
                          <m:dPr>
                            <m:begChr m:val="{"/>
                            <m:endChr m:val="}"/>
                            <m:ctrlPr>
                              <w:rPr>
                                <w:rFonts w:ascii="Cambria Math" w:hAnsi="Cambria Math"/>
                                <w:i/>
                              </w:rPr>
                            </m:ctrlPr>
                          </m:dPr>
                          <m:e>
                            <m:r>
                              <m:rPr>
                                <m:nor/>
                              </m:rPr>
                              <w:rPr>
                                <w:i/>
                              </w:rPr>
                              <m:t>π</m:t>
                            </m:r>
                          </m:e>
                        </m:d>
                      </m:lim>
                    </m:limLow>
                  </m:fName>
                  <m:e>
                    <m:r>
                      <m:rPr>
                        <m:nor/>
                      </m:rPr>
                      <w:rPr>
                        <w:rFonts w:ascii="Cambria Math"/>
                        <w:i/>
                      </w:rPr>
                      <m:t xml:space="preserve">     </m:t>
                    </m:r>
                    <m:r>
                      <m:rPr>
                        <m:nor/>
                      </m:rPr>
                      <w:rPr>
                        <w:i/>
                      </w:rPr>
                      <m:t>L</m:t>
                    </m:r>
                    <m:d>
                      <m:dPr>
                        <m:ctrlPr>
                          <w:rPr>
                            <w:rFonts w:ascii="Cambria Math" w:hAnsi="Cambria Math"/>
                            <w:i/>
                          </w:rPr>
                        </m:ctrlPr>
                      </m:dPr>
                      <m:e>
                        <m:r>
                          <m:rPr>
                            <m:nor/>
                          </m:rPr>
                          <w:rPr>
                            <w:i/>
                          </w:rPr>
                          <m:t>π,</m:t>
                        </m:r>
                        <m:r>
                          <m:rPr>
                            <m:nor/>
                          </m:rPr>
                          <w:rPr>
                            <w:rFonts w:ascii="Cambria Math"/>
                            <w:i/>
                          </w:rPr>
                          <m:t xml:space="preserve"> </m:t>
                        </m:r>
                        <m:r>
                          <m:rPr>
                            <m:nor/>
                          </m:rPr>
                          <w:rPr>
                            <w:i/>
                          </w:rPr>
                          <m:t>U</m:t>
                        </m:r>
                      </m:e>
                    </m:d>
                  </m:e>
                </m:func>
                <m:r>
                  <w:rPr>
                    <w:rFonts w:ascii="Cambria Math" w:hAnsi="Cambria Math"/>
                  </w:rPr>
                  <m:t xml:space="preserve">       </m:t>
                </m:r>
              </m:e>
            </m:mr>
            <m:mr>
              <m:e>
                <m:m>
                  <m:mPr>
                    <m:mcs>
                      <m:mc>
                        <m:mcPr>
                          <m:count m:val="2"/>
                          <m:mcJc m:val="center"/>
                        </m:mcPr>
                      </m:mc>
                    </m:mcs>
                    <m:ctrlPr>
                      <w:rPr>
                        <w:rFonts w:ascii="Cambria Math" w:hAnsi="Cambria Math"/>
                        <w:i/>
                      </w:rPr>
                    </m:ctrlPr>
                  </m:mPr>
                  <m:mr>
                    <m:e>
                      <m:r>
                        <m:rPr>
                          <m:nor/>
                        </m:rPr>
                        <w:rPr>
                          <w:i/>
                        </w:rPr>
                        <m:t>s.a.</m:t>
                      </m:r>
                    </m:e>
                    <m:e>
                      <m:d>
                        <m:dPr>
                          <m:begChr m:val="{"/>
                          <m:endChr m:val=""/>
                          <m:ctrlPr>
                            <w:rPr>
                              <w:rFonts w:ascii="Cambria Math" w:hAnsi="Cambria Math"/>
                              <w:i/>
                            </w:rPr>
                          </m:ctrlPr>
                        </m:dPr>
                        <m:e>
                          <m:eqArr>
                            <m:eqArrPr>
                              <m:ctrlPr>
                                <w:rPr>
                                  <w:rFonts w:ascii="Cambria Math" w:hAnsi="Cambria Math"/>
                                  <w:i/>
                                </w:rPr>
                              </m:ctrlPr>
                            </m:eqArrPr>
                            <m:e>
                              <m:r>
                                <m:rPr>
                                  <m:nor/>
                                </m:rPr>
                                <w:rPr>
                                  <w:i/>
                                </w:rPr>
                                <m:t>π</m:t>
                              </m:r>
                              <m:d>
                                <m:dPr>
                                  <m:ctrlPr>
                                    <w:rPr>
                                      <w:rFonts w:ascii="Cambria Math" w:hAnsi="Cambria Math"/>
                                      <w:i/>
                                    </w:rPr>
                                  </m:ctrlPr>
                                </m:dPr>
                                <m:e>
                                  <m:limLow>
                                    <m:limLowPr>
                                      <m:ctrlPr>
                                        <w:rPr>
                                          <w:rFonts w:ascii="Cambria Math" w:hAnsi="Cambria Math"/>
                                          <w:i/>
                                        </w:rPr>
                                      </m:ctrlPr>
                                    </m:limLowPr>
                                    <m:e>
                                      <m:r>
                                        <m:rPr>
                                          <m:nor/>
                                        </m:rPr>
                                        <w:rPr>
                                          <w:i/>
                                        </w:rPr>
                                        <m:t>E</m:t>
                                      </m:r>
                                    </m:e>
                                    <m:lim>
                                      <m:r>
                                        <w:rPr>
                                          <w:rFonts w:ascii="Cambria Math" w:hAnsi="Cambria Math"/>
                                        </w:rPr>
                                        <m:t>+</m:t>
                                      </m:r>
                                    </m:lim>
                                  </m:limLow>
                                  <m:r>
                                    <m:rPr>
                                      <m:nor/>
                                    </m:rPr>
                                    <w:rPr>
                                      <w:i/>
                                    </w:rPr>
                                    <m:t>,</m:t>
                                  </m:r>
                                  <m:r>
                                    <m:rPr>
                                      <m:nor/>
                                    </m:rPr>
                                    <w:rPr>
                                      <w:rFonts w:ascii="Cambria Math"/>
                                      <w:i/>
                                    </w:rPr>
                                    <m:t xml:space="preserve"> </m:t>
                                  </m:r>
                                  <m:limLow>
                                    <m:limLowPr>
                                      <m:ctrlPr>
                                        <w:rPr>
                                          <w:rFonts w:ascii="Cambria Math" w:hAnsi="Cambria Math"/>
                                          <w:i/>
                                        </w:rPr>
                                      </m:ctrlPr>
                                    </m:limLowPr>
                                    <m:e>
                                      <m:sSup>
                                        <m:sSupPr>
                                          <m:ctrlPr>
                                            <w:rPr>
                                              <w:rFonts w:ascii="Cambria Math" w:hAnsi="Cambria Math"/>
                                              <w:i/>
                                            </w:rPr>
                                          </m:ctrlPr>
                                        </m:sSupPr>
                                        <m:e>
                                          <m:r>
                                            <m:rPr>
                                              <m:nor/>
                                            </m:rPr>
                                            <w:rPr>
                                              <w:i/>
                                            </w:rPr>
                                            <m:t>M</m:t>
                                          </m:r>
                                        </m:e>
                                        <m:sup>
                                          <m:r>
                                            <m:rPr>
                                              <m:nor/>
                                            </m:rPr>
                                            <w:rPr>
                                              <w:i/>
                                            </w:rPr>
                                            <m:t>S</m:t>
                                          </m:r>
                                        </m:sup>
                                      </m:sSup>
                                    </m:e>
                                    <m:lim>
                                      <m:r>
                                        <w:rPr>
                                          <w:rFonts w:ascii="Cambria Math" w:hAnsi="Cambria Math"/>
                                        </w:rPr>
                                        <m:t>+</m:t>
                                      </m:r>
                                    </m:lim>
                                  </m:limLow>
                                </m:e>
                              </m:d>
                            </m:e>
                            <m:e>
                              <m:r>
                                <m:rPr>
                                  <m:nor/>
                                </m:rPr>
                                <w:rPr>
                                  <w:i/>
                                </w:rPr>
                                <m:t>U</m:t>
                              </m:r>
                              <m:d>
                                <m:dPr>
                                  <m:ctrlPr>
                                    <w:rPr>
                                      <w:rFonts w:ascii="Cambria Math" w:hAnsi="Cambria Math"/>
                                      <w:i/>
                                    </w:rPr>
                                  </m:ctrlPr>
                                </m:dPr>
                                <m:e>
                                  <m:limLow>
                                    <m:limLowPr>
                                      <m:ctrlPr>
                                        <w:rPr>
                                          <w:rFonts w:ascii="Cambria Math" w:hAnsi="Cambria Math"/>
                                          <w:i/>
                                        </w:rPr>
                                      </m:ctrlPr>
                                    </m:limLowPr>
                                    <m:e>
                                      <m:r>
                                        <m:rPr>
                                          <m:nor/>
                                        </m:rPr>
                                        <w:rPr>
                                          <w:i/>
                                        </w:rPr>
                                        <m:t>E</m:t>
                                      </m:r>
                                    </m:e>
                                    <m:lim>
                                      <m:r>
                                        <w:rPr>
                                          <w:rFonts w:ascii="Cambria Math" w:hAnsi="Cambria Math"/>
                                        </w:rPr>
                                        <m:t>-</m:t>
                                      </m:r>
                                    </m:lim>
                                  </m:limLow>
                                  <m:r>
                                    <m:rPr>
                                      <m:nor/>
                                    </m:rPr>
                                    <w:rPr>
                                      <w:i/>
                                    </w:rPr>
                                    <m:t>,</m:t>
                                  </m:r>
                                  <m:r>
                                    <m:rPr>
                                      <m:nor/>
                                    </m:rPr>
                                    <w:rPr>
                                      <w:rFonts w:ascii="Cambria Math"/>
                                      <w:i/>
                                    </w:rPr>
                                    <m:t xml:space="preserve"> </m:t>
                                  </m:r>
                                  <m:limLow>
                                    <m:limLowPr>
                                      <m:ctrlPr>
                                        <w:rPr>
                                          <w:rFonts w:ascii="Cambria Math" w:hAnsi="Cambria Math"/>
                                          <w:i/>
                                        </w:rPr>
                                      </m:ctrlPr>
                                    </m:limLowPr>
                                    <m:e>
                                      <m:sSup>
                                        <m:sSupPr>
                                          <m:ctrlPr>
                                            <w:rPr>
                                              <w:rFonts w:ascii="Cambria Math" w:hAnsi="Cambria Math"/>
                                              <w:i/>
                                            </w:rPr>
                                          </m:ctrlPr>
                                        </m:sSupPr>
                                        <m:e>
                                          <m:r>
                                            <m:rPr>
                                              <m:nor/>
                                            </m:rPr>
                                            <w:rPr>
                                              <w:i/>
                                            </w:rPr>
                                            <m:t>M</m:t>
                                          </m:r>
                                        </m:e>
                                        <m:sup>
                                          <m:r>
                                            <m:rPr>
                                              <m:nor/>
                                            </m:rPr>
                                            <w:rPr>
                                              <w:i/>
                                            </w:rPr>
                                            <m:t>S</m:t>
                                          </m:r>
                                        </m:sup>
                                      </m:sSup>
                                    </m:e>
                                    <m:lim>
                                      <m:r>
                                        <w:rPr>
                                          <w:rFonts w:ascii="Cambria Math" w:hAnsi="Cambria Math"/>
                                        </w:rPr>
                                        <m:t>-</m:t>
                                      </m:r>
                                    </m:lim>
                                  </m:limLow>
                                </m:e>
                              </m:d>
                            </m:e>
                          </m:eqArr>
                        </m:e>
                      </m:d>
                    </m:e>
                  </m:mr>
                </m:m>
              </m:e>
            </m:mr>
          </m:m>
          <m:r>
            <m:rPr>
              <m:sty m:val="p"/>
            </m:rPr>
            <w:rPr>
              <w:rFonts w:ascii="Cambria Math" w:hAnsi="Cambria Math"/>
            </w:rPr>
            <w:br/>
          </m:r>
        </m:oMath>
      </m:oMathPara>
      <w:r w:rsidR="00E304C3" w:rsidRPr="00C914AB">
        <w:t>do</w:t>
      </w:r>
      <w:r w:rsidR="00E304C3">
        <w:t>nde apreciamos los siguientes componentes:</w:t>
      </w:r>
    </w:p>
    <w:p w14:paraId="30B790E7" w14:textId="77777777" w:rsidR="00E304C3" w:rsidRDefault="00E304C3" w:rsidP="00E304C3">
      <w:pPr>
        <w:pStyle w:val="Nivel2SM"/>
      </w:pPr>
      <w:r>
        <w:rPr>
          <w:i/>
          <w:iCs/>
        </w:rPr>
        <w:t>Función objetivo</w:t>
      </w:r>
      <w:r>
        <w:t xml:space="preserve">: Cada país intentará minimizar su función de pérdidas que viene definida en términos de </w:t>
      </w:r>
      <w:r>
        <w:rPr>
          <w:i/>
          <w:iCs/>
        </w:rPr>
        <w:t>inflación</w:t>
      </w:r>
      <w:r>
        <w:t xml:space="preserve"> y de </w:t>
      </w:r>
      <w:r>
        <w:rPr>
          <w:i/>
          <w:iCs/>
        </w:rPr>
        <w:t>desempleo</w:t>
      </w:r>
      <w:r>
        <w:t>.</w:t>
      </w:r>
    </w:p>
    <w:p w14:paraId="0D3ECE5B" w14:textId="77777777" w:rsidR="00E304C3" w:rsidRDefault="00E304C3" w:rsidP="00E304C3">
      <w:pPr>
        <w:pStyle w:val="Nivel2SM"/>
      </w:pPr>
      <w:r>
        <w:rPr>
          <w:i/>
          <w:iCs/>
        </w:rPr>
        <w:t>Primera restricción</w:t>
      </w:r>
      <w:r>
        <w:t>: Muestra que la depreciación del tipo de cambio y el aumento de la oferta monetaria tienen efectos inflacionistas.</w:t>
      </w:r>
    </w:p>
    <w:p w14:paraId="3D7F23C5" w14:textId="77777777" w:rsidR="00E304C3" w:rsidRDefault="00E304C3" w:rsidP="00E304C3">
      <w:pPr>
        <w:pStyle w:val="Nivel2SM"/>
      </w:pPr>
      <w:r>
        <w:rPr>
          <w:i/>
          <w:iCs/>
        </w:rPr>
        <w:t>Segunda restricción</w:t>
      </w:r>
      <w:r>
        <w:t>: Muestra que la depreciación del tipo de cambio y el aumento de la oferta monetaria reducen el desempleo.</w:t>
      </w:r>
    </w:p>
    <w:p w14:paraId="518C0492" w14:textId="65A979F1" w:rsidR="00E304C3" w:rsidRDefault="00E304C3" w:rsidP="00E304C3">
      <w:pPr>
        <w:pStyle w:val="Nivel1SM"/>
        <w:keepNext/>
        <w:spacing w:after="0"/>
      </w:pPr>
      <w:r w:rsidRPr="00C914AB">
        <w:rPr>
          <w:i/>
          <w:iCs/>
          <w:u w:val="single"/>
        </w:rPr>
        <w:t>Gráficamente</w:t>
      </w:r>
      <w:r>
        <w:t xml:space="preserve"> (ver </w:t>
      </w:r>
      <w:r>
        <w:fldChar w:fldCharType="begin"/>
      </w:r>
      <w:r>
        <w:instrText xml:space="preserve"> REF _Ref122431745 \h </w:instrText>
      </w:r>
      <w:r>
        <w:fldChar w:fldCharType="separate"/>
      </w:r>
      <w:r w:rsidR="00E37AC1">
        <w:t>Imagen </w:t>
      </w:r>
      <w:r w:rsidR="00E37AC1">
        <w:rPr>
          <w:noProof/>
        </w:rPr>
        <w:t>12</w:t>
      </w:r>
      <w:r>
        <w:fldChar w:fldCharType="end"/>
      </w:r>
      <w:r>
        <w:t>):</w:t>
      </w:r>
    </w:p>
    <w:p w14:paraId="0398443D" w14:textId="77777777" w:rsidR="00E304C3" w:rsidRDefault="00E304C3" w:rsidP="00E304C3">
      <w:pPr>
        <w:pStyle w:val="Nivel2SM"/>
      </w:pPr>
      <w:r>
        <w:t xml:space="preserve">En los ejes representamos las ofertas monetarias de ambos países, </w:t>
      </w:r>
      <m:oMath>
        <m:sSubSup>
          <m:sSubSupPr>
            <m:ctrlPr>
              <w:rPr>
                <w:rFonts w:ascii="Cambria Math" w:hAnsi="Cambria Math"/>
                <w:i/>
                <w:iCs/>
              </w:rPr>
            </m:ctrlPr>
          </m:sSubSupPr>
          <m:e>
            <m:r>
              <m:rPr>
                <m:nor/>
              </m:rPr>
              <w:rPr>
                <w:i/>
                <w:iCs/>
              </w:rPr>
              <m:t>M</m:t>
            </m:r>
          </m:e>
          <m:sub>
            <m:r>
              <m:rPr>
                <m:nor/>
              </m:rPr>
              <w:rPr>
                <w:i/>
                <w:iCs/>
              </w:rPr>
              <m:t>A</m:t>
            </m:r>
          </m:sub>
          <m:sup>
            <m:r>
              <m:rPr>
                <m:nor/>
              </m:rPr>
              <w:rPr>
                <w:i/>
                <w:iCs/>
              </w:rPr>
              <m:t>S</m:t>
            </m:r>
          </m:sup>
        </m:sSubSup>
      </m:oMath>
      <w:r>
        <w:t xml:space="preserve"> y </w:t>
      </w:r>
      <m:oMath>
        <m:sSubSup>
          <m:sSubSupPr>
            <m:ctrlPr>
              <w:rPr>
                <w:rFonts w:ascii="Cambria Math" w:hAnsi="Cambria Math"/>
                <w:i/>
                <w:iCs/>
              </w:rPr>
            </m:ctrlPr>
          </m:sSubSupPr>
          <m:e>
            <m:r>
              <m:rPr>
                <m:nor/>
              </m:rPr>
              <w:rPr>
                <w:i/>
                <w:iCs/>
              </w:rPr>
              <m:t>M</m:t>
            </m:r>
          </m:e>
          <m:sub>
            <m:r>
              <m:rPr>
                <m:nor/>
              </m:rPr>
              <w:rPr>
                <w:i/>
                <w:iCs/>
              </w:rPr>
              <m:t>B</m:t>
            </m:r>
          </m:sub>
          <m:sup>
            <m:r>
              <m:rPr>
                <m:nor/>
              </m:rPr>
              <w:rPr>
                <w:i/>
                <w:iCs/>
              </w:rPr>
              <m:t>S</m:t>
            </m:r>
          </m:sup>
        </m:sSubSup>
      </m:oMath>
      <w:r>
        <w:t>, que servirán para determinar el tipo de cambio y los niveles de paro e inflación de las economías.</w:t>
      </w:r>
    </w:p>
    <w:p w14:paraId="037E7A8E" w14:textId="77777777" w:rsidR="00E304C3" w:rsidRDefault="00E304C3" w:rsidP="00E304C3">
      <w:pPr>
        <w:pStyle w:val="Nivel2SM"/>
        <w:keepNext/>
        <w:spacing w:after="0"/>
      </w:pPr>
      <w:r>
        <w:t xml:space="preserve">Los rayos vectores representan distintos tipos de cambio en función de su pendiente, de forma que cuanto más pendiente tenga (i.e. cuanto mayor sea </w:t>
      </w:r>
      <m:oMath>
        <m:sSubSup>
          <m:sSubSupPr>
            <m:ctrlPr>
              <w:rPr>
                <w:rFonts w:ascii="Cambria Math" w:hAnsi="Cambria Math"/>
                <w:i/>
                <w:iCs/>
              </w:rPr>
            </m:ctrlPr>
          </m:sSubSupPr>
          <m:e>
            <m:r>
              <m:rPr>
                <m:nor/>
              </m:rPr>
              <w:rPr>
                <w:i/>
                <w:iCs/>
              </w:rPr>
              <m:t>M</m:t>
            </m:r>
          </m:e>
          <m:sub>
            <m:r>
              <m:rPr>
                <m:nor/>
              </m:rPr>
              <w:rPr>
                <w:i/>
                <w:iCs/>
              </w:rPr>
              <m:t>B</m:t>
            </m:r>
          </m:sub>
          <m:sup>
            <m:r>
              <m:rPr>
                <m:nor/>
              </m:rPr>
              <w:rPr>
                <w:i/>
                <w:iCs/>
              </w:rPr>
              <m:t>S</m:t>
            </m:r>
          </m:sup>
        </m:sSubSup>
      </m:oMath>
      <w:r>
        <w:rPr>
          <w:rFonts w:eastAsiaTheme="minorEastAsia"/>
          <w:iCs/>
        </w:rPr>
        <w:t xml:space="preserve"> con respecto a </w:t>
      </w:r>
      <m:oMath>
        <m:sSubSup>
          <m:sSubSupPr>
            <m:ctrlPr>
              <w:rPr>
                <w:rFonts w:ascii="Cambria Math" w:hAnsi="Cambria Math"/>
                <w:i/>
                <w:iCs/>
              </w:rPr>
            </m:ctrlPr>
          </m:sSubSupPr>
          <m:e>
            <m:r>
              <m:rPr>
                <m:nor/>
              </m:rPr>
              <w:rPr>
                <w:i/>
                <w:iCs/>
              </w:rPr>
              <m:t>M</m:t>
            </m:r>
          </m:e>
          <m:sub>
            <m:r>
              <m:rPr>
                <m:nor/>
              </m:rPr>
              <w:rPr>
                <w:i/>
                <w:iCs/>
              </w:rPr>
              <m:t>A</m:t>
            </m:r>
          </m:sub>
          <m:sup>
            <m:r>
              <m:rPr>
                <m:nor/>
              </m:rPr>
              <w:rPr>
                <w:i/>
                <w:iCs/>
              </w:rPr>
              <m:t>S</m:t>
            </m:r>
          </m:sup>
        </m:sSubSup>
      </m:oMath>
      <w:r>
        <w:rPr>
          <w:rFonts w:eastAsiaTheme="minorEastAsia"/>
          <w:iCs/>
        </w:rPr>
        <w:t>), más apreciado está el tipo de cambio del país </w:t>
      </w:r>
      <w:r>
        <w:rPr>
          <w:rFonts w:eastAsiaTheme="minorEastAsia"/>
          <w:i/>
        </w:rPr>
        <w:t>A</w:t>
      </w:r>
      <w:r w:rsidRPr="00A408AC">
        <w:rPr>
          <w:rFonts w:eastAsiaTheme="minorEastAsia"/>
          <w:iCs/>
        </w:rPr>
        <w:t>.</w:t>
      </w:r>
    </w:p>
    <w:p w14:paraId="26305B60" w14:textId="77777777" w:rsidR="00E304C3" w:rsidRDefault="00E304C3" w:rsidP="00E304C3">
      <w:pPr>
        <w:pStyle w:val="Nivel3SM"/>
      </w:pPr>
      <w:r>
        <w:t>Como hemos supuesto que el país </w:t>
      </w:r>
      <w:r>
        <w:rPr>
          <w:i/>
          <w:iCs/>
        </w:rPr>
        <w:t>A</w:t>
      </w:r>
      <w:r w:rsidRPr="00A408AC">
        <w:t xml:space="preserve"> prioriza el empleo sobre la estabilidad de precios maximizaría su utilidad situándose en el punto </w:t>
      </w:r>
      <w:r w:rsidRPr="00A408AC">
        <w:rPr>
          <w:i/>
          <w:iCs/>
        </w:rPr>
        <w:t>a</w:t>
      </w:r>
      <w:r>
        <w:t xml:space="preserve">, caracterizado por una política monetaria más laxa en ambos países, lo que le permite reducir el desempleo a costa de una mayor inflación. Dicho punto representa el </w:t>
      </w:r>
      <w:r>
        <w:rPr>
          <w:i/>
          <w:iCs/>
        </w:rPr>
        <w:t>punto de saturación</w:t>
      </w:r>
      <w:r>
        <w:t xml:space="preserve"> (i.e. de máxima utilidad, equilibrio interno) del país </w:t>
      </w:r>
      <w:r>
        <w:rPr>
          <w:i/>
          <w:iCs/>
        </w:rPr>
        <w:t>A</w:t>
      </w:r>
      <w:r>
        <w:t>.</w:t>
      </w:r>
    </w:p>
    <w:p w14:paraId="282E37C9" w14:textId="77777777" w:rsidR="00E304C3" w:rsidRPr="002D1DF9" w:rsidRDefault="00E304C3" w:rsidP="00E304C3">
      <w:pPr>
        <w:pStyle w:val="Nivel3SM"/>
        <w:keepNext/>
      </w:pPr>
      <w:r>
        <w:t>Por su parte, el punto de saturación del país </w:t>
      </w:r>
      <w:r>
        <w:rPr>
          <w:i/>
          <w:iCs/>
        </w:rPr>
        <w:t>B</w:t>
      </w:r>
      <w:r>
        <w:t xml:space="preserve"> es </w:t>
      </w:r>
      <w:r>
        <w:rPr>
          <w:i/>
          <w:iCs/>
        </w:rPr>
        <w:t>b</w:t>
      </w:r>
      <w:r>
        <w:t xml:space="preserve"> </w:t>
      </w:r>
      <w:r w:rsidRPr="002D1DF9">
        <w:t xml:space="preserve">(que se sitúa en </w:t>
      </w:r>
      <m:oMath>
        <m:sSub>
          <m:sSubPr>
            <m:ctrlPr>
              <w:rPr>
                <w:rFonts w:ascii="Cambria Math" w:hAnsi="Cambria Math"/>
                <w:i/>
                <w:iCs/>
              </w:rPr>
            </m:ctrlPr>
          </m:sSubPr>
          <m:e>
            <m:r>
              <m:rPr>
                <m:nor/>
              </m:rPr>
              <w:rPr>
                <w:i/>
                <w:iCs/>
              </w:rPr>
              <m:t>E</m:t>
            </m:r>
          </m:e>
          <m:sub>
            <m:r>
              <m:rPr>
                <m:nor/>
              </m:rPr>
              <w:rPr>
                <w:i/>
                <w:iCs/>
              </w:rPr>
              <m:t>0</m:t>
            </m:r>
          </m:sub>
        </m:sSub>
      </m:oMath>
      <w:r w:rsidRPr="002D1DF9">
        <w:rPr>
          <w:rFonts w:eastAsiaTheme="minorEastAsia"/>
          <w:iCs/>
        </w:rPr>
        <w:t>, por lo que, como supusimos el país </w:t>
      </w:r>
      <w:r w:rsidRPr="002D1DF9">
        <w:rPr>
          <w:rFonts w:eastAsiaTheme="minorEastAsia"/>
          <w:i/>
        </w:rPr>
        <w:t>B</w:t>
      </w:r>
      <w:r w:rsidRPr="002D1DF9">
        <w:rPr>
          <w:rFonts w:eastAsiaTheme="minorEastAsia"/>
          <w:iCs/>
        </w:rPr>
        <w:t xml:space="preserve"> alcanza su equilibrio interno con el mismo tipo de cambio con el que el país </w:t>
      </w:r>
      <w:r w:rsidRPr="002D1DF9">
        <w:rPr>
          <w:rFonts w:eastAsiaTheme="minorEastAsia"/>
          <w:i/>
        </w:rPr>
        <w:t>A</w:t>
      </w:r>
      <w:r w:rsidRPr="002D1DF9">
        <w:rPr>
          <w:rFonts w:eastAsiaTheme="minorEastAsia"/>
          <w:iCs/>
        </w:rPr>
        <w:t xml:space="preserve"> alcanza el suyo</w:t>
      </w:r>
      <w:r w:rsidRPr="002D1DF9">
        <w:t>).</w:t>
      </w:r>
    </w:p>
    <w:p w14:paraId="101EDF8E" w14:textId="77777777" w:rsidR="00E304C3" w:rsidRDefault="00E304C3" w:rsidP="00E304C3">
      <w:pPr>
        <w:pStyle w:val="Nivel4"/>
        <w:ind w:left="1474"/>
      </w:pPr>
      <w:r w:rsidRPr="002D1DF9">
        <w:t xml:space="preserve">De ambos puntos de saturación parten </w:t>
      </w:r>
      <w:r w:rsidRPr="002D1DF9">
        <w:rPr>
          <w:i/>
          <w:iCs/>
        </w:rPr>
        <w:t>curvas de indiferencia</w:t>
      </w:r>
      <w:r w:rsidRPr="002D1DF9">
        <w:t xml:space="preserve"> que son </w:t>
      </w:r>
      <w:r w:rsidRPr="002D1DF9">
        <w:rPr>
          <w:i/>
          <w:iCs/>
        </w:rPr>
        <w:t>círculos concéntricos</w:t>
      </w:r>
      <w:r w:rsidRPr="002D1DF9">
        <w:t xml:space="preserve"> y que representan menos utilidad c</w:t>
      </w:r>
      <w:r>
        <w:t>uanto más se alejan de dicho punto.</w:t>
      </w:r>
    </w:p>
    <w:p w14:paraId="0B7313A5" w14:textId="77777777" w:rsidR="00E304C3" w:rsidRDefault="00E304C3" w:rsidP="00E304C3">
      <w:pPr>
        <w:pStyle w:val="Nivel2SM"/>
        <w:keepNext/>
        <w:spacing w:after="0"/>
      </w:pPr>
      <w:r>
        <w:t xml:space="preserve">Cada país tiene una </w:t>
      </w:r>
      <w:r>
        <w:rPr>
          <w:i/>
          <w:iCs/>
        </w:rPr>
        <w:t>función de reacción</w:t>
      </w:r>
      <w:r>
        <w:t xml:space="preserve"> (i.e. una función de mejor respuesta para cualquier actuación del otro jugador):</w:t>
      </w:r>
    </w:p>
    <w:p w14:paraId="58C5583D" w14:textId="77777777" w:rsidR="00E304C3" w:rsidRPr="00A408AC" w:rsidRDefault="00E304C3" w:rsidP="00E304C3">
      <w:pPr>
        <w:pStyle w:val="Nivel3SM"/>
      </w:pPr>
      <w:r>
        <w:t>Al país </w:t>
      </w:r>
      <w:r>
        <w:rPr>
          <w:i/>
          <w:iCs/>
        </w:rPr>
        <w:t>A</w:t>
      </w:r>
      <w:r>
        <w:t xml:space="preserve"> le interesará mantener </w:t>
      </w:r>
      <w:r>
        <w:rPr>
          <w:i/>
          <w:iCs/>
        </w:rPr>
        <w:t>siempre</w:t>
      </w:r>
      <w:r>
        <w:t xml:space="preserve"> una oferta monetaria </w:t>
      </w:r>
      <m:oMath>
        <m:sSubSup>
          <m:sSubSupPr>
            <m:ctrlPr>
              <w:rPr>
                <w:rFonts w:ascii="Cambria Math" w:hAnsi="Cambria Math"/>
                <w:i/>
                <w:iCs/>
              </w:rPr>
            </m:ctrlPr>
          </m:sSubSupPr>
          <m:e>
            <m:r>
              <m:rPr>
                <m:nor/>
              </m:rPr>
              <w:rPr>
                <w:i/>
                <w:iCs/>
              </w:rPr>
              <m:t>M</m:t>
            </m:r>
          </m:e>
          <m:sub>
            <m:r>
              <m:rPr>
                <m:nor/>
              </m:rPr>
              <w:rPr>
                <w:i/>
                <w:iCs/>
              </w:rPr>
              <m:t>A</m:t>
            </m:r>
          </m:sub>
          <m:sup>
            <m:r>
              <m:rPr>
                <m:nor/>
              </m:rPr>
              <w:rPr>
                <w:i/>
                <w:iCs/>
              </w:rPr>
              <m:t>S</m:t>
            </m:r>
          </m:sup>
        </m:sSubSup>
        <m:r>
          <m:rPr>
            <m:nor/>
          </m:rPr>
          <w:rPr>
            <w:i/>
            <w:iCs/>
          </w:rPr>
          <m:t>'</m:t>
        </m:r>
      </m:oMath>
      <w:r>
        <w:rPr>
          <w:rFonts w:eastAsiaTheme="minorEastAsia"/>
          <w:iCs/>
        </w:rPr>
        <w:t xml:space="preserve">, con independencia de la oferta monetaria de </w:t>
      </w:r>
      <w:r>
        <w:rPr>
          <w:rFonts w:eastAsiaTheme="minorEastAsia"/>
          <w:i/>
        </w:rPr>
        <w:t>B</w:t>
      </w:r>
      <w:r>
        <w:rPr>
          <w:rFonts w:eastAsiaTheme="minorEastAsia"/>
          <w:iCs/>
        </w:rPr>
        <w:t xml:space="preserve">, pues para cada nivel de oferta monetaria de </w:t>
      </w:r>
      <w:r>
        <w:rPr>
          <w:rFonts w:eastAsiaTheme="minorEastAsia"/>
          <w:i/>
        </w:rPr>
        <w:t>B</w:t>
      </w:r>
      <w:r>
        <w:rPr>
          <w:rFonts w:eastAsiaTheme="minorEastAsia"/>
          <w:iCs/>
        </w:rPr>
        <w:t>, el país </w:t>
      </w:r>
      <w:r>
        <w:rPr>
          <w:rFonts w:eastAsiaTheme="minorEastAsia"/>
          <w:i/>
        </w:rPr>
        <w:t>A</w:t>
      </w:r>
      <w:r>
        <w:rPr>
          <w:rFonts w:eastAsiaTheme="minorEastAsia"/>
          <w:iCs/>
        </w:rPr>
        <w:t xml:space="preserve"> alcanza la curva de utilidad más cercana a su punto de saturación con una oferta monetaria de </w:t>
      </w:r>
      <m:oMath>
        <m:sSubSup>
          <m:sSubSupPr>
            <m:ctrlPr>
              <w:rPr>
                <w:rFonts w:ascii="Cambria Math" w:hAnsi="Cambria Math"/>
                <w:i/>
                <w:iCs/>
              </w:rPr>
            </m:ctrlPr>
          </m:sSubSupPr>
          <m:e>
            <m:r>
              <m:rPr>
                <m:nor/>
              </m:rPr>
              <w:rPr>
                <w:i/>
                <w:iCs/>
              </w:rPr>
              <m:t>M</m:t>
            </m:r>
          </m:e>
          <m:sub>
            <m:r>
              <m:rPr>
                <m:nor/>
              </m:rPr>
              <w:rPr>
                <w:i/>
                <w:iCs/>
              </w:rPr>
              <m:t>A</m:t>
            </m:r>
          </m:sub>
          <m:sup>
            <m:r>
              <m:rPr>
                <m:nor/>
              </m:rPr>
              <w:rPr>
                <w:i/>
                <w:iCs/>
              </w:rPr>
              <m:t>S</m:t>
            </m:r>
          </m:sup>
        </m:sSubSup>
        <m:r>
          <m:rPr>
            <m:nor/>
          </m:rPr>
          <w:rPr>
            <w:i/>
            <w:iCs/>
          </w:rPr>
          <m:t>'</m:t>
        </m:r>
      </m:oMath>
      <w:r>
        <w:rPr>
          <w:rFonts w:eastAsiaTheme="minorEastAsia"/>
          <w:iCs/>
        </w:rPr>
        <w:t xml:space="preserve"> (pues las curvas de indiferencia son círculos). Por lo tanto, su curva de reacción es vertical en </w:t>
      </w:r>
      <m:oMath>
        <m:sSubSup>
          <m:sSubSupPr>
            <m:ctrlPr>
              <w:rPr>
                <w:rFonts w:ascii="Cambria Math" w:hAnsi="Cambria Math"/>
                <w:i/>
                <w:iCs/>
              </w:rPr>
            </m:ctrlPr>
          </m:sSubSupPr>
          <m:e>
            <m:r>
              <m:rPr>
                <m:nor/>
              </m:rPr>
              <w:rPr>
                <w:i/>
                <w:iCs/>
              </w:rPr>
              <m:t>M</m:t>
            </m:r>
          </m:e>
          <m:sub>
            <m:r>
              <m:rPr>
                <m:nor/>
              </m:rPr>
              <w:rPr>
                <w:i/>
                <w:iCs/>
              </w:rPr>
              <m:t>A</m:t>
            </m:r>
          </m:sub>
          <m:sup>
            <m:r>
              <m:rPr>
                <m:nor/>
              </m:rPr>
              <w:rPr>
                <w:i/>
                <w:iCs/>
              </w:rPr>
              <m:t>S</m:t>
            </m:r>
          </m:sup>
        </m:sSubSup>
        <m:r>
          <m:rPr>
            <m:nor/>
          </m:rPr>
          <w:rPr>
            <w:i/>
            <w:iCs/>
          </w:rPr>
          <m:t>'</m:t>
        </m:r>
      </m:oMath>
      <w:r>
        <w:rPr>
          <w:rFonts w:eastAsiaTheme="minorEastAsia"/>
          <w:iCs/>
        </w:rPr>
        <w:t>.</w:t>
      </w:r>
    </w:p>
    <w:p w14:paraId="25D6F7F3" w14:textId="77777777" w:rsidR="00E304C3" w:rsidRDefault="00E304C3" w:rsidP="00E304C3">
      <w:pPr>
        <w:pStyle w:val="Nivel3SM"/>
      </w:pPr>
      <w:r>
        <w:t>De manera similar, al país </w:t>
      </w:r>
      <w:r>
        <w:rPr>
          <w:i/>
          <w:iCs/>
        </w:rPr>
        <w:t>B</w:t>
      </w:r>
      <w:r>
        <w:t xml:space="preserve"> le interesará </w:t>
      </w:r>
      <w:r>
        <w:rPr>
          <w:i/>
          <w:iCs/>
        </w:rPr>
        <w:t>siempre</w:t>
      </w:r>
      <w:r>
        <w:t xml:space="preserve"> una oferta monetaria </w:t>
      </w:r>
      <m:oMath>
        <m:sSubSup>
          <m:sSubSupPr>
            <m:ctrlPr>
              <w:rPr>
                <w:rFonts w:ascii="Cambria Math" w:hAnsi="Cambria Math"/>
                <w:i/>
                <w:iCs/>
              </w:rPr>
            </m:ctrlPr>
          </m:sSubSupPr>
          <m:e>
            <m:r>
              <m:rPr>
                <m:nor/>
              </m:rPr>
              <w:rPr>
                <w:i/>
                <w:iCs/>
              </w:rPr>
              <m:t>M</m:t>
            </m:r>
          </m:e>
          <m:sub>
            <m:r>
              <m:rPr>
                <m:nor/>
              </m:rPr>
              <w:rPr>
                <w:i/>
                <w:iCs/>
              </w:rPr>
              <m:t>B</m:t>
            </m:r>
          </m:sub>
          <m:sup>
            <m:r>
              <m:rPr>
                <m:nor/>
              </m:rPr>
              <w:rPr>
                <w:i/>
                <w:iCs/>
              </w:rPr>
              <m:t>S</m:t>
            </m:r>
          </m:sup>
        </m:sSubSup>
        <m:r>
          <m:rPr>
            <m:nor/>
          </m:rPr>
          <w:rPr>
            <w:i/>
            <w:iCs/>
          </w:rPr>
          <m:t>'</m:t>
        </m:r>
      </m:oMath>
      <w:r>
        <w:rPr>
          <w:rFonts w:eastAsiaTheme="minorEastAsia"/>
          <w:iCs/>
        </w:rPr>
        <w:t xml:space="preserve">, por lo que su curva de reacción es horizontal en </w:t>
      </w:r>
      <m:oMath>
        <m:sSubSup>
          <m:sSubSupPr>
            <m:ctrlPr>
              <w:rPr>
                <w:rFonts w:ascii="Cambria Math" w:hAnsi="Cambria Math"/>
                <w:i/>
                <w:iCs/>
              </w:rPr>
            </m:ctrlPr>
          </m:sSubSupPr>
          <m:e>
            <m:r>
              <m:rPr>
                <m:nor/>
              </m:rPr>
              <w:rPr>
                <w:i/>
                <w:iCs/>
              </w:rPr>
              <m:t>M</m:t>
            </m:r>
          </m:e>
          <m:sub>
            <m:r>
              <m:rPr>
                <m:nor/>
              </m:rPr>
              <w:rPr>
                <w:i/>
                <w:iCs/>
              </w:rPr>
              <m:t>B</m:t>
            </m:r>
          </m:sub>
          <m:sup>
            <m:r>
              <m:rPr>
                <m:nor/>
              </m:rPr>
              <w:rPr>
                <w:i/>
                <w:iCs/>
              </w:rPr>
              <m:t>S</m:t>
            </m:r>
          </m:sup>
        </m:sSubSup>
        <m:r>
          <m:rPr>
            <m:nor/>
          </m:rPr>
          <w:rPr>
            <w:i/>
            <w:iCs/>
          </w:rPr>
          <m:t>'</m:t>
        </m:r>
      </m:oMath>
      <w:r>
        <w:rPr>
          <w:rFonts w:eastAsiaTheme="minorEastAsia"/>
          <w:iCs/>
        </w:rPr>
        <w:t>.</w:t>
      </w:r>
    </w:p>
    <w:p w14:paraId="42F2EC4F" w14:textId="77777777" w:rsidR="00E304C3" w:rsidRDefault="00E304C3" w:rsidP="00E304C3">
      <w:pPr>
        <w:pStyle w:val="Nivel2SM"/>
        <w:keepNext/>
        <w:spacing w:after="0"/>
      </w:pPr>
      <w:r>
        <w:lastRenderedPageBreak/>
        <w:t xml:space="preserve">En este contexto, el </w:t>
      </w:r>
      <w:r w:rsidRPr="00A33610">
        <w:rPr>
          <w:i/>
          <w:iCs/>
        </w:rPr>
        <w:t>equilibrio no cooperativo</w:t>
      </w:r>
      <w:r>
        <w:t xml:space="preserve"> se alcanza en la </w:t>
      </w:r>
      <w:r>
        <w:rPr>
          <w:i/>
          <w:iCs/>
        </w:rPr>
        <w:t>intersección</w:t>
      </w:r>
      <w:r>
        <w:t xml:space="preserve"> de las 2 funciones de reacción (punto </w:t>
      </w:r>
      <w:r>
        <w:rPr>
          <w:i/>
          <w:iCs/>
        </w:rPr>
        <w:t>N</w:t>
      </w:r>
      <w:r>
        <w:t>).</w:t>
      </w:r>
    </w:p>
    <w:p w14:paraId="7C607407" w14:textId="77777777" w:rsidR="00E304C3" w:rsidRDefault="00E304C3" w:rsidP="00E304C3">
      <w:pPr>
        <w:pStyle w:val="Nivel3SM"/>
        <w:keepNext/>
      </w:pPr>
      <w:r>
        <w:t xml:space="preserve">Este equilibrio es un </w:t>
      </w:r>
      <w:r w:rsidRPr="00197840">
        <w:rPr>
          <w:i/>
          <w:iCs/>
          <w14:glow w14:rad="38100">
            <w14:schemeClr w14:val="accent6">
              <w14:alpha w14:val="50000"/>
              <w14:lumMod w14:val="60000"/>
              <w14:lumOff w14:val="40000"/>
            </w14:schemeClr>
          </w14:glow>
        </w:rPr>
        <w:t xml:space="preserve">equilibrio de </w:t>
      </w:r>
      <w:r w:rsidRPr="00692C57">
        <w:rPr>
          <w:i/>
          <w:iCs/>
          <w14:glow w14:rad="38100">
            <w14:schemeClr w14:val="accent6">
              <w14:alpha w14:val="50000"/>
              <w14:lumMod w14:val="60000"/>
              <w14:lumOff w14:val="40000"/>
            </w14:schemeClr>
          </w14:glow>
        </w:rPr>
        <w:t>Nash</w:t>
      </w:r>
      <w:r>
        <w:t xml:space="preserve"> (i.e. estable, pues cada país está jugando su mejor estrategia).</w:t>
      </w:r>
    </w:p>
    <w:p w14:paraId="1B502EE0" w14:textId="77777777" w:rsidR="00E304C3" w:rsidRPr="00A33610" w:rsidRDefault="00E304C3" w:rsidP="00E304C3">
      <w:pPr>
        <w:pStyle w:val="Nivel3SM"/>
        <w:keepNext/>
      </w:pPr>
      <w:r>
        <w:t xml:space="preserve">Sin embargo </w:t>
      </w:r>
      <w:r w:rsidRPr="00692C57">
        <w:rPr>
          <w:i/>
          <w:iCs/>
        </w:rPr>
        <w:t>no es un óptimo de Pareto</w:t>
      </w:r>
      <w:r>
        <w:t xml:space="preserve">: el tipo de cambio </w:t>
      </w:r>
      <m:oMath>
        <m:sSub>
          <m:sSubPr>
            <m:ctrlPr>
              <w:rPr>
                <w:rFonts w:ascii="Cambria Math" w:hAnsi="Cambria Math"/>
                <w:i/>
                <w:iCs/>
              </w:rPr>
            </m:ctrlPr>
          </m:sSubPr>
          <m:e>
            <m:r>
              <m:rPr>
                <m:nor/>
              </m:rPr>
              <w:rPr>
                <w:i/>
                <w:iCs/>
              </w:rPr>
              <m:t>E</m:t>
            </m:r>
          </m:e>
          <m:sub>
            <m:r>
              <m:rPr>
                <m:nor/>
              </m:rPr>
              <w:rPr>
                <w:i/>
                <w:iCs/>
              </w:rPr>
              <m:t>N</m:t>
            </m:r>
          </m:sub>
        </m:sSub>
      </m:oMath>
      <w:r>
        <w:rPr>
          <w:rFonts w:eastAsiaTheme="minorEastAsia"/>
        </w:rPr>
        <w:t xml:space="preserve"> está demasiado depreciado, por lo que ambos países podrían mejorar con un tipo de cambio más apreciado.</w:t>
      </w:r>
    </w:p>
    <w:p w14:paraId="6E230470" w14:textId="77777777" w:rsidR="00E304C3" w:rsidRDefault="00E304C3" w:rsidP="00E304C3">
      <w:pPr>
        <w:pStyle w:val="Nivel4"/>
        <w:ind w:left="1474"/>
      </w:pPr>
      <w:r>
        <w:t xml:space="preserve">Y es que cualquier punto de la lente formada por las curvas de indiferencia que pasan por </w:t>
      </w:r>
      <w:r>
        <w:rPr>
          <w:i/>
          <w:iCs/>
        </w:rPr>
        <w:t>N</w:t>
      </w:r>
      <w:r>
        <w:t xml:space="preserve"> aumenta la utilidad de ambos países al pasar por él curvas de indiferencia superiores.</w:t>
      </w:r>
    </w:p>
    <w:p w14:paraId="506E3E50" w14:textId="4BBABF32" w:rsidR="00E304C3" w:rsidRPr="00561E50" w:rsidRDefault="00E304C3" w:rsidP="00E304C3">
      <w:pPr>
        <w:pStyle w:val="Ttuloimagen"/>
        <w:rPr>
          <w:i/>
          <w:iCs/>
          <w:smallCaps w:val="0"/>
        </w:rPr>
      </w:pPr>
      <w:bookmarkStart w:id="52" w:name="_Ref122431745"/>
      <w:r>
        <w:t>Imagen </w:t>
      </w:r>
      <w:r w:rsidRPr="009C1D3F">
        <w:fldChar w:fldCharType="begin"/>
      </w:r>
      <w:r w:rsidRPr="009C1D3F">
        <w:instrText xml:space="preserve"> SEQ Ilustración \* ARABIC </w:instrText>
      </w:r>
      <w:r w:rsidRPr="009C1D3F">
        <w:fldChar w:fldCharType="separate"/>
      </w:r>
      <w:r w:rsidR="00E37AC1">
        <w:t>12</w:t>
      </w:r>
      <w:r w:rsidRPr="009C1D3F">
        <w:fldChar w:fldCharType="end"/>
      </w:r>
      <w:bookmarkEnd w:id="52"/>
      <w:r w:rsidRPr="009C1D3F">
        <w:rPr>
          <w:smallCaps w:val="0"/>
        </w:rPr>
        <w:t xml:space="preserve">.– </w:t>
      </w:r>
      <w:r>
        <w:rPr>
          <w:i/>
          <w:iCs/>
          <w:smallCaps w:val="0"/>
        </w:rPr>
        <w:t xml:space="preserve">Modelo de </w:t>
      </w:r>
      <w:r>
        <w:rPr>
          <w:i/>
          <w:iCs/>
        </w:rPr>
        <w:t>Corden</w:t>
      </w:r>
      <w:r>
        <w:rPr>
          <w:i/>
          <w:iCs/>
          <w:smallCaps w:val="0"/>
        </w:rPr>
        <w:t xml:space="preserve"> (1994)</w:t>
      </w:r>
    </w:p>
    <w:p w14:paraId="30596632" w14:textId="77777777" w:rsidR="00E304C3" w:rsidRDefault="00E304C3" w:rsidP="00E304C3">
      <w:pPr>
        <w:pStyle w:val="Imagen"/>
      </w:pPr>
      <w:r>
        <w:drawing>
          <wp:inline distT="0" distB="0" distL="0" distR="0" wp14:anchorId="3EC9D0D8" wp14:editId="5F5DD2F2">
            <wp:extent cx="3956378" cy="2592000"/>
            <wp:effectExtent l="0" t="0" r="6350" b="0"/>
            <wp:docPr id="9"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10;&#10;Descripción generada automáticamente"/>
                    <pic:cNvPicPr/>
                  </pic:nvPicPr>
                  <pic:blipFill rotWithShape="1">
                    <a:blip r:embed="rId23"/>
                    <a:srcRect l="14141"/>
                    <a:stretch/>
                  </pic:blipFill>
                  <pic:spPr bwMode="auto">
                    <a:xfrm>
                      <a:off x="0" y="0"/>
                      <a:ext cx="3956378" cy="2592000"/>
                    </a:xfrm>
                    <a:prstGeom prst="rect">
                      <a:avLst/>
                    </a:prstGeom>
                    <a:ln>
                      <a:noFill/>
                    </a:ln>
                    <a:extLst>
                      <a:ext uri="{53640926-AAD7-44D8-BBD7-CCE9431645EC}">
                        <a14:shadowObscured xmlns:a14="http://schemas.microsoft.com/office/drawing/2010/main"/>
                      </a:ext>
                    </a:extLst>
                  </pic:spPr>
                </pic:pic>
              </a:graphicData>
            </a:graphic>
          </wp:inline>
        </w:drawing>
      </w:r>
    </w:p>
    <w:p w14:paraId="70B24B8D" w14:textId="77777777" w:rsidR="00E304C3" w:rsidRDefault="00E304C3" w:rsidP="00E304C3">
      <w:pPr>
        <w:pStyle w:val="PiedeImagen"/>
        <w:rPr>
          <w:i w:val="0"/>
          <w:iCs/>
        </w:rPr>
      </w:pPr>
      <w:r>
        <w:t>Fuente</w:t>
      </w:r>
      <w:r>
        <w:rPr>
          <w:i w:val="0"/>
          <w:iCs/>
        </w:rPr>
        <w:t>: Elaboración propia</w:t>
      </w:r>
    </w:p>
    <w:p w14:paraId="030953B1" w14:textId="77777777" w:rsidR="00E304C3" w:rsidRDefault="00E304C3" w:rsidP="00E304C3">
      <w:pPr>
        <w:pStyle w:val="Nivel2SM"/>
        <w:keepNext/>
        <w:spacing w:after="0"/>
      </w:pPr>
      <w:r>
        <w:t xml:space="preserve">Concretamente, el </w:t>
      </w:r>
      <w:r>
        <w:rPr>
          <w:i/>
          <w:iCs/>
        </w:rPr>
        <w:t>tipo de cambio</w:t>
      </w:r>
      <w:r>
        <w:t xml:space="preserve"> que </w:t>
      </w:r>
      <w:r w:rsidRPr="00A33610">
        <w:rPr>
          <w:i/>
          <w:iCs/>
        </w:rPr>
        <w:t>maximiza el bienestar conjunto</w:t>
      </w:r>
      <w:r>
        <w:t xml:space="preserve"> es un punto que se situará en el </w:t>
      </w:r>
      <w:r>
        <w:rPr>
          <w:i/>
          <w:iCs/>
        </w:rPr>
        <w:t>núcleo</w:t>
      </w:r>
      <w:r>
        <w:t>, esto es, en la parte de la curva de contrato que queda dentro de la lente.</w:t>
      </w:r>
    </w:p>
    <w:p w14:paraId="17DC5D55" w14:textId="77777777" w:rsidR="00E304C3" w:rsidRDefault="00E304C3" w:rsidP="00CB266C">
      <w:pPr>
        <w:pStyle w:val="Nivel3SM"/>
        <w:keepNext/>
      </w:pPr>
      <w:r>
        <w:t xml:space="preserve">La </w:t>
      </w:r>
      <w:r w:rsidRPr="00A33610">
        <w:rPr>
          <w:i/>
          <w:iCs/>
        </w:rPr>
        <w:t>curva de contrato</w:t>
      </w:r>
      <w:r>
        <w:t xml:space="preserve"> es la recta que une los puntos de saturación </w:t>
      </w:r>
      <w:r>
        <w:rPr>
          <w:i/>
          <w:iCs/>
        </w:rPr>
        <w:t>a</w:t>
      </w:r>
      <w:r>
        <w:t xml:space="preserve"> y </w:t>
      </w:r>
      <w:r>
        <w:rPr>
          <w:i/>
          <w:iCs/>
        </w:rPr>
        <w:t>b</w:t>
      </w:r>
      <w:r>
        <w:t xml:space="preserve">, es decir, la línea formada por los puntos de tangencia de las curvas de indiferencia (que es recta porque las curvas de indiferencia son concéntricas), y representa los pares de ofertas monetarias que son </w:t>
      </w:r>
      <w:r w:rsidRPr="00170D22">
        <w:rPr>
          <w:i/>
          <w:iCs/>
        </w:rPr>
        <w:t>óptimos de Pareto</w:t>
      </w:r>
      <w:r>
        <w:t xml:space="preserve"> (esto es, aquéllos en los que no se puede mejorar el bienestar de un país sin empeorar el del otro).</w:t>
      </w:r>
    </w:p>
    <w:p w14:paraId="7BF549EA" w14:textId="77777777" w:rsidR="00E304C3" w:rsidRPr="006971CA" w:rsidRDefault="00E304C3" w:rsidP="00E304C3">
      <w:pPr>
        <w:pStyle w:val="Nivel4"/>
        <w:ind w:left="1460"/>
      </w:pPr>
      <w:r>
        <w:t xml:space="preserve">En este caso concreto, el único tipo de cambio que maximiza el bienestar conjunto es </w:t>
      </w:r>
      <m:oMath>
        <m:sSub>
          <m:sSubPr>
            <m:ctrlPr>
              <w:rPr>
                <w:rFonts w:ascii="Cambria Math" w:hAnsi="Cambria Math"/>
                <w:i/>
              </w:rPr>
            </m:ctrlPr>
          </m:sSubPr>
          <m:e>
            <m:r>
              <m:rPr>
                <m:nor/>
              </m:rPr>
              <w:rPr>
                <w:i/>
              </w:rPr>
              <m:t>E</m:t>
            </m:r>
          </m:e>
          <m:sub>
            <m:r>
              <m:rPr>
                <m:nor/>
              </m:rPr>
              <w:rPr>
                <w:i/>
              </w:rPr>
              <m:t>0</m:t>
            </m:r>
          </m:sub>
        </m:sSub>
      </m:oMath>
      <w:r>
        <w:t>, ya que coincide con la curva de contrato, pues supusimos que ambos países tenían el mismo objetivo común de tipo de cambio (i.e. que sus puntos de saturación se situaban en el mismo rayo vector).</w:t>
      </w:r>
    </w:p>
    <w:p w14:paraId="0C218428" w14:textId="77777777" w:rsidR="00E304C3" w:rsidRPr="006971CA" w:rsidRDefault="00E304C3" w:rsidP="00E304C3">
      <w:pPr>
        <w:pStyle w:val="Nivel3SM"/>
      </w:pPr>
      <w:r>
        <w:t xml:space="preserve">El objetivo de la </w:t>
      </w:r>
      <w:r w:rsidRPr="006971CA">
        <w:rPr>
          <w:i/>
        </w:rPr>
        <w:t>coordinación</w:t>
      </w:r>
      <w:r>
        <w:t xml:space="preserve"> será siempre situarse en algún punto del núcleo; el punto exacto dependerá del </w:t>
      </w:r>
      <w:r>
        <w:rPr>
          <w:i/>
        </w:rPr>
        <w:t>poder negociador</w:t>
      </w:r>
      <w:r w:rsidRPr="006971CA">
        <w:t xml:space="preserve"> de las partes</w:t>
      </w:r>
      <w:r>
        <w:rPr>
          <w:rStyle w:val="Refdenotaalpie"/>
        </w:rPr>
        <w:footnoteReference w:id="23"/>
      </w:r>
      <w:r>
        <w:t>.</w:t>
      </w:r>
    </w:p>
    <w:p w14:paraId="7CD7A69A" w14:textId="77777777" w:rsidR="00E304C3" w:rsidRPr="00BC78A6" w:rsidRDefault="00E304C3" w:rsidP="00E304C3">
      <w:pPr>
        <w:pStyle w:val="Nivel3SM"/>
        <w:keepNext/>
        <w:rPr>
          <w:spacing w:val="-1"/>
        </w:rPr>
      </w:pPr>
      <w:r w:rsidRPr="00BC78A6">
        <w:rPr>
          <w:spacing w:val="-1"/>
        </w:rPr>
        <w:t xml:space="preserve">El </w:t>
      </w:r>
      <w:r w:rsidRPr="00BC78A6">
        <w:rPr>
          <w:i/>
          <w:iCs/>
          <w:spacing w:val="-1"/>
        </w:rPr>
        <w:t>problema de la solución cooperativa</w:t>
      </w:r>
      <w:r w:rsidRPr="00BC78A6">
        <w:rPr>
          <w:spacing w:val="-1"/>
        </w:rPr>
        <w:t xml:space="preserve"> es que </w:t>
      </w:r>
      <w:r w:rsidRPr="00BC78A6">
        <w:rPr>
          <w:b/>
          <w:bCs/>
          <w:spacing w:val="-1"/>
        </w:rPr>
        <w:t>no es estable</w:t>
      </w:r>
      <w:r w:rsidRPr="00BC78A6">
        <w:rPr>
          <w:spacing w:val="-1"/>
        </w:rPr>
        <w:t xml:space="preserve"> porque no es un equilibrio de </w:t>
      </w:r>
      <w:r w:rsidRPr="00170D22">
        <w:rPr>
          <w:spacing w:val="-1"/>
        </w:rPr>
        <w:t>Nash</w:t>
      </w:r>
      <w:r w:rsidRPr="00BC78A6">
        <w:rPr>
          <w:spacing w:val="-1"/>
        </w:rPr>
        <w:t>.</w:t>
      </w:r>
    </w:p>
    <w:p w14:paraId="781F6B5C" w14:textId="77777777" w:rsidR="00E304C3" w:rsidRPr="00887197" w:rsidRDefault="00E304C3" w:rsidP="00E304C3">
      <w:pPr>
        <w:pStyle w:val="Nivel4"/>
        <w:ind w:left="1474"/>
        <w:rPr>
          <w:spacing w:val="-3"/>
        </w:rPr>
      </w:pPr>
      <w:r w:rsidRPr="00887197">
        <w:rPr>
          <w:spacing w:val="-3"/>
        </w:rPr>
        <w:t>En efecto, si, por ejemplo, el país </w:t>
      </w:r>
      <w:r w:rsidRPr="00887197">
        <w:rPr>
          <w:i/>
          <w:spacing w:val="-3"/>
        </w:rPr>
        <w:t>A</w:t>
      </w:r>
      <w:r w:rsidRPr="00887197">
        <w:rPr>
          <w:spacing w:val="-3"/>
        </w:rPr>
        <w:t xml:space="preserve"> opta por cooperar y aplica una política monetaria, digamos </w:t>
      </w:r>
      <m:oMath>
        <m:sSubSup>
          <m:sSubSupPr>
            <m:ctrlPr>
              <w:rPr>
                <w:rFonts w:ascii="Cambria Math" w:hAnsi="Cambria Math"/>
                <w:i/>
                <w:spacing w:val="-3"/>
              </w:rPr>
            </m:ctrlPr>
          </m:sSubSupPr>
          <m:e>
            <m:r>
              <m:rPr>
                <m:nor/>
              </m:rPr>
              <w:rPr>
                <w:i/>
                <w:spacing w:val="-3"/>
              </w:rPr>
              <m:t>M</m:t>
            </m:r>
          </m:e>
          <m:sub>
            <m:r>
              <m:rPr>
                <m:nor/>
              </m:rPr>
              <w:rPr>
                <w:i/>
                <w:spacing w:val="-3"/>
              </w:rPr>
              <m:t>A</m:t>
            </m:r>
          </m:sub>
          <m:sup>
            <m:r>
              <m:rPr>
                <m:nor/>
              </m:rPr>
              <w:rPr>
                <w:i/>
                <w:spacing w:val="-3"/>
              </w:rPr>
              <m:t>S</m:t>
            </m:r>
          </m:sup>
        </m:sSubSup>
        <m:r>
          <m:rPr>
            <m:nor/>
          </m:rPr>
          <w:rPr>
            <w:i/>
            <w:spacing w:val="-3"/>
          </w:rPr>
          <m:t>*</m:t>
        </m:r>
      </m:oMath>
      <w:r w:rsidRPr="00887197">
        <w:rPr>
          <w:rFonts w:eastAsiaTheme="minorEastAsia"/>
          <w:spacing w:val="-3"/>
        </w:rPr>
        <w:t>, el país </w:t>
      </w:r>
      <w:r w:rsidRPr="00887197">
        <w:rPr>
          <w:rFonts w:eastAsiaTheme="minorEastAsia"/>
          <w:i/>
          <w:spacing w:val="-3"/>
        </w:rPr>
        <w:t>B</w:t>
      </w:r>
      <w:r w:rsidRPr="00887197">
        <w:rPr>
          <w:rFonts w:eastAsiaTheme="minorEastAsia"/>
          <w:spacing w:val="-3"/>
        </w:rPr>
        <w:t xml:space="preserve"> tendrá incentivos a romper el acuerdo y situarse en </w:t>
      </w:r>
      <m:oMath>
        <m:sSubSup>
          <m:sSubSupPr>
            <m:ctrlPr>
              <w:rPr>
                <w:rFonts w:ascii="Cambria Math" w:hAnsi="Cambria Math"/>
                <w:i/>
                <w:spacing w:val="-3"/>
              </w:rPr>
            </m:ctrlPr>
          </m:sSubSupPr>
          <m:e>
            <m:r>
              <m:rPr>
                <m:nor/>
              </m:rPr>
              <w:rPr>
                <w:i/>
                <w:spacing w:val="-3"/>
              </w:rPr>
              <m:t>M</m:t>
            </m:r>
          </m:e>
          <m:sub>
            <m:r>
              <m:rPr>
                <m:nor/>
              </m:rPr>
              <w:rPr>
                <w:i/>
                <w:spacing w:val="-3"/>
              </w:rPr>
              <m:t>B</m:t>
            </m:r>
          </m:sub>
          <m:sup>
            <m:r>
              <m:rPr>
                <m:nor/>
              </m:rPr>
              <w:rPr>
                <w:i/>
                <w:spacing w:val="-3"/>
              </w:rPr>
              <m:t>S</m:t>
            </m:r>
          </m:sup>
        </m:sSubSup>
        <m:r>
          <m:rPr>
            <m:nor/>
          </m:rPr>
          <w:rPr>
            <w:i/>
            <w:spacing w:val="-3"/>
          </w:rPr>
          <m:t>'</m:t>
        </m:r>
      </m:oMath>
      <w:r w:rsidRPr="00887197">
        <w:rPr>
          <w:rFonts w:eastAsiaTheme="minorEastAsia"/>
          <w:spacing w:val="-3"/>
        </w:rPr>
        <w:t xml:space="preserve">, que le reporta mayor utilidad que </w:t>
      </w:r>
      <m:oMath>
        <m:sSubSup>
          <m:sSubSupPr>
            <m:ctrlPr>
              <w:rPr>
                <w:rFonts w:ascii="Cambria Math" w:hAnsi="Cambria Math"/>
                <w:i/>
                <w:spacing w:val="-3"/>
              </w:rPr>
            </m:ctrlPr>
          </m:sSubSupPr>
          <m:e>
            <m:r>
              <m:rPr>
                <m:nor/>
              </m:rPr>
              <w:rPr>
                <w:i/>
                <w:spacing w:val="-3"/>
              </w:rPr>
              <m:t>M</m:t>
            </m:r>
          </m:e>
          <m:sub>
            <m:r>
              <m:rPr>
                <m:nor/>
              </m:rPr>
              <w:rPr>
                <w:i/>
                <w:spacing w:val="-3"/>
              </w:rPr>
              <m:t>B</m:t>
            </m:r>
          </m:sub>
          <m:sup>
            <m:r>
              <m:rPr>
                <m:nor/>
              </m:rPr>
              <w:rPr>
                <w:i/>
                <w:spacing w:val="-3"/>
              </w:rPr>
              <m:t>S</m:t>
            </m:r>
          </m:sup>
        </m:sSubSup>
        <m:r>
          <m:rPr>
            <m:nor/>
          </m:rPr>
          <w:rPr>
            <w:i/>
            <w:spacing w:val="-3"/>
          </w:rPr>
          <m:t>*</m:t>
        </m:r>
      </m:oMath>
      <w:r w:rsidRPr="00887197">
        <w:rPr>
          <w:rFonts w:eastAsiaTheme="minorEastAsia"/>
          <w:spacing w:val="-3"/>
        </w:rPr>
        <w:t xml:space="preserve"> (</w:t>
      </w:r>
      <w:r w:rsidRPr="00887197">
        <w:rPr>
          <w:rFonts w:eastAsiaTheme="minorEastAsia"/>
          <w:i/>
          <w:iCs/>
          <w:spacing w:val="-3"/>
        </w:rPr>
        <w:t>los países tienen incentivos a comportarse como free</w:t>
      </w:r>
      <w:r w:rsidRPr="00887197">
        <w:rPr>
          <w:rFonts w:eastAsiaTheme="minorEastAsia"/>
          <w:i/>
          <w:iCs/>
          <w:spacing w:val="-3"/>
          <w:sz w:val="2"/>
          <w:szCs w:val="2"/>
        </w:rPr>
        <w:t> </w:t>
      </w:r>
      <w:r w:rsidRPr="00887197">
        <w:rPr>
          <w:rFonts w:eastAsiaTheme="minorEastAsia"/>
          <w:i/>
          <w:iCs/>
          <w:spacing w:val="-3"/>
        </w:rPr>
        <w:t>-</w:t>
      </w:r>
      <w:r w:rsidRPr="00887197">
        <w:rPr>
          <w:rFonts w:eastAsiaTheme="minorEastAsia"/>
          <w:i/>
          <w:iCs/>
          <w:spacing w:val="-3"/>
          <w:sz w:val="2"/>
          <w:szCs w:val="2"/>
        </w:rPr>
        <w:t> </w:t>
      </w:r>
      <w:r w:rsidRPr="00887197">
        <w:rPr>
          <w:rFonts w:eastAsiaTheme="minorEastAsia"/>
          <w:i/>
          <w:iCs/>
          <w:spacing w:val="-3"/>
        </w:rPr>
        <w:t>riders</w:t>
      </w:r>
      <w:r w:rsidRPr="00887197">
        <w:rPr>
          <w:rFonts w:eastAsiaTheme="minorEastAsia"/>
          <w:spacing w:val="-3"/>
        </w:rPr>
        <w:t>).</w:t>
      </w:r>
    </w:p>
    <w:p w14:paraId="6866ADB8" w14:textId="77777777" w:rsidR="00E304C3" w:rsidRDefault="00E304C3" w:rsidP="00E304C3">
      <w:pPr>
        <w:pStyle w:val="Ttulo7"/>
      </w:pPr>
      <w:bookmarkStart w:id="53" w:name="_Toc173970604"/>
      <w:r>
        <w:lastRenderedPageBreak/>
        <w:t>Implicaciones</w:t>
      </w:r>
      <w:bookmarkEnd w:id="53"/>
    </w:p>
    <w:p w14:paraId="46234B14" w14:textId="77777777" w:rsidR="00E304C3" w:rsidRDefault="00E304C3" w:rsidP="00E304C3">
      <w:pPr>
        <w:pStyle w:val="Nivel1SM"/>
        <w:keepNext/>
        <w:keepLines/>
        <w:spacing w:before="0" w:after="0"/>
      </w:pPr>
      <w:r>
        <w:t xml:space="preserve">Como decíamos, hasta ahora, los juegos planteados se realizaban en un marco estático en el que los jugadores (gobiernos) tienen incentivos a romper el acuerdo, pues ello les supondría inicialmente una mejora del bienestar. Entonces, ¿cómo podría sostenerse la cooperación? </w:t>
      </w:r>
      <w:r w:rsidRPr="00B85791">
        <w:t>Haci</w:t>
      </w:r>
      <w:r>
        <w:t xml:space="preserve">endo que el juego se repita hasta un </w:t>
      </w:r>
      <w:r w:rsidRPr="00B85791">
        <w:rPr>
          <w:i/>
          <w:iCs/>
          <w:u w:val="single"/>
        </w:rPr>
        <w:t>horizonte infinito</w:t>
      </w:r>
      <w:r>
        <w:t>.</w:t>
      </w:r>
    </w:p>
    <w:p w14:paraId="530412EF" w14:textId="77777777" w:rsidR="00E304C3" w:rsidRPr="000B5EC4" w:rsidRDefault="00E304C3" w:rsidP="00E304C3">
      <w:pPr>
        <w:pStyle w:val="Nivel2SM"/>
        <w:keepNext/>
        <w:spacing w:after="0"/>
      </w:pPr>
      <w:r>
        <w:t>Hay 2 formas de interpretar un horizonte infinito:</w:t>
      </w:r>
    </w:p>
    <w:p w14:paraId="5E573E67" w14:textId="77777777" w:rsidR="00E304C3" w:rsidRDefault="00E304C3">
      <w:pPr>
        <w:pStyle w:val="Prrafodelista"/>
        <w:numPr>
          <w:ilvl w:val="1"/>
          <w:numId w:val="18"/>
        </w:numPr>
        <w:spacing w:after="0"/>
        <w:ind w:left="992" w:hanging="113"/>
      </w:pPr>
      <w:r>
        <w:rPr>
          <w:i/>
          <w:iCs/>
        </w:rPr>
        <w:t>Interpretación literal</w:t>
      </w:r>
      <w:r>
        <w:t xml:space="preserve">: El juego se repite infinitos períodos. En este contexto, cuando la autoridad compara una estrategia con otra, debería comparar el </w:t>
      </w:r>
      <w:r>
        <w:rPr>
          <w:i/>
          <w:iCs/>
        </w:rPr>
        <w:t>valor presente descontado</w:t>
      </w:r>
      <w:r>
        <w:t xml:space="preserve"> de las respectivas ganancias.</w:t>
      </w:r>
    </w:p>
    <w:p w14:paraId="5401DE9E" w14:textId="77777777" w:rsidR="00E304C3" w:rsidRDefault="00E304C3">
      <w:pPr>
        <w:pStyle w:val="Prrafodelista"/>
        <w:numPr>
          <w:ilvl w:val="1"/>
          <w:numId w:val="18"/>
        </w:numPr>
        <w:spacing w:after="0"/>
        <w:ind w:left="992" w:hanging="113"/>
      </w:pPr>
      <w:r>
        <w:rPr>
          <w:i/>
          <w:iCs/>
        </w:rPr>
        <w:t>Interpretación informacional</w:t>
      </w:r>
      <w:r>
        <w:t>: No se conoce la duración del juego. En cada etapa del juego hay una probabilidad de que la interacción continue.</w:t>
      </w:r>
    </w:p>
    <w:p w14:paraId="66C62E22" w14:textId="77777777" w:rsidR="00E304C3" w:rsidRDefault="00E304C3" w:rsidP="00E304C3">
      <w:pPr>
        <w:pStyle w:val="Nivel4"/>
        <w:keepNext/>
        <w:ind w:left="1474"/>
      </w:pPr>
      <w:r>
        <w:t>En ambos casos, cobra especial relevancia el valor del factor de descuento (valoración de las autoridades por las interacciones futuras, es decir, sería una muestra de la paciencia).</w:t>
      </w:r>
    </w:p>
    <w:p w14:paraId="5BE4CD47" w14:textId="77777777" w:rsidR="00E304C3" w:rsidRDefault="00E304C3" w:rsidP="00E304C3">
      <w:pPr>
        <w:pStyle w:val="Nivel5"/>
        <w:ind w:left="1871"/>
      </w:pPr>
      <w:r>
        <w:t>La idea es que si el factor de descuento es lo suficientemente alto o bien la probabilidad de que la interacción continúe es lo suficientemente alta, la cooperación entre las autoridades podría sostenerse.</w:t>
      </w:r>
    </w:p>
    <w:p w14:paraId="73A41174" w14:textId="77777777" w:rsidR="00E304C3" w:rsidRDefault="00E304C3" w:rsidP="00E304C3">
      <w:pPr>
        <w:pStyle w:val="Nivel2SM"/>
        <w:keepNext/>
        <w:spacing w:after="0"/>
      </w:pPr>
      <w:r>
        <w:t xml:space="preserve">La cooperación podría sostenerse mediante </w:t>
      </w:r>
      <w:r>
        <w:rPr>
          <w:i/>
          <w:iCs/>
        </w:rPr>
        <w:t>estrategias de gatillo</w:t>
      </w:r>
      <w:r>
        <w:t xml:space="preserve"> (</w:t>
      </w:r>
      <w:proofErr w:type="spellStart"/>
      <w:r>
        <w:rPr>
          <w:i/>
          <w:iCs/>
        </w:rPr>
        <w:t>grim-trigger</w:t>
      </w:r>
      <w:proofErr w:type="spellEnd"/>
      <w:r>
        <w:rPr>
          <w:i/>
          <w:iCs/>
        </w:rPr>
        <w:t xml:space="preserve"> </w:t>
      </w:r>
      <w:proofErr w:type="spellStart"/>
      <w:r>
        <w:rPr>
          <w:i/>
          <w:iCs/>
        </w:rPr>
        <w:t>strategies</w:t>
      </w:r>
      <w:proofErr w:type="spellEnd"/>
      <w:r>
        <w:t>) por las cuales los países cooperan siempre que en todos los períodos anteriores se haya cooperado, pero si algún país rompe el acuerdo antes, ya no se vuelve a cooperar.</w:t>
      </w:r>
    </w:p>
    <w:p w14:paraId="783E8839" w14:textId="77777777" w:rsidR="00E304C3" w:rsidRDefault="00E304C3" w:rsidP="00E304C3">
      <w:pPr>
        <w:pStyle w:val="Nivel3SM"/>
      </w:pPr>
      <w:r>
        <w:t>En este caso, la amenaza implícita del castigo disuadiría el desvío.</w:t>
      </w:r>
    </w:p>
    <w:p w14:paraId="11FCE0EE" w14:textId="77777777" w:rsidR="00E304C3" w:rsidRDefault="00E304C3" w:rsidP="00E304C3">
      <w:pPr>
        <w:pStyle w:val="Nivel3SM"/>
      </w:pPr>
      <w:r w:rsidRPr="00B820A3">
        <w:rPr>
          <w:i/>
          <w:iCs/>
        </w:rPr>
        <w:t>Problema</w:t>
      </w:r>
      <w:r w:rsidRPr="00B820A3">
        <w:t>: los shocks, acontecimientos temporales y cambios de condiciones dificultan la cooperación.</w:t>
      </w:r>
    </w:p>
    <w:p w14:paraId="2D4DC56E" w14:textId="77777777" w:rsidR="00E304C3" w:rsidRPr="001F4F16" w:rsidRDefault="00E304C3" w:rsidP="00E304C3">
      <w:pPr>
        <w:pStyle w:val="Cajadeanotaciones"/>
        <w:keepNext/>
        <w:spacing w:after="60"/>
        <w:jc w:val="center"/>
        <w:rPr>
          <w:b/>
          <w:bCs/>
          <w:i/>
          <w:iCs/>
        </w:rPr>
      </w:pPr>
      <w:r>
        <w:rPr>
          <w:b/>
          <w:bCs/>
          <w:i/>
          <w:iCs/>
        </w:rPr>
        <w:t>Sostenibilidad de la cooperación en el contexto de un cártel</w:t>
      </w:r>
    </w:p>
    <w:p w14:paraId="1B9BE4EE" w14:textId="77777777" w:rsidR="00E304C3" w:rsidRDefault="00E304C3" w:rsidP="00E304C3">
      <w:pPr>
        <w:pStyle w:val="Cajadeanotaciones"/>
        <w:keepNext/>
        <w:spacing w:after="0"/>
        <w:rPr>
          <w:rFonts w:eastAsiaTheme="minorEastAsia"/>
        </w:rPr>
      </w:pPr>
      <w:r w:rsidRPr="001F4F16">
        <w:rPr>
          <w:i/>
          <w:iCs/>
        </w:rPr>
        <w:t>Analíticamente</w:t>
      </w:r>
      <w:r>
        <w:t>, e</w:t>
      </w:r>
      <w:r w:rsidRPr="001F4F16">
        <w:t>l</w:t>
      </w:r>
      <w:r>
        <w:t xml:space="preserve"> mantenimiento del precio colusorio será sostenible si el beneficio intertemporal de ceñirse al precio colusorio </w:t>
      </w:r>
      <m:oMath>
        <m:sSup>
          <m:sSupPr>
            <m:ctrlPr>
              <w:rPr>
                <w:rFonts w:ascii="Cambria Math" w:hAnsi="Cambria Math"/>
                <w:i/>
              </w:rPr>
            </m:ctrlPr>
          </m:sSupPr>
          <m:e>
            <m:r>
              <m:rPr>
                <m:nor/>
              </m:rPr>
              <w:rPr>
                <w:i/>
              </w:rPr>
              <m:t>p</m:t>
            </m:r>
          </m:e>
          <m:sup>
            <m:r>
              <m:rPr>
                <m:nor/>
              </m:rPr>
              <w:rPr>
                <w:i/>
              </w:rPr>
              <m:t>colusión</m:t>
            </m:r>
          </m:sup>
        </m:sSup>
      </m:oMath>
      <w:r>
        <w:rPr>
          <w:rFonts w:eastAsiaTheme="minorEastAsia"/>
        </w:rPr>
        <w:t xml:space="preserve"> es superior al beneficio intertemporal de desviarse del mismo</w:t>
      </w:r>
      <w:r>
        <w:rPr>
          <w:rStyle w:val="Refdenotaalpie"/>
          <w:rFonts w:eastAsiaTheme="minorEastAsia"/>
        </w:rPr>
        <w:footnoteReference w:id="24"/>
      </w:r>
      <w:r>
        <w:rPr>
          <w:rFonts w:eastAsiaTheme="minorEastAsia"/>
        </w:rPr>
        <w:t>.</w:t>
      </w:r>
    </w:p>
    <w:p w14:paraId="46AA3B61" w14:textId="77777777" w:rsidR="00E304C3" w:rsidRPr="007F6664" w:rsidRDefault="00000000" w:rsidP="00E304C3">
      <w:pPr>
        <w:pStyle w:val="Cajadeanotaciones"/>
        <w:rPr>
          <w:rFonts w:eastAsiaTheme="minorEastAsia"/>
          <w:i/>
        </w:rPr>
      </w:pPr>
      <m:oMathPara>
        <m:oMath>
          <m:sSup>
            <m:sSupPr>
              <m:ctrlPr>
                <w:rPr>
                  <w:rFonts w:ascii="Cambria Math" w:hAnsi="Cambria Math"/>
                  <w:i/>
                </w:rPr>
              </m:ctrlPr>
            </m:sSupPr>
            <m:e>
              <m:r>
                <m:rPr>
                  <m:nor/>
                </m:rPr>
                <w:rPr>
                  <w:i/>
                </w:rPr>
                <m:t>Π</m:t>
              </m:r>
            </m:e>
            <m:sup>
              <m:r>
                <m:rPr>
                  <m:nor/>
                </m:rPr>
                <w:rPr>
                  <w:i/>
                </w:rPr>
                <m:t>colusión</m:t>
              </m:r>
            </m:sup>
          </m:sSup>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iCs/>
                </w:rPr>
                <m:t>β</m:t>
              </m:r>
            </m:e>
          </m:d>
          <m:r>
            <w:rPr>
              <w:rFonts w:ascii="Cambria Math" w:eastAsiaTheme="minorEastAsia" w:hAnsi="Cambria Math"/>
            </w:rPr>
            <m:t>∙</m:t>
          </m:r>
          <m:d>
            <m:dPr>
              <m:ctrlPr>
                <w:rPr>
                  <w:rFonts w:ascii="Cambria Math" w:eastAsiaTheme="minorEastAsia" w:hAnsi="Cambria Math"/>
                  <w:i/>
                </w:rPr>
              </m:ctrlPr>
            </m:dPr>
            <m:e>
              <m:nary>
                <m:naryPr>
                  <m:chr m:val="∑"/>
                  <m:limLoc m:val="undOvr"/>
                  <m:ctrlPr>
                    <w:rPr>
                      <w:rFonts w:ascii="Cambria Math" w:eastAsiaTheme="minorEastAsia" w:hAnsi="Cambria Math"/>
                      <w:i/>
                    </w:rPr>
                  </m:ctrlPr>
                </m:naryPr>
                <m:sub>
                  <m:r>
                    <m:rPr>
                      <m:nor/>
                    </m:rPr>
                    <w:rPr>
                      <w:rFonts w:eastAsiaTheme="minorEastAsia"/>
                      <w:i/>
                    </w:rPr>
                    <m:t>t</m:t>
                  </m:r>
                  <m:r>
                    <w:rPr>
                      <w:rFonts w:ascii="Cambria Math" w:eastAsiaTheme="minorEastAsia" w:hAnsi="Cambria Math"/>
                    </w:rPr>
                    <m:t>=</m:t>
                  </m:r>
                  <m:r>
                    <m:rPr>
                      <m:nor/>
                    </m:rPr>
                    <w:rPr>
                      <w:rFonts w:eastAsiaTheme="minorEastAsia"/>
                      <w:i/>
                    </w:rPr>
                    <m:t>0</m:t>
                  </m:r>
                </m:sub>
                <m:sup>
                  <m:r>
                    <w:rPr>
                      <w:rFonts w:ascii="Cambria Math" w:eastAsiaTheme="minorEastAsia" w:hAnsi="Cambria Math"/>
                    </w:rPr>
                    <m:t>+∞</m:t>
                  </m:r>
                </m:sup>
                <m:e>
                  <m:sSup>
                    <m:sSupPr>
                      <m:ctrlPr>
                        <w:rPr>
                          <w:rFonts w:ascii="Cambria Math" w:hAnsi="Cambria Math"/>
                          <w:i/>
                        </w:rPr>
                      </m:ctrlPr>
                    </m:sSupPr>
                    <m:e>
                      <m:r>
                        <m:rPr>
                          <m:nor/>
                        </m:rPr>
                        <w:rPr>
                          <w:i/>
                          <w:iCs/>
                        </w:rPr>
                        <m:t>β</m:t>
                      </m:r>
                    </m:e>
                    <m:sup>
                      <m:r>
                        <m:rPr>
                          <m:nor/>
                        </m:rPr>
                        <w:rPr>
                          <w:i/>
                        </w:rPr>
                        <m:t>t</m:t>
                      </m:r>
                    </m:sup>
                  </m:sSup>
                  <m:r>
                    <w:rPr>
                      <w:rFonts w:ascii="Cambria Math" w:hAnsi="Cambria Math"/>
                    </w:rPr>
                    <m:t>∙</m:t>
                  </m:r>
                  <m:sSup>
                    <m:sSupPr>
                      <m:ctrlPr>
                        <w:rPr>
                          <w:rFonts w:ascii="Cambria Math" w:hAnsi="Cambria Math"/>
                          <w:i/>
                        </w:rPr>
                      </m:ctrlPr>
                    </m:sSupPr>
                    <m:e>
                      <m:r>
                        <m:rPr>
                          <m:nor/>
                        </m:rPr>
                        <w:rPr>
                          <w:i/>
                        </w:rPr>
                        <m:t>π</m:t>
                      </m:r>
                    </m:e>
                    <m:sup>
                      <m:r>
                        <m:rPr>
                          <m:nor/>
                        </m:rPr>
                        <w:rPr>
                          <w:i/>
                        </w:rPr>
                        <m:t>colusión</m:t>
                      </m:r>
                    </m:sup>
                  </m:sSup>
                </m:e>
              </m:nary>
            </m:e>
          </m:d>
          <m:r>
            <w:rPr>
              <w:rFonts w:ascii="Cambria Math" w:eastAsiaTheme="minorEastAsia" w:hAnsi="Cambria Math"/>
            </w:rPr>
            <m:t>≥</m:t>
          </m:r>
          <m:d>
            <m:dPr>
              <m:ctrlPr>
                <w:rPr>
                  <w:rFonts w:ascii="Cambria Math" w:hAnsi="Cambria Math"/>
                  <w:i/>
                </w:rPr>
              </m:ctrlPr>
            </m:dPr>
            <m:e>
              <m:r>
                <m:rPr>
                  <m:nor/>
                </m:rPr>
                <w:rPr>
                  <w:i/>
                </w:rPr>
                <m:t>1</m:t>
              </m:r>
              <m:r>
                <w:rPr>
                  <w:rFonts w:ascii="Cambria Math" w:hAnsi="Cambria Math"/>
                </w:rPr>
                <m:t>-</m:t>
              </m:r>
              <m:r>
                <m:rPr>
                  <m:nor/>
                </m:rPr>
                <w:rPr>
                  <w:i/>
                  <w:iCs/>
                </w:rPr>
                <m:t>β</m:t>
              </m:r>
            </m:e>
          </m:d>
          <m:r>
            <w:rPr>
              <w:rFonts w:ascii="Cambria Math" w:eastAsiaTheme="minorEastAsia" w:hAnsi="Cambria Math"/>
            </w:rPr>
            <m:t>∙</m:t>
          </m:r>
          <m:d>
            <m:dPr>
              <m:ctrlPr>
                <w:rPr>
                  <w:rFonts w:ascii="Cambria Math" w:hAnsi="Cambria Math"/>
                  <w:i/>
                </w:rPr>
              </m:ctrlPr>
            </m:dPr>
            <m:e>
              <m:sSup>
                <m:sSupPr>
                  <m:ctrlPr>
                    <w:rPr>
                      <w:rFonts w:ascii="Cambria Math" w:hAnsi="Cambria Math"/>
                      <w:i/>
                    </w:rPr>
                  </m:ctrlPr>
                </m:sSupPr>
                <m:e>
                  <m:r>
                    <m:rPr>
                      <m:nor/>
                    </m:rPr>
                    <w:rPr>
                      <w:i/>
                    </w:rPr>
                    <m:t>π</m:t>
                  </m:r>
                </m:e>
                <m:sup>
                  <m:r>
                    <m:rPr>
                      <m:nor/>
                    </m:rPr>
                    <w:rPr>
                      <w:i/>
                    </w:rPr>
                    <m:t>free rider</m:t>
                  </m:r>
                </m:sup>
              </m:sSup>
              <m:r>
                <m:rPr>
                  <m:nor/>
                </m:rPr>
                <w:rPr>
                  <w:rFonts w:eastAsiaTheme="minorEastAsia"/>
                  <w:iCs/>
                </w:rPr>
                <m:t>+</m:t>
              </m:r>
              <m:nary>
                <m:naryPr>
                  <m:chr m:val="∑"/>
                  <m:limLoc m:val="undOvr"/>
                  <m:ctrlPr>
                    <w:rPr>
                      <w:rFonts w:ascii="Cambria Math" w:eastAsiaTheme="minorEastAsia" w:hAnsi="Cambria Math"/>
                      <w:i/>
                    </w:rPr>
                  </m:ctrlPr>
                </m:naryPr>
                <m:sub>
                  <m:r>
                    <m:rPr>
                      <m:nor/>
                    </m:rPr>
                    <w:rPr>
                      <w:rFonts w:eastAsiaTheme="minorEastAsia"/>
                      <w:i/>
                    </w:rPr>
                    <m:t>t</m:t>
                  </m:r>
                  <m:r>
                    <w:rPr>
                      <w:rFonts w:ascii="Cambria Math" w:eastAsiaTheme="minorEastAsia" w:hAnsi="Cambria Math"/>
                    </w:rPr>
                    <m:t>=</m:t>
                  </m:r>
                  <m:r>
                    <m:rPr>
                      <m:nor/>
                    </m:rPr>
                    <w:rPr>
                      <w:rFonts w:eastAsiaTheme="minorEastAsia"/>
                      <w:i/>
                    </w:rPr>
                    <m:t>1</m:t>
                  </m:r>
                </m:sub>
                <m:sup>
                  <m:r>
                    <w:rPr>
                      <w:rFonts w:ascii="Cambria Math" w:eastAsiaTheme="minorEastAsia" w:hAnsi="Cambria Math"/>
                    </w:rPr>
                    <m:t>+∞</m:t>
                  </m:r>
                </m:sup>
                <m:e>
                  <m:sSup>
                    <m:sSupPr>
                      <m:ctrlPr>
                        <w:rPr>
                          <w:rFonts w:ascii="Cambria Math" w:hAnsi="Cambria Math"/>
                          <w:i/>
                        </w:rPr>
                      </m:ctrlPr>
                    </m:sSupPr>
                    <m:e>
                      <m:r>
                        <m:rPr>
                          <m:nor/>
                        </m:rPr>
                        <w:rPr>
                          <w:i/>
                          <w:iCs/>
                        </w:rPr>
                        <m:t>β</m:t>
                      </m:r>
                    </m:e>
                    <m:sup>
                      <m:r>
                        <m:rPr>
                          <m:nor/>
                        </m:rPr>
                        <w:rPr>
                          <w:i/>
                        </w:rPr>
                        <m:t>t</m:t>
                      </m:r>
                    </m:sup>
                  </m:sSup>
                  <m:r>
                    <w:rPr>
                      <w:rFonts w:ascii="Cambria Math" w:hAnsi="Cambria Math"/>
                    </w:rPr>
                    <m:t>∙</m:t>
                  </m:r>
                  <m:sSup>
                    <m:sSupPr>
                      <m:ctrlPr>
                        <w:rPr>
                          <w:rFonts w:ascii="Cambria Math" w:hAnsi="Cambria Math"/>
                          <w:i/>
                        </w:rPr>
                      </m:ctrlPr>
                    </m:sSupPr>
                    <m:e>
                      <m:r>
                        <m:rPr>
                          <m:nor/>
                        </m:rPr>
                        <w:rPr>
                          <w:i/>
                        </w:rPr>
                        <m:t>π</m:t>
                      </m:r>
                    </m:e>
                    <m:sup>
                      <m:r>
                        <m:rPr>
                          <m:nor/>
                        </m:rPr>
                        <w:rPr>
                          <w:i/>
                        </w:rPr>
                        <m:t>castigo</m:t>
                      </m:r>
                    </m:sup>
                  </m:sSup>
                </m:e>
              </m:nary>
            </m:e>
          </m:d>
          <m:r>
            <w:rPr>
              <w:rFonts w:ascii="Cambria Math" w:eastAsiaTheme="minorEastAsia" w:hAnsi="Cambria Math"/>
            </w:rPr>
            <m:t>=</m:t>
          </m:r>
          <m:sSup>
            <m:sSupPr>
              <m:ctrlPr>
                <w:rPr>
                  <w:rFonts w:ascii="Cambria Math" w:hAnsi="Cambria Math"/>
                  <w:i/>
                </w:rPr>
              </m:ctrlPr>
            </m:sSupPr>
            <m:e>
              <m:r>
                <m:rPr>
                  <m:nor/>
                </m:rPr>
                <w:rPr>
                  <w:i/>
                </w:rPr>
                <m:t>Π</m:t>
              </m:r>
            </m:e>
            <m:sup>
              <m:r>
                <m:rPr>
                  <m:nor/>
                </m:rPr>
                <w:rPr>
                  <w:i/>
                </w:rPr>
                <m:t>desviación</m:t>
              </m:r>
            </m:sup>
          </m:sSup>
        </m:oMath>
      </m:oMathPara>
    </w:p>
    <w:p w14:paraId="0BB4C591" w14:textId="77777777" w:rsidR="00E304C3" w:rsidRDefault="00E304C3" w:rsidP="00E304C3">
      <w:pPr>
        <w:pStyle w:val="Cajadeanotaciones"/>
        <w:keepNext/>
        <w:spacing w:after="0"/>
      </w:pPr>
      <w:r>
        <w:rPr>
          <w:iCs/>
        </w:rPr>
        <w:t xml:space="preserve">Se puede mostrar que la colusión es sostenible si el factor de descuento </w:t>
      </w:r>
      <m:oMath>
        <m:r>
          <m:rPr>
            <m:nor/>
          </m:rPr>
          <w:rPr>
            <w:i/>
            <w:iCs/>
          </w:rPr>
          <m:t>β</m:t>
        </m:r>
      </m:oMath>
      <w:r>
        <w:t xml:space="preserve"> es suficientemente alto; es decir, si las empresas son lo suficientemente pacientes (consideran el largo plazo importante)</w:t>
      </w:r>
      <w:r>
        <w:rPr>
          <w:rStyle w:val="Refdenotaalpie"/>
          <w:rFonts w:eastAsiaTheme="minorEastAsia"/>
        </w:rPr>
        <w:footnoteReference w:id="25"/>
      </w:r>
      <w:r>
        <w:t>.</w:t>
      </w:r>
    </w:p>
    <w:p w14:paraId="310C1089" w14:textId="77777777" w:rsidR="00E304C3" w:rsidRPr="00C5185C" w:rsidRDefault="00E304C3" w:rsidP="00E304C3">
      <w:pPr>
        <w:pStyle w:val="Cajadeanotaciones"/>
        <w:rPr>
          <w:rFonts w:eastAsiaTheme="minorEastAsia"/>
          <w:lang w:val="en-US"/>
        </w:rPr>
      </w:pPr>
      <w:bookmarkStart w:id="55" w:name="_Hlk74151070"/>
      <m:oMathPara>
        <m:oMath>
          <m:r>
            <m:rPr>
              <m:nor/>
            </m:rPr>
            <w:rPr>
              <w:i/>
              <w:iCs/>
            </w:rPr>
            <m:t>β</m:t>
          </m:r>
          <w:bookmarkEnd w:id="55"/>
          <m:r>
            <w:rPr>
              <w:rFonts w:ascii="Cambria Math" w:hAnsi="Cambria Math"/>
              <w:lang w:val="en-US"/>
            </w:rPr>
            <m:t>≥</m:t>
          </m:r>
          <m:f>
            <m:fPr>
              <m:ctrlPr>
                <w:rPr>
                  <w:rFonts w:ascii="Cambria Math" w:hAnsi="Cambria Math"/>
                  <w:i/>
                </w:rPr>
              </m:ctrlPr>
            </m:fPr>
            <m:num>
              <m:sSup>
                <m:sSupPr>
                  <m:ctrlPr>
                    <w:rPr>
                      <w:rFonts w:ascii="Cambria Math" w:hAnsi="Cambria Math"/>
                      <w:i/>
                    </w:rPr>
                  </m:ctrlPr>
                </m:sSupPr>
                <m:e>
                  <m:r>
                    <m:rPr>
                      <m:nor/>
                    </m:rPr>
                    <w:rPr>
                      <w:i/>
                    </w:rPr>
                    <m:t>π</m:t>
                  </m:r>
                </m:e>
                <m:sup>
                  <m:r>
                    <m:rPr>
                      <m:nor/>
                    </m:rPr>
                    <w:rPr>
                      <w:i/>
                      <w:lang w:val="en-US"/>
                    </w:rPr>
                    <m:t>free rider</m:t>
                  </m:r>
                </m:sup>
              </m:sSup>
              <m:r>
                <w:rPr>
                  <w:rFonts w:ascii="Cambria Math" w:hAnsi="Cambria Math"/>
                  <w:lang w:val="en-US"/>
                </w:rPr>
                <m:t>-</m:t>
              </m:r>
              <m:sSup>
                <m:sSupPr>
                  <m:ctrlPr>
                    <w:rPr>
                      <w:rFonts w:ascii="Cambria Math" w:hAnsi="Cambria Math"/>
                      <w:i/>
                    </w:rPr>
                  </m:ctrlPr>
                </m:sSupPr>
                <m:e>
                  <m:r>
                    <m:rPr>
                      <m:nor/>
                    </m:rPr>
                    <w:rPr>
                      <w:i/>
                    </w:rPr>
                    <m:t>π</m:t>
                  </m:r>
                </m:e>
                <m:sup>
                  <m:r>
                    <m:rPr>
                      <m:nor/>
                    </m:rPr>
                    <w:rPr>
                      <w:i/>
                      <w:lang w:val="en-US"/>
                    </w:rPr>
                    <m:t>colusión</m:t>
                  </m:r>
                </m:sup>
              </m:sSup>
            </m:num>
            <m:den>
              <m:sSup>
                <m:sSupPr>
                  <m:ctrlPr>
                    <w:rPr>
                      <w:rFonts w:ascii="Cambria Math" w:hAnsi="Cambria Math"/>
                      <w:i/>
                    </w:rPr>
                  </m:ctrlPr>
                </m:sSupPr>
                <m:e>
                  <m:r>
                    <m:rPr>
                      <m:nor/>
                    </m:rPr>
                    <w:rPr>
                      <w:i/>
                    </w:rPr>
                    <m:t>π</m:t>
                  </m:r>
                </m:e>
                <m:sup>
                  <m:r>
                    <m:rPr>
                      <m:nor/>
                    </m:rPr>
                    <w:rPr>
                      <w:i/>
                      <w:lang w:val="en-US"/>
                    </w:rPr>
                    <m:t>free rider</m:t>
                  </m:r>
                </m:sup>
              </m:sSup>
              <m:r>
                <w:rPr>
                  <w:rFonts w:ascii="Cambria Math" w:hAnsi="Cambria Math"/>
                  <w:lang w:val="en-US"/>
                </w:rPr>
                <m:t>-</m:t>
              </m:r>
              <m:sSup>
                <m:sSupPr>
                  <m:ctrlPr>
                    <w:rPr>
                      <w:rFonts w:ascii="Cambria Math" w:hAnsi="Cambria Math"/>
                      <w:i/>
                    </w:rPr>
                  </m:ctrlPr>
                </m:sSupPr>
                <m:e>
                  <m:r>
                    <m:rPr>
                      <m:nor/>
                    </m:rPr>
                    <w:rPr>
                      <w:i/>
                    </w:rPr>
                    <m:t>π</m:t>
                  </m:r>
                </m:e>
                <m:sup>
                  <m:r>
                    <m:rPr>
                      <m:nor/>
                    </m:rPr>
                    <w:rPr>
                      <w:i/>
                      <w:lang w:val="en-US"/>
                    </w:rPr>
                    <m:t>castigo</m:t>
                  </m:r>
                </m:sup>
              </m:sSup>
            </m:den>
          </m:f>
        </m:oMath>
      </m:oMathPara>
    </w:p>
    <w:p w14:paraId="36E32ED6" w14:textId="77777777" w:rsidR="00E304C3" w:rsidRDefault="00E304C3" w:rsidP="00E304C3">
      <w:pPr>
        <w:pStyle w:val="Cajadeanotaciones"/>
      </w:pPr>
      <w:r>
        <w:rPr>
          <w:iCs/>
        </w:rPr>
        <w:t xml:space="preserve">Así pues, cuanto mayor sea el factor de descuento </w:t>
      </w:r>
      <m:oMath>
        <m:r>
          <m:rPr>
            <m:nor/>
          </m:rPr>
          <w:rPr>
            <w:i/>
            <w:iCs/>
          </w:rPr>
          <m:t>β</m:t>
        </m:r>
      </m:oMath>
      <w:r>
        <w:t>, más posibilidades habrá de que cooperen (y de que, por tanto, el cártel sea sostenible).</w:t>
      </w:r>
    </w:p>
    <w:p w14:paraId="4488A421" w14:textId="77777777" w:rsidR="00E304C3" w:rsidRPr="00930411" w:rsidRDefault="00E304C3" w:rsidP="00E304C3">
      <w:pPr>
        <w:pStyle w:val="Cajadeanotaciones"/>
      </w:pPr>
      <w:r>
        <w:t xml:space="preserve">Este resultado constituye una aplicación concreta en los juegos de horizonte infinito con información completa del resultado general de la </w:t>
      </w:r>
      <w:r w:rsidRPr="00BC65FC">
        <w:t>teoría de juegos</w:t>
      </w:r>
      <w:r>
        <w:t xml:space="preserve"> conocido como el </w:t>
      </w:r>
      <w:r w:rsidRPr="00BC65FC">
        <w:t>teorema de la tradición oral</w:t>
      </w:r>
      <w:r>
        <w:t xml:space="preserve"> (</w:t>
      </w:r>
      <w:r w:rsidRPr="00BC65FC">
        <w:rPr>
          <w:i/>
          <w:iCs/>
        </w:rPr>
        <w:t xml:space="preserve">folk </w:t>
      </w:r>
      <w:proofErr w:type="spellStart"/>
      <w:r w:rsidRPr="00BC65FC">
        <w:rPr>
          <w:i/>
          <w:iCs/>
        </w:rPr>
        <w:t>theorem</w:t>
      </w:r>
      <w:proofErr w:type="spellEnd"/>
      <w:r>
        <w:t xml:space="preserve">). Este teorema proporciona una caracterización completa del conjunto de </w:t>
      </w:r>
      <w:r w:rsidRPr="00BC65FC">
        <w:rPr>
          <w:i/>
          <w:iCs/>
        </w:rPr>
        <w:t>Equilibrios de Nash Perfectos en Subjuegos</w:t>
      </w:r>
      <w:r>
        <w:t xml:space="preserve"> de los juegos repetidos con horizonte infinito cuando el factor de descuento es lo suficientemente grande. En concreto, el teorema mantiene que todo pago factible mayor </w:t>
      </w:r>
      <w:r w:rsidRPr="00CB7F1B">
        <w:t>que el mínimo pago que se puede obtener en el jue</w:t>
      </w:r>
      <w:r>
        <w:t xml:space="preserve">go estático puede sostenerse en términos </w:t>
      </w:r>
      <w:r>
        <w:lastRenderedPageBreak/>
        <w:t xml:space="preserve">medios como pago de un </w:t>
      </w:r>
      <w:r w:rsidRPr="00BC65FC">
        <w:rPr>
          <w:i/>
          <w:iCs/>
        </w:rPr>
        <w:t>Equilibrio de Nash Perfecto en Subjuegos</w:t>
      </w:r>
      <w:r w:rsidRPr="00930411">
        <w:t xml:space="preserve"> </w:t>
      </w:r>
      <w:r>
        <w:t>del juego repetido con horizonte infinito para un factor de descuento lo suficientemente grande.</w:t>
      </w:r>
    </w:p>
    <w:p w14:paraId="490D5E67" w14:textId="77777777" w:rsidR="00E304C3" w:rsidRDefault="00E304C3" w:rsidP="00E304C3">
      <w:pPr>
        <w:pStyle w:val="Cajadeanotaciones"/>
      </w:pPr>
      <w:r w:rsidRPr="00911ADB">
        <w:rPr>
          <w:i/>
          <w:iCs/>
        </w:rPr>
        <w:t>Gráficamente</w:t>
      </w:r>
      <w:r>
        <w:t>, se puede apreciar de la siguiente forma, de modo que el valor de los beneficios futuros descontados de la colusión ha de ser mayor que el de la desviación, por lo que el área roja ha de ser menor al área azul (los incentivos a desviarse no son suficientes).</w:t>
      </w:r>
    </w:p>
    <w:p w14:paraId="20EB7C26" w14:textId="394E616B" w:rsidR="00E304C3" w:rsidRPr="001F4F16" w:rsidRDefault="00E304C3" w:rsidP="00E304C3">
      <w:pPr>
        <w:pStyle w:val="Cajadeanotaciones"/>
        <w:keepNext/>
        <w:spacing w:after="0"/>
        <w:jc w:val="center"/>
        <w:rPr>
          <w:smallCaps/>
          <w:color w:val="3B3838" w:themeColor="background2" w:themeShade="40"/>
          <w:sz w:val="20"/>
          <w:szCs w:val="20"/>
        </w:rPr>
      </w:pPr>
      <w:r w:rsidRPr="001F4F16">
        <w:rPr>
          <w:smallCaps/>
          <w:color w:val="3B3838" w:themeColor="background2" w:themeShade="40"/>
          <w:sz w:val="20"/>
          <w:szCs w:val="20"/>
        </w:rPr>
        <w:t>Imagen</w:t>
      </w:r>
      <w:r>
        <w:rPr>
          <w:smallCaps/>
          <w:color w:val="3B3838" w:themeColor="background2" w:themeShade="40"/>
          <w:sz w:val="20"/>
          <w:szCs w:val="20"/>
        </w:rPr>
        <w:t> </w:t>
      </w:r>
      <w:r w:rsidRPr="001F4F16">
        <w:rPr>
          <w:smallCaps/>
          <w:color w:val="3B3838" w:themeColor="background2" w:themeShade="40"/>
          <w:sz w:val="20"/>
          <w:szCs w:val="20"/>
        </w:rPr>
        <w:fldChar w:fldCharType="begin"/>
      </w:r>
      <w:r w:rsidRPr="001F4F16">
        <w:rPr>
          <w:smallCaps/>
          <w:color w:val="3B3838" w:themeColor="background2" w:themeShade="40"/>
          <w:sz w:val="20"/>
          <w:szCs w:val="20"/>
        </w:rPr>
        <w:instrText xml:space="preserve"> SEQ Ilustración \* ARABIC </w:instrText>
      </w:r>
      <w:r w:rsidRPr="001F4F16">
        <w:rPr>
          <w:smallCaps/>
          <w:color w:val="3B3838" w:themeColor="background2" w:themeShade="40"/>
          <w:sz w:val="20"/>
          <w:szCs w:val="20"/>
        </w:rPr>
        <w:fldChar w:fldCharType="separate"/>
      </w:r>
      <w:r w:rsidR="00E37AC1">
        <w:rPr>
          <w:smallCaps/>
          <w:noProof/>
          <w:color w:val="3B3838" w:themeColor="background2" w:themeShade="40"/>
          <w:sz w:val="20"/>
          <w:szCs w:val="20"/>
        </w:rPr>
        <w:t>13</w:t>
      </w:r>
      <w:r w:rsidRPr="001F4F16">
        <w:rPr>
          <w:smallCaps/>
          <w:color w:val="3B3838" w:themeColor="background2" w:themeShade="40"/>
          <w:sz w:val="20"/>
          <w:szCs w:val="20"/>
        </w:rPr>
        <w:fldChar w:fldCharType="end"/>
      </w:r>
      <w:r w:rsidRPr="001F4F16">
        <w:rPr>
          <w:color w:val="3B3838" w:themeColor="background2" w:themeShade="40"/>
          <w:sz w:val="20"/>
          <w:szCs w:val="20"/>
        </w:rPr>
        <w:t xml:space="preserve">.– </w:t>
      </w:r>
      <w:r w:rsidRPr="001F4F16">
        <w:rPr>
          <w:i/>
          <w:iCs/>
          <w:color w:val="3B3838" w:themeColor="background2" w:themeShade="40"/>
          <w:sz w:val="20"/>
          <w:szCs w:val="20"/>
        </w:rPr>
        <w:t>Sostenibilidad de la colusión del cártel</w:t>
      </w:r>
    </w:p>
    <w:p w14:paraId="05067269" w14:textId="77777777" w:rsidR="00E304C3" w:rsidRPr="001F4F16" w:rsidRDefault="00E304C3" w:rsidP="00E304C3">
      <w:pPr>
        <w:pStyle w:val="Cajadeanotaciones"/>
        <w:keepNext/>
        <w:spacing w:after="0"/>
        <w:jc w:val="center"/>
        <w:rPr>
          <w:rFonts w:eastAsiaTheme="minorEastAsia"/>
          <w:color w:val="3B3838" w:themeColor="background2" w:themeShade="40"/>
          <w:sz w:val="20"/>
          <w:szCs w:val="20"/>
        </w:rPr>
      </w:pPr>
      <w:r w:rsidRPr="001F4F16">
        <w:rPr>
          <w:noProof/>
          <w:color w:val="3B3838" w:themeColor="background2" w:themeShade="40"/>
          <w:sz w:val="20"/>
          <w:szCs w:val="20"/>
        </w:rPr>
        <w:drawing>
          <wp:inline distT="0" distB="0" distL="0" distR="0" wp14:anchorId="2D727E02" wp14:editId="1C58E261">
            <wp:extent cx="3345691" cy="1260000"/>
            <wp:effectExtent l="0" t="0" r="7620" b="0"/>
            <wp:docPr id="12" name="Imagen 12" descr="Gráfico, Histograma&#10;&#10;Descripción generada automáticament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Gráfico, Histograma&#10;&#10;Descripción generada automáticamente">
                      <a:hlinkClick r:id="rId24"/>
                    </pic:cNvPr>
                    <pic:cNvPicPr/>
                  </pic:nvPicPr>
                  <pic:blipFill rotWithShape="1">
                    <a:blip r:embed="rId25">
                      <a:extLst>
                        <a:ext uri="{28A0092B-C50C-407E-A947-70E740481C1C}">
                          <a14:useLocalDpi xmlns:a14="http://schemas.microsoft.com/office/drawing/2010/main" val="0"/>
                        </a:ext>
                      </a:extLst>
                    </a:blip>
                    <a:srcRect t="9881"/>
                    <a:stretch/>
                  </pic:blipFill>
                  <pic:spPr bwMode="auto">
                    <a:xfrm>
                      <a:off x="0" y="0"/>
                      <a:ext cx="3345691" cy="1260000"/>
                    </a:xfrm>
                    <a:prstGeom prst="rect">
                      <a:avLst/>
                    </a:prstGeom>
                    <a:ln>
                      <a:noFill/>
                    </a:ln>
                    <a:extLst>
                      <a:ext uri="{53640926-AAD7-44D8-BBD7-CCE9431645EC}">
                        <a14:shadowObscured xmlns:a14="http://schemas.microsoft.com/office/drawing/2010/main"/>
                      </a:ext>
                    </a:extLst>
                  </pic:spPr>
                </pic:pic>
              </a:graphicData>
            </a:graphic>
          </wp:inline>
        </w:drawing>
      </w:r>
    </w:p>
    <w:p w14:paraId="635FC6E3" w14:textId="77777777" w:rsidR="00E304C3" w:rsidRPr="001F4F16" w:rsidRDefault="00E304C3" w:rsidP="00E304C3">
      <w:pPr>
        <w:pStyle w:val="Cajadeanotaciones"/>
        <w:spacing w:after="40"/>
        <w:jc w:val="center"/>
        <w:rPr>
          <w:i/>
          <w:iCs/>
          <w:color w:val="3B3838" w:themeColor="background2" w:themeShade="40"/>
          <w:sz w:val="15"/>
          <w:szCs w:val="15"/>
        </w:rPr>
      </w:pPr>
      <w:r w:rsidRPr="001F4F16">
        <w:rPr>
          <w:i/>
          <w:iCs/>
          <w:color w:val="3B3838" w:themeColor="background2" w:themeShade="40"/>
          <w:sz w:val="15"/>
          <w:szCs w:val="15"/>
        </w:rPr>
        <w:t>Fuente</w:t>
      </w:r>
      <w:r w:rsidRPr="001F4F16">
        <w:rPr>
          <w:iCs/>
          <w:color w:val="3B3838" w:themeColor="background2" w:themeShade="40"/>
          <w:sz w:val="15"/>
          <w:szCs w:val="15"/>
        </w:rPr>
        <w:t>: Elaboración propia</w:t>
      </w:r>
    </w:p>
    <w:p w14:paraId="6C5DDAC3" w14:textId="77777777" w:rsidR="00E304C3" w:rsidRDefault="00E304C3" w:rsidP="00E304C3">
      <w:pPr>
        <w:pStyle w:val="Cajadeanotaciones"/>
        <w:keepNext/>
        <w:spacing w:after="0"/>
      </w:pPr>
      <w:r>
        <w:t>Que esto ocurra dependerá de los parámetros del modelo</w:t>
      </w:r>
      <w:r>
        <w:rPr>
          <w:rStyle w:val="Refdenotaalpie"/>
        </w:rPr>
        <w:footnoteReference w:id="26"/>
      </w:r>
      <w:r>
        <w:t>:</w:t>
      </w:r>
    </w:p>
    <w:p w14:paraId="679E650C" w14:textId="77777777" w:rsidR="00E304C3" w:rsidRDefault="00E304C3" w:rsidP="00E304C3">
      <w:pPr>
        <w:pStyle w:val="Cajadeanotaciones"/>
        <w:rPr>
          <w:rFonts w:eastAsiaTheme="minorEastAsia"/>
        </w:rPr>
      </w:pPr>
      <m:oMathPara>
        <m:oMath>
          <m:r>
            <w:rPr>
              <w:rFonts w:ascii="Cambria Math" w:eastAsiaTheme="minorEastAsia" w:hAnsi="Cambria Math"/>
            </w:rPr>
            <m:t xml:space="preserve"> </m:t>
          </m:r>
          <m:r>
            <m:rPr>
              <m:nor/>
            </m:rPr>
            <w:rPr>
              <w:rFonts w:eastAsiaTheme="minorEastAsia"/>
              <w:i/>
              <w:iCs/>
            </w:rPr>
            <m:t>Sostenibilidad del cártel</m:t>
          </m:r>
          <m:r>
            <w:rPr>
              <w:rFonts w:ascii="Cambria Math" w:eastAsiaTheme="minorEastAsia" w:hAnsi="Cambria Math"/>
            </w:rPr>
            <m:t>=f(</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sSup>
                    <m:sSupPr>
                      <m:ctrlPr>
                        <w:rPr>
                          <w:rFonts w:ascii="Cambria Math" w:hAnsi="Cambria Math"/>
                          <w:i/>
                        </w:rPr>
                      </m:ctrlPr>
                    </m:sSupPr>
                    <m:e>
                      <m:r>
                        <m:rPr>
                          <m:nor/>
                        </m:rPr>
                        <w:rPr>
                          <w:i/>
                        </w:rPr>
                        <m:t>π</m:t>
                      </m:r>
                    </m:e>
                    <m:sup>
                      <m:r>
                        <m:rPr>
                          <m:nor/>
                        </m:rPr>
                        <w:rPr>
                          <w:i/>
                        </w:rPr>
                        <m:t>free rider</m:t>
                      </m:r>
                    </m:sup>
                  </m:sSup>
                </m:e>
              </m:groupChr>
            </m:e>
            <m:lim>
              <m:r>
                <w:rPr>
                  <w:rFonts w:ascii="Cambria Math" w:eastAsiaTheme="minorEastAsia" w:hAnsi="Cambria Math"/>
                </w:rPr>
                <m:t>-</m:t>
              </m:r>
            </m:lim>
          </m:limUpp>
          <m:r>
            <w:rPr>
              <w:rFonts w:ascii="Cambria Math" w:eastAsiaTheme="minorEastAsia" w:hAnsi="Cambria Math"/>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sSup>
                    <m:sSupPr>
                      <m:ctrlPr>
                        <w:rPr>
                          <w:rFonts w:ascii="Cambria Math" w:hAnsi="Cambria Math"/>
                          <w:i/>
                        </w:rPr>
                      </m:ctrlPr>
                    </m:sSupPr>
                    <m:e>
                      <m:r>
                        <m:rPr>
                          <m:nor/>
                        </m:rPr>
                        <w:rPr>
                          <w:i/>
                        </w:rPr>
                        <m:t>π</m:t>
                      </m:r>
                    </m:e>
                    <m:sup>
                      <m:r>
                        <m:rPr>
                          <m:nor/>
                        </m:rPr>
                        <w:rPr>
                          <w:i/>
                        </w:rPr>
                        <m:t>castigo</m:t>
                      </m:r>
                    </m:sup>
                  </m:sSup>
                </m:e>
              </m:groupChr>
            </m:e>
            <m:lim>
              <m:r>
                <w:rPr>
                  <w:rFonts w:ascii="Cambria Math" w:eastAsiaTheme="minorEastAsia" w:hAnsi="Cambria Math"/>
                </w:rPr>
                <m:t>-</m:t>
              </m:r>
            </m:lim>
          </m:limUpp>
          <m:r>
            <w:rPr>
              <w:rFonts w:ascii="Cambria Math" w:eastAsiaTheme="minorEastAsia" w:hAnsi="Cambria Math"/>
            </w:rPr>
            <m:t xml:space="preserve">, </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sSup>
                    <m:sSupPr>
                      <m:ctrlPr>
                        <w:rPr>
                          <w:rFonts w:ascii="Cambria Math" w:hAnsi="Cambria Math"/>
                          <w:i/>
                        </w:rPr>
                      </m:ctrlPr>
                    </m:sSupPr>
                    <m:e>
                      <m:r>
                        <m:rPr>
                          <m:nor/>
                        </m:rPr>
                        <w:rPr>
                          <w:i/>
                        </w:rPr>
                        <m:t>t</m:t>
                      </m:r>
                    </m:e>
                    <m:sup>
                      <m:r>
                        <m:rPr>
                          <m:nor/>
                        </m:rPr>
                        <w:rPr>
                          <w:i/>
                        </w:rPr>
                        <m:t>reacción</m:t>
                      </m:r>
                    </m:sup>
                  </m:sSup>
                </m:e>
              </m:groupChr>
            </m:e>
            <m:lim>
              <m:r>
                <w:rPr>
                  <w:rFonts w:ascii="Cambria Math" w:eastAsiaTheme="minorEastAsia" w:hAnsi="Cambria Math"/>
                </w:rPr>
                <m:t>-</m:t>
              </m:r>
            </m:lim>
          </m:limUpp>
          <m:r>
            <w:rPr>
              <w:rFonts w:ascii="Cambria Math" w:eastAsiaTheme="minorEastAsia" w:hAnsi="Cambria Math"/>
            </w:rPr>
            <m:t xml:space="preserve">, </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sSup>
                    <m:sSupPr>
                      <m:ctrlPr>
                        <w:rPr>
                          <w:rFonts w:ascii="Cambria Math" w:hAnsi="Cambria Math"/>
                          <w:i/>
                        </w:rPr>
                      </m:ctrlPr>
                    </m:sSupPr>
                    <m:e>
                      <m:r>
                        <m:rPr>
                          <m:nor/>
                        </m:rPr>
                        <w:rPr>
                          <w:i/>
                        </w:rPr>
                        <m:t>π</m:t>
                      </m:r>
                    </m:e>
                    <m:sup>
                      <m:r>
                        <m:rPr>
                          <m:nor/>
                        </m:rPr>
                        <w:rPr>
                          <w:i/>
                        </w:rPr>
                        <m:t>colusión</m:t>
                      </m:r>
                    </m:sup>
                  </m:sSup>
                </m:e>
              </m:groupChr>
            </m:e>
            <m:lim>
              <m:r>
                <w:rPr>
                  <w:rFonts w:ascii="Cambria Math" w:eastAsiaTheme="minorEastAsia" w:hAnsi="Cambria Math"/>
                </w:rPr>
                <m:t>+</m:t>
              </m:r>
            </m:lim>
          </m:limUpp>
          <m:r>
            <w:rPr>
              <w:rFonts w:ascii="Cambria Math" w:eastAsiaTheme="minorEastAsia"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rPr>
                    <m:t>β</m:t>
                  </m:r>
                </m:e>
              </m:groupChr>
            </m:e>
            <m:lim>
              <m:r>
                <w:rPr>
                  <w:rFonts w:ascii="Cambria Math" w:hAnsi="Cambria Math"/>
                </w:rPr>
                <m:t>+</m:t>
              </m:r>
            </m:lim>
          </m:limUpp>
          <m:r>
            <w:rPr>
              <w:rFonts w:ascii="Cambria Math" w:eastAsiaTheme="minorEastAsia" w:hAnsi="Cambria Math"/>
            </w:rPr>
            <m:t>)</m:t>
          </m:r>
        </m:oMath>
      </m:oMathPara>
    </w:p>
    <w:p w14:paraId="42976117" w14:textId="77777777" w:rsidR="00E304C3" w:rsidRDefault="00E304C3" w:rsidP="00E304C3">
      <w:pPr>
        <w:pStyle w:val="Ttulo6"/>
      </w:pPr>
      <w:bookmarkStart w:id="56" w:name="_Toc173970605"/>
      <w:r>
        <w:t>Evidencia empírica</w:t>
      </w:r>
      <w:bookmarkEnd w:id="56"/>
    </w:p>
    <w:p w14:paraId="44748021" w14:textId="77777777" w:rsidR="00E304C3" w:rsidRPr="00FA3958" w:rsidRDefault="00E304C3" w:rsidP="00E304C3">
      <w:pPr>
        <w:pStyle w:val="Nivel1SM"/>
        <w:spacing w:before="0"/>
      </w:pPr>
      <w:r>
        <w:t>La evidencia empírica recopilada para este tipo de modelos, sin embargo, concluía de manera ampliamente mayoritaria (hasta convertirse en un hecho estilizado en la literatura) que las ganancias de la cooperación en políticas macroeconómicas, por comparación con las políticas no coordinadas no eran tan elevadas (entre el 0,5 % y el 1 % del PIB).</w:t>
      </w:r>
    </w:p>
    <w:p w14:paraId="4464447C" w14:textId="77777777" w:rsidR="00E304C3" w:rsidRDefault="00E304C3" w:rsidP="00E304C3">
      <w:pPr>
        <w:pStyle w:val="Ttulo6"/>
      </w:pPr>
      <w:bookmarkStart w:id="57" w:name="_Toc173970606"/>
      <w:r>
        <w:t>Valoración</w:t>
      </w:r>
      <w:bookmarkEnd w:id="57"/>
    </w:p>
    <w:p w14:paraId="55A4225C" w14:textId="77777777" w:rsidR="00E304C3" w:rsidRDefault="00E304C3" w:rsidP="00E304C3">
      <w:pPr>
        <w:pStyle w:val="Nivel1SM"/>
        <w:keepNext/>
        <w:spacing w:before="0" w:after="0"/>
      </w:pPr>
      <w:r>
        <w:t>Podemos señalar distintos ejemplos históricos en los que la coordinación puede llevar a mejoras:</w:t>
      </w:r>
    </w:p>
    <w:p w14:paraId="14C7110C" w14:textId="77777777" w:rsidR="00E304C3" w:rsidRDefault="00E304C3">
      <w:pPr>
        <w:pStyle w:val="Prrafodelista"/>
        <w:keepNext/>
        <w:numPr>
          <w:ilvl w:val="0"/>
          <w:numId w:val="17"/>
        </w:numPr>
        <w:spacing w:after="0"/>
        <w:ind w:left="568" w:hanging="284"/>
      </w:pPr>
      <w:r>
        <w:t>Durante la crisis financiera global iniciada en 2008, los gobiernos se plantean llevar a cabo una política fiscal expansiva para aumentar la renta.</w:t>
      </w:r>
    </w:p>
    <w:p w14:paraId="33E5A2DF" w14:textId="77777777" w:rsidR="00E304C3" w:rsidRDefault="00E304C3" w:rsidP="00E304C3">
      <w:pPr>
        <w:pStyle w:val="Nivel3SM"/>
      </w:pPr>
      <w:r>
        <w:t>Sin embargo, existen costes de realizar una expansión fiscal por sí mismos (relacionados, por ejemplo, con el deterioro de las cuentas públicas, que podría suponer un aumento del coste de financiación).</w:t>
      </w:r>
    </w:p>
    <w:p w14:paraId="0BA6109E" w14:textId="77777777" w:rsidR="00E304C3" w:rsidRDefault="00E304C3" w:rsidP="00E304C3">
      <w:pPr>
        <w:pStyle w:val="Nivel3SM"/>
      </w:pPr>
      <w:r>
        <w:lastRenderedPageBreak/>
        <w:t>Por ello, los países preferirían que fueran el resto de países quienes realizasen dicha expansión para beneficiarse del efecto locomotora y no experimentar una tensión en sus mercados de deuda pública.</w:t>
      </w:r>
    </w:p>
    <w:p w14:paraId="7CD83B70" w14:textId="77777777" w:rsidR="00E304C3" w:rsidRDefault="00E304C3" w:rsidP="00E304C3">
      <w:pPr>
        <w:pStyle w:val="Nivel3SM"/>
      </w:pPr>
      <w:r>
        <w:t xml:space="preserve">El problema es que bien pudiera ser que los costes de financiar la política fiscal fueran muy grandes, de modo que el juego adquiere carácter de </w:t>
      </w:r>
      <w:r w:rsidRPr="00E6505E">
        <w:rPr>
          <w:i/>
          <w:iCs/>
        </w:rPr>
        <w:t>dilema del prisionero</w:t>
      </w:r>
      <w:r>
        <w:t>, donde el equilibrio de Nash no cooperativo sería no llevar a cabo la política fiscal expansiva.</w:t>
      </w:r>
    </w:p>
    <w:p w14:paraId="0E6D20D1" w14:textId="77777777" w:rsidR="00E304C3" w:rsidRDefault="00E304C3" w:rsidP="00E304C3">
      <w:pPr>
        <w:pStyle w:val="Nivel3SM"/>
      </w:pPr>
      <w:r>
        <w:t xml:space="preserve">Pues bien, una opción sería la </w:t>
      </w:r>
      <w:r w:rsidRPr="00E6505E">
        <w:rPr>
          <w:i/>
          <w:iCs/>
        </w:rPr>
        <w:t>coordinación de las políticas macroeconómicas</w:t>
      </w:r>
      <w:r>
        <w:t xml:space="preserve"> para que todos los países apliquen políticas fiscales expansivas y ningún país incurra en déficits comerciales y el estímulo permita una salida conjunta de la recesión.</w:t>
      </w:r>
    </w:p>
    <w:p w14:paraId="0B909F69" w14:textId="77777777" w:rsidR="00E304C3" w:rsidRDefault="00E304C3" w:rsidP="00E304C3">
      <w:pPr>
        <w:pStyle w:val="Nivel3SM"/>
      </w:pPr>
      <w:r>
        <w:t>Esto es lo que ocurrió en la cumbre del G-20 celebrada en Londres en 2009.</w:t>
      </w:r>
    </w:p>
    <w:p w14:paraId="46403C70" w14:textId="77777777" w:rsidR="00E304C3" w:rsidRDefault="00E304C3">
      <w:pPr>
        <w:pStyle w:val="Prrafodelista"/>
        <w:keepNext/>
        <w:numPr>
          <w:ilvl w:val="0"/>
          <w:numId w:val="17"/>
        </w:numPr>
        <w:spacing w:after="0"/>
        <w:ind w:left="568" w:hanging="284"/>
      </w:pPr>
      <w:r>
        <w:t xml:space="preserve">Consolidación fiscal, rectitud fiscal y la posibilidad de un </w:t>
      </w:r>
      <w:proofErr w:type="spellStart"/>
      <w:r w:rsidRPr="000B5EC4">
        <w:rPr>
          <w:i/>
          <w:iCs/>
        </w:rPr>
        <w:t>bail-out</w:t>
      </w:r>
      <w:proofErr w:type="spellEnd"/>
      <w:r>
        <w:t xml:space="preserve"> como dilema del prisionero:</w:t>
      </w:r>
    </w:p>
    <w:p w14:paraId="295B5E7E" w14:textId="77777777" w:rsidR="00E304C3" w:rsidRDefault="00E304C3" w:rsidP="00E304C3">
      <w:pPr>
        <w:pStyle w:val="Nivel3SM"/>
      </w:pPr>
      <w:r>
        <w:t>Una manera alternativa de ver la cooperación es considerar ésta asociada a la rectitud fiscal en lugar de a los impulsos fiscales que algunos autores asocian con la interacción entre los países europeos. Esta visión descansa sobre la consideración de que los déficits fiscales suponen efectos desbordamiento negativos para el resto de los socios de la eurozona. Los efectos negativos serían la posibilidad de que países solventes rescaten financieramente a los países no prudentes.</w:t>
      </w:r>
    </w:p>
    <w:p w14:paraId="3144DE64" w14:textId="77777777" w:rsidR="00E304C3" w:rsidRDefault="00E304C3" w:rsidP="00E304C3">
      <w:pPr>
        <w:pStyle w:val="Nivel3SM"/>
      </w:pPr>
      <w:r>
        <w:t xml:space="preserve">El equilibrio no cooperativo sería aquel donde todos los países incurren en déficits fiscales excesivos porque la posibilidad del </w:t>
      </w:r>
      <w:proofErr w:type="spellStart"/>
      <w:r>
        <w:rPr>
          <w:i/>
          <w:iCs/>
        </w:rPr>
        <w:t>bail-out</w:t>
      </w:r>
      <w:proofErr w:type="spellEnd"/>
      <w:r>
        <w:t xml:space="preserve"> desincentiva una política fiscal prudente.</w:t>
      </w:r>
    </w:p>
    <w:p w14:paraId="3A147B45" w14:textId="77777777" w:rsidR="00E304C3" w:rsidRDefault="00E304C3" w:rsidP="00E304C3">
      <w:pPr>
        <w:pStyle w:val="Nivel3SM"/>
      </w:pPr>
      <w:r>
        <w:t>El equilibrio cooperativo (coordinación) sería establecer reglas fiscales que eviten al existencia de riesgo moral.</w:t>
      </w:r>
    </w:p>
    <w:p w14:paraId="06C531FA" w14:textId="77777777" w:rsidR="00DD4384" w:rsidRDefault="00BC7353" w:rsidP="00BC7353">
      <w:pPr>
        <w:pStyle w:val="Ttulo2"/>
      </w:pPr>
      <w:bookmarkStart w:id="58" w:name="_Toc173970607"/>
      <w:r>
        <w:t>Cooperación económica en la historia macroeconómica reciente</w:t>
      </w:r>
      <w:bookmarkEnd w:id="58"/>
    </w:p>
    <w:p w14:paraId="6B73817A" w14:textId="3CAC8050" w:rsidR="00BC7353" w:rsidRPr="00BC7353" w:rsidRDefault="00BC7353" w:rsidP="00BC7353">
      <w:pPr>
        <w:pStyle w:val="Nivel1SM"/>
        <w:keepNext/>
        <w:spacing w:before="0" w:after="0"/>
      </w:pPr>
      <w:r w:rsidRPr="00BC7353">
        <w:t xml:space="preserve">Una vez expuesto este análisis, cabe mencionar que desde un punto de vista histórico, la coordinación internacional de las políticas macroeconómicas podría decirse que alcanzó su pico hace </w:t>
      </w:r>
      <w:r w:rsidR="000A7D32">
        <w:t>4</w:t>
      </w:r>
      <w:r w:rsidR="00D004AC">
        <w:t> </w:t>
      </w:r>
      <w:r w:rsidRPr="00BC7353">
        <w:t>décadas a través de una serie de iniciativas tomadas por los líderes del G-7.</w:t>
      </w:r>
    </w:p>
    <w:p w14:paraId="2FD6EE34" w14:textId="77777777" w:rsidR="00BC7353" w:rsidRDefault="00BC7353" w:rsidP="00BC7353">
      <w:pPr>
        <w:pStyle w:val="Nivel2SM"/>
        <w:keepNext/>
        <w:spacing w:after="0"/>
      </w:pPr>
      <w:r>
        <w:t>Dentro de ellas encontramos:</w:t>
      </w:r>
    </w:p>
    <w:p w14:paraId="637D0FA3" w14:textId="315653CB" w:rsidR="00BC7353" w:rsidRDefault="00BC7353" w:rsidP="00BC7353">
      <w:pPr>
        <w:pStyle w:val="Nivel3SM"/>
      </w:pPr>
      <w:r>
        <w:t>La Cumbre de Bonn de 1978.</w:t>
      </w:r>
    </w:p>
    <w:p w14:paraId="4FCDDCBF" w14:textId="1B0E2E1C" w:rsidR="00BC7353" w:rsidRDefault="00BC7353" w:rsidP="00BC7353">
      <w:pPr>
        <w:pStyle w:val="Nivel3SM"/>
      </w:pPr>
      <w:r>
        <w:t>Los acuerdos del Plaza de 1985.</w:t>
      </w:r>
    </w:p>
    <w:p w14:paraId="279A60E2" w14:textId="14C69F70" w:rsidR="00BC7353" w:rsidRDefault="00BC7353" w:rsidP="00BC7353">
      <w:pPr>
        <w:pStyle w:val="Nivel3SM"/>
      </w:pPr>
      <w:r>
        <w:t>La cumbre de Tokio de 1986.</w:t>
      </w:r>
    </w:p>
    <w:p w14:paraId="22DF4DA0" w14:textId="48B2C557" w:rsidR="00364C6F" w:rsidRDefault="00364C6F" w:rsidP="00BC7353">
      <w:pPr>
        <w:pStyle w:val="Nivel3SM"/>
      </w:pPr>
      <w:r>
        <w:t>Los acuerdos del Louvre de 1987.</w:t>
      </w:r>
    </w:p>
    <w:p w14:paraId="53F840D6" w14:textId="30A9F2FC" w:rsidR="00DD4384" w:rsidRDefault="00DD4384" w:rsidP="00DD4384">
      <w:pPr>
        <w:pStyle w:val="Nivel1SM"/>
      </w:pPr>
      <w:r>
        <w:t xml:space="preserve">Después, la coordinación económica cayó en desgracia, pero a raíz de la crisis financiera global retomó importancia, tal y como rescata </w:t>
      </w:r>
      <w:r>
        <w:rPr>
          <w:smallCaps/>
        </w:rPr>
        <w:t>Fr</w:t>
      </w:r>
      <w:r w:rsidR="00A0130A">
        <w:rPr>
          <w:smallCaps/>
        </w:rPr>
        <w:t>a</w:t>
      </w:r>
      <w:r>
        <w:rPr>
          <w:smallCaps/>
        </w:rPr>
        <w:t>nkel</w:t>
      </w:r>
      <w:r>
        <w:t xml:space="preserve"> (2016).</w:t>
      </w:r>
    </w:p>
    <w:p w14:paraId="648BFB42" w14:textId="3DA7CAE4" w:rsidR="00DD4384" w:rsidRDefault="00DD4384" w:rsidP="00DD4384">
      <w:pPr>
        <w:pStyle w:val="Ttulo3"/>
      </w:pPr>
      <w:bookmarkStart w:id="59" w:name="_Toc173970608"/>
      <w:r>
        <w:t>Ejemplos de cooperación en la historia macroeconómica reciente</w:t>
      </w:r>
      <w:bookmarkEnd w:id="59"/>
    </w:p>
    <w:p w14:paraId="382AE5B7" w14:textId="3C3A7A0F" w:rsidR="00BC7353" w:rsidRDefault="00364C6F" w:rsidP="00DD4384">
      <w:pPr>
        <w:pStyle w:val="Nivel1SM"/>
        <w:keepNext/>
        <w:spacing w:before="0" w:after="0"/>
      </w:pPr>
      <w:r>
        <w:t xml:space="preserve">Siguiendo a </w:t>
      </w:r>
      <w:r>
        <w:rPr>
          <w:smallCaps/>
        </w:rPr>
        <w:t>Fr</w:t>
      </w:r>
      <w:r w:rsidR="00A0130A">
        <w:rPr>
          <w:smallCaps/>
        </w:rPr>
        <w:t>a</w:t>
      </w:r>
      <w:r>
        <w:rPr>
          <w:smallCaps/>
        </w:rPr>
        <w:t>nkel</w:t>
      </w:r>
      <w:r>
        <w:t xml:space="preserve">, merece la pena repasar la historia macroeconómica </w:t>
      </w:r>
      <w:r w:rsidR="00B351DB">
        <w:t>para estudiar distintos escenarios en los que</w:t>
      </w:r>
      <w:r>
        <w:t xml:space="preserve"> la coordinación</w:t>
      </w:r>
      <w:r w:rsidR="00B351DB">
        <w:t xml:space="preserve"> ha jugado un papel importante</w:t>
      </w:r>
      <w:r>
        <w:t>, aunque por el momento no</w:t>
      </w:r>
      <w:r w:rsidR="00B351DB">
        <w:t> </w:t>
      </w:r>
      <w:r>
        <w:t>vamos a considerar los costes asociados a la misma:</w:t>
      </w:r>
    </w:p>
    <w:p w14:paraId="7B90EDB6" w14:textId="58DC9399" w:rsidR="00364C6F" w:rsidRDefault="00364C6F">
      <w:pPr>
        <w:pStyle w:val="Prrafodelista"/>
        <w:numPr>
          <w:ilvl w:val="0"/>
          <w:numId w:val="26"/>
        </w:numPr>
        <w:spacing w:after="100"/>
        <w:ind w:left="568" w:hanging="284"/>
      </w:pPr>
      <w:r>
        <w:t>Coordinación de la política fiscal</w:t>
      </w:r>
    </w:p>
    <w:p w14:paraId="21173551" w14:textId="0531D8BE" w:rsidR="00364C6F" w:rsidRDefault="00364C6F">
      <w:pPr>
        <w:pStyle w:val="Prrafodelista"/>
        <w:numPr>
          <w:ilvl w:val="0"/>
          <w:numId w:val="26"/>
        </w:numPr>
        <w:spacing w:after="100"/>
        <w:ind w:left="568" w:hanging="284"/>
      </w:pPr>
      <w:r>
        <w:t>Coordinación de las políticas monetarias</w:t>
      </w:r>
    </w:p>
    <w:p w14:paraId="6454B774" w14:textId="7AC1C1F5" w:rsidR="00364C6F" w:rsidRDefault="00364C6F">
      <w:pPr>
        <w:pStyle w:val="Prrafodelista"/>
        <w:numPr>
          <w:ilvl w:val="0"/>
          <w:numId w:val="26"/>
        </w:numPr>
        <w:spacing w:after="100"/>
        <w:ind w:left="568" w:hanging="284"/>
      </w:pPr>
      <w:r>
        <w:t>Otros ejemplos de cooperación</w:t>
      </w:r>
    </w:p>
    <w:p w14:paraId="616F4617" w14:textId="04E0C5ED" w:rsidR="00E906F2" w:rsidRDefault="00364C6F" w:rsidP="00364C6F">
      <w:pPr>
        <w:pStyle w:val="Ttulo6"/>
      </w:pPr>
      <w:bookmarkStart w:id="60" w:name="_Toc173970609"/>
      <w:r>
        <w:t>Coordinación de la política fisca</w:t>
      </w:r>
      <w:r w:rsidR="00E906F2">
        <w:t>l</w:t>
      </w:r>
      <w:bookmarkEnd w:id="60"/>
    </w:p>
    <w:p w14:paraId="31F9DF7D" w14:textId="3878F29C" w:rsidR="00E906F2" w:rsidRDefault="00E906F2" w:rsidP="00E906F2">
      <w:pPr>
        <w:pStyle w:val="Ttulo7"/>
        <w:spacing w:before="0"/>
      </w:pPr>
      <w:bookmarkStart w:id="61" w:name="_Toc173970610"/>
      <w:r>
        <w:t>Introducción</w:t>
      </w:r>
      <w:bookmarkEnd w:id="61"/>
    </w:p>
    <w:p w14:paraId="130022DE" w14:textId="2AA02D02" w:rsidR="00E906F2" w:rsidRPr="00E906F2" w:rsidRDefault="00E906F2" w:rsidP="00E906F2">
      <w:pPr>
        <w:pStyle w:val="Nivel1SM"/>
        <w:spacing w:before="0"/>
      </w:pPr>
      <w:r>
        <w:t>A raíz de la crisis, se propuso en un primer momento que la coordinación de la política fiscal fuese expansiva de acuerdo con el juego de la locomotora. No obstante, eventos posteriores a la crisis como la crisis de deuda griega y en general de los países periféricos en Europa hizo que la coordinación se realizase desde un punto de vista de la disciplina fiscal. Comentamos ambas a continuación.</w:t>
      </w:r>
    </w:p>
    <w:p w14:paraId="5639F2A7" w14:textId="5DEB6916" w:rsidR="00E906F2" w:rsidRDefault="00E906F2" w:rsidP="00E906F2">
      <w:pPr>
        <w:pStyle w:val="Ttulo7"/>
      </w:pPr>
      <w:bookmarkStart w:id="62" w:name="_Toc173970611"/>
      <w:r>
        <w:lastRenderedPageBreak/>
        <w:t>Expansión fiscal conjunta</w:t>
      </w:r>
      <w:bookmarkEnd w:id="62"/>
    </w:p>
    <w:p w14:paraId="2B2B5626" w14:textId="0D8E217D" w:rsidR="00E906F2" w:rsidRDefault="00E906F2" w:rsidP="00E906F2">
      <w:pPr>
        <w:pStyle w:val="Nivel1SM"/>
        <w:keepNext/>
        <w:spacing w:before="0" w:after="0"/>
      </w:pPr>
      <w:r w:rsidRPr="002F28E6">
        <w:rPr>
          <w:i/>
          <w:iCs/>
          <w:u w:val="single"/>
        </w:rPr>
        <w:t>Idea inicial</w:t>
      </w:r>
      <w:r>
        <w:t>:</w:t>
      </w:r>
    </w:p>
    <w:p w14:paraId="2A5C831A" w14:textId="63B6CEBF" w:rsidR="00E906F2" w:rsidRDefault="00E906F2" w:rsidP="00E906F2">
      <w:pPr>
        <w:pStyle w:val="Nivel2SM"/>
      </w:pPr>
      <w:r>
        <w:t>En la cumbre del G-20 de Londres de 2009 se trató de dar respuesta a la situación económica provocada por la crisis llevando a cabo un estímulo fiscal conjunto cuya idea subyacente se basaba en el juego de la locomotora.</w:t>
      </w:r>
    </w:p>
    <w:p w14:paraId="00EB8E8D" w14:textId="20A775DB" w:rsidR="00E906F2" w:rsidRDefault="00E906F2" w:rsidP="00E906F2">
      <w:pPr>
        <w:pStyle w:val="Nivel1SM"/>
        <w:keepNext/>
        <w:spacing w:after="0"/>
      </w:pPr>
      <w:r w:rsidRPr="002F28E6">
        <w:rPr>
          <w:i/>
          <w:iCs/>
          <w:u w:val="single"/>
        </w:rPr>
        <w:t>Juego</w:t>
      </w:r>
      <w:r>
        <w:t>:</w:t>
      </w:r>
    </w:p>
    <w:p w14:paraId="1D17305C" w14:textId="73F61201" w:rsidR="00E906F2" w:rsidRDefault="00E906F2" w:rsidP="00E906F2">
      <w:pPr>
        <w:pStyle w:val="Nivel2SM"/>
      </w:pPr>
      <w:r>
        <w:t>Suponemos por simplicidad que tenemos 2 jugadores: Unión Europea y Estados Unidos.</w:t>
      </w:r>
    </w:p>
    <w:tbl>
      <w:tblPr>
        <w:tblStyle w:val="Tablaconcuadrcula"/>
        <w:tblW w:w="9491" w:type="dxa"/>
        <w:tblInd w:w="567" w:type="dxa"/>
        <w:tblLook w:val="04A0" w:firstRow="1" w:lastRow="0" w:firstColumn="1" w:lastColumn="0" w:noHBand="0" w:noVBand="1"/>
      </w:tblPr>
      <w:tblGrid>
        <w:gridCol w:w="1838"/>
        <w:gridCol w:w="2551"/>
        <w:gridCol w:w="2551"/>
        <w:gridCol w:w="2551"/>
      </w:tblGrid>
      <w:tr w:rsidR="00E906F2" w14:paraId="665BEE96" w14:textId="77777777" w:rsidTr="00E906F2">
        <w:tc>
          <w:tcPr>
            <w:tcW w:w="1838" w:type="dxa"/>
            <w:tcBorders>
              <w:top w:val="nil"/>
              <w:left w:val="nil"/>
              <w:bottom w:val="nil"/>
              <w:right w:val="nil"/>
            </w:tcBorders>
            <w:vAlign w:val="center"/>
          </w:tcPr>
          <w:p w14:paraId="7BA923F3" w14:textId="77777777" w:rsidR="00E906F2" w:rsidRDefault="00E906F2" w:rsidP="006F596A">
            <w:pPr>
              <w:pStyle w:val="Nivel2SM"/>
              <w:keepNext/>
              <w:numPr>
                <w:ilvl w:val="0"/>
                <w:numId w:val="0"/>
              </w:numPr>
              <w:spacing w:after="0"/>
              <w:jc w:val="center"/>
            </w:pPr>
          </w:p>
        </w:tc>
        <w:tc>
          <w:tcPr>
            <w:tcW w:w="2551" w:type="dxa"/>
            <w:tcBorders>
              <w:top w:val="nil"/>
              <w:left w:val="nil"/>
              <w:bottom w:val="nil"/>
            </w:tcBorders>
            <w:vAlign w:val="center"/>
          </w:tcPr>
          <w:p w14:paraId="22D5193D" w14:textId="77777777" w:rsidR="00E906F2" w:rsidRDefault="00E906F2" w:rsidP="006F596A">
            <w:pPr>
              <w:pStyle w:val="Nivel2SM"/>
              <w:keepNext/>
              <w:numPr>
                <w:ilvl w:val="0"/>
                <w:numId w:val="0"/>
              </w:numPr>
              <w:spacing w:after="0"/>
              <w:jc w:val="center"/>
            </w:pPr>
          </w:p>
        </w:tc>
        <w:tc>
          <w:tcPr>
            <w:tcW w:w="5102" w:type="dxa"/>
            <w:gridSpan w:val="2"/>
            <w:vAlign w:val="center"/>
          </w:tcPr>
          <w:p w14:paraId="086A0559" w14:textId="68AA0B79" w:rsidR="00E906F2" w:rsidRPr="00E906F2" w:rsidRDefault="002F28E6" w:rsidP="006F596A">
            <w:pPr>
              <w:pStyle w:val="Nivel2SM"/>
              <w:keepNext/>
              <w:numPr>
                <w:ilvl w:val="0"/>
                <w:numId w:val="0"/>
              </w:numPr>
              <w:spacing w:after="0"/>
              <w:jc w:val="center"/>
              <w:rPr>
                <w:i/>
                <w:iCs/>
              </w:rPr>
            </w:pPr>
            <w:r>
              <w:rPr>
                <w:i/>
                <w:iCs/>
              </w:rPr>
              <w:t>Estados Unidos</w:t>
            </w:r>
          </w:p>
        </w:tc>
      </w:tr>
      <w:tr w:rsidR="00E906F2" w14:paraId="7482F3D4" w14:textId="77777777" w:rsidTr="00E906F2">
        <w:tc>
          <w:tcPr>
            <w:tcW w:w="1838" w:type="dxa"/>
            <w:tcBorders>
              <w:top w:val="nil"/>
              <w:left w:val="nil"/>
              <w:right w:val="nil"/>
            </w:tcBorders>
            <w:vAlign w:val="center"/>
          </w:tcPr>
          <w:p w14:paraId="6FDCE6BA" w14:textId="77777777" w:rsidR="00E906F2" w:rsidRDefault="00E906F2" w:rsidP="006F596A">
            <w:pPr>
              <w:pStyle w:val="Nivel2SM"/>
              <w:keepNext/>
              <w:numPr>
                <w:ilvl w:val="0"/>
                <w:numId w:val="0"/>
              </w:numPr>
              <w:spacing w:after="0"/>
              <w:jc w:val="center"/>
            </w:pPr>
          </w:p>
        </w:tc>
        <w:tc>
          <w:tcPr>
            <w:tcW w:w="2551" w:type="dxa"/>
            <w:tcBorders>
              <w:top w:val="nil"/>
              <w:left w:val="nil"/>
            </w:tcBorders>
            <w:vAlign w:val="center"/>
          </w:tcPr>
          <w:p w14:paraId="088C5F8A" w14:textId="77777777" w:rsidR="00E906F2" w:rsidRDefault="00E906F2" w:rsidP="006F596A">
            <w:pPr>
              <w:pStyle w:val="Nivel2SM"/>
              <w:keepNext/>
              <w:numPr>
                <w:ilvl w:val="0"/>
                <w:numId w:val="0"/>
              </w:numPr>
              <w:spacing w:after="0"/>
              <w:jc w:val="center"/>
            </w:pPr>
          </w:p>
        </w:tc>
        <w:tc>
          <w:tcPr>
            <w:tcW w:w="2551" w:type="dxa"/>
            <w:vAlign w:val="center"/>
          </w:tcPr>
          <w:p w14:paraId="0C39EF40" w14:textId="5E41DF03" w:rsidR="00E906F2" w:rsidRPr="00E906F2" w:rsidRDefault="00E906F2" w:rsidP="006F596A">
            <w:pPr>
              <w:pStyle w:val="Nivel2SM"/>
              <w:keepNext/>
              <w:numPr>
                <w:ilvl w:val="0"/>
                <w:numId w:val="0"/>
              </w:numPr>
              <w:spacing w:after="0"/>
              <w:jc w:val="center"/>
              <w:rPr>
                <w:i/>
                <w:iCs/>
              </w:rPr>
            </w:pPr>
            <w:r w:rsidRPr="00E906F2">
              <w:rPr>
                <w:i/>
                <w:iCs/>
              </w:rPr>
              <w:t>Política fiscal contractiva</w:t>
            </w:r>
          </w:p>
        </w:tc>
        <w:tc>
          <w:tcPr>
            <w:tcW w:w="2551" w:type="dxa"/>
            <w:vAlign w:val="center"/>
          </w:tcPr>
          <w:p w14:paraId="259C33FB" w14:textId="0FB01099" w:rsidR="00E906F2" w:rsidRPr="00E906F2" w:rsidRDefault="00E906F2" w:rsidP="006F596A">
            <w:pPr>
              <w:pStyle w:val="Nivel2SM"/>
              <w:keepNext/>
              <w:numPr>
                <w:ilvl w:val="0"/>
                <w:numId w:val="0"/>
              </w:numPr>
              <w:spacing w:after="0"/>
              <w:jc w:val="center"/>
              <w:rPr>
                <w:i/>
                <w:iCs/>
              </w:rPr>
            </w:pPr>
            <w:r w:rsidRPr="00E906F2">
              <w:rPr>
                <w:i/>
                <w:iCs/>
              </w:rPr>
              <w:t>Política fiscal expansiva</w:t>
            </w:r>
          </w:p>
        </w:tc>
      </w:tr>
      <w:tr w:rsidR="00E906F2" w14:paraId="2B869DB1" w14:textId="77777777" w:rsidTr="006F596A">
        <w:trPr>
          <w:cantSplit/>
        </w:trPr>
        <w:tc>
          <w:tcPr>
            <w:tcW w:w="1838" w:type="dxa"/>
            <w:vMerge w:val="restart"/>
            <w:vAlign w:val="center"/>
          </w:tcPr>
          <w:p w14:paraId="5ED10F70" w14:textId="7FA01658" w:rsidR="00E906F2" w:rsidRPr="00E906F2" w:rsidRDefault="002F28E6" w:rsidP="006F596A">
            <w:pPr>
              <w:pStyle w:val="Nivel2SM"/>
              <w:keepNext/>
              <w:numPr>
                <w:ilvl w:val="0"/>
                <w:numId w:val="0"/>
              </w:numPr>
              <w:spacing w:after="0"/>
              <w:jc w:val="center"/>
              <w:rPr>
                <w:i/>
                <w:iCs/>
              </w:rPr>
            </w:pPr>
            <w:r>
              <w:rPr>
                <w:i/>
                <w:iCs/>
              </w:rPr>
              <w:t>Unión Europea</w:t>
            </w:r>
          </w:p>
        </w:tc>
        <w:tc>
          <w:tcPr>
            <w:tcW w:w="2551" w:type="dxa"/>
            <w:vAlign w:val="center"/>
          </w:tcPr>
          <w:p w14:paraId="154A2C9B" w14:textId="13708C02" w:rsidR="00E906F2" w:rsidRPr="00E906F2" w:rsidRDefault="00E906F2" w:rsidP="006F596A">
            <w:pPr>
              <w:pStyle w:val="Nivel2SM"/>
              <w:keepNext/>
              <w:numPr>
                <w:ilvl w:val="0"/>
                <w:numId w:val="0"/>
              </w:numPr>
              <w:spacing w:after="0"/>
              <w:jc w:val="center"/>
              <w:rPr>
                <w:i/>
                <w:iCs/>
              </w:rPr>
            </w:pPr>
            <w:r w:rsidRPr="00E906F2">
              <w:rPr>
                <w:i/>
                <w:iCs/>
              </w:rPr>
              <w:t>Política fiscal contractiva</w:t>
            </w:r>
          </w:p>
        </w:tc>
        <w:tc>
          <w:tcPr>
            <w:tcW w:w="2551" w:type="dxa"/>
            <w:vAlign w:val="center"/>
          </w:tcPr>
          <w:p w14:paraId="599E05E2" w14:textId="0129928D" w:rsidR="00E906F2" w:rsidRPr="00E906F2" w:rsidRDefault="00E906F2" w:rsidP="002F28E6">
            <w:pPr>
              <w:pStyle w:val="Nivel2SM"/>
              <w:keepNext/>
              <w:numPr>
                <w:ilvl w:val="0"/>
                <w:numId w:val="0"/>
              </w:numPr>
              <w:spacing w:after="0"/>
              <w:jc w:val="center"/>
              <w:rPr>
                <w:sz w:val="19"/>
                <w:szCs w:val="19"/>
              </w:rPr>
            </w:pPr>
            <w:r w:rsidRPr="00E906F2">
              <w:rPr>
                <w:sz w:val="19"/>
                <w:szCs w:val="19"/>
              </w:rPr>
              <w:t>Equilibrio no cooperativo</w:t>
            </w:r>
            <w:r w:rsidRPr="00E906F2">
              <w:rPr>
                <w:sz w:val="19"/>
                <w:szCs w:val="19"/>
              </w:rPr>
              <w:br/>
              <w:t>(</w:t>
            </w:r>
            <w:r w:rsidRPr="00E906F2">
              <w:rPr>
                <w:i/>
                <w:iCs/>
                <w:sz w:val="19"/>
                <w:szCs w:val="19"/>
              </w:rPr>
              <w:t>recesión global</w:t>
            </w:r>
            <w:r w:rsidRPr="00E906F2">
              <w:rPr>
                <w:sz w:val="19"/>
                <w:szCs w:val="19"/>
              </w:rPr>
              <w:t>)</w:t>
            </w:r>
          </w:p>
        </w:tc>
        <w:tc>
          <w:tcPr>
            <w:tcW w:w="2551" w:type="dxa"/>
            <w:vAlign w:val="center"/>
          </w:tcPr>
          <w:p w14:paraId="1E548532" w14:textId="3FCC6418" w:rsidR="00E906F2" w:rsidRPr="00E906F2" w:rsidRDefault="002F28E6" w:rsidP="002F28E6">
            <w:pPr>
              <w:pStyle w:val="Nivel2SM"/>
              <w:keepNext/>
              <w:numPr>
                <w:ilvl w:val="0"/>
                <w:numId w:val="0"/>
              </w:numPr>
              <w:spacing w:after="0"/>
              <w:jc w:val="center"/>
              <w:rPr>
                <w:sz w:val="19"/>
                <w:szCs w:val="19"/>
              </w:rPr>
            </w:pPr>
            <w:r>
              <w:rPr>
                <w:sz w:val="19"/>
                <w:szCs w:val="19"/>
              </w:rPr>
              <w:t>Estados Unidos</w:t>
            </w:r>
            <w:r w:rsidR="00E906F2" w:rsidRPr="00E906F2">
              <w:rPr>
                <w:sz w:val="19"/>
                <w:szCs w:val="19"/>
              </w:rPr>
              <w:t xml:space="preserve"> muestra déficit comercial</w:t>
            </w:r>
          </w:p>
        </w:tc>
      </w:tr>
      <w:tr w:rsidR="00E906F2" w14:paraId="78828FED" w14:textId="77777777" w:rsidTr="00E906F2">
        <w:tc>
          <w:tcPr>
            <w:tcW w:w="1838" w:type="dxa"/>
            <w:vMerge/>
            <w:vAlign w:val="center"/>
          </w:tcPr>
          <w:p w14:paraId="665C5090" w14:textId="77777777" w:rsidR="00E906F2" w:rsidRPr="00E906F2" w:rsidRDefault="00E906F2" w:rsidP="00E906F2">
            <w:pPr>
              <w:pStyle w:val="Nivel2SM"/>
              <w:numPr>
                <w:ilvl w:val="0"/>
                <w:numId w:val="0"/>
              </w:numPr>
              <w:spacing w:after="0"/>
              <w:jc w:val="center"/>
              <w:rPr>
                <w:i/>
                <w:iCs/>
              </w:rPr>
            </w:pPr>
          </w:p>
        </w:tc>
        <w:tc>
          <w:tcPr>
            <w:tcW w:w="2551" w:type="dxa"/>
            <w:vAlign w:val="center"/>
          </w:tcPr>
          <w:p w14:paraId="7E8B862A" w14:textId="5B0BCB2E" w:rsidR="00E906F2" w:rsidRPr="00E906F2" w:rsidRDefault="00E906F2" w:rsidP="00E906F2">
            <w:pPr>
              <w:pStyle w:val="Nivel2SM"/>
              <w:numPr>
                <w:ilvl w:val="0"/>
                <w:numId w:val="0"/>
              </w:numPr>
              <w:spacing w:after="0"/>
              <w:jc w:val="center"/>
              <w:rPr>
                <w:i/>
                <w:iCs/>
              </w:rPr>
            </w:pPr>
            <w:r w:rsidRPr="00E906F2">
              <w:rPr>
                <w:i/>
                <w:iCs/>
              </w:rPr>
              <w:t>Política fiscal expansiva</w:t>
            </w:r>
          </w:p>
        </w:tc>
        <w:tc>
          <w:tcPr>
            <w:tcW w:w="2551" w:type="dxa"/>
            <w:vAlign w:val="center"/>
          </w:tcPr>
          <w:p w14:paraId="49A70200" w14:textId="5EF853DD" w:rsidR="00E906F2" w:rsidRPr="00E906F2" w:rsidRDefault="002F28E6" w:rsidP="00E906F2">
            <w:pPr>
              <w:pStyle w:val="Nivel2SM"/>
              <w:numPr>
                <w:ilvl w:val="0"/>
                <w:numId w:val="0"/>
              </w:numPr>
              <w:spacing w:after="0"/>
              <w:jc w:val="center"/>
              <w:rPr>
                <w:sz w:val="19"/>
                <w:szCs w:val="19"/>
              </w:rPr>
            </w:pPr>
            <w:r>
              <w:rPr>
                <w:sz w:val="19"/>
                <w:szCs w:val="19"/>
              </w:rPr>
              <w:t>Unión Europea</w:t>
            </w:r>
            <w:r w:rsidR="00E906F2" w:rsidRPr="00E906F2">
              <w:rPr>
                <w:sz w:val="19"/>
                <w:szCs w:val="19"/>
              </w:rPr>
              <w:t xml:space="preserve"> muestra déficit comercial</w:t>
            </w:r>
          </w:p>
        </w:tc>
        <w:tc>
          <w:tcPr>
            <w:tcW w:w="2551" w:type="dxa"/>
            <w:vAlign w:val="center"/>
          </w:tcPr>
          <w:p w14:paraId="2704A6DF" w14:textId="45717AAB" w:rsidR="00E906F2" w:rsidRPr="00E906F2" w:rsidRDefault="00E906F2" w:rsidP="00E906F2">
            <w:pPr>
              <w:pStyle w:val="Nivel2SM"/>
              <w:numPr>
                <w:ilvl w:val="0"/>
                <w:numId w:val="0"/>
              </w:numPr>
              <w:spacing w:after="0"/>
              <w:jc w:val="center"/>
              <w:rPr>
                <w:sz w:val="19"/>
                <w:szCs w:val="19"/>
              </w:rPr>
            </w:pPr>
            <w:r w:rsidRPr="00E906F2">
              <w:rPr>
                <w:sz w:val="19"/>
                <w:szCs w:val="19"/>
              </w:rPr>
              <w:t>Equilibrio cooperativo (</w:t>
            </w:r>
            <w:r w:rsidRPr="00E906F2">
              <w:rPr>
                <w:i/>
                <w:iCs/>
                <w:sz w:val="19"/>
                <w:szCs w:val="19"/>
              </w:rPr>
              <w:t>efecto locomotora</w:t>
            </w:r>
            <w:r w:rsidRPr="00E906F2">
              <w:rPr>
                <w:sz w:val="19"/>
                <w:szCs w:val="19"/>
              </w:rPr>
              <w:t>)</w:t>
            </w:r>
          </w:p>
        </w:tc>
      </w:tr>
    </w:tbl>
    <w:p w14:paraId="5A2EE911" w14:textId="5BD195DD" w:rsidR="00E906F2" w:rsidRDefault="009F589F" w:rsidP="009F589F">
      <w:pPr>
        <w:pStyle w:val="Nivel2SM"/>
        <w:keepNext/>
        <w:spacing w:after="0"/>
      </w:pPr>
      <w:r>
        <w:t>En la solución no cooperativa,</w:t>
      </w:r>
    </w:p>
    <w:p w14:paraId="3F0BFCF6" w14:textId="20D9792F" w:rsidR="009F589F" w:rsidRDefault="009F589F" w:rsidP="009F589F">
      <w:pPr>
        <w:pStyle w:val="Nivel3SM"/>
      </w:pPr>
      <w:r>
        <w:t>Ambos países tienen incentivos de llevar a cabo políticas fiscales contractivas dado que tiene miedo de llevar a cabo políticas fiscales expansivas d</w:t>
      </w:r>
      <w:r w:rsidR="00EC62F8">
        <w:t>a</w:t>
      </w:r>
      <w:r>
        <w:t xml:space="preserve">do que cada una de ellas cree (correctamente) que estas políticas fiscales expansivas </w:t>
      </w:r>
      <w:proofErr w:type="gramStart"/>
      <w:r>
        <w:t>les</w:t>
      </w:r>
      <w:proofErr w:type="gramEnd"/>
      <w:r>
        <w:t xml:space="preserve"> llevarían a incurrir en déficits comerciales.</w:t>
      </w:r>
    </w:p>
    <w:p w14:paraId="410ABA05" w14:textId="5A6F5B7A" w:rsidR="009F589F" w:rsidRDefault="009F589F" w:rsidP="009F589F">
      <w:pPr>
        <w:pStyle w:val="Nivel3SM"/>
      </w:pPr>
      <w:r>
        <w:t>Ambas preferirían que el otro país llevase a cabo la política fiscal expansiva de tal forma que el impulso de la demanda nacional viene a raíz de unas mayores exportaciones y no a través del gasto público doméstico.</w:t>
      </w:r>
    </w:p>
    <w:p w14:paraId="7D1545B0" w14:textId="40F8BF7E" w:rsidR="009F589F" w:rsidRDefault="009F589F" w:rsidP="009F589F">
      <w:pPr>
        <w:pStyle w:val="Nivel3SM"/>
      </w:pPr>
      <w:r>
        <w:t>Este juego es un dilema del prisionero, en el que en el equilibrio de Nash todos los países llevan a cabo políticas de austeridad y la economía mundial permanece en recesión.</w:t>
      </w:r>
    </w:p>
    <w:p w14:paraId="126F2B8F" w14:textId="4B7E1582" w:rsidR="009F589F" w:rsidRDefault="009F589F" w:rsidP="009F589F">
      <w:pPr>
        <w:pStyle w:val="Nivel2SM"/>
        <w:keepNext/>
        <w:spacing w:after="0"/>
      </w:pPr>
      <w:r>
        <w:t>En la solución cooperativa,</w:t>
      </w:r>
    </w:p>
    <w:p w14:paraId="0803BC2A" w14:textId="16BA7BCB" w:rsidR="009F589F" w:rsidRDefault="009F589F" w:rsidP="009F589F">
      <w:pPr>
        <w:pStyle w:val="Nivel3SM"/>
      </w:pPr>
      <w:r>
        <w:t>La solución cooperativa es un acuerdo de las partes de llevar a cabo un estímulo fiscal simultáneo, una solución que sería más beneficiosa porque aquí ningún país tendría que experimentar una variación de su saldo comercial, pero la expansión coordinada permitiría sacar a la economía mundial de la recesión (análisis simplificado).</w:t>
      </w:r>
    </w:p>
    <w:p w14:paraId="27E437A6" w14:textId="607E035E" w:rsidR="009F589F" w:rsidRDefault="009F589F" w:rsidP="00E906F2">
      <w:pPr>
        <w:pStyle w:val="Nivel2SM"/>
      </w:pPr>
      <w:r>
        <w:t>Como decimos, esta fue la lógica de la reunión del G-20 en 2009.</w:t>
      </w:r>
    </w:p>
    <w:p w14:paraId="2541FB5D" w14:textId="536103EF" w:rsidR="00E906F2" w:rsidRPr="00E906F2" w:rsidRDefault="00E906F2" w:rsidP="00E906F2">
      <w:pPr>
        <w:pStyle w:val="Nivel1SM"/>
        <w:keepNext/>
        <w:spacing w:after="0"/>
      </w:pPr>
      <w:r w:rsidRPr="002F28E6">
        <w:rPr>
          <w:i/>
          <w:iCs/>
          <w:u w:val="single"/>
        </w:rPr>
        <w:t>Experiencia</w:t>
      </w:r>
      <w:r>
        <w:t>:</w:t>
      </w:r>
    </w:p>
    <w:p w14:paraId="6ADC2048" w14:textId="19CF4798" w:rsidR="009F589F" w:rsidRDefault="009F589F" w:rsidP="00E906F2">
      <w:pPr>
        <w:pStyle w:val="Nivel2SM"/>
      </w:pPr>
      <w:r>
        <w:t>En cualquier caso, el acuerdo aparente sobre la deseabilidad de este estimulo en la cumbre de Londres en 2009 duró poco.</w:t>
      </w:r>
    </w:p>
    <w:p w14:paraId="32119F56" w14:textId="3A5A7C75" w:rsidR="00E906F2" w:rsidRDefault="009F589F" w:rsidP="009F589F">
      <w:pPr>
        <w:pStyle w:val="Nivel2SM"/>
        <w:keepNext/>
        <w:spacing w:after="0"/>
      </w:pPr>
      <w:r>
        <w:t>En aquel momento, Estados Unidos y China llevaron a cabo políticas fiscales y monetarias bastante expansivas, pero no así otros países.</w:t>
      </w:r>
    </w:p>
    <w:p w14:paraId="3C655F82" w14:textId="37685504" w:rsidR="009F589F" w:rsidRDefault="009F589F" w:rsidP="009F589F">
      <w:pPr>
        <w:pStyle w:val="Nivel3SM"/>
      </w:pPr>
      <w:r>
        <w:t>Cuando estalló la crisis del euro con Grecia a finales de 2009, la reacción europea que las políticas fiscales expansivas y por ende la acumulación de déficits eran las causantes de la crisis, por lo que la austeridad fiscal debía ser la solución.</w:t>
      </w:r>
    </w:p>
    <w:p w14:paraId="389259EA" w14:textId="4341B39D" w:rsidR="009F589F" w:rsidRDefault="009F589F" w:rsidP="009F589F">
      <w:pPr>
        <w:pStyle w:val="Nivel3SM"/>
      </w:pPr>
      <w:r>
        <w:t>En Estados Unidos, la expansión fiscal también fue rechazada en 2010 cuando los Republicanos adquirieron el control del Congreso y consideraron que el déficit presupuestario era el principal problema de la crisis.</w:t>
      </w:r>
    </w:p>
    <w:p w14:paraId="5E7E5DA2" w14:textId="6B21AD37" w:rsidR="009F589F" w:rsidRPr="00E906F2" w:rsidRDefault="009F589F" w:rsidP="00E906F2">
      <w:pPr>
        <w:pStyle w:val="Nivel2SM"/>
      </w:pPr>
      <w:r>
        <w:t>Esto nos lleva al siguiente escenario de cooperación que es el de la disciplina fiscal conjunta.</w:t>
      </w:r>
    </w:p>
    <w:p w14:paraId="470A3614" w14:textId="60C1FE86" w:rsidR="00E906F2" w:rsidRDefault="00E906F2" w:rsidP="00E906F2">
      <w:pPr>
        <w:pStyle w:val="Ttulo7"/>
      </w:pPr>
      <w:bookmarkStart w:id="63" w:name="_Toc173970612"/>
      <w:r>
        <w:t>Disciplina fiscal conjunta</w:t>
      </w:r>
      <w:bookmarkEnd w:id="63"/>
    </w:p>
    <w:p w14:paraId="0D4E4BC0" w14:textId="51149FC5" w:rsidR="009F589F" w:rsidRDefault="009F589F" w:rsidP="009F589F">
      <w:pPr>
        <w:pStyle w:val="Nivel1SM"/>
        <w:keepNext/>
        <w:spacing w:before="0" w:after="0"/>
      </w:pPr>
      <w:r w:rsidRPr="002F28E6">
        <w:rPr>
          <w:i/>
          <w:iCs/>
          <w:u w:val="single"/>
        </w:rPr>
        <w:t>Idea inicial</w:t>
      </w:r>
      <w:r>
        <w:t>:</w:t>
      </w:r>
    </w:p>
    <w:p w14:paraId="1F421FDC" w14:textId="037B86E8" w:rsidR="009F589F" w:rsidRDefault="009F589F" w:rsidP="009F589F">
      <w:pPr>
        <w:pStyle w:val="Nivel2SM"/>
      </w:pPr>
      <w:r>
        <w:t>La idea que subyace a este juego, que en la práctica podríamos decir que viene representado en la eurozona por la posición de Alemania, es que el déficit de un país genera un efecto desbordamiento negativo sobre sus vecinos.</w:t>
      </w:r>
    </w:p>
    <w:p w14:paraId="4549854C" w14:textId="475C1EDE" w:rsidR="009F589F" w:rsidRDefault="009F589F" w:rsidP="009F589F">
      <w:pPr>
        <w:pStyle w:val="Nivel1SM"/>
        <w:keepNext/>
        <w:spacing w:after="0"/>
      </w:pPr>
      <w:r w:rsidRPr="002F28E6">
        <w:rPr>
          <w:i/>
          <w:iCs/>
          <w:u w:val="single"/>
        </w:rPr>
        <w:lastRenderedPageBreak/>
        <w:t>Juego</w:t>
      </w:r>
      <w:r>
        <w:t>:</w:t>
      </w:r>
    </w:p>
    <w:p w14:paraId="3418F594" w14:textId="5EE5E768" w:rsidR="009F589F" w:rsidRDefault="002F28E6" w:rsidP="002F28E6">
      <w:pPr>
        <w:pStyle w:val="Nivel2SM"/>
        <w:keepNext/>
        <w:spacing w:after="0"/>
      </w:pPr>
      <w:r>
        <w:t>A su vez este juego de disciplina fiscal podría analizarse mediante 2 versiones distintas en línea con los efectos desbordamiento que generan según la visión alemana de los déficits excesivos:</w:t>
      </w:r>
    </w:p>
    <w:p w14:paraId="34EB5EAB" w14:textId="0A42CDEF" w:rsidR="002F28E6" w:rsidRDefault="002F28E6" w:rsidP="002F28E6">
      <w:pPr>
        <w:pStyle w:val="Nivel3SM"/>
      </w:pPr>
      <w:r w:rsidRPr="002F28E6">
        <w:rPr>
          <w:i/>
          <w:iCs/>
        </w:rPr>
        <w:t>Tipos de interés</w:t>
      </w:r>
      <w:r>
        <w:t>: Una primera versión de este juego es que los gobiernos compiten por fondos en el mercado mundial y cada país que incurre en déficit genera una presión al alza sobre el tipo de interés mundial que hace más difícil la obtención para el resto.</w:t>
      </w:r>
    </w:p>
    <w:p w14:paraId="69C47549" w14:textId="07E7D594" w:rsidR="002F28E6" w:rsidRDefault="002F28E6" w:rsidP="005E7621">
      <w:pPr>
        <w:pStyle w:val="Nivel3SM"/>
      </w:pPr>
      <w:r w:rsidRPr="002F28E6">
        <w:rPr>
          <w:i/>
          <w:iCs/>
        </w:rPr>
        <w:t>Riesgo moral</w:t>
      </w:r>
      <w:r>
        <w:t xml:space="preserve">: La otra versión, que es quizá la más aplicable a la europea se basa exclusivamente en la cuestión del riesgo moral. Según este juego, la posibilidad de los rescates </w:t>
      </w:r>
      <w:r w:rsidRPr="002F28E6">
        <w:rPr>
          <w:i/>
          <w:iCs/>
        </w:rPr>
        <w:t>ex-post</w:t>
      </w:r>
      <w:r>
        <w:t xml:space="preserve"> reduce el incentivo de los países a llevar a cabo una política fiscal </w:t>
      </w:r>
      <w:r w:rsidRPr="002F28E6">
        <w:rPr>
          <w:i/>
          <w:iCs/>
        </w:rPr>
        <w:t>ex-ante</w:t>
      </w:r>
      <w:r>
        <w:t>.</w:t>
      </w:r>
    </w:p>
    <w:tbl>
      <w:tblPr>
        <w:tblStyle w:val="Tablaconcuadrcula"/>
        <w:tblW w:w="9491" w:type="dxa"/>
        <w:jc w:val="center"/>
        <w:tblLook w:val="04A0" w:firstRow="1" w:lastRow="0" w:firstColumn="1" w:lastColumn="0" w:noHBand="0" w:noVBand="1"/>
      </w:tblPr>
      <w:tblGrid>
        <w:gridCol w:w="1838"/>
        <w:gridCol w:w="2551"/>
        <w:gridCol w:w="2551"/>
        <w:gridCol w:w="2551"/>
      </w:tblGrid>
      <w:tr w:rsidR="002F28E6" w14:paraId="0198E84B" w14:textId="77777777" w:rsidTr="002F28E6">
        <w:trPr>
          <w:jc w:val="center"/>
        </w:trPr>
        <w:tc>
          <w:tcPr>
            <w:tcW w:w="1838" w:type="dxa"/>
            <w:tcBorders>
              <w:top w:val="nil"/>
              <w:left w:val="nil"/>
              <w:bottom w:val="nil"/>
              <w:right w:val="nil"/>
            </w:tcBorders>
            <w:vAlign w:val="center"/>
          </w:tcPr>
          <w:p w14:paraId="7791374F" w14:textId="77777777" w:rsidR="002F28E6" w:rsidRDefault="002F28E6" w:rsidP="003F2B37">
            <w:pPr>
              <w:pStyle w:val="Nivel2SM"/>
              <w:keepNext/>
              <w:numPr>
                <w:ilvl w:val="0"/>
                <w:numId w:val="0"/>
              </w:numPr>
              <w:spacing w:after="0"/>
              <w:jc w:val="center"/>
            </w:pPr>
          </w:p>
        </w:tc>
        <w:tc>
          <w:tcPr>
            <w:tcW w:w="2551" w:type="dxa"/>
            <w:tcBorders>
              <w:top w:val="nil"/>
              <w:left w:val="nil"/>
              <w:bottom w:val="nil"/>
            </w:tcBorders>
            <w:vAlign w:val="center"/>
          </w:tcPr>
          <w:p w14:paraId="1903D9EC" w14:textId="77777777" w:rsidR="002F28E6" w:rsidRDefault="002F28E6" w:rsidP="003F2B37">
            <w:pPr>
              <w:pStyle w:val="Nivel2SM"/>
              <w:keepNext/>
              <w:numPr>
                <w:ilvl w:val="0"/>
                <w:numId w:val="0"/>
              </w:numPr>
              <w:spacing w:after="0"/>
              <w:jc w:val="center"/>
            </w:pPr>
          </w:p>
        </w:tc>
        <w:tc>
          <w:tcPr>
            <w:tcW w:w="5102" w:type="dxa"/>
            <w:gridSpan w:val="2"/>
            <w:vAlign w:val="center"/>
          </w:tcPr>
          <w:p w14:paraId="43CBEEE7" w14:textId="410A9A76" w:rsidR="002F28E6" w:rsidRPr="00E906F2" w:rsidRDefault="002F28E6" w:rsidP="003F2B37">
            <w:pPr>
              <w:pStyle w:val="Nivel2SM"/>
              <w:keepNext/>
              <w:numPr>
                <w:ilvl w:val="0"/>
                <w:numId w:val="0"/>
              </w:numPr>
              <w:spacing w:after="0"/>
              <w:jc w:val="center"/>
              <w:rPr>
                <w:i/>
                <w:iCs/>
              </w:rPr>
            </w:pPr>
            <w:r>
              <w:rPr>
                <w:i/>
                <w:iCs/>
              </w:rPr>
              <w:t xml:space="preserve">Resto de países de la </w:t>
            </w:r>
            <w:r w:rsidRPr="00E906F2">
              <w:rPr>
                <w:i/>
                <w:iCs/>
              </w:rPr>
              <w:t>Unión Europea</w:t>
            </w:r>
          </w:p>
        </w:tc>
      </w:tr>
      <w:tr w:rsidR="002F28E6" w14:paraId="4552BEC8" w14:textId="77777777" w:rsidTr="002F28E6">
        <w:trPr>
          <w:jc w:val="center"/>
        </w:trPr>
        <w:tc>
          <w:tcPr>
            <w:tcW w:w="1838" w:type="dxa"/>
            <w:tcBorders>
              <w:top w:val="nil"/>
              <w:left w:val="nil"/>
              <w:right w:val="nil"/>
            </w:tcBorders>
            <w:vAlign w:val="center"/>
          </w:tcPr>
          <w:p w14:paraId="62142696" w14:textId="77777777" w:rsidR="002F28E6" w:rsidRDefault="002F28E6" w:rsidP="003F2B37">
            <w:pPr>
              <w:pStyle w:val="Nivel2SM"/>
              <w:keepNext/>
              <w:numPr>
                <w:ilvl w:val="0"/>
                <w:numId w:val="0"/>
              </w:numPr>
              <w:spacing w:after="0"/>
              <w:jc w:val="center"/>
            </w:pPr>
          </w:p>
        </w:tc>
        <w:tc>
          <w:tcPr>
            <w:tcW w:w="2551" w:type="dxa"/>
            <w:tcBorders>
              <w:top w:val="nil"/>
              <w:left w:val="nil"/>
            </w:tcBorders>
            <w:vAlign w:val="center"/>
          </w:tcPr>
          <w:p w14:paraId="3A19422D" w14:textId="77777777" w:rsidR="002F28E6" w:rsidRDefault="002F28E6" w:rsidP="003F2B37">
            <w:pPr>
              <w:pStyle w:val="Nivel2SM"/>
              <w:keepNext/>
              <w:numPr>
                <w:ilvl w:val="0"/>
                <w:numId w:val="0"/>
              </w:numPr>
              <w:spacing w:after="0"/>
              <w:jc w:val="center"/>
            </w:pPr>
          </w:p>
        </w:tc>
        <w:tc>
          <w:tcPr>
            <w:tcW w:w="2551" w:type="dxa"/>
            <w:vAlign w:val="center"/>
          </w:tcPr>
          <w:p w14:paraId="344A4AD0" w14:textId="77777777" w:rsidR="002F28E6" w:rsidRDefault="002F28E6" w:rsidP="003F2B37">
            <w:pPr>
              <w:pStyle w:val="Nivel2SM"/>
              <w:keepNext/>
              <w:numPr>
                <w:ilvl w:val="0"/>
                <w:numId w:val="0"/>
              </w:numPr>
              <w:spacing w:after="0"/>
              <w:jc w:val="center"/>
              <w:rPr>
                <w:i/>
                <w:iCs/>
              </w:rPr>
            </w:pPr>
            <w:r w:rsidRPr="00E906F2">
              <w:rPr>
                <w:i/>
                <w:iCs/>
              </w:rPr>
              <w:t>Política fiscal contractiva</w:t>
            </w:r>
          </w:p>
          <w:p w14:paraId="760C9D0C" w14:textId="2124EDC6" w:rsidR="002F28E6" w:rsidRPr="00E906F2" w:rsidRDefault="002F28E6" w:rsidP="003F2B37">
            <w:pPr>
              <w:pStyle w:val="Nivel2SM"/>
              <w:keepNext/>
              <w:numPr>
                <w:ilvl w:val="0"/>
                <w:numId w:val="0"/>
              </w:numPr>
              <w:spacing w:after="0"/>
              <w:jc w:val="center"/>
              <w:rPr>
                <w:i/>
                <w:iCs/>
              </w:rPr>
            </w:pPr>
            <w:r>
              <w:rPr>
                <w:i/>
                <w:iCs/>
              </w:rPr>
              <w:t>(superávit fiscal)</w:t>
            </w:r>
          </w:p>
        </w:tc>
        <w:tc>
          <w:tcPr>
            <w:tcW w:w="2551" w:type="dxa"/>
            <w:vAlign w:val="center"/>
          </w:tcPr>
          <w:p w14:paraId="4A56E502" w14:textId="77777777" w:rsidR="002F28E6" w:rsidRDefault="002F28E6" w:rsidP="003F2B37">
            <w:pPr>
              <w:pStyle w:val="Nivel2SM"/>
              <w:keepNext/>
              <w:numPr>
                <w:ilvl w:val="0"/>
                <w:numId w:val="0"/>
              </w:numPr>
              <w:spacing w:after="0"/>
              <w:jc w:val="center"/>
              <w:rPr>
                <w:i/>
                <w:iCs/>
              </w:rPr>
            </w:pPr>
            <w:r w:rsidRPr="00E906F2">
              <w:rPr>
                <w:i/>
                <w:iCs/>
              </w:rPr>
              <w:t>Política fiscal expansiva</w:t>
            </w:r>
          </w:p>
          <w:p w14:paraId="5CF1DA5B" w14:textId="24A8C9ED" w:rsidR="002F28E6" w:rsidRPr="00E906F2" w:rsidRDefault="002F28E6" w:rsidP="003F2B37">
            <w:pPr>
              <w:pStyle w:val="Nivel2SM"/>
              <w:keepNext/>
              <w:numPr>
                <w:ilvl w:val="0"/>
                <w:numId w:val="0"/>
              </w:numPr>
              <w:spacing w:after="0"/>
              <w:jc w:val="center"/>
              <w:rPr>
                <w:i/>
                <w:iCs/>
              </w:rPr>
            </w:pPr>
            <w:r>
              <w:rPr>
                <w:i/>
                <w:iCs/>
              </w:rPr>
              <w:t>(déficit fiscal)</w:t>
            </w:r>
          </w:p>
        </w:tc>
      </w:tr>
      <w:tr w:rsidR="002F28E6" w14:paraId="7E5C302C" w14:textId="77777777" w:rsidTr="003F2B37">
        <w:trPr>
          <w:cantSplit/>
          <w:jc w:val="center"/>
        </w:trPr>
        <w:tc>
          <w:tcPr>
            <w:tcW w:w="1838" w:type="dxa"/>
            <w:vMerge w:val="restart"/>
            <w:vAlign w:val="center"/>
          </w:tcPr>
          <w:p w14:paraId="126DE3D0" w14:textId="540D4F4F" w:rsidR="002F28E6" w:rsidRPr="00E906F2" w:rsidRDefault="002F28E6" w:rsidP="00EC62F8">
            <w:pPr>
              <w:pStyle w:val="Nivel2SM"/>
              <w:keepNext/>
              <w:numPr>
                <w:ilvl w:val="0"/>
                <w:numId w:val="0"/>
              </w:numPr>
              <w:spacing w:after="0"/>
              <w:jc w:val="center"/>
              <w:rPr>
                <w:i/>
                <w:iCs/>
              </w:rPr>
            </w:pPr>
            <w:r>
              <w:rPr>
                <w:i/>
                <w:iCs/>
              </w:rPr>
              <w:t>Alemania</w:t>
            </w:r>
          </w:p>
        </w:tc>
        <w:tc>
          <w:tcPr>
            <w:tcW w:w="2551" w:type="dxa"/>
            <w:vAlign w:val="center"/>
          </w:tcPr>
          <w:p w14:paraId="1CC95E48" w14:textId="2C9197AD" w:rsidR="002F28E6" w:rsidRPr="00E906F2" w:rsidRDefault="002F28E6" w:rsidP="003F2B37">
            <w:pPr>
              <w:pStyle w:val="Nivel2SM"/>
              <w:keepNext/>
              <w:numPr>
                <w:ilvl w:val="0"/>
                <w:numId w:val="0"/>
              </w:numPr>
              <w:spacing w:after="0"/>
              <w:jc w:val="center"/>
              <w:rPr>
                <w:i/>
                <w:iCs/>
              </w:rPr>
            </w:pPr>
            <w:r w:rsidRPr="00E906F2">
              <w:rPr>
                <w:i/>
                <w:iCs/>
              </w:rPr>
              <w:t>Política fiscal contractiva</w:t>
            </w:r>
            <w:r>
              <w:rPr>
                <w:i/>
                <w:iCs/>
              </w:rPr>
              <w:t xml:space="preserve"> (superávit fiscal)</w:t>
            </w:r>
          </w:p>
        </w:tc>
        <w:tc>
          <w:tcPr>
            <w:tcW w:w="2551" w:type="dxa"/>
            <w:vAlign w:val="center"/>
          </w:tcPr>
          <w:p w14:paraId="7432C113" w14:textId="070582D2" w:rsidR="002F28E6" w:rsidRPr="00E906F2" w:rsidRDefault="002F28E6" w:rsidP="003F2B37">
            <w:pPr>
              <w:pStyle w:val="Nivel2SM"/>
              <w:keepNext/>
              <w:numPr>
                <w:ilvl w:val="0"/>
                <w:numId w:val="0"/>
              </w:numPr>
              <w:spacing w:after="0"/>
              <w:jc w:val="center"/>
              <w:rPr>
                <w:sz w:val="19"/>
                <w:szCs w:val="19"/>
              </w:rPr>
            </w:pPr>
            <w:r w:rsidRPr="00E906F2">
              <w:rPr>
                <w:sz w:val="19"/>
                <w:szCs w:val="19"/>
              </w:rPr>
              <w:t>Equilibrio cooperativo</w:t>
            </w:r>
            <w:r>
              <w:rPr>
                <w:sz w:val="19"/>
                <w:szCs w:val="19"/>
              </w:rPr>
              <w:t xml:space="preserve"> sobre reglas fiscales para evitar el riesgo moral</w:t>
            </w:r>
          </w:p>
        </w:tc>
        <w:tc>
          <w:tcPr>
            <w:tcW w:w="2551" w:type="dxa"/>
            <w:vAlign w:val="center"/>
          </w:tcPr>
          <w:p w14:paraId="5A25FCB2" w14:textId="784519AA" w:rsidR="002F28E6" w:rsidRPr="00E906F2" w:rsidRDefault="002F28E6" w:rsidP="003F2B37">
            <w:pPr>
              <w:pStyle w:val="Nivel2SM"/>
              <w:keepNext/>
              <w:numPr>
                <w:ilvl w:val="0"/>
                <w:numId w:val="0"/>
              </w:numPr>
              <w:spacing w:after="0"/>
              <w:jc w:val="center"/>
              <w:rPr>
                <w:sz w:val="19"/>
                <w:szCs w:val="19"/>
              </w:rPr>
            </w:pPr>
            <w:r>
              <w:rPr>
                <w:sz w:val="19"/>
                <w:szCs w:val="19"/>
              </w:rPr>
              <w:t>Alemania teme tener que rescatar (</w:t>
            </w:r>
            <w:proofErr w:type="spellStart"/>
            <w:r>
              <w:rPr>
                <w:i/>
                <w:iCs/>
                <w:sz w:val="19"/>
                <w:szCs w:val="19"/>
              </w:rPr>
              <w:t>bail</w:t>
            </w:r>
            <w:proofErr w:type="spellEnd"/>
            <w:r>
              <w:rPr>
                <w:i/>
                <w:iCs/>
                <w:sz w:val="19"/>
                <w:szCs w:val="19"/>
              </w:rPr>
              <w:t xml:space="preserve"> </w:t>
            </w:r>
            <w:proofErr w:type="spellStart"/>
            <w:r>
              <w:rPr>
                <w:i/>
                <w:iCs/>
                <w:sz w:val="19"/>
                <w:szCs w:val="19"/>
              </w:rPr>
              <w:t>out</w:t>
            </w:r>
            <w:proofErr w:type="spellEnd"/>
            <w:r>
              <w:rPr>
                <w:sz w:val="19"/>
                <w:szCs w:val="19"/>
              </w:rPr>
              <w:t>) al resto de países</w:t>
            </w:r>
          </w:p>
        </w:tc>
      </w:tr>
      <w:tr w:rsidR="002F28E6" w14:paraId="4FABB187" w14:textId="77777777" w:rsidTr="002F28E6">
        <w:trPr>
          <w:jc w:val="center"/>
        </w:trPr>
        <w:tc>
          <w:tcPr>
            <w:tcW w:w="1838" w:type="dxa"/>
            <w:vMerge/>
            <w:vAlign w:val="center"/>
          </w:tcPr>
          <w:p w14:paraId="31B0FD53" w14:textId="77777777" w:rsidR="002F28E6" w:rsidRPr="00E906F2" w:rsidRDefault="002F28E6" w:rsidP="00E324AB">
            <w:pPr>
              <w:pStyle w:val="Nivel2SM"/>
              <w:numPr>
                <w:ilvl w:val="0"/>
                <w:numId w:val="0"/>
              </w:numPr>
              <w:spacing w:after="0"/>
              <w:jc w:val="center"/>
              <w:rPr>
                <w:i/>
                <w:iCs/>
              </w:rPr>
            </w:pPr>
          </w:p>
        </w:tc>
        <w:tc>
          <w:tcPr>
            <w:tcW w:w="2551" w:type="dxa"/>
            <w:vAlign w:val="center"/>
          </w:tcPr>
          <w:p w14:paraId="1531C2C2" w14:textId="77777777" w:rsidR="002F28E6" w:rsidRDefault="002F28E6" w:rsidP="00E324AB">
            <w:pPr>
              <w:pStyle w:val="Nivel2SM"/>
              <w:numPr>
                <w:ilvl w:val="0"/>
                <w:numId w:val="0"/>
              </w:numPr>
              <w:spacing w:after="0"/>
              <w:jc w:val="center"/>
              <w:rPr>
                <w:i/>
                <w:iCs/>
              </w:rPr>
            </w:pPr>
            <w:r w:rsidRPr="00E906F2">
              <w:rPr>
                <w:i/>
                <w:iCs/>
              </w:rPr>
              <w:t>Política fiscal expansiva</w:t>
            </w:r>
          </w:p>
          <w:p w14:paraId="6DF31E02" w14:textId="4D6DBABC" w:rsidR="002F28E6" w:rsidRPr="00E906F2" w:rsidRDefault="002F28E6" w:rsidP="00E324AB">
            <w:pPr>
              <w:pStyle w:val="Nivel2SM"/>
              <w:numPr>
                <w:ilvl w:val="0"/>
                <w:numId w:val="0"/>
              </w:numPr>
              <w:spacing w:after="0"/>
              <w:jc w:val="center"/>
              <w:rPr>
                <w:i/>
                <w:iCs/>
              </w:rPr>
            </w:pPr>
            <w:r>
              <w:rPr>
                <w:i/>
                <w:iCs/>
              </w:rPr>
              <w:t>(déficit fiscal)</w:t>
            </w:r>
          </w:p>
        </w:tc>
        <w:tc>
          <w:tcPr>
            <w:tcW w:w="2551" w:type="dxa"/>
            <w:vAlign w:val="center"/>
          </w:tcPr>
          <w:p w14:paraId="22D33029" w14:textId="28684F9E" w:rsidR="002F28E6" w:rsidRPr="00E906F2" w:rsidRDefault="002F28E6" w:rsidP="00E324AB">
            <w:pPr>
              <w:pStyle w:val="Nivel2SM"/>
              <w:numPr>
                <w:ilvl w:val="0"/>
                <w:numId w:val="0"/>
              </w:numPr>
              <w:spacing w:after="0"/>
              <w:jc w:val="center"/>
              <w:rPr>
                <w:sz w:val="19"/>
                <w:szCs w:val="19"/>
              </w:rPr>
            </w:pPr>
            <w:r>
              <w:rPr>
                <w:sz w:val="19"/>
                <w:szCs w:val="19"/>
              </w:rPr>
              <w:t>El resto de países temen tener que rescatar (</w:t>
            </w:r>
            <w:proofErr w:type="spellStart"/>
            <w:r>
              <w:rPr>
                <w:i/>
                <w:iCs/>
                <w:sz w:val="19"/>
                <w:szCs w:val="19"/>
              </w:rPr>
              <w:t>bail</w:t>
            </w:r>
            <w:proofErr w:type="spellEnd"/>
            <w:r>
              <w:rPr>
                <w:i/>
                <w:iCs/>
                <w:sz w:val="19"/>
                <w:szCs w:val="19"/>
              </w:rPr>
              <w:t xml:space="preserve"> </w:t>
            </w:r>
            <w:proofErr w:type="spellStart"/>
            <w:r>
              <w:rPr>
                <w:i/>
                <w:iCs/>
                <w:sz w:val="19"/>
                <w:szCs w:val="19"/>
              </w:rPr>
              <w:t>out</w:t>
            </w:r>
            <w:proofErr w:type="spellEnd"/>
            <w:r>
              <w:rPr>
                <w:sz w:val="19"/>
                <w:szCs w:val="19"/>
              </w:rPr>
              <w:t>) a Alemania</w:t>
            </w:r>
          </w:p>
        </w:tc>
        <w:tc>
          <w:tcPr>
            <w:tcW w:w="2551" w:type="dxa"/>
            <w:vAlign w:val="center"/>
          </w:tcPr>
          <w:p w14:paraId="1AEB4B12" w14:textId="51A71BCC" w:rsidR="002F28E6" w:rsidRPr="00E906F2" w:rsidRDefault="002F28E6" w:rsidP="00E324AB">
            <w:pPr>
              <w:pStyle w:val="Nivel2SM"/>
              <w:numPr>
                <w:ilvl w:val="0"/>
                <w:numId w:val="0"/>
              </w:numPr>
              <w:spacing w:after="0"/>
              <w:jc w:val="center"/>
              <w:rPr>
                <w:sz w:val="19"/>
                <w:szCs w:val="19"/>
              </w:rPr>
            </w:pPr>
            <w:r w:rsidRPr="00E906F2">
              <w:rPr>
                <w:sz w:val="19"/>
                <w:szCs w:val="19"/>
              </w:rPr>
              <w:t>Equilibrio</w:t>
            </w:r>
            <w:r>
              <w:rPr>
                <w:sz w:val="19"/>
                <w:szCs w:val="19"/>
              </w:rPr>
              <w:t xml:space="preserve"> no</w:t>
            </w:r>
            <w:r w:rsidRPr="00E906F2">
              <w:rPr>
                <w:sz w:val="19"/>
                <w:szCs w:val="19"/>
              </w:rPr>
              <w:t xml:space="preserve"> cooperativo</w:t>
            </w:r>
            <w:r>
              <w:rPr>
                <w:sz w:val="19"/>
                <w:szCs w:val="19"/>
              </w:rPr>
              <w:t>, todos los países presentan déficits fiscales.</w:t>
            </w:r>
          </w:p>
        </w:tc>
      </w:tr>
    </w:tbl>
    <w:p w14:paraId="12782779" w14:textId="44A92CA6" w:rsidR="002F28E6" w:rsidRPr="00624FBE" w:rsidRDefault="002F28E6" w:rsidP="002F28E6">
      <w:pPr>
        <w:pStyle w:val="Nivel4"/>
        <w:ind w:left="1474"/>
        <w:rPr>
          <w:spacing w:val="-5"/>
        </w:rPr>
      </w:pPr>
      <w:r w:rsidRPr="00624FBE">
        <w:rPr>
          <w:spacing w:val="-5"/>
        </w:rPr>
        <w:t>Solución no</w:t>
      </w:r>
      <w:r w:rsidR="00E5461E">
        <w:rPr>
          <w:spacing w:val="-5"/>
        </w:rPr>
        <w:t> </w:t>
      </w:r>
      <w:r w:rsidRPr="00624FBE">
        <w:rPr>
          <w:spacing w:val="-5"/>
        </w:rPr>
        <w:t xml:space="preserve">cooperativa: El equilibrio de Nash sería una situación en la que todos los países registran déficits excesivos, ya que la posibilidad de </w:t>
      </w:r>
      <w:proofErr w:type="spellStart"/>
      <w:r w:rsidRPr="00624FBE">
        <w:rPr>
          <w:i/>
          <w:iCs/>
          <w:spacing w:val="-5"/>
        </w:rPr>
        <w:t>bailout</w:t>
      </w:r>
      <w:proofErr w:type="spellEnd"/>
      <w:r w:rsidRPr="00624FBE">
        <w:rPr>
          <w:spacing w:val="-5"/>
        </w:rPr>
        <w:t xml:space="preserve"> elimina el desincentivo.</w:t>
      </w:r>
    </w:p>
    <w:p w14:paraId="33E56709" w14:textId="507B38B4" w:rsidR="002F28E6" w:rsidRDefault="002F28E6" w:rsidP="002F28E6">
      <w:pPr>
        <w:pStyle w:val="Nivel4"/>
        <w:keepNext/>
        <w:ind w:left="1474"/>
      </w:pPr>
      <w:r>
        <w:t>Solución cooperativa: La coordinación consistiría en acordar una serie de reglas que limiten el déficit y la deuda, como ha sucedido en:</w:t>
      </w:r>
    </w:p>
    <w:p w14:paraId="26545245" w14:textId="1B8F98AB" w:rsidR="002F28E6" w:rsidRDefault="002F28E6" w:rsidP="002F28E6">
      <w:pPr>
        <w:pStyle w:val="Nivel5"/>
        <w:ind w:left="1871"/>
      </w:pPr>
      <w:r>
        <w:t>El tratado de Maastricht.</w:t>
      </w:r>
    </w:p>
    <w:p w14:paraId="6EE093E9" w14:textId="12EAB577" w:rsidR="002F28E6" w:rsidRDefault="002F28E6" w:rsidP="002F28E6">
      <w:pPr>
        <w:pStyle w:val="Nivel5"/>
        <w:ind w:left="1871"/>
      </w:pPr>
      <w:r>
        <w:t>El PEC y su revisión en 2011</w:t>
      </w:r>
      <w:r w:rsidR="0066655E">
        <w:t>.</w:t>
      </w:r>
    </w:p>
    <w:p w14:paraId="37A76F1B" w14:textId="0D7F7674" w:rsidR="006F210E" w:rsidRDefault="006F210E" w:rsidP="006F210E">
      <w:pPr>
        <w:pStyle w:val="Nivel3SM"/>
      </w:pPr>
      <w:r>
        <w:t>Vemos, por lo tanto, que la solución es justamente la contraria al juego anterior (ya que la concepción del juego es diferente).</w:t>
      </w:r>
    </w:p>
    <w:p w14:paraId="34487EF5" w14:textId="6ED07FC4" w:rsidR="009F589F" w:rsidRDefault="009F589F" w:rsidP="009F589F">
      <w:pPr>
        <w:pStyle w:val="Nivel1SM"/>
        <w:keepNext/>
        <w:spacing w:after="0"/>
      </w:pPr>
      <w:r w:rsidRPr="002F28E6">
        <w:rPr>
          <w:i/>
          <w:iCs/>
          <w:u w:val="single"/>
        </w:rPr>
        <w:t>Experiencia</w:t>
      </w:r>
      <w:r>
        <w:t>:</w:t>
      </w:r>
    </w:p>
    <w:p w14:paraId="47D8C9B3" w14:textId="0A8BEC3A" w:rsidR="009F589F" w:rsidRDefault="006F210E" w:rsidP="006F210E">
      <w:pPr>
        <w:pStyle w:val="Nivel2SM"/>
        <w:keepNext/>
        <w:spacing w:after="0"/>
      </w:pPr>
      <w:r>
        <w:t>Esta visión de rechazo al juego de la locomotora y la aceptación del juego del riesgo moral ha sido criticada por numerosos economistas:</w:t>
      </w:r>
    </w:p>
    <w:p w14:paraId="34F230E2" w14:textId="49F848A0" w:rsidR="006F210E" w:rsidRDefault="006F210E" w:rsidP="006F210E">
      <w:pPr>
        <w:pStyle w:val="Nivel3SM"/>
      </w:pPr>
      <w:r>
        <w:t>Una crítica es que Alemania adopta esta posición porque espera beneficiarse de que sean los otros países los que incurran en un mayor gasto público para así obtener un superávit comercial.</w:t>
      </w:r>
    </w:p>
    <w:p w14:paraId="55070D1F" w14:textId="3E79BB5E" w:rsidR="006F210E" w:rsidRPr="0066655E" w:rsidRDefault="006F210E" w:rsidP="006F210E">
      <w:pPr>
        <w:pStyle w:val="Nivel3SM"/>
        <w:rPr>
          <w:spacing w:val="-2"/>
        </w:rPr>
      </w:pPr>
      <w:r w:rsidRPr="0066655E">
        <w:rPr>
          <w:spacing w:val="-2"/>
        </w:rPr>
        <w:t>Una segunda interpretación es que Alemania está realmente jugando al juego de riesgo moral, llegándose así al resultado de arriba a la derecha. En este caso, lo que se critica es la “errónea” interpretación del juego que según estos economistas está realizando Alemania.</w:t>
      </w:r>
    </w:p>
    <w:p w14:paraId="5F15EAAD" w14:textId="78766EAC" w:rsidR="006F210E" w:rsidRPr="009F589F" w:rsidRDefault="006F210E" w:rsidP="006F210E">
      <w:pPr>
        <w:pStyle w:val="Nivel2SM"/>
      </w:pPr>
      <w:r>
        <w:t>Por tanto, el problema aquí no sería tanto una falta de espíritu cooperador, o una falta de convencimiento en los beneficios de la cooperación, sino más bien una diferencia en las percepciones de cada país sobre cuales son exactamente las naturalezas de los efectos desbordamiento (si es vía austeridad sana o no), y por tanto sobre cu</w:t>
      </w:r>
      <w:r w:rsidR="00FC5153">
        <w:t>á</w:t>
      </w:r>
      <w:r>
        <w:t>l es la dirección favorable para la coordinación.</w:t>
      </w:r>
    </w:p>
    <w:p w14:paraId="38C3319A" w14:textId="6D656783" w:rsidR="00364C6F" w:rsidRDefault="00364C6F" w:rsidP="00364C6F">
      <w:pPr>
        <w:pStyle w:val="Ttulo6"/>
      </w:pPr>
      <w:bookmarkStart w:id="64" w:name="_Toc173970613"/>
      <w:r>
        <w:lastRenderedPageBreak/>
        <w:t>Coordinación de la política monetaria</w:t>
      </w:r>
      <w:bookmarkEnd w:id="64"/>
    </w:p>
    <w:p w14:paraId="79682A99" w14:textId="77777777" w:rsidR="00A13CA3" w:rsidRDefault="00A13CA3" w:rsidP="00A13CA3">
      <w:pPr>
        <w:pStyle w:val="Ttulo7"/>
        <w:spacing w:before="0"/>
      </w:pPr>
      <w:bookmarkStart w:id="65" w:name="_Toc173970614"/>
      <w:r>
        <w:t>Introducción</w:t>
      </w:r>
      <w:bookmarkEnd w:id="65"/>
    </w:p>
    <w:p w14:paraId="67D9C1F9" w14:textId="2806EDD1" w:rsidR="00A13CA3" w:rsidRPr="00A13CA3" w:rsidRDefault="00A13CA3" w:rsidP="00A13CA3">
      <w:pPr>
        <w:pStyle w:val="Ttulo7"/>
        <w:spacing w:before="0"/>
      </w:pPr>
      <w:bookmarkStart w:id="66" w:name="_Toc173970615"/>
      <w:r>
        <w:t>Guerra de divisas</w:t>
      </w:r>
      <w:bookmarkEnd w:id="66"/>
    </w:p>
    <w:p w14:paraId="4E7B2F20" w14:textId="4117CF52" w:rsidR="00E906F2" w:rsidRDefault="00E906F2" w:rsidP="006102EA">
      <w:pPr>
        <w:pStyle w:val="Nivel1SM"/>
        <w:keepNext/>
        <w:spacing w:before="0" w:after="0"/>
      </w:pPr>
      <w:r w:rsidRPr="006102EA">
        <w:rPr>
          <w:i/>
          <w:iCs/>
          <w:u w:val="single"/>
        </w:rPr>
        <w:t>Idea</w:t>
      </w:r>
      <w:r w:rsidR="006102EA">
        <w:rPr>
          <w:i/>
          <w:iCs/>
          <w:u w:val="single"/>
        </w:rPr>
        <w:t xml:space="preserve"> inicial</w:t>
      </w:r>
      <w:r w:rsidR="006102EA">
        <w:t>:</w:t>
      </w:r>
    </w:p>
    <w:p w14:paraId="4DE8C56D" w14:textId="0B41B743" w:rsidR="00ED60C7" w:rsidRDefault="00ED60C7" w:rsidP="006102EA">
      <w:pPr>
        <w:pStyle w:val="Nivel2SM"/>
        <w:keepNext/>
        <w:spacing w:after="0"/>
      </w:pPr>
      <w:r>
        <w:t>El siguiente escenario ya está relacionado con la política monetaria y más concretamente con la cuestión de la guerra de divisas.</w:t>
      </w:r>
    </w:p>
    <w:p w14:paraId="732036CA" w14:textId="26E425CC" w:rsidR="00ED60C7" w:rsidRDefault="00ED60C7" w:rsidP="006102EA">
      <w:pPr>
        <w:pStyle w:val="Nivel3SM"/>
        <w:keepNext/>
      </w:pPr>
      <w:r>
        <w:t>Como sabemos, a raíz de la crisis</w:t>
      </w:r>
      <w:r w:rsidR="00F279A7">
        <w:t xml:space="preserve"> financiera global,</w:t>
      </w:r>
      <w:r>
        <w:t xml:space="preserve"> distintos bancos centrales lleva</w:t>
      </w:r>
      <w:r w:rsidR="00F279A7">
        <w:t>ron</w:t>
      </w:r>
      <w:r>
        <w:t xml:space="preserve"> a cabo una política monetaria excepcionalmente expansiva:</w:t>
      </w:r>
    </w:p>
    <w:p w14:paraId="38B0F53C" w14:textId="5ABEC882" w:rsidR="00ED60C7" w:rsidRDefault="00ED60C7" w:rsidP="006102EA">
      <w:pPr>
        <w:pStyle w:val="Nivel4"/>
        <w:ind w:left="1474"/>
      </w:pPr>
      <w:r>
        <w:t xml:space="preserve">En Estados Unidos, la Reserva Federal lanzó 2 rondas de </w:t>
      </w:r>
      <w:proofErr w:type="spellStart"/>
      <w:r>
        <w:t>Quantitative</w:t>
      </w:r>
      <w:proofErr w:type="spellEnd"/>
      <w:r>
        <w:t xml:space="preserve"> </w:t>
      </w:r>
      <w:proofErr w:type="spellStart"/>
      <w:r>
        <w:t>Easing</w:t>
      </w:r>
      <w:proofErr w:type="spellEnd"/>
      <w:r>
        <w:t xml:space="preserve"> entre 2009 y 2011.</w:t>
      </w:r>
    </w:p>
    <w:p w14:paraId="641F1976" w14:textId="2ED4BB3B" w:rsidR="00ED60C7" w:rsidRDefault="00ED60C7" w:rsidP="006102EA">
      <w:pPr>
        <w:pStyle w:val="Nivel4"/>
        <w:ind w:left="1474"/>
      </w:pPr>
      <w:r>
        <w:t xml:space="preserve">En Japón, tuvo lugar el </w:t>
      </w:r>
      <w:proofErr w:type="spellStart"/>
      <w:r>
        <w:t>Abenomics</w:t>
      </w:r>
      <w:proofErr w:type="spellEnd"/>
      <w:r>
        <w:t xml:space="preserve"> en 2013.</w:t>
      </w:r>
    </w:p>
    <w:p w14:paraId="321F817A" w14:textId="5983E0FF" w:rsidR="00ED60C7" w:rsidRDefault="00ED60C7" w:rsidP="006102EA">
      <w:pPr>
        <w:pStyle w:val="Nivel4"/>
        <w:ind w:left="1474"/>
      </w:pPr>
      <w:r>
        <w:t>En la Unión Europea, el BCE llevó a cabo expansiones monetarias mediante QE en 2014-2015.</w:t>
      </w:r>
    </w:p>
    <w:p w14:paraId="0F95F86C" w14:textId="284610AF" w:rsidR="00ED60C7" w:rsidRDefault="00ED60C7" w:rsidP="006102EA">
      <w:pPr>
        <w:pStyle w:val="Nivel3SM"/>
        <w:keepNext/>
      </w:pPr>
      <w:r>
        <w:t>En cada uno de los casos:</w:t>
      </w:r>
    </w:p>
    <w:p w14:paraId="22FAC4C5" w14:textId="305D56F7" w:rsidR="00ED60C7" w:rsidRDefault="00ED60C7" w:rsidP="006102EA">
      <w:pPr>
        <w:pStyle w:val="Nivel4"/>
        <w:ind w:left="1474"/>
      </w:pPr>
      <w:r>
        <w:t>El banco central decide tomar dicha decisión en respuesta a una ralentización de la economía.</w:t>
      </w:r>
    </w:p>
    <w:p w14:paraId="07DE1129" w14:textId="7549C010" w:rsidR="00ED60C7" w:rsidRDefault="00ED60C7" w:rsidP="006102EA">
      <w:pPr>
        <w:pStyle w:val="Nivel4"/>
        <w:ind w:left="1474"/>
      </w:pPr>
      <w:r>
        <w:t>La moneda local se deprecia.</w:t>
      </w:r>
    </w:p>
    <w:p w14:paraId="295A2AA9" w14:textId="58CE8340" w:rsidR="00ED60C7" w:rsidRDefault="00ED60C7" w:rsidP="005120EB">
      <w:pPr>
        <w:pStyle w:val="Nivel4"/>
        <w:keepNext/>
        <w:ind w:left="1474"/>
      </w:pPr>
      <w:r>
        <w:t>Los socios comerciales se muestran disconformes:</w:t>
      </w:r>
    </w:p>
    <w:p w14:paraId="6B73D085" w14:textId="5CCF85DD" w:rsidR="00ED60C7" w:rsidRPr="005120EB" w:rsidRDefault="00ED60C7" w:rsidP="006102EA">
      <w:pPr>
        <w:pStyle w:val="Nivel5"/>
        <w:ind w:left="1871"/>
        <w:rPr>
          <w:spacing w:val="-2"/>
        </w:rPr>
      </w:pPr>
      <w:r w:rsidRPr="005120EB">
        <w:rPr>
          <w:spacing w:val="-2"/>
        </w:rPr>
        <w:t>Llama la atención la postura de</w:t>
      </w:r>
      <w:r w:rsidR="005120EB" w:rsidRPr="005120EB">
        <w:rPr>
          <w:spacing w:val="-2"/>
        </w:rPr>
        <w:t xml:space="preserve">l </w:t>
      </w:r>
      <w:proofErr w:type="spellStart"/>
      <w:r w:rsidR="005120EB" w:rsidRPr="005120EB">
        <w:rPr>
          <w:spacing w:val="-2"/>
        </w:rPr>
        <w:t>ex-</w:t>
      </w:r>
      <w:r w:rsidRPr="005120EB">
        <w:rPr>
          <w:spacing w:val="-2"/>
        </w:rPr>
        <w:t>ministro</w:t>
      </w:r>
      <w:proofErr w:type="spellEnd"/>
      <w:r w:rsidRPr="005120EB">
        <w:rPr>
          <w:spacing w:val="-2"/>
        </w:rPr>
        <w:t xml:space="preserve"> de Finanzas</w:t>
      </w:r>
      <w:r w:rsidR="005120EB" w:rsidRPr="005120EB">
        <w:rPr>
          <w:spacing w:val="-2"/>
        </w:rPr>
        <w:t xml:space="preserve"> brasileño,</w:t>
      </w:r>
      <w:r w:rsidRPr="005120EB">
        <w:rPr>
          <w:spacing w:val="-2"/>
        </w:rPr>
        <w:t xml:space="preserve"> </w:t>
      </w:r>
      <w:r w:rsidRPr="005120EB">
        <w:rPr>
          <w:smallCaps/>
          <w:spacing w:val="-2"/>
        </w:rPr>
        <w:t xml:space="preserve">Guido </w:t>
      </w:r>
      <w:proofErr w:type="spellStart"/>
      <w:r w:rsidRPr="005120EB">
        <w:rPr>
          <w:smallCaps/>
          <w:spacing w:val="-2"/>
        </w:rPr>
        <w:t>Mantega</w:t>
      </w:r>
      <w:proofErr w:type="spellEnd"/>
      <w:r w:rsidRPr="005120EB">
        <w:rPr>
          <w:spacing w:val="-2"/>
        </w:rPr>
        <w:t xml:space="preserve">, </w:t>
      </w:r>
      <w:r w:rsidR="005120EB" w:rsidRPr="005120EB">
        <w:rPr>
          <w:spacing w:val="-2"/>
        </w:rPr>
        <w:t>quien consideró</w:t>
      </w:r>
      <w:r w:rsidRPr="005120EB">
        <w:rPr>
          <w:spacing w:val="-2"/>
        </w:rPr>
        <w:t xml:space="preserve"> dichas depreciaciones como </w:t>
      </w:r>
      <w:r w:rsidRPr="005120EB">
        <w:rPr>
          <w:i/>
          <w:iCs/>
          <w:spacing w:val="-2"/>
        </w:rPr>
        <w:t>depreciaciones competitivas</w:t>
      </w:r>
      <w:r w:rsidRPr="005120EB">
        <w:rPr>
          <w:spacing w:val="-2"/>
        </w:rPr>
        <w:t xml:space="preserve"> y como </w:t>
      </w:r>
      <w:r w:rsidRPr="005120EB">
        <w:rPr>
          <w:i/>
          <w:iCs/>
          <w:spacing w:val="-2"/>
        </w:rPr>
        <w:t>políticas de empobrecimiento del v</w:t>
      </w:r>
      <w:r w:rsidR="006102EA" w:rsidRPr="005120EB">
        <w:rPr>
          <w:i/>
          <w:iCs/>
          <w:spacing w:val="-2"/>
        </w:rPr>
        <w:t>e</w:t>
      </w:r>
      <w:r w:rsidRPr="005120EB">
        <w:rPr>
          <w:i/>
          <w:iCs/>
          <w:spacing w:val="-2"/>
        </w:rPr>
        <w:t>cino</w:t>
      </w:r>
      <w:r w:rsidRPr="005120EB">
        <w:rPr>
          <w:spacing w:val="-2"/>
        </w:rPr>
        <w:t xml:space="preserve"> debido a los efectos negativos que tienen estas depreciaciones sobre los socios comerciales, definien</w:t>
      </w:r>
      <w:r w:rsidR="006102EA" w:rsidRPr="005120EB">
        <w:rPr>
          <w:spacing w:val="-2"/>
        </w:rPr>
        <w:t xml:space="preserve">do la situación como una </w:t>
      </w:r>
      <w:r w:rsidR="006102EA" w:rsidRPr="005120EB">
        <w:rPr>
          <w:i/>
          <w:iCs/>
          <w:spacing w:val="-2"/>
          <w:u w:val="single"/>
        </w:rPr>
        <w:t>guerra de divisas</w:t>
      </w:r>
      <w:r w:rsidR="006102EA" w:rsidRPr="005120EB">
        <w:rPr>
          <w:spacing w:val="-2"/>
        </w:rPr>
        <w:t>.</w:t>
      </w:r>
    </w:p>
    <w:p w14:paraId="64FD412E" w14:textId="7FAA0EAC" w:rsidR="006102EA" w:rsidRDefault="006102EA" w:rsidP="006102EA">
      <w:pPr>
        <w:pStyle w:val="Nivel5"/>
        <w:ind w:left="1871"/>
      </w:pPr>
      <w:r>
        <w:rPr>
          <w:smallCaps/>
        </w:rPr>
        <w:t>Dilma Rousseff</w:t>
      </w:r>
      <w:r>
        <w:t xml:space="preserve"> continuó dichas acusaciones criticando los QE y definiendo éstos como un tsunami monetario.</w:t>
      </w:r>
    </w:p>
    <w:p w14:paraId="6DD67543" w14:textId="465859E1" w:rsidR="00ED60C7" w:rsidRDefault="00ED60C7" w:rsidP="006102EA">
      <w:pPr>
        <w:pStyle w:val="Nivel3SM"/>
      </w:pPr>
      <w:r>
        <w:t>Muchos economistas miraban a esta situación con preocupación debido a que probablemente tenían el siguiente juego en la cabeza.</w:t>
      </w:r>
    </w:p>
    <w:tbl>
      <w:tblPr>
        <w:tblStyle w:val="Tablaconcuadrcula"/>
        <w:tblW w:w="10682" w:type="dxa"/>
        <w:jc w:val="center"/>
        <w:tblLook w:val="04A0" w:firstRow="1" w:lastRow="0" w:firstColumn="1" w:lastColumn="0" w:noHBand="0" w:noVBand="1"/>
      </w:tblPr>
      <w:tblGrid>
        <w:gridCol w:w="1838"/>
        <w:gridCol w:w="2948"/>
        <w:gridCol w:w="2948"/>
        <w:gridCol w:w="2948"/>
      </w:tblGrid>
      <w:tr w:rsidR="006102EA" w14:paraId="5911F99D" w14:textId="77777777" w:rsidTr="006102EA">
        <w:trPr>
          <w:jc w:val="center"/>
        </w:trPr>
        <w:tc>
          <w:tcPr>
            <w:tcW w:w="1838" w:type="dxa"/>
            <w:tcBorders>
              <w:top w:val="nil"/>
              <w:left w:val="nil"/>
              <w:bottom w:val="nil"/>
              <w:right w:val="nil"/>
            </w:tcBorders>
            <w:vAlign w:val="center"/>
          </w:tcPr>
          <w:p w14:paraId="425B79C8" w14:textId="77777777" w:rsidR="006102EA" w:rsidRDefault="006102EA" w:rsidP="00EC62F8">
            <w:pPr>
              <w:pStyle w:val="Nivel2SM"/>
              <w:keepNext/>
              <w:numPr>
                <w:ilvl w:val="0"/>
                <w:numId w:val="0"/>
              </w:numPr>
              <w:spacing w:after="0"/>
              <w:jc w:val="center"/>
            </w:pPr>
          </w:p>
        </w:tc>
        <w:tc>
          <w:tcPr>
            <w:tcW w:w="2948" w:type="dxa"/>
            <w:tcBorders>
              <w:top w:val="nil"/>
              <w:left w:val="nil"/>
              <w:bottom w:val="nil"/>
            </w:tcBorders>
            <w:vAlign w:val="center"/>
          </w:tcPr>
          <w:p w14:paraId="4A5BBA75" w14:textId="77777777" w:rsidR="006102EA" w:rsidRDefault="006102EA" w:rsidP="00EC62F8">
            <w:pPr>
              <w:pStyle w:val="Nivel2SM"/>
              <w:keepNext/>
              <w:numPr>
                <w:ilvl w:val="0"/>
                <w:numId w:val="0"/>
              </w:numPr>
              <w:spacing w:after="0"/>
              <w:jc w:val="center"/>
            </w:pPr>
          </w:p>
        </w:tc>
        <w:tc>
          <w:tcPr>
            <w:tcW w:w="5896" w:type="dxa"/>
            <w:gridSpan w:val="2"/>
            <w:vAlign w:val="center"/>
          </w:tcPr>
          <w:p w14:paraId="3C0CFB50" w14:textId="73A64D21" w:rsidR="006102EA" w:rsidRPr="00E906F2" w:rsidRDefault="006102EA" w:rsidP="00EC62F8">
            <w:pPr>
              <w:pStyle w:val="Nivel2SM"/>
              <w:keepNext/>
              <w:numPr>
                <w:ilvl w:val="0"/>
                <w:numId w:val="0"/>
              </w:numPr>
              <w:spacing w:after="0"/>
              <w:jc w:val="center"/>
              <w:rPr>
                <w:i/>
                <w:iCs/>
              </w:rPr>
            </w:pPr>
            <w:r>
              <w:rPr>
                <w:i/>
                <w:iCs/>
              </w:rPr>
              <w:t>Estados Unidos</w:t>
            </w:r>
          </w:p>
        </w:tc>
      </w:tr>
      <w:tr w:rsidR="006102EA" w14:paraId="14B22AF8" w14:textId="77777777" w:rsidTr="006102EA">
        <w:trPr>
          <w:jc w:val="center"/>
        </w:trPr>
        <w:tc>
          <w:tcPr>
            <w:tcW w:w="1838" w:type="dxa"/>
            <w:tcBorders>
              <w:top w:val="nil"/>
              <w:left w:val="nil"/>
              <w:right w:val="nil"/>
            </w:tcBorders>
            <w:vAlign w:val="center"/>
          </w:tcPr>
          <w:p w14:paraId="21A1D5CD" w14:textId="77777777" w:rsidR="006102EA" w:rsidRDefault="006102EA" w:rsidP="00EC62F8">
            <w:pPr>
              <w:pStyle w:val="Nivel2SM"/>
              <w:keepNext/>
              <w:numPr>
                <w:ilvl w:val="0"/>
                <w:numId w:val="0"/>
              </w:numPr>
              <w:spacing w:after="0"/>
              <w:jc w:val="center"/>
            </w:pPr>
          </w:p>
        </w:tc>
        <w:tc>
          <w:tcPr>
            <w:tcW w:w="2948" w:type="dxa"/>
            <w:tcBorders>
              <w:top w:val="nil"/>
              <w:left w:val="nil"/>
            </w:tcBorders>
            <w:vAlign w:val="center"/>
          </w:tcPr>
          <w:p w14:paraId="5893E42D" w14:textId="77777777" w:rsidR="006102EA" w:rsidRDefault="006102EA" w:rsidP="00EC62F8">
            <w:pPr>
              <w:pStyle w:val="Nivel2SM"/>
              <w:keepNext/>
              <w:numPr>
                <w:ilvl w:val="0"/>
                <w:numId w:val="0"/>
              </w:numPr>
              <w:spacing w:after="0"/>
              <w:jc w:val="center"/>
            </w:pPr>
          </w:p>
        </w:tc>
        <w:tc>
          <w:tcPr>
            <w:tcW w:w="2948" w:type="dxa"/>
            <w:vAlign w:val="center"/>
          </w:tcPr>
          <w:p w14:paraId="31C118C6" w14:textId="0D0FF51E" w:rsidR="006102EA" w:rsidRPr="00E906F2" w:rsidRDefault="006102EA" w:rsidP="00EC62F8">
            <w:pPr>
              <w:pStyle w:val="Nivel2SM"/>
              <w:keepNext/>
              <w:numPr>
                <w:ilvl w:val="0"/>
                <w:numId w:val="0"/>
              </w:numPr>
              <w:spacing w:after="0"/>
              <w:jc w:val="center"/>
              <w:rPr>
                <w:i/>
                <w:iCs/>
              </w:rPr>
            </w:pPr>
            <w:r w:rsidRPr="00E906F2">
              <w:rPr>
                <w:i/>
                <w:iCs/>
              </w:rPr>
              <w:t xml:space="preserve">Política </w:t>
            </w:r>
            <w:r>
              <w:rPr>
                <w:i/>
                <w:iCs/>
              </w:rPr>
              <w:t>monetaria</w:t>
            </w:r>
            <w:r w:rsidRPr="00E906F2">
              <w:rPr>
                <w:i/>
                <w:iCs/>
              </w:rPr>
              <w:t xml:space="preserve"> contractiva</w:t>
            </w:r>
          </w:p>
        </w:tc>
        <w:tc>
          <w:tcPr>
            <w:tcW w:w="2948" w:type="dxa"/>
            <w:vAlign w:val="center"/>
          </w:tcPr>
          <w:p w14:paraId="4F193279" w14:textId="084AB3CB" w:rsidR="006102EA" w:rsidRPr="00E906F2" w:rsidRDefault="006102EA" w:rsidP="00EC62F8">
            <w:pPr>
              <w:pStyle w:val="Nivel2SM"/>
              <w:keepNext/>
              <w:numPr>
                <w:ilvl w:val="0"/>
                <w:numId w:val="0"/>
              </w:numPr>
              <w:spacing w:after="0"/>
              <w:jc w:val="center"/>
              <w:rPr>
                <w:i/>
                <w:iCs/>
              </w:rPr>
            </w:pPr>
            <w:r w:rsidRPr="00E906F2">
              <w:rPr>
                <w:i/>
                <w:iCs/>
              </w:rPr>
              <w:t xml:space="preserve">Política </w:t>
            </w:r>
            <w:r>
              <w:rPr>
                <w:i/>
                <w:iCs/>
              </w:rPr>
              <w:t>monetaria</w:t>
            </w:r>
            <w:r w:rsidRPr="00E906F2">
              <w:rPr>
                <w:i/>
                <w:iCs/>
              </w:rPr>
              <w:t xml:space="preserve"> expansiva</w:t>
            </w:r>
          </w:p>
        </w:tc>
      </w:tr>
      <w:tr w:rsidR="006102EA" w14:paraId="5A42CB68" w14:textId="77777777" w:rsidTr="00EC62F8">
        <w:trPr>
          <w:cantSplit/>
          <w:jc w:val="center"/>
        </w:trPr>
        <w:tc>
          <w:tcPr>
            <w:tcW w:w="1838" w:type="dxa"/>
            <w:vMerge w:val="restart"/>
            <w:vAlign w:val="center"/>
          </w:tcPr>
          <w:p w14:paraId="12272BDC" w14:textId="0747092B" w:rsidR="006102EA" w:rsidRPr="00E906F2" w:rsidRDefault="006102EA" w:rsidP="006102EA">
            <w:pPr>
              <w:pStyle w:val="Nivel2SM"/>
              <w:numPr>
                <w:ilvl w:val="0"/>
                <w:numId w:val="0"/>
              </w:numPr>
              <w:spacing w:after="0"/>
              <w:jc w:val="center"/>
              <w:rPr>
                <w:i/>
                <w:iCs/>
              </w:rPr>
            </w:pPr>
            <w:r>
              <w:rPr>
                <w:i/>
                <w:iCs/>
              </w:rPr>
              <w:t>Resto del mundo</w:t>
            </w:r>
          </w:p>
        </w:tc>
        <w:tc>
          <w:tcPr>
            <w:tcW w:w="2948" w:type="dxa"/>
            <w:vAlign w:val="center"/>
          </w:tcPr>
          <w:p w14:paraId="03CA6081" w14:textId="5EF83EAF" w:rsidR="006102EA" w:rsidRPr="00E906F2" w:rsidRDefault="006102EA" w:rsidP="00EC62F8">
            <w:pPr>
              <w:pStyle w:val="Nivel2SM"/>
              <w:keepNext/>
              <w:numPr>
                <w:ilvl w:val="0"/>
                <w:numId w:val="0"/>
              </w:numPr>
              <w:spacing w:after="0"/>
              <w:jc w:val="center"/>
              <w:rPr>
                <w:i/>
                <w:iCs/>
              </w:rPr>
            </w:pPr>
            <w:r w:rsidRPr="00E906F2">
              <w:rPr>
                <w:i/>
                <w:iCs/>
              </w:rPr>
              <w:t xml:space="preserve">Política </w:t>
            </w:r>
            <w:r>
              <w:rPr>
                <w:i/>
                <w:iCs/>
              </w:rPr>
              <w:t>monetaria</w:t>
            </w:r>
            <w:r w:rsidRPr="00E906F2">
              <w:rPr>
                <w:i/>
                <w:iCs/>
              </w:rPr>
              <w:t xml:space="preserve"> contractiva</w:t>
            </w:r>
          </w:p>
        </w:tc>
        <w:tc>
          <w:tcPr>
            <w:tcW w:w="2948" w:type="dxa"/>
            <w:vAlign w:val="center"/>
          </w:tcPr>
          <w:p w14:paraId="05E4F694" w14:textId="3A1D708D" w:rsidR="006102EA" w:rsidRPr="00E906F2" w:rsidRDefault="006102EA" w:rsidP="00EC62F8">
            <w:pPr>
              <w:pStyle w:val="Nivel2SM"/>
              <w:keepNext/>
              <w:numPr>
                <w:ilvl w:val="0"/>
                <w:numId w:val="0"/>
              </w:numPr>
              <w:spacing w:after="0"/>
              <w:jc w:val="center"/>
              <w:rPr>
                <w:sz w:val="19"/>
                <w:szCs w:val="19"/>
              </w:rPr>
            </w:pPr>
            <w:r w:rsidRPr="00E906F2">
              <w:rPr>
                <w:sz w:val="19"/>
                <w:szCs w:val="19"/>
              </w:rPr>
              <w:t>Equilibrio cooperativo</w:t>
            </w:r>
            <w:r>
              <w:rPr>
                <w:sz w:val="19"/>
                <w:szCs w:val="19"/>
              </w:rPr>
              <w:t xml:space="preserve"> superior: se decide evitar una</w:t>
            </w:r>
            <w:r>
              <w:rPr>
                <w:sz w:val="19"/>
                <w:szCs w:val="19"/>
              </w:rPr>
              <w:br/>
            </w:r>
            <w:r w:rsidRPr="006102EA">
              <w:rPr>
                <w:i/>
                <w:iCs/>
                <w:sz w:val="19"/>
                <w:szCs w:val="19"/>
              </w:rPr>
              <w:t>guerra de divisas</w:t>
            </w:r>
          </w:p>
        </w:tc>
        <w:tc>
          <w:tcPr>
            <w:tcW w:w="2948" w:type="dxa"/>
            <w:vAlign w:val="center"/>
          </w:tcPr>
          <w:p w14:paraId="3BD44AB5" w14:textId="6997CA13" w:rsidR="006102EA" w:rsidRPr="006102EA" w:rsidRDefault="006102EA" w:rsidP="00EC62F8">
            <w:pPr>
              <w:pStyle w:val="Nivel2SM"/>
              <w:keepNext/>
              <w:numPr>
                <w:ilvl w:val="0"/>
                <w:numId w:val="0"/>
              </w:numPr>
              <w:spacing w:after="0"/>
              <w:jc w:val="center"/>
              <w:rPr>
                <w:spacing w:val="-5"/>
                <w:sz w:val="19"/>
                <w:szCs w:val="19"/>
              </w:rPr>
            </w:pPr>
            <w:r w:rsidRPr="006102EA">
              <w:rPr>
                <w:spacing w:val="-5"/>
                <w:sz w:val="19"/>
                <w:szCs w:val="19"/>
              </w:rPr>
              <w:t>El dólar se deprecia.</w:t>
            </w:r>
            <w:r w:rsidRPr="006102EA">
              <w:rPr>
                <w:spacing w:val="-5"/>
                <w:sz w:val="19"/>
                <w:szCs w:val="19"/>
              </w:rPr>
              <w:br/>
              <w:t>El resto de países se quejan en nombre de sus exportadores y las empresas que compiten con las importaciones</w:t>
            </w:r>
          </w:p>
        </w:tc>
      </w:tr>
      <w:tr w:rsidR="006102EA" w14:paraId="2B3BD8BA" w14:textId="77777777" w:rsidTr="006102EA">
        <w:trPr>
          <w:jc w:val="center"/>
        </w:trPr>
        <w:tc>
          <w:tcPr>
            <w:tcW w:w="1838" w:type="dxa"/>
            <w:vMerge/>
            <w:vAlign w:val="center"/>
          </w:tcPr>
          <w:p w14:paraId="4F8243D3" w14:textId="77777777" w:rsidR="006102EA" w:rsidRPr="00E906F2" w:rsidRDefault="006102EA" w:rsidP="006102EA">
            <w:pPr>
              <w:pStyle w:val="Nivel2SM"/>
              <w:numPr>
                <w:ilvl w:val="0"/>
                <w:numId w:val="0"/>
              </w:numPr>
              <w:spacing w:after="0"/>
              <w:jc w:val="center"/>
              <w:rPr>
                <w:i/>
                <w:iCs/>
              </w:rPr>
            </w:pPr>
          </w:p>
        </w:tc>
        <w:tc>
          <w:tcPr>
            <w:tcW w:w="2948" w:type="dxa"/>
            <w:vAlign w:val="center"/>
          </w:tcPr>
          <w:p w14:paraId="2AEE99C6" w14:textId="6D478B23" w:rsidR="006102EA" w:rsidRPr="00E906F2" w:rsidRDefault="006102EA" w:rsidP="006102EA">
            <w:pPr>
              <w:pStyle w:val="Nivel2SM"/>
              <w:numPr>
                <w:ilvl w:val="0"/>
                <w:numId w:val="0"/>
              </w:numPr>
              <w:spacing w:after="0"/>
              <w:jc w:val="center"/>
              <w:rPr>
                <w:i/>
                <w:iCs/>
              </w:rPr>
            </w:pPr>
            <w:r w:rsidRPr="00E906F2">
              <w:rPr>
                <w:i/>
                <w:iCs/>
              </w:rPr>
              <w:t xml:space="preserve">Política </w:t>
            </w:r>
            <w:r>
              <w:rPr>
                <w:i/>
                <w:iCs/>
              </w:rPr>
              <w:t>monetaria</w:t>
            </w:r>
            <w:r w:rsidRPr="00E906F2">
              <w:rPr>
                <w:i/>
                <w:iCs/>
              </w:rPr>
              <w:t xml:space="preserve"> expansiva</w:t>
            </w:r>
          </w:p>
        </w:tc>
        <w:tc>
          <w:tcPr>
            <w:tcW w:w="2948" w:type="dxa"/>
            <w:vAlign w:val="center"/>
          </w:tcPr>
          <w:p w14:paraId="1E8E0617" w14:textId="194EFED5" w:rsidR="006102EA" w:rsidRPr="006102EA" w:rsidRDefault="006102EA" w:rsidP="006102EA">
            <w:pPr>
              <w:pStyle w:val="Nivel2SM"/>
              <w:numPr>
                <w:ilvl w:val="0"/>
                <w:numId w:val="0"/>
              </w:numPr>
              <w:spacing w:after="0"/>
              <w:jc w:val="center"/>
              <w:rPr>
                <w:spacing w:val="-4"/>
                <w:sz w:val="19"/>
                <w:szCs w:val="19"/>
              </w:rPr>
            </w:pPr>
            <w:r w:rsidRPr="006102EA">
              <w:rPr>
                <w:spacing w:val="-4"/>
                <w:sz w:val="19"/>
                <w:szCs w:val="19"/>
              </w:rPr>
              <w:t>El dólar se aprecia.</w:t>
            </w:r>
            <w:r w:rsidRPr="006102EA">
              <w:rPr>
                <w:spacing w:val="-4"/>
                <w:sz w:val="19"/>
                <w:szCs w:val="19"/>
              </w:rPr>
              <w:br/>
              <w:t>Estados Unidos se queja en nombre de sus exportadores y las empresas que compiten con las importaciones</w:t>
            </w:r>
          </w:p>
        </w:tc>
        <w:tc>
          <w:tcPr>
            <w:tcW w:w="2948" w:type="dxa"/>
            <w:vAlign w:val="center"/>
          </w:tcPr>
          <w:p w14:paraId="498C6CEF" w14:textId="2AE6CE94" w:rsidR="006102EA" w:rsidRPr="00E906F2" w:rsidRDefault="006102EA" w:rsidP="006102EA">
            <w:pPr>
              <w:pStyle w:val="Nivel2SM"/>
              <w:numPr>
                <w:ilvl w:val="0"/>
                <w:numId w:val="0"/>
              </w:numPr>
              <w:spacing w:after="0"/>
              <w:jc w:val="center"/>
              <w:rPr>
                <w:sz w:val="19"/>
                <w:szCs w:val="19"/>
              </w:rPr>
            </w:pPr>
            <w:r w:rsidRPr="00E906F2">
              <w:rPr>
                <w:sz w:val="19"/>
                <w:szCs w:val="19"/>
              </w:rPr>
              <w:t>Equilibrio</w:t>
            </w:r>
            <w:r>
              <w:rPr>
                <w:sz w:val="19"/>
                <w:szCs w:val="19"/>
              </w:rPr>
              <w:t xml:space="preserve"> no</w:t>
            </w:r>
            <w:r w:rsidRPr="00E906F2">
              <w:rPr>
                <w:sz w:val="19"/>
                <w:szCs w:val="19"/>
              </w:rPr>
              <w:t xml:space="preserve"> cooperativo</w:t>
            </w:r>
            <w:r>
              <w:rPr>
                <w:sz w:val="19"/>
                <w:szCs w:val="19"/>
              </w:rPr>
              <w:t>:</w:t>
            </w:r>
            <w:r>
              <w:rPr>
                <w:sz w:val="19"/>
                <w:szCs w:val="19"/>
              </w:rPr>
              <w:br/>
            </w:r>
            <w:r>
              <w:rPr>
                <w:i/>
                <w:iCs/>
                <w:sz w:val="19"/>
                <w:szCs w:val="19"/>
              </w:rPr>
              <w:t>guerra de divisas</w:t>
            </w:r>
            <w:r>
              <w:rPr>
                <w:sz w:val="19"/>
                <w:szCs w:val="19"/>
              </w:rPr>
              <w:t>.</w:t>
            </w:r>
          </w:p>
        </w:tc>
      </w:tr>
    </w:tbl>
    <w:p w14:paraId="6B85A7E2" w14:textId="0D3E76A5" w:rsidR="00E906F2" w:rsidRDefault="00E906F2" w:rsidP="006102EA">
      <w:pPr>
        <w:pStyle w:val="Nivel1SM"/>
        <w:keepNext/>
        <w:spacing w:after="0"/>
      </w:pPr>
      <w:r w:rsidRPr="006102EA">
        <w:rPr>
          <w:i/>
          <w:iCs/>
          <w:u w:val="single"/>
        </w:rPr>
        <w:t>Juego</w:t>
      </w:r>
      <w:r w:rsidR="006102EA">
        <w:t>:</w:t>
      </w:r>
    </w:p>
    <w:p w14:paraId="72263895" w14:textId="75788344" w:rsidR="006102EA" w:rsidRDefault="006102EA" w:rsidP="006102EA">
      <w:pPr>
        <w:pStyle w:val="Nivel2SM"/>
        <w:keepNext/>
        <w:spacing w:after="0"/>
      </w:pPr>
      <w:r>
        <w:t>El juego que subyace a esta situación es el de una guerra de divisas.</w:t>
      </w:r>
    </w:p>
    <w:p w14:paraId="68C5BB34" w14:textId="3749831D" w:rsidR="006102EA" w:rsidRDefault="006102EA" w:rsidP="006102EA">
      <w:pPr>
        <w:pStyle w:val="Nivel3SM"/>
      </w:pPr>
      <w:r>
        <w:t>Solución no cooperativa: Una situación en la que todos los países llevan a cabo depreciaciones y devaluaciones competitivas y que se dice que es un mal equilibrio para todos porque ninguno consigue ni la depreciación ni el estímulo comercial.</w:t>
      </w:r>
    </w:p>
    <w:p w14:paraId="6E70E093" w14:textId="1F28DFE1" w:rsidR="006102EA" w:rsidRPr="006102EA" w:rsidRDefault="006102EA" w:rsidP="006102EA">
      <w:pPr>
        <w:pStyle w:val="Nivel3SM"/>
      </w:pPr>
      <w:r>
        <w:t>Solución cooperativa: Aquí la situación con coordinación sería que se abstuvieran de entrar en esta guerra de divisas.</w:t>
      </w:r>
    </w:p>
    <w:p w14:paraId="3989D428" w14:textId="472A1247" w:rsidR="00E906F2" w:rsidRDefault="006102EA" w:rsidP="006102EA">
      <w:pPr>
        <w:pStyle w:val="Nivel1SM"/>
        <w:keepNext/>
        <w:spacing w:after="0"/>
      </w:pPr>
      <w:r>
        <w:rPr>
          <w:i/>
          <w:iCs/>
          <w:u w:val="single"/>
        </w:rPr>
        <w:t>Experiencia</w:t>
      </w:r>
      <w:r>
        <w:t>:</w:t>
      </w:r>
    </w:p>
    <w:p w14:paraId="2EC899E9" w14:textId="38102733" w:rsidR="006102EA" w:rsidRPr="006102EA" w:rsidRDefault="006102EA" w:rsidP="006102EA">
      <w:pPr>
        <w:pStyle w:val="Nivel2SM"/>
      </w:pPr>
      <w:r>
        <w:t xml:space="preserve">En la cumbre del G-7 de 2013, se llevó a cabo lo que hasta día de hoy es el ejemplo más significativo de la coordinación internacional de políticas económicas. En este acuerdo, los </w:t>
      </w:r>
      <w:r>
        <w:lastRenderedPageBreak/>
        <w:t>miembros del G-7 acordaron que</w:t>
      </w:r>
      <w:r w:rsidR="001E38AF">
        <w:t xml:space="preserve"> sus políticas fiscales y monetaria</w:t>
      </w:r>
      <w:r w:rsidR="005120EB">
        <w:t>s</w:t>
      </w:r>
      <w:r w:rsidR="001E38AF">
        <w:t xml:space="preserve"> irían dirigidas a cumplir los objetivos domésticos pero que en ningún caso la intervención sobre el tipo de cambio sería el objetivo.</w:t>
      </w:r>
    </w:p>
    <w:p w14:paraId="643219B2" w14:textId="453AD009" w:rsidR="00A13CA3" w:rsidRDefault="00A13CA3" w:rsidP="00A13CA3">
      <w:pPr>
        <w:pStyle w:val="Ttulo7"/>
      </w:pPr>
      <w:bookmarkStart w:id="67" w:name="_Toc173970616"/>
      <w:r>
        <w:t>Juego de la gallina: El rescate financiero entre el BCE y los Estados</w:t>
      </w:r>
      <w:bookmarkEnd w:id="67"/>
    </w:p>
    <w:p w14:paraId="1A8C5A65" w14:textId="00555377" w:rsidR="00A13CA3" w:rsidRPr="00EC0213" w:rsidRDefault="00A13CA3" w:rsidP="00A13CA3">
      <w:pPr>
        <w:pStyle w:val="Nivel2SM"/>
        <w:keepNext/>
        <w:spacing w:after="0"/>
      </w:pPr>
      <w:r>
        <w:t>Supongamos un juego entre</w:t>
      </w:r>
      <w:r w:rsidRPr="00EC0213">
        <w:t xml:space="preserve"> España y el BCE:</w:t>
      </w:r>
    </w:p>
    <w:p w14:paraId="1574906A" w14:textId="62BE2589" w:rsidR="00A13CA3" w:rsidRPr="00EC0213" w:rsidRDefault="00A13CA3" w:rsidP="00A13CA3">
      <w:pPr>
        <w:pStyle w:val="Nivel3SM"/>
      </w:pPr>
      <w:r w:rsidRPr="00EC0213">
        <w:t>Las estrategias de España son aceptar un rescate o no</w:t>
      </w:r>
      <w:r>
        <w:t> </w:t>
      </w:r>
      <w:r w:rsidRPr="00EC0213">
        <w:t>aceptarlo;</w:t>
      </w:r>
      <w:r>
        <w:t xml:space="preserve"> y</w:t>
      </w:r>
      <w:r w:rsidRPr="00EC0213">
        <w:t xml:space="preserve"> las estrategias del BCE son continuar financiando al sector financiero o dejar de financiarlo.</w:t>
      </w:r>
    </w:p>
    <w:p w14:paraId="33D4DD11" w14:textId="77777777" w:rsidR="00A13CA3" w:rsidRPr="00EC0213" w:rsidRDefault="00A13CA3" w:rsidP="00A13CA3">
      <w:pPr>
        <w:pStyle w:val="Nivel3SM"/>
      </w:pPr>
      <w:r w:rsidRPr="00EC0213">
        <w:t>El BCE prefiere dejar de financiar al sistema financiero español y que España acepte un rescate para a su vez sanear definitivamente el sistema financiero. Sin embargo, mientras España no acepte un rescate Europeo, dejar de cubrir las necesidades de financiación del sistema financiero podría provocar una catástrofe.</w:t>
      </w:r>
    </w:p>
    <w:p w14:paraId="0831B59D" w14:textId="77777777" w:rsidR="00A13CA3" w:rsidRDefault="00A13CA3" w:rsidP="00A13CA3">
      <w:pPr>
        <w:pStyle w:val="Nivel3SM"/>
      </w:pPr>
      <w:r w:rsidRPr="00EC0213">
        <w:t>Desde la perspectiva de España, el mejor resultado es rehusar a usar el vehículo de rescate europeo y conseguir que el BCE financie el sistema financiero e, indirectamente, la deuda de España.</w:t>
      </w:r>
    </w:p>
    <w:tbl>
      <w:tblPr>
        <w:tblStyle w:val="Tablaconcuadrcula"/>
        <w:tblW w:w="0" w:type="auto"/>
        <w:tblInd w:w="1871" w:type="dxa"/>
        <w:tblLook w:val="04A0" w:firstRow="1" w:lastRow="0" w:firstColumn="1" w:lastColumn="0" w:noHBand="0" w:noVBand="1"/>
      </w:tblPr>
      <w:tblGrid>
        <w:gridCol w:w="1020"/>
        <w:gridCol w:w="1985"/>
        <w:gridCol w:w="1984"/>
        <w:gridCol w:w="1985"/>
      </w:tblGrid>
      <w:tr w:rsidR="00A13CA3" w14:paraId="62685898" w14:textId="77777777" w:rsidTr="006022CD">
        <w:tc>
          <w:tcPr>
            <w:tcW w:w="3005" w:type="dxa"/>
            <w:gridSpan w:val="2"/>
            <w:vMerge w:val="restart"/>
            <w:tcBorders>
              <w:top w:val="nil"/>
              <w:left w:val="nil"/>
            </w:tcBorders>
            <w:vAlign w:val="center"/>
          </w:tcPr>
          <w:p w14:paraId="7610F2BE" w14:textId="77777777" w:rsidR="00A13CA3" w:rsidRPr="00457469" w:rsidRDefault="00A13CA3" w:rsidP="006022CD">
            <w:pPr>
              <w:pStyle w:val="Nivel5"/>
              <w:keepNext/>
              <w:numPr>
                <w:ilvl w:val="0"/>
                <w:numId w:val="0"/>
              </w:numPr>
              <w:jc w:val="center"/>
              <w:rPr>
                <w:sz w:val="18"/>
                <w:szCs w:val="18"/>
              </w:rPr>
            </w:pPr>
          </w:p>
        </w:tc>
        <w:tc>
          <w:tcPr>
            <w:tcW w:w="3969" w:type="dxa"/>
            <w:gridSpan w:val="2"/>
            <w:vAlign w:val="center"/>
          </w:tcPr>
          <w:p w14:paraId="033D5166" w14:textId="77777777" w:rsidR="00A13CA3" w:rsidRPr="00457469" w:rsidRDefault="00A13CA3" w:rsidP="006022CD">
            <w:pPr>
              <w:pStyle w:val="Nivel5"/>
              <w:keepNext/>
              <w:numPr>
                <w:ilvl w:val="0"/>
                <w:numId w:val="0"/>
              </w:numPr>
              <w:jc w:val="center"/>
              <w:rPr>
                <w:i/>
                <w:iCs/>
                <w:sz w:val="18"/>
                <w:szCs w:val="18"/>
              </w:rPr>
            </w:pPr>
            <w:r w:rsidRPr="00457469">
              <w:rPr>
                <w:i/>
                <w:iCs/>
                <w:sz w:val="18"/>
                <w:szCs w:val="18"/>
              </w:rPr>
              <w:t>España</w:t>
            </w:r>
          </w:p>
        </w:tc>
      </w:tr>
      <w:tr w:rsidR="00A13CA3" w14:paraId="137B09C6" w14:textId="77777777" w:rsidTr="006022CD">
        <w:tc>
          <w:tcPr>
            <w:tcW w:w="3005" w:type="dxa"/>
            <w:gridSpan w:val="2"/>
            <w:vMerge/>
            <w:tcBorders>
              <w:left w:val="nil"/>
            </w:tcBorders>
            <w:vAlign w:val="center"/>
          </w:tcPr>
          <w:p w14:paraId="581BB54F" w14:textId="77777777" w:rsidR="00A13CA3" w:rsidRPr="00457469" w:rsidRDefault="00A13CA3" w:rsidP="006022CD">
            <w:pPr>
              <w:pStyle w:val="Nivel5"/>
              <w:keepNext/>
              <w:numPr>
                <w:ilvl w:val="0"/>
                <w:numId w:val="0"/>
              </w:numPr>
              <w:jc w:val="center"/>
              <w:rPr>
                <w:sz w:val="18"/>
                <w:szCs w:val="18"/>
              </w:rPr>
            </w:pPr>
          </w:p>
        </w:tc>
        <w:tc>
          <w:tcPr>
            <w:tcW w:w="1984" w:type="dxa"/>
            <w:vAlign w:val="center"/>
          </w:tcPr>
          <w:p w14:paraId="3A076C5E" w14:textId="77777777" w:rsidR="00A13CA3" w:rsidRPr="00FC0FAA" w:rsidRDefault="00A13CA3" w:rsidP="006022CD">
            <w:pPr>
              <w:pStyle w:val="Nivel5"/>
              <w:keepNext/>
              <w:numPr>
                <w:ilvl w:val="0"/>
                <w:numId w:val="0"/>
              </w:numPr>
              <w:jc w:val="center"/>
              <w:rPr>
                <w:sz w:val="16"/>
                <w:szCs w:val="16"/>
              </w:rPr>
            </w:pPr>
            <w:r w:rsidRPr="00FC0FAA">
              <w:rPr>
                <w:sz w:val="16"/>
                <w:szCs w:val="16"/>
              </w:rPr>
              <w:t>Aceptar un rescate</w:t>
            </w:r>
          </w:p>
        </w:tc>
        <w:tc>
          <w:tcPr>
            <w:tcW w:w="1985" w:type="dxa"/>
            <w:vAlign w:val="center"/>
          </w:tcPr>
          <w:p w14:paraId="49D535BA" w14:textId="77777777" w:rsidR="00A13CA3" w:rsidRPr="00FC0FAA" w:rsidRDefault="00A13CA3" w:rsidP="006022CD">
            <w:pPr>
              <w:pStyle w:val="Nivel5"/>
              <w:keepNext/>
              <w:numPr>
                <w:ilvl w:val="0"/>
                <w:numId w:val="0"/>
              </w:numPr>
              <w:jc w:val="center"/>
              <w:rPr>
                <w:sz w:val="16"/>
                <w:szCs w:val="16"/>
              </w:rPr>
            </w:pPr>
            <w:r w:rsidRPr="00FC0FAA">
              <w:rPr>
                <w:sz w:val="16"/>
                <w:szCs w:val="16"/>
              </w:rPr>
              <w:t>No aceptar un rescate</w:t>
            </w:r>
          </w:p>
        </w:tc>
      </w:tr>
      <w:tr w:rsidR="00A13CA3" w14:paraId="68E94BD0" w14:textId="77777777" w:rsidTr="006022CD">
        <w:trPr>
          <w:cantSplit/>
          <w:trHeight w:val="648"/>
        </w:trPr>
        <w:tc>
          <w:tcPr>
            <w:tcW w:w="1020" w:type="dxa"/>
            <w:vMerge w:val="restart"/>
            <w:textDirection w:val="btLr"/>
            <w:vAlign w:val="center"/>
          </w:tcPr>
          <w:p w14:paraId="7232A54D" w14:textId="77777777" w:rsidR="00A13CA3" w:rsidRPr="00457469" w:rsidRDefault="00A13CA3" w:rsidP="006022CD">
            <w:pPr>
              <w:pStyle w:val="Nivel5"/>
              <w:keepNext/>
              <w:numPr>
                <w:ilvl w:val="0"/>
                <w:numId w:val="0"/>
              </w:numPr>
              <w:ind w:left="113" w:right="113"/>
              <w:jc w:val="center"/>
              <w:rPr>
                <w:i/>
                <w:iCs/>
                <w:sz w:val="18"/>
                <w:szCs w:val="18"/>
              </w:rPr>
            </w:pPr>
            <w:r w:rsidRPr="00457469">
              <w:rPr>
                <w:i/>
                <w:iCs/>
                <w:sz w:val="18"/>
                <w:szCs w:val="18"/>
              </w:rPr>
              <w:t>Banco</w:t>
            </w:r>
            <w:r>
              <w:rPr>
                <w:i/>
                <w:iCs/>
                <w:sz w:val="18"/>
                <w:szCs w:val="18"/>
              </w:rPr>
              <w:br/>
            </w:r>
            <w:r w:rsidRPr="00457469">
              <w:rPr>
                <w:i/>
                <w:iCs/>
                <w:sz w:val="18"/>
                <w:szCs w:val="18"/>
              </w:rPr>
              <w:t>Central</w:t>
            </w:r>
            <w:r>
              <w:rPr>
                <w:i/>
                <w:iCs/>
                <w:sz w:val="18"/>
                <w:szCs w:val="18"/>
              </w:rPr>
              <w:br/>
            </w:r>
            <w:r w:rsidRPr="00457469">
              <w:rPr>
                <w:i/>
                <w:iCs/>
                <w:sz w:val="18"/>
                <w:szCs w:val="18"/>
              </w:rPr>
              <w:t>Europeo</w:t>
            </w:r>
          </w:p>
        </w:tc>
        <w:tc>
          <w:tcPr>
            <w:tcW w:w="1985" w:type="dxa"/>
            <w:vAlign w:val="center"/>
          </w:tcPr>
          <w:p w14:paraId="1BFC79E7" w14:textId="77777777" w:rsidR="00A13CA3" w:rsidRPr="00FC0FAA" w:rsidRDefault="00A13CA3" w:rsidP="006022CD">
            <w:pPr>
              <w:pStyle w:val="Nivel5"/>
              <w:keepNext/>
              <w:numPr>
                <w:ilvl w:val="0"/>
                <w:numId w:val="0"/>
              </w:numPr>
              <w:jc w:val="center"/>
              <w:rPr>
                <w:sz w:val="16"/>
                <w:szCs w:val="16"/>
              </w:rPr>
            </w:pPr>
            <w:r w:rsidRPr="00FC0FAA">
              <w:rPr>
                <w:sz w:val="16"/>
                <w:szCs w:val="16"/>
              </w:rPr>
              <w:t>Continuar con la financiación al sector financiero español</w:t>
            </w:r>
          </w:p>
        </w:tc>
        <w:tc>
          <w:tcPr>
            <w:tcW w:w="1984" w:type="dxa"/>
            <w:vAlign w:val="center"/>
          </w:tcPr>
          <w:p w14:paraId="3FDD615E" w14:textId="77777777" w:rsidR="00A13CA3" w:rsidRDefault="00A13CA3" w:rsidP="006022CD">
            <w:pPr>
              <w:pStyle w:val="Nivel5"/>
              <w:keepNext/>
              <w:numPr>
                <w:ilvl w:val="0"/>
                <w:numId w:val="0"/>
              </w:numPr>
              <w:jc w:val="center"/>
            </w:pPr>
            <w:r>
              <w:t>0, 0</w:t>
            </w:r>
          </w:p>
        </w:tc>
        <w:tc>
          <w:tcPr>
            <w:tcW w:w="1985" w:type="dxa"/>
            <w:vAlign w:val="center"/>
          </w:tcPr>
          <w:p w14:paraId="2AED33CF" w14:textId="77777777" w:rsidR="00A13CA3" w:rsidRDefault="00A13CA3" w:rsidP="006022CD">
            <w:pPr>
              <w:pStyle w:val="Nivel5"/>
              <w:keepNext/>
              <w:numPr>
                <w:ilvl w:val="0"/>
                <w:numId w:val="0"/>
              </w:numPr>
              <w:jc w:val="center"/>
            </w:pPr>
            <w:r>
              <w:rPr>
                <w:rFonts w:ascii="Times New Roman" w:hAnsi="Times New Roman" w:cs="Times New Roman"/>
              </w:rPr>
              <w:t>−</w:t>
            </w:r>
            <w:r>
              <w:t>1, +1</w:t>
            </w:r>
          </w:p>
        </w:tc>
      </w:tr>
      <w:tr w:rsidR="00A13CA3" w14:paraId="4D5B4B02" w14:textId="77777777" w:rsidTr="006022CD">
        <w:trPr>
          <w:cantSplit/>
          <w:trHeight w:val="648"/>
        </w:trPr>
        <w:tc>
          <w:tcPr>
            <w:tcW w:w="1020" w:type="dxa"/>
            <w:vMerge/>
            <w:vAlign w:val="center"/>
          </w:tcPr>
          <w:p w14:paraId="590E4C91" w14:textId="77777777" w:rsidR="00A13CA3" w:rsidRPr="00457469" w:rsidRDefault="00A13CA3" w:rsidP="006022CD">
            <w:pPr>
              <w:pStyle w:val="Nivel5"/>
              <w:numPr>
                <w:ilvl w:val="0"/>
                <w:numId w:val="0"/>
              </w:numPr>
              <w:jc w:val="center"/>
              <w:rPr>
                <w:sz w:val="18"/>
                <w:szCs w:val="18"/>
              </w:rPr>
            </w:pPr>
          </w:p>
        </w:tc>
        <w:tc>
          <w:tcPr>
            <w:tcW w:w="1985" w:type="dxa"/>
            <w:vAlign w:val="center"/>
          </w:tcPr>
          <w:p w14:paraId="149C46FF" w14:textId="77777777" w:rsidR="00A13CA3" w:rsidRPr="00FC0FAA" w:rsidRDefault="00A13CA3" w:rsidP="006022CD">
            <w:pPr>
              <w:pStyle w:val="Nivel5"/>
              <w:numPr>
                <w:ilvl w:val="0"/>
                <w:numId w:val="0"/>
              </w:numPr>
              <w:jc w:val="center"/>
              <w:rPr>
                <w:sz w:val="16"/>
                <w:szCs w:val="16"/>
              </w:rPr>
            </w:pPr>
            <w:r w:rsidRPr="00FC0FAA">
              <w:rPr>
                <w:sz w:val="16"/>
                <w:szCs w:val="16"/>
              </w:rPr>
              <w:t>No financiar al sector financiero español</w:t>
            </w:r>
          </w:p>
        </w:tc>
        <w:tc>
          <w:tcPr>
            <w:tcW w:w="1984" w:type="dxa"/>
            <w:vAlign w:val="center"/>
          </w:tcPr>
          <w:p w14:paraId="4A5C62D4" w14:textId="77777777" w:rsidR="00A13CA3" w:rsidRDefault="00A13CA3" w:rsidP="006022CD">
            <w:pPr>
              <w:pStyle w:val="Nivel5"/>
              <w:numPr>
                <w:ilvl w:val="0"/>
                <w:numId w:val="0"/>
              </w:numPr>
              <w:jc w:val="center"/>
            </w:pPr>
            <w:r>
              <w:t xml:space="preserve">+1, </w:t>
            </w:r>
            <w:r>
              <w:rPr>
                <w:rFonts w:ascii="Times New Roman" w:hAnsi="Times New Roman" w:cs="Times New Roman"/>
              </w:rPr>
              <w:t>−</w:t>
            </w:r>
            <w:r>
              <w:t>1</w:t>
            </w:r>
          </w:p>
        </w:tc>
        <w:tc>
          <w:tcPr>
            <w:tcW w:w="1985" w:type="dxa"/>
            <w:vAlign w:val="center"/>
          </w:tcPr>
          <w:p w14:paraId="55482FB6" w14:textId="77777777" w:rsidR="00A13CA3" w:rsidRDefault="00A13CA3" w:rsidP="006022CD">
            <w:pPr>
              <w:pStyle w:val="Nivel5"/>
              <w:numPr>
                <w:ilvl w:val="0"/>
                <w:numId w:val="0"/>
              </w:numPr>
              <w:jc w:val="center"/>
            </w:pPr>
            <w:r>
              <w:rPr>
                <w:rFonts w:ascii="Times New Roman" w:hAnsi="Times New Roman" w:cs="Times New Roman"/>
              </w:rPr>
              <w:t>−</w:t>
            </w:r>
            <w:r>
              <w:t xml:space="preserve">20, </w:t>
            </w:r>
            <w:r>
              <w:rPr>
                <w:rFonts w:ascii="Times New Roman" w:hAnsi="Times New Roman" w:cs="Times New Roman"/>
              </w:rPr>
              <w:t>−</w:t>
            </w:r>
            <w:r>
              <w:t>20</w:t>
            </w:r>
          </w:p>
        </w:tc>
      </w:tr>
    </w:tbl>
    <w:p w14:paraId="00500BF5" w14:textId="2CDE38B4" w:rsidR="00364C6F" w:rsidRDefault="00364C6F" w:rsidP="00364C6F">
      <w:pPr>
        <w:pStyle w:val="Ttulo6"/>
      </w:pPr>
      <w:bookmarkStart w:id="68" w:name="_Toc173970617"/>
      <w:r>
        <w:t>Otros ejemplos de cooperación</w:t>
      </w:r>
      <w:bookmarkEnd w:id="68"/>
    </w:p>
    <w:p w14:paraId="059FF470" w14:textId="7D29ECF7" w:rsidR="001E38AF" w:rsidRDefault="001E38AF" w:rsidP="001E38AF">
      <w:pPr>
        <w:pStyle w:val="Nivel1SM"/>
        <w:keepNext/>
        <w:spacing w:before="0" w:after="0"/>
      </w:pPr>
      <w:r>
        <w:t xml:space="preserve">Además de los ejemplos anteriores del artículo de </w:t>
      </w:r>
      <w:r>
        <w:rPr>
          <w:smallCaps/>
        </w:rPr>
        <w:t>Fr</w:t>
      </w:r>
      <w:r w:rsidR="00A0130A">
        <w:rPr>
          <w:smallCaps/>
        </w:rPr>
        <w:t>a</w:t>
      </w:r>
      <w:r>
        <w:rPr>
          <w:smallCaps/>
        </w:rPr>
        <w:t>nkel</w:t>
      </w:r>
      <w:r>
        <w:t>, en la actualidad podemos encontrar otros ejemplos de coordinación a nivel global:</w:t>
      </w:r>
    </w:p>
    <w:p w14:paraId="7B3B3CAC" w14:textId="7B7D669C" w:rsidR="001E38AF" w:rsidRDefault="001E38AF" w:rsidP="001E38AF">
      <w:pPr>
        <w:pStyle w:val="Nivel2SM"/>
        <w:keepNext/>
        <w:spacing w:after="0"/>
      </w:pPr>
      <w:r>
        <w:t>G-20 y FSB (</w:t>
      </w:r>
      <w:proofErr w:type="spellStart"/>
      <w:r w:rsidRPr="001E38AF">
        <w:rPr>
          <w:i/>
          <w:iCs/>
        </w:rPr>
        <w:t>Financial</w:t>
      </w:r>
      <w:proofErr w:type="spellEnd"/>
      <w:r w:rsidRPr="001E38AF">
        <w:rPr>
          <w:i/>
          <w:iCs/>
        </w:rPr>
        <w:t xml:space="preserve"> </w:t>
      </w:r>
      <w:proofErr w:type="spellStart"/>
      <w:r w:rsidRPr="001E38AF">
        <w:rPr>
          <w:i/>
          <w:iCs/>
        </w:rPr>
        <w:t>Stability</w:t>
      </w:r>
      <w:proofErr w:type="spellEnd"/>
      <w:r w:rsidRPr="001E38AF">
        <w:rPr>
          <w:i/>
          <w:iCs/>
        </w:rPr>
        <w:t xml:space="preserve"> </w:t>
      </w:r>
      <w:proofErr w:type="spellStart"/>
      <w:r w:rsidRPr="001E38AF">
        <w:rPr>
          <w:i/>
          <w:iCs/>
        </w:rPr>
        <w:t>Board</w:t>
      </w:r>
      <w:proofErr w:type="spellEnd"/>
      <w:r>
        <w:t>, Consejo de Estabilidad Financiera):</w:t>
      </w:r>
    </w:p>
    <w:p w14:paraId="56B41A72" w14:textId="7A18C433" w:rsidR="001E38AF" w:rsidRDefault="001E38AF" w:rsidP="001E38AF">
      <w:pPr>
        <w:pStyle w:val="Nivel3SM"/>
      </w:pPr>
      <w:r>
        <w:t>A raíz de la crisis financiera global, el G-20 ha pasado a ocupar un lugar central en la coordinación de las políticas económicas.</w:t>
      </w:r>
    </w:p>
    <w:p w14:paraId="232BCD31" w14:textId="0A2878D6" w:rsidR="001E38AF" w:rsidRDefault="001E38AF" w:rsidP="001E38AF">
      <w:pPr>
        <w:pStyle w:val="Nivel3SM"/>
      </w:pPr>
      <w:r>
        <w:t xml:space="preserve">El FSB sustituyó al </w:t>
      </w:r>
      <w:proofErr w:type="spellStart"/>
      <w:r>
        <w:rPr>
          <w:i/>
          <w:iCs/>
        </w:rPr>
        <w:t>Financial</w:t>
      </w:r>
      <w:proofErr w:type="spellEnd"/>
      <w:r>
        <w:rPr>
          <w:i/>
          <w:iCs/>
        </w:rPr>
        <w:t xml:space="preserve"> </w:t>
      </w:r>
      <w:proofErr w:type="spellStart"/>
      <w:r>
        <w:rPr>
          <w:i/>
          <w:iCs/>
        </w:rPr>
        <w:t>Stability</w:t>
      </w:r>
      <w:proofErr w:type="spellEnd"/>
      <w:r>
        <w:rPr>
          <w:i/>
          <w:iCs/>
        </w:rPr>
        <w:t xml:space="preserve"> </w:t>
      </w:r>
      <w:proofErr w:type="spellStart"/>
      <w:r>
        <w:rPr>
          <w:i/>
          <w:iCs/>
        </w:rPr>
        <w:t>Forum</w:t>
      </w:r>
      <w:proofErr w:type="spellEnd"/>
      <w:r>
        <w:t xml:space="preserve"> (FSF) en el marco del G-20 en 2013 pasando a tener personalidad jurídica.</w:t>
      </w:r>
    </w:p>
    <w:p w14:paraId="6C94FFCC" w14:textId="2020EA91" w:rsidR="001E38AF" w:rsidRDefault="001E38AF" w:rsidP="001E38AF">
      <w:pPr>
        <w:pStyle w:val="Nivel3SM"/>
      </w:pPr>
      <w:r>
        <w:t xml:space="preserve">El G-20 y el FSB tienen objetivos muy similares entre los que se encuentra el aumento de la solvencia financiera de las entidades de crédito, lo cual dio lugar al establecimiento de las ratios de capital de Basilea </w:t>
      </w:r>
      <w:r w:rsidRPr="001E38AF">
        <w:rPr>
          <w:color w:val="767171" w:themeColor="background2" w:themeShade="80"/>
          <w:sz w:val="19"/>
          <w:szCs w:val="19"/>
        </w:rPr>
        <w:t>[ver tema 3.B.2</w:t>
      </w:r>
      <w:r w:rsidR="00CD1668">
        <w:rPr>
          <w:color w:val="767171" w:themeColor="background2" w:themeShade="80"/>
          <w:sz w:val="19"/>
          <w:szCs w:val="19"/>
        </w:rPr>
        <w:t>7</w:t>
      </w:r>
      <w:r w:rsidRPr="001E38AF">
        <w:rPr>
          <w:color w:val="767171" w:themeColor="background2" w:themeShade="80"/>
          <w:sz w:val="19"/>
          <w:szCs w:val="19"/>
        </w:rPr>
        <w:t>]</w:t>
      </w:r>
      <w:r>
        <w:t>.</w:t>
      </w:r>
    </w:p>
    <w:p w14:paraId="147CA792" w14:textId="68EEF723" w:rsidR="001E38AF" w:rsidRDefault="001E38AF" w:rsidP="001E38AF">
      <w:pPr>
        <w:pStyle w:val="Nivel2SM"/>
        <w:keepNext/>
        <w:spacing w:after="0"/>
      </w:pPr>
      <w:r>
        <w:t>FMI:</w:t>
      </w:r>
    </w:p>
    <w:p w14:paraId="328BF02D" w14:textId="0C52FF9E" w:rsidR="001E38AF" w:rsidRDefault="001E38AF" w:rsidP="001E38AF">
      <w:pPr>
        <w:pStyle w:val="Nivel3SM"/>
      </w:pPr>
      <w:r>
        <w:t>También se ha tratado de reforzar el papel del FMI como supervisor del Sistema Financiero Internacional teniendo en cuenta la interrelación entre las economías de los distintos países.</w:t>
      </w:r>
    </w:p>
    <w:p w14:paraId="6724F902" w14:textId="7359899D" w:rsidR="001E38AF" w:rsidRDefault="001E38AF" w:rsidP="001E38AF">
      <w:pPr>
        <w:pStyle w:val="Nivel3SM"/>
        <w:keepNext/>
      </w:pPr>
      <w:r>
        <w:t>Con esta finalidad lleva a cabo:</w:t>
      </w:r>
    </w:p>
    <w:p w14:paraId="6289D76A" w14:textId="62295C39" w:rsidR="001E38AF" w:rsidRDefault="001E38AF" w:rsidP="001E38AF">
      <w:pPr>
        <w:pStyle w:val="Nivel4"/>
        <w:ind w:left="1474"/>
      </w:pPr>
      <w:r>
        <w:t>El proceso de evaluación mutuo, que consiste en que los países del G-20 comparten con el FMI sus futuros planes de política económica y que el FMI analice el efecto combinado de las distintas políticas y su idoneidad para lograr colectivamente los objetivos del G-20.</w:t>
      </w:r>
    </w:p>
    <w:p w14:paraId="4D015408" w14:textId="25569CC5" w:rsidR="001E38AF" w:rsidRDefault="001E38AF" w:rsidP="001E38AF">
      <w:pPr>
        <w:pStyle w:val="Nivel4"/>
        <w:ind w:left="1474"/>
      </w:pPr>
      <w:proofErr w:type="spellStart"/>
      <w:r>
        <w:t>Spillover</w:t>
      </w:r>
      <w:proofErr w:type="spellEnd"/>
      <w:r>
        <w:t xml:space="preserve"> </w:t>
      </w:r>
      <w:proofErr w:type="spellStart"/>
      <w:r>
        <w:t>Reports</w:t>
      </w:r>
      <w:proofErr w:type="spellEnd"/>
      <w:r>
        <w:t>: Informes periódicos del FMI sobre las externalidades generadas por las políticas económicas de las principales economías mundiales.</w:t>
      </w:r>
    </w:p>
    <w:p w14:paraId="7B52FE69" w14:textId="4589E195" w:rsidR="001E38AF" w:rsidRDefault="001E38AF" w:rsidP="001E38AF">
      <w:pPr>
        <w:pStyle w:val="Nivel2SM"/>
        <w:keepNext/>
        <w:spacing w:after="0"/>
      </w:pPr>
      <w:r>
        <w:t>A escala europea:</w:t>
      </w:r>
    </w:p>
    <w:p w14:paraId="559FF947" w14:textId="34AB2AA8" w:rsidR="001E38AF" w:rsidRPr="001E38AF" w:rsidRDefault="001E38AF" w:rsidP="001E38AF">
      <w:pPr>
        <w:pStyle w:val="Nivel3SM"/>
      </w:pPr>
      <w:r>
        <w:t xml:space="preserve">También se ha reformado la gobernanza económica del euro y se ha optado por reforzar la coordinación de las políticas económicas a través del Semestre Europeo y el Pacto por el </w:t>
      </w:r>
      <w:proofErr w:type="spellStart"/>
      <w:r>
        <w:t>Europlus</w:t>
      </w:r>
      <w:proofErr w:type="spellEnd"/>
      <w:r>
        <w:t>.</w:t>
      </w:r>
    </w:p>
    <w:p w14:paraId="29B0AA5B" w14:textId="7103A00F" w:rsidR="00364C6F" w:rsidRDefault="00364C6F" w:rsidP="00DD4384">
      <w:pPr>
        <w:pStyle w:val="Ttulo3"/>
      </w:pPr>
      <w:bookmarkStart w:id="69" w:name="_Toc173970618"/>
      <w:r>
        <w:lastRenderedPageBreak/>
        <w:t>Obstáculos a la coordinación internacional</w:t>
      </w:r>
      <w:bookmarkEnd w:id="69"/>
    </w:p>
    <w:p w14:paraId="328495B1" w14:textId="104E49A6" w:rsidR="00E906F2" w:rsidRDefault="00E906F2" w:rsidP="00DD4384">
      <w:pPr>
        <w:pStyle w:val="Ttulo6"/>
        <w:spacing w:before="0"/>
      </w:pPr>
      <w:bookmarkStart w:id="70" w:name="_Toc173970619"/>
      <w:r>
        <w:t>Introducción</w:t>
      </w:r>
      <w:bookmarkEnd w:id="70"/>
    </w:p>
    <w:p w14:paraId="0C196D84" w14:textId="77777777" w:rsidR="00726993" w:rsidRDefault="003729C4" w:rsidP="00726993">
      <w:pPr>
        <w:pStyle w:val="Nivel1SM"/>
        <w:keepNext/>
        <w:spacing w:before="0" w:after="0"/>
      </w:pPr>
      <w:r>
        <w:t>Pero si la coordinación es favorable para todos, ¿por qué no se observa más en la práctica?</w:t>
      </w:r>
    </w:p>
    <w:p w14:paraId="266C1C87" w14:textId="4E93831A" w:rsidR="003729C4" w:rsidRPr="003729C4" w:rsidRDefault="003729C4" w:rsidP="00726993">
      <w:pPr>
        <w:pStyle w:val="Nivel2SM"/>
      </w:pPr>
      <w:r>
        <w:t xml:space="preserve">Ello es porque debemos considerar ahora que </w:t>
      </w:r>
      <w:r w:rsidRPr="00726993">
        <w:rPr>
          <w:i/>
          <w:iCs/>
        </w:rPr>
        <w:t>la coordinación lleva asociada en la práctica unos costes u obstáculos tanto económicos como políticos</w:t>
      </w:r>
      <w:r>
        <w:t xml:space="preserve"> que pueden impedir o desincentivar la consecución de acuerdos de coordinación.</w:t>
      </w:r>
    </w:p>
    <w:p w14:paraId="036C9DB3" w14:textId="70480B23" w:rsidR="003729C4" w:rsidRDefault="003729C4" w:rsidP="00DD4384">
      <w:pPr>
        <w:pStyle w:val="Ttulo6"/>
      </w:pPr>
      <w:bookmarkStart w:id="71" w:name="_Toc173970620"/>
      <w:r>
        <w:t>Problemas económicos</w:t>
      </w:r>
      <w:bookmarkEnd w:id="71"/>
    </w:p>
    <w:p w14:paraId="16E021F9" w14:textId="0ABE411D" w:rsidR="003729C4" w:rsidRDefault="003729C4" w:rsidP="003729C4">
      <w:pPr>
        <w:pStyle w:val="Nivel1SM"/>
        <w:keepNext/>
        <w:spacing w:before="0" w:after="0"/>
      </w:pPr>
      <w:r>
        <w:t xml:space="preserve">Podemos señalar los siguientes </w:t>
      </w:r>
      <w:r w:rsidRPr="003729C4">
        <w:rPr>
          <w:b/>
          <w:bCs/>
        </w:rPr>
        <w:t>problemas económicos</w:t>
      </w:r>
      <w:r>
        <w:t>:</w:t>
      </w:r>
    </w:p>
    <w:p w14:paraId="3FD4AC3C" w14:textId="0F6B61BA" w:rsidR="003729C4" w:rsidRDefault="003729C4">
      <w:pPr>
        <w:pStyle w:val="Prrafodelista"/>
        <w:keepNext/>
        <w:numPr>
          <w:ilvl w:val="0"/>
          <w:numId w:val="27"/>
        </w:numPr>
        <w:spacing w:after="0"/>
        <w:ind w:left="568" w:hanging="284"/>
      </w:pPr>
      <w:r>
        <w:rPr>
          <w:i/>
          <w:iCs/>
          <w:u w:val="single"/>
        </w:rPr>
        <w:t>Problema del free-rider</w:t>
      </w:r>
      <w:r>
        <w:t>:</w:t>
      </w:r>
    </w:p>
    <w:p w14:paraId="7A3936D0" w14:textId="7EE0D157" w:rsidR="00A75142" w:rsidRDefault="00A75142" w:rsidP="00A75142">
      <w:pPr>
        <w:pStyle w:val="Nivel3SM"/>
        <w:keepNext/>
      </w:pPr>
      <w:r>
        <w:t>Horizonte temporal en el corto plazo:</w:t>
      </w:r>
    </w:p>
    <w:p w14:paraId="7FF8B2AF" w14:textId="218600AE" w:rsidR="00A75142" w:rsidRDefault="00A75142" w:rsidP="00A75142">
      <w:pPr>
        <w:pStyle w:val="Nivel4"/>
        <w:ind w:left="1474"/>
      </w:pPr>
      <w:r>
        <w:t>El primer obstáculo aparece en la ejecución de los acuerdos y es el problema del free</w:t>
      </w:r>
      <w:r w:rsidR="00726993" w:rsidRPr="00726993">
        <w:rPr>
          <w:sz w:val="2"/>
          <w:szCs w:val="2"/>
        </w:rPr>
        <w:t> </w:t>
      </w:r>
      <w:r w:rsidR="00726993">
        <w:t>-</w:t>
      </w:r>
      <w:r w:rsidR="00726993" w:rsidRPr="00726993">
        <w:rPr>
          <w:sz w:val="2"/>
          <w:szCs w:val="2"/>
        </w:rPr>
        <w:t> </w:t>
      </w:r>
      <w:r>
        <w:t xml:space="preserve">rider tal y como vimos cuando comentamos el gráfico de </w:t>
      </w:r>
      <w:r w:rsidR="00726993">
        <w:rPr>
          <w:smallCaps/>
        </w:rPr>
        <w:t>Corden</w:t>
      </w:r>
      <w:r>
        <w:t>.</w:t>
      </w:r>
    </w:p>
    <w:p w14:paraId="02EBDDC9" w14:textId="4301FFD1" w:rsidR="00A75142" w:rsidRDefault="00A75142" w:rsidP="00A75142">
      <w:pPr>
        <w:pStyle w:val="Nivel4"/>
        <w:ind w:left="1474"/>
      </w:pPr>
      <w:r>
        <w:t>La solución cooperativa no es un equilibrio de Nash, dado que si los participantes piensan que el resto se coordinará, siempre tendrán incentivos a no cooperar si el resto lo hace porque se beneficiaría aún más.</w:t>
      </w:r>
    </w:p>
    <w:p w14:paraId="2DA82563" w14:textId="0AE731BE" w:rsidR="00A75142" w:rsidRDefault="00A75142" w:rsidP="00A75142">
      <w:pPr>
        <w:pStyle w:val="Nivel4"/>
        <w:keepNext/>
        <w:ind w:left="1474"/>
      </w:pPr>
      <w:r>
        <w:t>¿Cómo hacer que la cooperación sea creíble?</w:t>
      </w:r>
    </w:p>
    <w:p w14:paraId="26AF17BE" w14:textId="77777777" w:rsidR="00A75142" w:rsidRDefault="00A75142" w:rsidP="00A75142">
      <w:pPr>
        <w:pStyle w:val="Nivel5"/>
        <w:ind w:left="1871"/>
      </w:pPr>
      <w:r>
        <w:t>Una opción es creando algún tipo de mecanismo de disuasión que penalice el incumplimiento. Una forma de hacerlo puede ser conceder ciertos poderes supranacionales a algún organismo con poder sancionador.</w:t>
      </w:r>
    </w:p>
    <w:p w14:paraId="262E9729" w14:textId="77777777" w:rsidR="00A75142" w:rsidRDefault="00A75142" w:rsidP="00A75142">
      <w:pPr>
        <w:pStyle w:val="Nivel5"/>
        <w:keepNext/>
        <w:ind w:left="1871"/>
      </w:pPr>
      <w:r>
        <w:t>Un buen ejemplo es la OMC y el Organismo de Solución de Diferencias, el cual se encarga de gestionar e imponer una sanción en caso de que un país integrante de la OMC viole parte de los acuerdos sobre el libre comercio. En efecto, si las sanciones son lo suficientemente elevadas:</w:t>
      </w:r>
    </w:p>
    <w:p w14:paraId="6469D024" w14:textId="77777777" w:rsidR="00A75142" w:rsidRDefault="00A75142" w:rsidP="00A75142">
      <w:pPr>
        <w:pStyle w:val="Nivel6"/>
        <w:ind w:left="2212"/>
      </w:pPr>
      <w:r>
        <w:t>Un país no se verá tentado a incumplir los acuerdos alcanzados, por lo que se comportará de forma cooperativa.</w:t>
      </w:r>
    </w:p>
    <w:p w14:paraId="4A62E386" w14:textId="77777777" w:rsidR="00A75142" w:rsidRDefault="00A75142" w:rsidP="00A75142">
      <w:pPr>
        <w:pStyle w:val="Nivel6"/>
        <w:ind w:left="2212"/>
      </w:pPr>
      <w:r>
        <w:t>El resto de países lo saben, de modo que asumirán que el resto de países se comportarán de forma cooperativa, y esto facilita que ellos mismos también lo hagan.</w:t>
      </w:r>
    </w:p>
    <w:p w14:paraId="1E254252" w14:textId="1399D132" w:rsidR="00A75142" w:rsidRDefault="000057E3" w:rsidP="00A75142">
      <w:pPr>
        <w:pStyle w:val="Nivel3SM"/>
        <w:keepNext/>
      </w:pPr>
      <w:r>
        <w:t>Sin embargo, e</w:t>
      </w:r>
      <w:r w:rsidR="00A75142">
        <w:t>n un horizonte amplio:</w:t>
      </w:r>
    </w:p>
    <w:p w14:paraId="166E05F4" w14:textId="600229A1" w:rsidR="00A75142" w:rsidRDefault="00A75142" w:rsidP="00A75142">
      <w:pPr>
        <w:pStyle w:val="Nivel4"/>
        <w:keepNext/>
        <w:ind w:left="1474"/>
      </w:pPr>
      <w:r>
        <w:t xml:space="preserve">Es cierto que en una situación como la representada en el modelo de </w:t>
      </w:r>
      <w:r w:rsidR="000057E3">
        <w:rPr>
          <w:smallCaps/>
        </w:rPr>
        <w:t>Corden</w:t>
      </w:r>
      <w:r>
        <w:t>, será necesario contar con algún tipo de mecanismo de credibilidad a la cooperación para sostener ésta.</w:t>
      </w:r>
    </w:p>
    <w:p w14:paraId="15E72408" w14:textId="77777777" w:rsidR="00A75142" w:rsidRDefault="00A75142" w:rsidP="00A75142">
      <w:pPr>
        <w:pStyle w:val="Nivel5"/>
        <w:ind w:left="1871"/>
      </w:pPr>
      <w:r>
        <w:t>Sin embargo, la mayoría de juegos relativos a la coordinación de políticas económicas no son juegos finitos, sino juegos de duración indeterminada.</w:t>
      </w:r>
    </w:p>
    <w:p w14:paraId="5F5DF7D5" w14:textId="09F0F945" w:rsidR="00A75142" w:rsidRDefault="00A75142" w:rsidP="00A75142">
      <w:pPr>
        <w:pStyle w:val="Nivel5"/>
        <w:ind w:left="1871"/>
      </w:pPr>
      <w:r>
        <w:t xml:space="preserve">En esta situación, la cooperación puede producirse sin necesidad de que existan mecanismos de coordinación explícitos, siempre que los beneficios de </w:t>
      </w:r>
      <w:proofErr w:type="gramStart"/>
      <w:r>
        <w:t>los mismos</w:t>
      </w:r>
      <w:proofErr w:type="gramEnd"/>
      <w:r>
        <w:t xml:space="preserve"> sean mayores que los de no</w:t>
      </w:r>
      <w:r w:rsidR="000057E3">
        <w:t> </w:t>
      </w:r>
      <w:r>
        <w:t>cooperar.</w:t>
      </w:r>
    </w:p>
    <w:p w14:paraId="45715352" w14:textId="45A3D6AB" w:rsidR="00A75142" w:rsidRDefault="00A75142" w:rsidP="00DE7FB5">
      <w:pPr>
        <w:pStyle w:val="Nivel4"/>
        <w:keepNext/>
        <w:ind w:left="1474"/>
      </w:pPr>
      <w:r>
        <w:t>La idea es que si el juego se repite durante un número indefinido o infinito de periodos, los agentes pueden preferir las ganancias a largo plazo de la cooperación a las ganancias a corto plazo del incumplimiento de compromisos. Esto es lo que se conoce como las soluciones tácitas.</w:t>
      </w:r>
    </w:p>
    <w:p w14:paraId="1E43D6EA" w14:textId="77C6B95E" w:rsidR="00A75142" w:rsidRDefault="00000000" w:rsidP="00A75142">
      <w:pPr>
        <w:pStyle w:val="Nivel4"/>
        <w:numPr>
          <w:ilvl w:val="0"/>
          <w:numId w:val="0"/>
        </w:numPr>
        <w:ind w:left="1474"/>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π</m:t>
                      </m:r>
                    </m:e>
                    <m:sub>
                      <m:r>
                        <m:rPr>
                          <m:nor/>
                        </m:rPr>
                        <w:rPr>
                          <w:i/>
                        </w:rPr>
                        <m:t>Acuerdo</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π</m:t>
                          </m:r>
                        </m:e>
                        <m:sub>
                          <m:r>
                            <m:rPr>
                              <m:nor/>
                            </m:rPr>
                            <w:rPr>
                              <w:i/>
                            </w:rPr>
                            <m:t>Acuerdo</m:t>
                          </m:r>
                        </m:sub>
                      </m:sSub>
                    </m:num>
                    <m:den>
                      <m:r>
                        <m:rPr>
                          <m:nor/>
                        </m:rPr>
                        <w:rPr>
                          <w:i/>
                        </w:rPr>
                        <m:t>r</m:t>
                      </m:r>
                    </m:den>
                  </m:f>
                </m:e>
              </m:groupChr>
            </m:e>
            <m:lim>
              <m:sSub>
                <m:sSubPr>
                  <m:ctrlPr>
                    <w:rPr>
                      <w:rFonts w:ascii="Cambria Math" w:hAnsi="Cambria Math"/>
                      <w:i/>
                    </w:rPr>
                  </m:ctrlPr>
                </m:sSubPr>
                <m:e>
                  <m:r>
                    <m:rPr>
                      <m:nor/>
                    </m:rPr>
                    <w:rPr>
                      <w:i/>
                      <w:iCs/>
                    </w:rPr>
                    <m:t>Π</m:t>
                  </m:r>
                </m:e>
                <m:sub>
                  <m:r>
                    <m:rPr>
                      <m:nor/>
                    </m:rPr>
                    <w:rPr>
                      <w:i/>
                    </w:rPr>
                    <m:t>Cooperación</m:t>
                  </m:r>
                </m:sub>
              </m:sSub>
            </m:lim>
          </m:limLow>
          <m:r>
            <w:rPr>
              <w:rFonts w:ascii="Cambria Math" w:hAnsi="Cambria Math"/>
            </w:rPr>
            <m:t>&gt;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π</m:t>
                      </m:r>
                    </m:e>
                    <m:sub>
                      <m:r>
                        <m:rPr>
                          <m:nor/>
                        </m:rPr>
                        <w:rPr>
                          <w:i/>
                        </w:rPr>
                        <m:t>Desvío</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π</m:t>
                          </m:r>
                        </m:e>
                        <m:sub>
                          <m:r>
                            <m:rPr>
                              <m:nor/>
                            </m:rPr>
                            <w:rPr>
                              <w:i/>
                            </w:rPr>
                            <m:t>Castigo</m:t>
                          </m:r>
                        </m:sub>
                      </m:sSub>
                    </m:num>
                    <m:den>
                      <m:r>
                        <m:rPr>
                          <m:nor/>
                        </m:rPr>
                        <w:rPr>
                          <w:i/>
                        </w:rPr>
                        <m:t>r</m:t>
                      </m:r>
                    </m:den>
                  </m:f>
                </m:e>
              </m:groupChr>
            </m:e>
            <m:lim>
              <m:sSub>
                <m:sSubPr>
                  <m:ctrlPr>
                    <w:rPr>
                      <w:rFonts w:ascii="Cambria Math" w:hAnsi="Cambria Math"/>
                      <w:i/>
                    </w:rPr>
                  </m:ctrlPr>
                </m:sSubPr>
                <m:e>
                  <m:r>
                    <m:rPr>
                      <m:nor/>
                    </m:rPr>
                    <w:rPr>
                      <w:i/>
                      <w:iCs/>
                    </w:rPr>
                    <m:t>Π</m:t>
                  </m:r>
                </m:e>
                <m:sub>
                  <m:r>
                    <m:rPr>
                      <m:nor/>
                    </m:rPr>
                    <w:rPr>
                      <w:i/>
                    </w:rPr>
                    <m:t>Incumplimiento</m:t>
                  </m:r>
                </m:sub>
              </m:sSub>
            </m:lim>
          </m:limLow>
          <m:r>
            <m:rPr>
              <m:sty m:val="p"/>
            </m:rPr>
            <w:br/>
          </m:r>
        </m:oMath>
      </m:oMathPara>
      <w:r w:rsidR="00A75142">
        <w:t xml:space="preserve">donde </w:t>
      </w:r>
      <m:oMath>
        <m:sSub>
          <m:sSubPr>
            <m:ctrlPr>
              <w:rPr>
                <w:rFonts w:ascii="Cambria Math" w:hAnsi="Cambria Math"/>
                <w:i/>
              </w:rPr>
            </m:ctrlPr>
          </m:sSubPr>
          <m:e>
            <m:r>
              <m:rPr>
                <m:nor/>
              </m:rPr>
              <w:rPr>
                <w:i/>
              </w:rPr>
              <m:t>π</m:t>
            </m:r>
          </m:e>
          <m:sub>
            <m:r>
              <m:rPr>
                <m:nor/>
              </m:rPr>
              <w:rPr>
                <w:i/>
              </w:rPr>
              <m:t>Desvío</m:t>
            </m:r>
          </m:sub>
        </m:sSub>
        <m:r>
          <w:rPr>
            <w:rFonts w:ascii="Cambria Math" w:hAnsi="Cambria Math"/>
          </w:rPr>
          <m:t>&gt;</m:t>
        </m:r>
        <m:sSub>
          <m:sSubPr>
            <m:ctrlPr>
              <w:rPr>
                <w:rFonts w:ascii="Cambria Math" w:hAnsi="Cambria Math"/>
                <w:i/>
              </w:rPr>
            </m:ctrlPr>
          </m:sSubPr>
          <m:e>
            <m:r>
              <m:rPr>
                <m:nor/>
              </m:rPr>
              <w:rPr>
                <w:i/>
              </w:rPr>
              <m:t>π</m:t>
            </m:r>
          </m:e>
          <m:sub>
            <m:r>
              <m:rPr>
                <m:nor/>
              </m:rPr>
              <w:rPr>
                <w:i/>
              </w:rPr>
              <m:t>Acuerdo</m:t>
            </m:r>
          </m:sub>
        </m:sSub>
        <m:r>
          <w:rPr>
            <w:rFonts w:ascii="Cambria Math" w:hAnsi="Cambria Math"/>
          </w:rPr>
          <m:t>&gt;</m:t>
        </m:r>
        <m:sSub>
          <m:sSubPr>
            <m:ctrlPr>
              <w:rPr>
                <w:rFonts w:ascii="Cambria Math" w:hAnsi="Cambria Math"/>
                <w:i/>
              </w:rPr>
            </m:ctrlPr>
          </m:sSubPr>
          <m:e>
            <m:r>
              <m:rPr>
                <m:nor/>
              </m:rPr>
              <w:rPr>
                <w:i/>
              </w:rPr>
              <m:t>π</m:t>
            </m:r>
          </m:e>
          <m:sub>
            <m:r>
              <m:rPr>
                <m:nor/>
              </m:rPr>
              <w:rPr>
                <w:i/>
              </w:rPr>
              <m:t>Castigo</m:t>
            </m:r>
          </m:sub>
        </m:sSub>
      </m:oMath>
      <w:r w:rsidR="00A75142">
        <w:t>.</w:t>
      </w:r>
    </w:p>
    <w:p w14:paraId="7B213DCB" w14:textId="0F2FE36E" w:rsidR="003729C4" w:rsidRDefault="003729C4">
      <w:pPr>
        <w:pStyle w:val="Prrafodelista"/>
        <w:keepNext/>
        <w:numPr>
          <w:ilvl w:val="0"/>
          <w:numId w:val="27"/>
        </w:numPr>
        <w:spacing w:after="0"/>
        <w:ind w:left="568" w:hanging="284"/>
      </w:pPr>
      <w:r>
        <w:rPr>
          <w:i/>
          <w:iCs/>
          <w:u w:val="single"/>
        </w:rPr>
        <w:t>Empeoramiento del problema de inconsistencia temporal</w:t>
      </w:r>
      <w:r>
        <w:t>:</w:t>
      </w:r>
    </w:p>
    <w:p w14:paraId="3B34AEC1" w14:textId="1A6E17F6" w:rsidR="00A75142" w:rsidRDefault="00A75142" w:rsidP="00A75142">
      <w:pPr>
        <w:pStyle w:val="Nivel3SM"/>
      </w:pPr>
      <w:r>
        <w:rPr>
          <w:smallCaps/>
        </w:rPr>
        <w:t>Rogoff</w:t>
      </w:r>
      <w:r>
        <w:t xml:space="preserve"> (1982) alude a un segundo obstáculo, y es que si la coordinación implica una mayor expansión monetaria, esta expansión no generará depreciaciones pero ello hará </w:t>
      </w:r>
      <w:r>
        <w:lastRenderedPageBreak/>
        <w:t>aumentar las expectativas de inflación y resultará en un equilibrio a largo plazo con un mayor nivel de inflación para un determinado output.</w:t>
      </w:r>
    </w:p>
    <w:p w14:paraId="2E4CAA00" w14:textId="0B558185" w:rsidR="003729C4" w:rsidRDefault="003729C4">
      <w:pPr>
        <w:pStyle w:val="Prrafodelista"/>
        <w:keepNext/>
        <w:numPr>
          <w:ilvl w:val="0"/>
          <w:numId w:val="27"/>
        </w:numPr>
        <w:spacing w:after="0"/>
        <w:ind w:left="568" w:hanging="284"/>
      </w:pPr>
      <w:r>
        <w:rPr>
          <w:i/>
          <w:iCs/>
          <w:u w:val="single"/>
        </w:rPr>
        <w:t>Incertidumbre</w:t>
      </w:r>
      <w:r w:rsidRPr="003729C4">
        <w:t>:</w:t>
      </w:r>
    </w:p>
    <w:p w14:paraId="70D8689D" w14:textId="77777777" w:rsidR="00A75142" w:rsidRDefault="00A75142" w:rsidP="00A75142">
      <w:pPr>
        <w:pStyle w:val="Nivel3SM"/>
        <w:keepNext/>
      </w:pPr>
      <w:r>
        <w:t>Otro obstáculo es la incertidumbre sobre:</w:t>
      </w:r>
    </w:p>
    <w:p w14:paraId="39323E01" w14:textId="34155EB5" w:rsidR="00A75142" w:rsidRDefault="00A75142" w:rsidP="00A75142">
      <w:pPr>
        <w:pStyle w:val="Nivel4"/>
        <w:ind w:left="1474"/>
      </w:pPr>
      <w:r>
        <w:t>La situación inicial de las variables objetivo.</w:t>
      </w:r>
    </w:p>
    <w:p w14:paraId="578186A7" w14:textId="39AE1C9D" w:rsidR="00A75142" w:rsidRDefault="00A75142" w:rsidP="00A75142">
      <w:pPr>
        <w:pStyle w:val="Nivel4"/>
        <w:ind w:left="1474"/>
      </w:pPr>
      <w:r>
        <w:t>Sobre el óptimo deseable alcanzar.</w:t>
      </w:r>
    </w:p>
    <w:p w14:paraId="1F1789CA" w14:textId="5A3F257F" w:rsidR="00A75142" w:rsidRDefault="00A75142" w:rsidP="00A75142">
      <w:pPr>
        <w:pStyle w:val="Nivel4"/>
        <w:ind w:left="1474"/>
      </w:pPr>
      <w:r>
        <w:t>Sobre los efectos que variaciones en los instrumentos de política económica pueden tener sobre estas variables.</w:t>
      </w:r>
    </w:p>
    <w:p w14:paraId="5D335BD5" w14:textId="5015DB46" w:rsidR="00A75142" w:rsidRDefault="00A75142" w:rsidP="00A75142">
      <w:pPr>
        <w:pStyle w:val="Nivel3SM"/>
      </w:pPr>
      <w:r>
        <w:t>De forma que cada una de estas facetas de la incertidumbre dificulta a los responsables de la política económica la definición de las políticas que espera de sus socios y las concesiones de política económica que estarían dispuestos a llevar a cabo a cambio.</w:t>
      </w:r>
    </w:p>
    <w:p w14:paraId="55E61734" w14:textId="1D250D88" w:rsidR="003729C4" w:rsidRDefault="003729C4">
      <w:pPr>
        <w:pStyle w:val="Prrafodelista"/>
        <w:keepNext/>
        <w:numPr>
          <w:ilvl w:val="0"/>
          <w:numId w:val="27"/>
        </w:numPr>
        <w:spacing w:after="0"/>
        <w:ind w:left="568" w:hanging="284"/>
      </w:pPr>
      <w:r>
        <w:rPr>
          <w:i/>
          <w:iCs/>
          <w:u w:val="single"/>
        </w:rPr>
        <w:t>Ponderación de variables objetivo</w:t>
      </w:r>
      <w:r w:rsidRPr="003729C4">
        <w:t>:</w:t>
      </w:r>
    </w:p>
    <w:p w14:paraId="5832E1E7" w14:textId="3CCE0D54" w:rsidR="00A75142" w:rsidRDefault="00A75142" w:rsidP="00A75142">
      <w:pPr>
        <w:pStyle w:val="Nivel3SM"/>
        <w:keepNext/>
      </w:pPr>
      <w:r>
        <w:t>Hemos visto también anteriormente con el escenario de la disciplina fiscal que los gobiernos pueden tener percepciones distintas sobre la naturaleza de los efectos desbordamiento.</w:t>
      </w:r>
    </w:p>
    <w:p w14:paraId="395AC308" w14:textId="0A997945" w:rsidR="00A75142" w:rsidRDefault="00A75142" w:rsidP="00A75142">
      <w:pPr>
        <w:pStyle w:val="Nivel4"/>
        <w:ind w:left="1475"/>
      </w:pPr>
      <w:r>
        <w:t>En este sentido pueden existir divergencias en torno a la ponderación de las variables objetivos.</w:t>
      </w:r>
    </w:p>
    <w:p w14:paraId="69F8E9D0" w14:textId="65B6B772" w:rsidR="00A75142" w:rsidRDefault="00A75142" w:rsidP="00A75142">
      <w:pPr>
        <w:pStyle w:val="Nivel3SM"/>
      </w:pPr>
      <w:r>
        <w:t>Por ejemplo, un gobierno con una visión más keynesiana presentará una gran preferencia por la reducción del desempleo, mientras que otro con una visión más clásica querrá poner énfasis en la inflación.</w:t>
      </w:r>
    </w:p>
    <w:p w14:paraId="3AAD9F57" w14:textId="5CAEECB7" w:rsidR="003729C4" w:rsidRDefault="003729C4">
      <w:pPr>
        <w:pStyle w:val="Prrafodelista"/>
        <w:keepNext/>
        <w:numPr>
          <w:ilvl w:val="0"/>
          <w:numId w:val="27"/>
        </w:numPr>
        <w:spacing w:after="0"/>
        <w:ind w:left="568" w:hanging="284"/>
      </w:pPr>
      <w:r>
        <w:rPr>
          <w:i/>
          <w:iCs/>
          <w:u w:val="single"/>
        </w:rPr>
        <w:t>Asimetría de costes y beneficios</w:t>
      </w:r>
      <w:r w:rsidRPr="003729C4">
        <w:t>:</w:t>
      </w:r>
    </w:p>
    <w:p w14:paraId="3DBC1547" w14:textId="5D0D9F09" w:rsidR="00A75142" w:rsidRPr="003729C4" w:rsidRDefault="00A75142" w:rsidP="00A75142">
      <w:pPr>
        <w:pStyle w:val="Nivel3SM"/>
      </w:pPr>
      <w:r>
        <w:t>Pueden también surgir problemas si la distribución en los costes y beneficios de la coordinación es asimétrica, lo que podría hacer necesario el establecimiento de mecanismos de compensación.</w:t>
      </w:r>
    </w:p>
    <w:p w14:paraId="33204055" w14:textId="1DED2A9F" w:rsidR="00E906F2" w:rsidRDefault="003729C4" w:rsidP="00DD4384">
      <w:pPr>
        <w:pStyle w:val="Ttulo6"/>
      </w:pPr>
      <w:bookmarkStart w:id="72" w:name="_Toc173970621"/>
      <w:r>
        <w:t>Problema</w:t>
      </w:r>
      <w:r w:rsidR="00E906F2">
        <w:t>s</w:t>
      </w:r>
      <w:r>
        <w:t xml:space="preserve"> políticos</w:t>
      </w:r>
      <w:bookmarkEnd w:id="72"/>
    </w:p>
    <w:p w14:paraId="5C22ED52" w14:textId="77777777" w:rsidR="00E328ED" w:rsidRDefault="003729C4" w:rsidP="00E328ED">
      <w:pPr>
        <w:pStyle w:val="Nivel1SM"/>
        <w:keepNext/>
        <w:spacing w:before="0" w:after="0"/>
      </w:pPr>
      <w:r w:rsidRPr="00A75142">
        <w:rPr>
          <w:b/>
          <w:bCs/>
        </w:rPr>
        <w:t>En términos políticos</w:t>
      </w:r>
      <w:r>
        <w:t>,</w:t>
      </w:r>
    </w:p>
    <w:p w14:paraId="2E88D41A" w14:textId="35CB87BB" w:rsidR="003729C4" w:rsidRDefault="00E328ED" w:rsidP="00E328ED">
      <w:pPr>
        <w:pStyle w:val="Nivel2SM"/>
      </w:pPr>
      <w:r>
        <w:t>E</w:t>
      </w:r>
      <w:r w:rsidR="00A75142">
        <w:t>l</w:t>
      </w:r>
      <w:r w:rsidR="003729C4">
        <w:t xml:space="preserve"> principal obstáculo radica en la </w:t>
      </w:r>
      <w:r w:rsidR="003729C4" w:rsidRPr="00E27A40">
        <w:rPr>
          <w:i/>
          <w:iCs/>
          <w:u w:val="single"/>
        </w:rPr>
        <w:t>retic</w:t>
      </w:r>
      <w:r w:rsidR="00A75142" w:rsidRPr="00E27A40">
        <w:rPr>
          <w:i/>
          <w:iCs/>
          <w:u w:val="single"/>
        </w:rPr>
        <w:t>e</w:t>
      </w:r>
      <w:r w:rsidR="003729C4" w:rsidRPr="00E27A40">
        <w:rPr>
          <w:i/>
          <w:iCs/>
          <w:u w:val="single"/>
        </w:rPr>
        <w:t xml:space="preserve">ncia de algunos países a ceder o perder su soberanía sobre </w:t>
      </w:r>
      <w:r w:rsidR="00A75142" w:rsidRPr="00E27A40">
        <w:rPr>
          <w:i/>
          <w:iCs/>
          <w:u w:val="single"/>
        </w:rPr>
        <w:t>los instrumentos de política económica</w:t>
      </w:r>
      <w:r w:rsidR="00A75142">
        <w:t>, aunque en realidad la pérdida de autonomía ya hemos visto que existe por el mero hecho de haber interdependencia económica.</w:t>
      </w:r>
    </w:p>
    <w:p w14:paraId="42493DA9" w14:textId="7922320A" w:rsidR="00A75142" w:rsidRPr="00E328ED" w:rsidRDefault="00A75142" w:rsidP="00E328ED">
      <w:pPr>
        <w:pStyle w:val="Nivel2SM"/>
        <w:rPr>
          <w:spacing w:val="-1"/>
        </w:rPr>
      </w:pPr>
      <w:r w:rsidRPr="00E328ED">
        <w:rPr>
          <w:spacing w:val="-1"/>
        </w:rPr>
        <w:t xml:space="preserve">Por otro lado, hemos partido de la existencia de agentes racionales y unificados pero </w:t>
      </w:r>
      <w:r w:rsidRPr="00E27A40">
        <w:rPr>
          <w:i/>
          <w:iCs/>
          <w:spacing w:val="-1"/>
          <w:u w:val="single"/>
        </w:rPr>
        <w:t>las mismas divergencias que pueden existir entre países pueden existir internamente</w:t>
      </w:r>
      <w:r w:rsidR="00E27A40" w:rsidRPr="00E27A40">
        <w:rPr>
          <w:i/>
          <w:iCs/>
          <w:spacing w:val="-1"/>
        </w:rPr>
        <w:t xml:space="preserve"> (</w:t>
      </w:r>
      <w:r w:rsidR="00E27A40">
        <w:rPr>
          <w:i/>
          <w:iCs/>
          <w:spacing w:val="-1"/>
        </w:rPr>
        <w:t>i.e. no todos los individuos de un país comparten las mismas ideas</w:t>
      </w:r>
      <w:r w:rsidR="00E27A40" w:rsidRPr="00E27A40">
        <w:rPr>
          <w:i/>
          <w:iCs/>
          <w:spacing w:val="-1"/>
        </w:rPr>
        <w:t>)</w:t>
      </w:r>
      <w:r w:rsidRPr="00E328ED">
        <w:rPr>
          <w:spacing w:val="-1"/>
        </w:rPr>
        <w:t>.</w:t>
      </w:r>
    </w:p>
    <w:p w14:paraId="44419F63" w14:textId="2BE9F760" w:rsidR="002D76DA" w:rsidRDefault="002D76DA" w:rsidP="00DD4384">
      <w:pPr>
        <w:pStyle w:val="Ttulo3"/>
      </w:pPr>
      <w:bookmarkStart w:id="73" w:name="_Toc173970622"/>
      <w:r>
        <w:t>Formas de la coordinación y aspectos relacionados con la misma</w:t>
      </w:r>
      <w:bookmarkEnd w:id="73"/>
    </w:p>
    <w:p w14:paraId="49C3F88A" w14:textId="5C93A2A8" w:rsidR="002D76DA" w:rsidRDefault="002D76DA" w:rsidP="00DD4384">
      <w:pPr>
        <w:pStyle w:val="Ttulo6"/>
        <w:spacing w:before="0"/>
      </w:pPr>
      <w:bookmarkStart w:id="74" w:name="_Toc173970623"/>
      <w:r>
        <w:t>Formas de coordinación</w:t>
      </w:r>
      <w:bookmarkEnd w:id="74"/>
    </w:p>
    <w:p w14:paraId="248C7401" w14:textId="02CE34C4" w:rsidR="002D76DA" w:rsidRDefault="002D76DA" w:rsidP="00EC62F8">
      <w:pPr>
        <w:pStyle w:val="Nivel1SM"/>
        <w:keepNext/>
        <w:spacing w:before="0" w:after="0"/>
      </w:pPr>
      <w:r w:rsidRPr="002D76DA">
        <w:rPr>
          <w:i/>
          <w:iCs/>
          <w:u w:val="single"/>
        </w:rPr>
        <w:t>Introducción</w:t>
      </w:r>
      <w:r>
        <w:t>:</w:t>
      </w:r>
    </w:p>
    <w:p w14:paraId="432B6CDE" w14:textId="0BFA4200" w:rsidR="002D76DA" w:rsidRDefault="002D76DA" w:rsidP="002D76DA">
      <w:pPr>
        <w:pStyle w:val="Nivel2SM"/>
      </w:pPr>
      <w:r>
        <w:t xml:space="preserve">Si a pesar de estos obstáculos los países deciden seguir adelante con la coordinación, deberá decidirse qué forma debe adoptar dicha coordinación. </w:t>
      </w:r>
    </w:p>
    <w:p w14:paraId="3419B438" w14:textId="594D3A9B" w:rsidR="002D76DA" w:rsidRDefault="002D76DA" w:rsidP="002D76DA">
      <w:pPr>
        <w:pStyle w:val="Nivel1SM"/>
        <w:keepNext/>
        <w:spacing w:after="0"/>
      </w:pPr>
      <w:r w:rsidRPr="002D76DA">
        <w:rPr>
          <w:i/>
          <w:iCs/>
          <w:u w:val="single"/>
        </w:rPr>
        <w:t>Reglas vs. Acuerdos</w:t>
      </w:r>
      <w:r>
        <w:t>:</w:t>
      </w:r>
    </w:p>
    <w:p w14:paraId="5923A0FC" w14:textId="3B6E3EC7" w:rsidR="002D76DA" w:rsidRDefault="002D76DA" w:rsidP="002D76DA">
      <w:pPr>
        <w:pStyle w:val="Nivel2SM"/>
        <w:keepNext/>
        <w:spacing w:after="0"/>
      </w:pPr>
      <w:r>
        <w:t>En la práctica nos encontramos con 2 tipos fundamentales:</w:t>
      </w:r>
    </w:p>
    <w:p w14:paraId="46E3B8D1" w14:textId="40D13623" w:rsidR="002D76DA" w:rsidRDefault="002D76DA" w:rsidP="002D76DA">
      <w:pPr>
        <w:pStyle w:val="Nivel3SM"/>
        <w:keepNext/>
      </w:pPr>
      <w:r w:rsidRPr="00156883">
        <w:rPr>
          <w:i/>
          <w:iCs/>
        </w:rPr>
        <w:t>Reglas</w:t>
      </w:r>
      <w:r>
        <w:t>:</w:t>
      </w:r>
    </w:p>
    <w:p w14:paraId="2935F887" w14:textId="3D0845A4" w:rsidR="002D76DA" w:rsidRDefault="002D76DA" w:rsidP="002D76DA">
      <w:pPr>
        <w:pStyle w:val="Nivel4"/>
        <w:ind w:left="1474"/>
      </w:pPr>
      <w:r>
        <w:t xml:space="preserve">La coordinación basada en reglas que toma la forma de regímenes como el </w:t>
      </w:r>
      <w:r w:rsidR="00F124E2">
        <w:t>p</w:t>
      </w:r>
      <w:r>
        <w:t>atrón</w:t>
      </w:r>
      <w:r w:rsidR="00F124E2">
        <w:t> </w:t>
      </w:r>
      <w:r>
        <w:t>oro, B</w:t>
      </w:r>
      <w:r w:rsidR="00F124E2">
        <w:t xml:space="preserve">retton </w:t>
      </w:r>
      <w:r>
        <w:t>W</w:t>
      </w:r>
      <w:r w:rsidR="00F124E2">
        <w:t>oods</w:t>
      </w:r>
      <w:r>
        <w:t xml:space="preserve"> o el S</w:t>
      </w:r>
      <w:r w:rsidR="00F124E2">
        <w:t xml:space="preserve">istema </w:t>
      </w:r>
      <w:r>
        <w:t>M</w:t>
      </w:r>
      <w:r w:rsidR="00F124E2">
        <w:t xml:space="preserve">onetario </w:t>
      </w:r>
      <w:r>
        <w:t>E</w:t>
      </w:r>
      <w:r w:rsidR="00F124E2">
        <w:t>uropeo</w:t>
      </w:r>
      <w:r>
        <w:t xml:space="preserve">, donde la coordinación de las </w:t>
      </w:r>
      <w:r w:rsidR="00F124E2">
        <w:t>políticas económicas</w:t>
      </w:r>
      <w:r>
        <w:t xml:space="preserve"> viene impuesta implícitamente por reglas a seguir en términos de política cambiaria.</w:t>
      </w:r>
    </w:p>
    <w:p w14:paraId="168C1B47" w14:textId="38784991" w:rsidR="002D76DA" w:rsidRDefault="002D76DA" w:rsidP="002D76DA">
      <w:pPr>
        <w:pStyle w:val="Nivel3SM"/>
        <w:keepNext/>
      </w:pPr>
      <w:r w:rsidRPr="00156883">
        <w:rPr>
          <w:i/>
          <w:iCs/>
        </w:rPr>
        <w:lastRenderedPageBreak/>
        <w:t>Acuerdos</w:t>
      </w:r>
      <w:r w:rsidR="00156883">
        <w:t>:</w:t>
      </w:r>
    </w:p>
    <w:p w14:paraId="17FF2A2B" w14:textId="43475893" w:rsidR="002D76DA" w:rsidRPr="00822A1C" w:rsidRDefault="002D76DA" w:rsidP="002D76DA">
      <w:pPr>
        <w:pStyle w:val="Nivel4"/>
        <w:keepNext/>
        <w:ind w:left="1474"/>
        <w:rPr>
          <w:spacing w:val="-2"/>
        </w:rPr>
      </w:pPr>
      <w:r w:rsidRPr="00822A1C">
        <w:rPr>
          <w:spacing w:val="-2"/>
        </w:rPr>
        <w:t>La cooperación puede adoptar la forma de acuerdos puntuales como los mencionados:</w:t>
      </w:r>
    </w:p>
    <w:p w14:paraId="33017004" w14:textId="38DA1DFA" w:rsidR="002D76DA" w:rsidRDefault="002D76DA" w:rsidP="00BD73C7">
      <w:pPr>
        <w:pStyle w:val="Nivel5"/>
        <w:keepNext/>
        <w:ind w:left="1871"/>
      </w:pPr>
      <w:r>
        <w:t>Acuerdos del Plaza.</w:t>
      </w:r>
    </w:p>
    <w:p w14:paraId="59330C5D" w14:textId="64D7F49B" w:rsidR="002D76DA" w:rsidRDefault="002D76DA" w:rsidP="002D76DA">
      <w:pPr>
        <w:pStyle w:val="Nivel5"/>
        <w:ind w:left="1871"/>
      </w:pPr>
      <w:r>
        <w:t>Acuerdos del Louvre.</w:t>
      </w:r>
    </w:p>
    <w:p w14:paraId="1BD40F38" w14:textId="083B68A6" w:rsidR="002D76DA" w:rsidRDefault="002D76DA" w:rsidP="002D76DA">
      <w:pPr>
        <w:pStyle w:val="Nivel2SM"/>
        <w:keepNext/>
        <w:spacing w:after="0"/>
      </w:pPr>
      <w:r>
        <w:t>Para la elección existe un trade-off:</w:t>
      </w:r>
    </w:p>
    <w:p w14:paraId="3158A605" w14:textId="5EAABD66" w:rsidR="002D76DA" w:rsidRDefault="002D76DA" w:rsidP="002D76DA">
      <w:pPr>
        <w:pStyle w:val="Nivel3SM"/>
      </w:pPr>
      <w:r>
        <w:t>Un sistema hegemónico hace que sea más fácil llegar a acuerdos ya que el líder tiene mayor poder para imponer sus preferencias.</w:t>
      </w:r>
    </w:p>
    <w:p w14:paraId="7D5CBC10" w14:textId="11AFDEFD" w:rsidR="002D76DA" w:rsidRDefault="002D76DA" w:rsidP="002D76DA">
      <w:pPr>
        <w:pStyle w:val="Nivel3SM"/>
      </w:pPr>
      <w:r>
        <w:t>Precisamente porque el líder tiene mayor poder para imponer sus preferencias, se corre el riesgo de que el resultado alcanzado no sea socialmente óptimo, si el líder antepone sus propios intereses a los globales.</w:t>
      </w:r>
    </w:p>
    <w:p w14:paraId="62C98529" w14:textId="395655E8" w:rsidR="002D76DA" w:rsidRDefault="002D76DA" w:rsidP="00DD4384">
      <w:pPr>
        <w:pStyle w:val="Ttulo6"/>
      </w:pPr>
      <w:bookmarkStart w:id="75" w:name="_Toc173970624"/>
      <w:r>
        <w:t>Otros aspectos relacionados con la coordinación</w:t>
      </w:r>
      <w:bookmarkEnd w:id="75"/>
    </w:p>
    <w:p w14:paraId="50FB34E0" w14:textId="0D8E6648" w:rsidR="002D76DA" w:rsidRDefault="002D76DA" w:rsidP="00630988">
      <w:pPr>
        <w:pStyle w:val="Nivel1SM"/>
        <w:keepNext/>
        <w:spacing w:before="0" w:after="0"/>
      </w:pPr>
      <w:r w:rsidRPr="002D76DA">
        <w:rPr>
          <w:i/>
          <w:iCs/>
          <w:u w:val="single"/>
        </w:rPr>
        <w:t>Introducción</w:t>
      </w:r>
      <w:r>
        <w:t>:</w:t>
      </w:r>
    </w:p>
    <w:p w14:paraId="44CE1C5B" w14:textId="77777777" w:rsidR="00006CA3" w:rsidRDefault="002D76DA" w:rsidP="00006CA3">
      <w:pPr>
        <w:pStyle w:val="Nivel2SM"/>
        <w:keepNext/>
        <w:spacing w:after="0"/>
      </w:pPr>
      <w:r>
        <w:t>En la coordinación entrarán aspectos clave como</w:t>
      </w:r>
      <w:r w:rsidR="00006CA3">
        <w:t>:</w:t>
      </w:r>
    </w:p>
    <w:p w14:paraId="2249A5C1" w14:textId="762058B9" w:rsidR="00006CA3" w:rsidRDefault="00006CA3">
      <w:pPr>
        <w:pStyle w:val="Prrafodelista"/>
        <w:numPr>
          <w:ilvl w:val="0"/>
          <w:numId w:val="28"/>
        </w:numPr>
        <w:spacing w:after="0"/>
        <w:ind w:left="1134" w:hanging="113"/>
      </w:pPr>
      <w:r>
        <w:t>L</w:t>
      </w:r>
      <w:r w:rsidR="002D76DA">
        <w:t xml:space="preserve">a </w:t>
      </w:r>
      <w:r w:rsidR="002D76DA" w:rsidRPr="001C25AA">
        <w:t>amplitud de los temas a coordinar</w:t>
      </w:r>
      <w:r>
        <w:t>;</w:t>
      </w:r>
    </w:p>
    <w:p w14:paraId="2A1C00BE" w14:textId="77777777" w:rsidR="00006CA3" w:rsidRDefault="00006CA3">
      <w:pPr>
        <w:pStyle w:val="Prrafodelista"/>
        <w:numPr>
          <w:ilvl w:val="0"/>
          <w:numId w:val="28"/>
        </w:numPr>
        <w:spacing w:after="0"/>
        <w:ind w:left="1134" w:hanging="113"/>
      </w:pPr>
      <w:r>
        <w:t>L</w:t>
      </w:r>
      <w:r w:rsidR="002D76DA">
        <w:t xml:space="preserve">a </w:t>
      </w:r>
      <w:r w:rsidR="002D76DA" w:rsidRPr="001C25AA">
        <w:t xml:space="preserve">profundidad de </w:t>
      </w:r>
      <w:proofErr w:type="gramStart"/>
      <w:r w:rsidR="002D76DA" w:rsidRPr="001C25AA">
        <w:t>l</w:t>
      </w:r>
      <w:r w:rsidR="00EC62F8" w:rsidRPr="001C25AA">
        <w:t>o</w:t>
      </w:r>
      <w:r w:rsidR="002D76DA" w:rsidRPr="001C25AA">
        <w:t>s mismos</w:t>
      </w:r>
      <w:proofErr w:type="gramEnd"/>
      <w:r>
        <w:t>;</w:t>
      </w:r>
      <w:r w:rsidR="002D76DA">
        <w:t xml:space="preserve"> o</w:t>
      </w:r>
    </w:p>
    <w:p w14:paraId="3307ABFC" w14:textId="5256B3A3" w:rsidR="00006CA3" w:rsidRDefault="00006CA3">
      <w:pPr>
        <w:pStyle w:val="Prrafodelista"/>
        <w:numPr>
          <w:ilvl w:val="0"/>
          <w:numId w:val="28"/>
        </w:numPr>
        <w:spacing w:after="0"/>
        <w:ind w:left="1134" w:hanging="113"/>
      </w:pPr>
      <w:r>
        <w:t>E</w:t>
      </w:r>
      <w:r w:rsidR="002D76DA">
        <w:t xml:space="preserve">l </w:t>
      </w:r>
      <w:r w:rsidR="002D76DA" w:rsidRPr="001C25AA">
        <w:t>número de países a incluir en la negociación</w:t>
      </w:r>
      <w:r w:rsidR="002D76DA">
        <w:t>.</w:t>
      </w:r>
    </w:p>
    <w:p w14:paraId="6F37F279" w14:textId="482E4B33" w:rsidR="002D76DA" w:rsidRDefault="002D76DA" w:rsidP="002D76DA">
      <w:pPr>
        <w:pStyle w:val="Nivel2SM"/>
      </w:pPr>
      <w:r>
        <w:t>Cada uno de ellos tiene sus ventajas e inconvenientes.</w:t>
      </w:r>
    </w:p>
    <w:p w14:paraId="414D8681" w14:textId="4B8BDD95" w:rsidR="002D76DA" w:rsidRDefault="002D76DA">
      <w:pPr>
        <w:pStyle w:val="Prrafodelista"/>
        <w:keepNext/>
        <w:numPr>
          <w:ilvl w:val="0"/>
          <w:numId w:val="29"/>
        </w:numPr>
        <w:spacing w:after="0"/>
        <w:ind w:left="0" w:hanging="113"/>
      </w:pPr>
      <w:r w:rsidRPr="00630988">
        <w:rPr>
          <w:i/>
          <w:iCs/>
          <w:u w:val="single"/>
        </w:rPr>
        <w:t>Amplitud</w:t>
      </w:r>
      <w:r w:rsidR="00006CA3" w:rsidRPr="00630988">
        <w:rPr>
          <w:i/>
          <w:iCs/>
        </w:rPr>
        <w:t xml:space="preserve"> (número de aspectos tratados en una negociación)</w:t>
      </w:r>
      <w:r>
        <w:t>:</w:t>
      </w:r>
    </w:p>
    <w:p w14:paraId="51F06B0F" w14:textId="77777777" w:rsidR="00F46BE9" w:rsidRDefault="00F46BE9" w:rsidP="00F46BE9">
      <w:pPr>
        <w:pStyle w:val="Nivel2SM"/>
        <w:keepNext/>
        <w:spacing w:after="0"/>
      </w:pPr>
      <w:r>
        <w:t>Argumentos en contra de una mayor amplitud:</w:t>
      </w:r>
    </w:p>
    <w:p w14:paraId="0F480867" w14:textId="77777777" w:rsidR="00F46BE9" w:rsidRDefault="00F46BE9" w:rsidP="00F46BE9">
      <w:pPr>
        <w:pStyle w:val="Nivel3SM"/>
      </w:pPr>
      <w:r>
        <w:t>Aumentan los costes de negociación debido al mayor número de temas.</w:t>
      </w:r>
    </w:p>
    <w:p w14:paraId="4A5D0504" w14:textId="33A7CD1B" w:rsidR="002D76DA" w:rsidRDefault="002D76DA" w:rsidP="002D76DA">
      <w:pPr>
        <w:pStyle w:val="Nivel2SM"/>
        <w:keepNext/>
        <w:spacing w:after="0"/>
      </w:pPr>
      <w:r>
        <w:t>Argumentos a favor de una mayor amplitud:</w:t>
      </w:r>
    </w:p>
    <w:p w14:paraId="6D96366E" w14:textId="7B677652" w:rsidR="002D76DA" w:rsidRDefault="002D76DA" w:rsidP="002D76DA">
      <w:pPr>
        <w:pStyle w:val="Nivel3SM"/>
        <w:keepNext/>
      </w:pPr>
      <w:r>
        <w:t>Si aumenta el número de cuestiones sobre la mesa de negociación, existen más opciones de compensación de unas opciones con otras, de manera que se expanden las posibilidades de mutuo beneficio.</w:t>
      </w:r>
    </w:p>
    <w:p w14:paraId="36B2FAD8" w14:textId="528D32BE" w:rsidR="002D76DA" w:rsidRDefault="002D76DA" w:rsidP="002D76DA">
      <w:pPr>
        <w:pStyle w:val="Nivel4"/>
        <w:ind w:left="1474"/>
      </w:pPr>
      <w:r>
        <w:t>El bienestar de un país depende de múltiples factores, por lo que es lógico incluir múltiples políticas en la negociación.</w:t>
      </w:r>
    </w:p>
    <w:p w14:paraId="4B25136C" w14:textId="710190FC" w:rsidR="002D76DA" w:rsidRDefault="002D76DA" w:rsidP="002D76DA">
      <w:pPr>
        <w:pStyle w:val="Nivel4"/>
        <w:ind w:left="1474"/>
      </w:pPr>
      <w:r>
        <w:t>Aplicación práctica: En la OMC, puede ser algo más fácil llegar a un acuerdo sobre agricultura si se incluyen compensaciones relacionadas con el comercio de productos industriales que si los países sólo negocian en productos agrícolas dado que los intereses en un área podrían compensarse con los intereses en otra área.</w:t>
      </w:r>
    </w:p>
    <w:p w14:paraId="782AD7D1" w14:textId="70B59021" w:rsidR="002D76DA" w:rsidRDefault="002D76DA">
      <w:pPr>
        <w:pStyle w:val="Prrafodelista"/>
        <w:keepNext/>
        <w:numPr>
          <w:ilvl w:val="0"/>
          <w:numId w:val="29"/>
        </w:numPr>
        <w:spacing w:after="0"/>
        <w:ind w:left="0" w:hanging="113"/>
      </w:pPr>
      <w:r w:rsidRPr="00630988">
        <w:rPr>
          <w:i/>
          <w:iCs/>
          <w:u w:val="single"/>
        </w:rPr>
        <w:t>Profundidad</w:t>
      </w:r>
      <w:r w:rsidR="00006CA3" w:rsidRPr="00630988">
        <w:rPr>
          <w:i/>
          <w:iCs/>
        </w:rPr>
        <w:t xml:space="preserve"> (grado de detalle con que se debate cada aspecto en la negociación)</w:t>
      </w:r>
      <w:r>
        <w:t>:</w:t>
      </w:r>
    </w:p>
    <w:p w14:paraId="734C2BCE" w14:textId="20B5D3F8" w:rsidR="002D76DA" w:rsidRDefault="002D76DA" w:rsidP="002D76DA">
      <w:pPr>
        <w:pStyle w:val="Nivel2SM"/>
        <w:keepNext/>
        <w:spacing w:after="0"/>
      </w:pPr>
      <w:r>
        <w:t xml:space="preserve">Argumentos </w:t>
      </w:r>
      <w:r w:rsidR="00F46BE9">
        <w:t xml:space="preserve">en contra y </w:t>
      </w:r>
      <w:r>
        <w:t xml:space="preserve">a favor </w:t>
      </w:r>
      <w:r w:rsidR="00F46BE9">
        <w:t>de una mayor profundidad</w:t>
      </w:r>
      <w:r>
        <w:t>:</w:t>
      </w:r>
    </w:p>
    <w:p w14:paraId="74238F90" w14:textId="4A3480B3" w:rsidR="00630988" w:rsidRDefault="002D76DA" w:rsidP="00630988">
      <w:pPr>
        <w:pStyle w:val="Nivel3SM"/>
      </w:pPr>
      <w:r>
        <w:t>Una mayor profundidad aumenta los costes de la negociación</w:t>
      </w:r>
      <w:r w:rsidR="00630988">
        <w:t>.</w:t>
      </w:r>
    </w:p>
    <w:p w14:paraId="4C3981A2" w14:textId="3618F376" w:rsidR="002D76DA" w:rsidRDefault="00630988" w:rsidP="002D76DA">
      <w:pPr>
        <w:pStyle w:val="Nivel3SM"/>
        <w:keepNext/>
      </w:pPr>
      <w:r>
        <w:t>P</w:t>
      </w:r>
      <w:r w:rsidR="002D76DA">
        <w:t>ero a cambio permite:</w:t>
      </w:r>
    </w:p>
    <w:p w14:paraId="552F112C" w14:textId="3961CED7" w:rsidR="002D76DA" w:rsidRDefault="002D76DA" w:rsidP="002D76DA">
      <w:pPr>
        <w:pStyle w:val="Nivel4"/>
        <w:ind w:left="1474"/>
      </w:pPr>
      <w:r>
        <w:t>Menores costes de seguimiento y menores costes de supervisión de que los países cumplen con sus compromisos.</w:t>
      </w:r>
    </w:p>
    <w:p w14:paraId="09B29F5A" w14:textId="0969C2C6" w:rsidR="002D76DA" w:rsidRDefault="002D76DA" w:rsidP="002D76DA">
      <w:pPr>
        <w:pStyle w:val="Nivel4"/>
        <w:ind w:left="1474"/>
      </w:pPr>
      <w:r>
        <w:t>Menores conflictos entre países una vez se llega a acuerdos ya que las reglas del juego son más claras.</w:t>
      </w:r>
    </w:p>
    <w:p w14:paraId="74AEECC6" w14:textId="51F043E6" w:rsidR="002D76DA" w:rsidRDefault="002D76DA" w:rsidP="002D76DA">
      <w:pPr>
        <w:pStyle w:val="Nivel4"/>
        <w:ind w:left="1474"/>
      </w:pPr>
      <w:r>
        <w:t>Una mayor credibilidad de las políticas acordadas.</w:t>
      </w:r>
    </w:p>
    <w:p w14:paraId="2354C19F" w14:textId="7A956FD5" w:rsidR="002D76DA" w:rsidRDefault="002D76DA" w:rsidP="002D76DA">
      <w:pPr>
        <w:pStyle w:val="Nivel2SM"/>
      </w:pPr>
      <w:r>
        <w:t>Si los acuerdos alcanzan un elevado grado de especificidad, también podrá ser importante dotar a dichos acuerdos de mecanismos que permitan, bajo determinadas circunstancias, cierta flexibilidad (ejemplo PEC).</w:t>
      </w:r>
    </w:p>
    <w:p w14:paraId="0594A6A4" w14:textId="697A0F97" w:rsidR="002D76DA" w:rsidRDefault="002D76DA">
      <w:pPr>
        <w:pStyle w:val="Prrafodelista"/>
        <w:keepNext/>
        <w:numPr>
          <w:ilvl w:val="0"/>
          <w:numId w:val="29"/>
        </w:numPr>
        <w:spacing w:after="0"/>
        <w:ind w:left="0" w:hanging="113"/>
      </w:pPr>
      <w:r w:rsidRPr="00630988">
        <w:rPr>
          <w:i/>
          <w:iCs/>
          <w:u w:val="single"/>
        </w:rPr>
        <w:t>Tamaño del grupo de negociación</w:t>
      </w:r>
      <w:r>
        <w:t>:</w:t>
      </w:r>
    </w:p>
    <w:p w14:paraId="3D4356CA" w14:textId="77777777" w:rsidR="00130A46" w:rsidRDefault="00130A46" w:rsidP="00130A46">
      <w:pPr>
        <w:pStyle w:val="Nivel2SM"/>
        <w:keepNext/>
        <w:spacing w:after="0"/>
      </w:pPr>
      <w:r>
        <w:t>Argumentos a favor de un menor número de países:</w:t>
      </w:r>
    </w:p>
    <w:p w14:paraId="0E285B4D" w14:textId="5B65579A" w:rsidR="00130A46" w:rsidRDefault="00130A46" w:rsidP="00130A46">
      <w:pPr>
        <w:pStyle w:val="Nivel3SM"/>
      </w:pPr>
      <w:r>
        <w:t>Se deben limitar los costes de la coordinación, lo que por el contario sugiere que sería preferible contar con un número más reducido de participantes.</w:t>
      </w:r>
    </w:p>
    <w:p w14:paraId="781AC644" w14:textId="0C615C8E" w:rsidR="002D76DA" w:rsidRDefault="002D76DA" w:rsidP="002D76DA">
      <w:pPr>
        <w:pStyle w:val="Nivel2SM"/>
        <w:keepNext/>
        <w:spacing w:after="0"/>
      </w:pPr>
      <w:r>
        <w:lastRenderedPageBreak/>
        <w:t>Argumentos a favor de un mayor número de países:</w:t>
      </w:r>
    </w:p>
    <w:p w14:paraId="2EFDDB4F" w14:textId="1602DFBE" w:rsidR="002D76DA" w:rsidRDefault="002D76DA" w:rsidP="002D76DA">
      <w:pPr>
        <w:pStyle w:val="Nivel3SM"/>
      </w:pPr>
      <w:r>
        <w:t>Se debe internalizar la mayor proporción posible de las externalidades, lo que sugiere que deberían incluirse todos los países que sufran efectos externos como resultado de la política económica de otro país.</w:t>
      </w:r>
    </w:p>
    <w:p w14:paraId="535DFF6C" w14:textId="0D8B92AA" w:rsidR="00100B7B" w:rsidRDefault="00100B7B" w:rsidP="00100B7B">
      <w:pPr>
        <w:pStyle w:val="Ttulo1"/>
      </w:pPr>
      <w:bookmarkStart w:id="76" w:name="_Toc173970625"/>
      <w:r>
        <w:t>APROXIMACIÓN DESDE LA ECONOMÍA POLÍTICA:</w:t>
      </w:r>
      <w:r>
        <w:br/>
        <w:t>MECANISMOS DE IMPLEMENTACIÓN DE LA COORDINACIÓN</w:t>
      </w:r>
      <w:bookmarkEnd w:id="76"/>
    </w:p>
    <w:p w14:paraId="5AFE3958" w14:textId="77777777" w:rsidR="00100B7B" w:rsidRDefault="00100B7B" w:rsidP="00100B7B">
      <w:pPr>
        <w:pStyle w:val="Ttulo2"/>
      </w:pPr>
      <w:bookmarkStart w:id="77" w:name="_Toc173970626"/>
      <w:r>
        <w:t>Problemática de teoría de juegos</w:t>
      </w:r>
      <w:bookmarkEnd w:id="77"/>
    </w:p>
    <w:p w14:paraId="27B46C5F" w14:textId="77777777" w:rsidR="00100B7B" w:rsidRDefault="00100B7B" w:rsidP="00100B7B">
      <w:pPr>
        <w:pStyle w:val="Ttulo2"/>
      </w:pPr>
      <w:bookmarkStart w:id="78" w:name="_Toc173970627"/>
      <w:r>
        <w:t>Ilustración práctica: principales foros de coordinación: G-20, OCDE y otros</w:t>
      </w:r>
      <w:bookmarkEnd w:id="78"/>
    </w:p>
    <w:p w14:paraId="5C221BE0" w14:textId="77777777" w:rsidR="00100B7B" w:rsidRDefault="00100B7B" w:rsidP="00F657E9">
      <w:pPr>
        <w:pStyle w:val="Ttulo3"/>
        <w:spacing w:before="0"/>
      </w:pPr>
      <w:bookmarkStart w:id="79" w:name="_Toc173970628"/>
      <w:r>
        <w:t>Idea</w:t>
      </w:r>
      <w:bookmarkEnd w:id="79"/>
    </w:p>
    <w:p w14:paraId="77B9720F" w14:textId="28F8D159" w:rsidR="00100B7B" w:rsidRDefault="00100B7B" w:rsidP="00100B7B">
      <w:pPr>
        <w:pStyle w:val="Ttulo3"/>
      </w:pPr>
      <w:bookmarkStart w:id="80" w:name="_Toc173970629"/>
      <w:r>
        <w:t>Principales foros de coordinación</w:t>
      </w:r>
      <w:bookmarkEnd w:id="80"/>
    </w:p>
    <w:p w14:paraId="6D5593AD" w14:textId="77777777" w:rsidR="00100B7B" w:rsidRDefault="00100B7B" w:rsidP="00F657E9">
      <w:pPr>
        <w:pStyle w:val="Ttulo6"/>
        <w:spacing w:before="0"/>
      </w:pPr>
      <w:bookmarkStart w:id="81" w:name="_Toc173970630"/>
      <w:r>
        <w:t>G-20</w:t>
      </w:r>
      <w:bookmarkEnd w:id="81"/>
    </w:p>
    <w:p w14:paraId="0FB3B477" w14:textId="77777777" w:rsidR="00100B7B" w:rsidRDefault="00100B7B" w:rsidP="00100B7B">
      <w:pPr>
        <w:pStyle w:val="Ttulo6"/>
      </w:pPr>
      <w:bookmarkStart w:id="82" w:name="_Toc173970631"/>
      <w:r>
        <w:t>OCDE</w:t>
      </w:r>
      <w:bookmarkEnd w:id="82"/>
    </w:p>
    <w:p w14:paraId="6C8418E6" w14:textId="078A34D6" w:rsidR="00100B7B" w:rsidRPr="00100B7B" w:rsidRDefault="00100B7B" w:rsidP="00100B7B">
      <w:pPr>
        <w:pStyle w:val="Ttulo6"/>
      </w:pPr>
      <w:bookmarkStart w:id="83" w:name="_Toc173970632"/>
      <w:r>
        <w:t>Otros</w:t>
      </w:r>
      <w:bookmarkEnd w:id="83"/>
    </w:p>
    <w:p w14:paraId="03F1C6A0" w14:textId="664E79AC" w:rsidR="00100B7B" w:rsidRDefault="00100B7B" w:rsidP="00100B7B">
      <w:pPr>
        <w:pStyle w:val="Ttulo3"/>
      </w:pPr>
      <w:bookmarkStart w:id="84" w:name="_Toc173970633"/>
      <w:r>
        <w:t>Valoración</w:t>
      </w:r>
      <w:bookmarkEnd w:id="84"/>
    </w:p>
    <w:p w14:paraId="6B9EB311" w14:textId="77777777" w:rsidR="00CE47B3" w:rsidRPr="00CE47B3" w:rsidRDefault="00CE47B3" w:rsidP="00CE47B3">
      <w:pPr>
        <w:pStyle w:val="Nivel1SM"/>
      </w:pPr>
    </w:p>
    <w:p w14:paraId="1548F457" w14:textId="77777777" w:rsidR="00342648" w:rsidRDefault="00342648" w:rsidP="00B9022F">
      <w:pPr>
        <w:pStyle w:val="Introduccinyconclusin"/>
      </w:pPr>
      <w:bookmarkStart w:id="85" w:name="_Toc55381925"/>
      <w:bookmarkStart w:id="86" w:name="_Toc55382060"/>
      <w:bookmarkStart w:id="87" w:name="_Toc55382095"/>
      <w:bookmarkStart w:id="88" w:name="_Toc55382523"/>
      <w:r>
        <w:t>CONCLUSIÓN</w:t>
      </w:r>
      <w:bookmarkEnd w:id="85"/>
      <w:bookmarkEnd w:id="86"/>
      <w:bookmarkEnd w:id="87"/>
      <w:bookmarkEnd w:id="88"/>
    </w:p>
    <w:p w14:paraId="318B43F3" w14:textId="77777777" w:rsidR="003B1517" w:rsidRPr="00AC65FF" w:rsidRDefault="003B1517" w:rsidP="00F657E9">
      <w:pPr>
        <w:pStyle w:val="Nivel1"/>
        <w:keepNext/>
        <w:spacing w:before="0" w:after="0"/>
        <w:rPr>
          <w:spacing w:val="-4"/>
        </w:rPr>
      </w:pPr>
      <w:r w:rsidRPr="00AC65FF">
        <w:rPr>
          <w:b/>
          <w:bCs/>
          <w:i/>
          <w:iCs/>
          <w:spacing w:val="-4"/>
        </w:rPr>
        <w:t>Recapitulación (Ideas clave)</w:t>
      </w:r>
      <w:r w:rsidRPr="00AC65FF">
        <w:rPr>
          <w:spacing w:val="-4"/>
        </w:rPr>
        <w:t>:</w:t>
      </w:r>
    </w:p>
    <w:p w14:paraId="46BA998B" w14:textId="3AC8DC24" w:rsidR="003B1517" w:rsidRDefault="004A1196" w:rsidP="003B1517">
      <w:pPr>
        <w:pStyle w:val="Nivel2"/>
        <w:spacing w:after="0"/>
      </w:pPr>
      <w:r>
        <w:t xml:space="preserve">La coordinación internacional de las políticas macroeconómicas es como el monstruo del Lago Ness, se habla mucho </w:t>
      </w:r>
      <w:r w:rsidR="008A0EFD">
        <w:t xml:space="preserve">de ella </w:t>
      </w:r>
      <w:r>
        <w:t xml:space="preserve">pero nadie lo ve en la práctica. Esta es una célebre cita de </w:t>
      </w:r>
      <w:r>
        <w:rPr>
          <w:smallCaps/>
        </w:rPr>
        <w:t>Blanchard</w:t>
      </w:r>
      <w:r>
        <w:t xml:space="preserve">, </w:t>
      </w:r>
      <w:proofErr w:type="spellStart"/>
      <w:r>
        <w:rPr>
          <w:smallCaps/>
        </w:rPr>
        <w:t>Ostry</w:t>
      </w:r>
      <w:proofErr w:type="spellEnd"/>
      <w:r>
        <w:t xml:space="preserve"> y </w:t>
      </w:r>
      <w:r>
        <w:rPr>
          <w:smallCaps/>
        </w:rPr>
        <w:t>Ghosh</w:t>
      </w:r>
      <w:r>
        <w:t xml:space="preserve"> (2013)</w:t>
      </w:r>
      <w:r w:rsidR="008A0EFD">
        <w:rPr>
          <w:rStyle w:val="Refdenotaalpie"/>
        </w:rPr>
        <w:footnoteReference w:id="27"/>
      </w:r>
      <w:r>
        <w:t>.</w:t>
      </w:r>
    </w:p>
    <w:p w14:paraId="2409A40D" w14:textId="0CFBEC56" w:rsidR="007D617B" w:rsidRDefault="004A1196" w:rsidP="00C4165E">
      <w:pPr>
        <w:pStyle w:val="Nivel2"/>
        <w:keepNext/>
        <w:spacing w:after="0"/>
      </w:pPr>
      <w:r>
        <w:t xml:space="preserve">Una primera implicación es la </w:t>
      </w:r>
      <w:r w:rsidRPr="007D617B">
        <w:rPr>
          <w:i/>
          <w:iCs/>
          <w:u w:val="single"/>
        </w:rPr>
        <w:t>complejidad por la cual una política de un país puede afectar a otro</w:t>
      </w:r>
      <w:r w:rsidR="007D617B">
        <w:t xml:space="preserve">. </w:t>
      </w:r>
      <w:r w:rsidR="00B456F1">
        <w:t>E</w:t>
      </w:r>
      <w:r>
        <w:t>xisten muchas variables que pueden actuar</w:t>
      </w:r>
      <w:r w:rsidR="007D617B">
        <w:t>:</w:t>
      </w:r>
    </w:p>
    <w:p w14:paraId="1729284D" w14:textId="5E8E1D03" w:rsidR="00B456F1" w:rsidRDefault="007D617B" w:rsidP="007D617B">
      <w:pPr>
        <w:pStyle w:val="Nivel3"/>
      </w:pPr>
      <w:r>
        <w:t>Por un lado, p</w:t>
      </w:r>
      <w:r w:rsidR="004A1196">
        <w:t xml:space="preserve">uede existir </w:t>
      </w:r>
      <w:r w:rsidR="004A1196" w:rsidRPr="007D617B">
        <w:rPr>
          <w:i/>
          <w:iCs/>
        </w:rPr>
        <w:t>incertidumbre</w:t>
      </w:r>
      <w:r w:rsidR="004A1196">
        <w:t xml:space="preserve"> en función de la temporalidad del shock, etc.</w:t>
      </w:r>
    </w:p>
    <w:p w14:paraId="25BB253F" w14:textId="53948D87" w:rsidR="004A1196" w:rsidRDefault="004A1196" w:rsidP="00B456F1">
      <w:pPr>
        <w:pStyle w:val="Nivel3"/>
        <w:keepNext/>
      </w:pPr>
      <w:r>
        <w:t xml:space="preserve">Por otro lado, pueden existir </w:t>
      </w:r>
      <w:r w:rsidRPr="007D617B">
        <w:rPr>
          <w:i/>
          <w:iCs/>
        </w:rPr>
        <w:t>costes de coordinar las políticas macroeconómicas</w:t>
      </w:r>
      <w:r>
        <w:t>:</w:t>
      </w:r>
    </w:p>
    <w:p w14:paraId="050663C4" w14:textId="382BF09A" w:rsidR="004A1196" w:rsidRDefault="004A1196" w:rsidP="00B456F1">
      <w:pPr>
        <w:pStyle w:val="Nivel4"/>
      </w:pPr>
      <w:r>
        <w:t>Pérdida de soberanía (problemas políticos);</w:t>
      </w:r>
    </w:p>
    <w:p w14:paraId="7C071B6A" w14:textId="7AFE46B2" w:rsidR="004A1196" w:rsidRDefault="004A1196" w:rsidP="00B456F1">
      <w:pPr>
        <w:pStyle w:val="Nivel4"/>
      </w:pPr>
      <w:r>
        <w:t>Conflictos en la distribución de beneficios de la coordinación; y</w:t>
      </w:r>
    </w:p>
    <w:p w14:paraId="154A16A3" w14:textId="4B514453" w:rsidR="004A1196" w:rsidRDefault="004A1196" w:rsidP="00B456F1">
      <w:pPr>
        <w:pStyle w:val="Nivel4"/>
        <w:keepNext/>
      </w:pPr>
      <w:r>
        <w:t>Problemas de credibilidad.</w:t>
      </w:r>
    </w:p>
    <w:p w14:paraId="1015C3A6" w14:textId="7A87950D" w:rsidR="00B456F1" w:rsidRDefault="00B456F1" w:rsidP="00B456F1">
      <w:pPr>
        <w:pStyle w:val="Nivel5"/>
      </w:pPr>
      <w:r>
        <w:t>Todo ello explica también por</w:t>
      </w:r>
      <w:r w:rsidR="00464008">
        <w:t xml:space="preserve"> </w:t>
      </w:r>
      <w:r>
        <w:t>qu</w:t>
      </w:r>
      <w:r w:rsidR="00464008">
        <w:t>é</w:t>
      </w:r>
      <w:r>
        <w:t xml:space="preserve"> una parte sustancial de la </w:t>
      </w:r>
      <w:r w:rsidRPr="00B456F1">
        <w:rPr>
          <w:i/>
          <w:iCs/>
        </w:rPr>
        <w:t>evidencia empírica</w:t>
      </w:r>
      <w:r>
        <w:t xml:space="preserve"> (</w:t>
      </w:r>
      <w:r>
        <w:rPr>
          <w:smallCaps/>
        </w:rPr>
        <w:t>Oudiz</w:t>
      </w:r>
      <w:r>
        <w:t xml:space="preserve"> y </w:t>
      </w:r>
      <w:r>
        <w:rPr>
          <w:smallCaps/>
        </w:rPr>
        <w:t>Sachs</w:t>
      </w:r>
      <w:r>
        <w:t xml:space="preserve"> (1994) y </w:t>
      </w:r>
      <w:r>
        <w:rPr>
          <w:smallCaps/>
        </w:rPr>
        <w:t>Benigno</w:t>
      </w:r>
      <w:r>
        <w:t xml:space="preserve"> y </w:t>
      </w:r>
      <w:r>
        <w:rPr>
          <w:smallCaps/>
        </w:rPr>
        <w:t>Benigno</w:t>
      </w:r>
      <w:r>
        <w:t xml:space="preserve"> (2006)) no encuentra ganancias reseñables de la coordinación de las políticas macroeconómicas.</w:t>
      </w:r>
    </w:p>
    <w:p w14:paraId="1188C7D7" w14:textId="4466FF3E" w:rsidR="004A1196" w:rsidRDefault="004A1196" w:rsidP="004A1196">
      <w:pPr>
        <w:pStyle w:val="Nivel2"/>
      </w:pPr>
      <w:r>
        <w:t xml:space="preserve">En cualquier caso, sí que parece que </w:t>
      </w:r>
      <w:r w:rsidRPr="007D617B">
        <w:rPr>
          <w:i/>
          <w:iCs/>
          <w:u w:val="single"/>
        </w:rPr>
        <w:t>en algunos escenarios puede ser beneficioso llevar a cabo una coordinación de las políticas económicas</w:t>
      </w:r>
      <w:r>
        <w:t>, como por ejemplo en una unión monetaria como la eurozona, donde los lazos de interdependencia son mayores.</w:t>
      </w:r>
    </w:p>
    <w:p w14:paraId="093C3335" w14:textId="77777777" w:rsidR="004A1196" w:rsidRPr="00321933" w:rsidRDefault="004A1196" w:rsidP="004A1196">
      <w:pPr>
        <w:pStyle w:val="Nivel2"/>
        <w:keepNext/>
        <w:spacing w:after="0"/>
        <w:rPr>
          <w:spacing w:val="-1"/>
        </w:rPr>
      </w:pPr>
      <w:r w:rsidRPr="00321933">
        <w:rPr>
          <w:spacing w:val="-1"/>
        </w:rPr>
        <w:t xml:space="preserve">Llegados a este punto, podemos preguntarnos </w:t>
      </w:r>
      <w:r w:rsidRPr="007D617B">
        <w:rPr>
          <w:i/>
          <w:iCs/>
          <w:spacing w:val="-1"/>
          <w:u w:val="single"/>
        </w:rPr>
        <w:t>cómo debe instrumentarse la coordinación</w:t>
      </w:r>
      <w:r w:rsidRPr="00321933">
        <w:rPr>
          <w:spacing w:val="-1"/>
        </w:rPr>
        <w:t>.</w:t>
      </w:r>
    </w:p>
    <w:p w14:paraId="66F00B15" w14:textId="77777777" w:rsidR="00D136EB" w:rsidRDefault="004A1196" w:rsidP="004A1196">
      <w:pPr>
        <w:pStyle w:val="Nivel3"/>
      </w:pPr>
      <w:r>
        <w:t>Por ejemplo, la coordinación puede tomar la forma de reglas establecidas.</w:t>
      </w:r>
    </w:p>
    <w:p w14:paraId="5651C36E" w14:textId="77777777" w:rsidR="00D136EB" w:rsidRDefault="004A1196" w:rsidP="00D136EB">
      <w:pPr>
        <w:pStyle w:val="Nivel4"/>
      </w:pPr>
      <w:r>
        <w:t>Esta po</w:t>
      </w:r>
      <w:r w:rsidR="00D136EB">
        <w:t>sibilidad reduce los costes de negociación, reduce los problemas de inconsistencia temporal planteados y reduce la incertidumbre.</w:t>
      </w:r>
    </w:p>
    <w:p w14:paraId="3E5AB3BB" w14:textId="12D45FE4" w:rsidR="004A1196" w:rsidRDefault="00D136EB" w:rsidP="00D136EB">
      <w:pPr>
        <w:pStyle w:val="Nivel4"/>
      </w:pPr>
      <w:r>
        <w:t>Sin embargo, estas reglas necesitan de unas sanciones lo suficientemente disuasorias para que sean cumplidas. Además, en un entorno de incertidumbre pueden existir presiones para el incumplimiento (pérdida de flexibilidad, capacidad para adaptarse a entornos cambiantes – p.ej. shocks unitemporales, ¿Cómo serán las reglas fiscales en la eurozona tras la pandemia?)</w:t>
      </w:r>
      <w:r w:rsidR="00A1409A">
        <w:t>.</w:t>
      </w:r>
    </w:p>
    <w:p w14:paraId="4F690103" w14:textId="300C53A2" w:rsidR="00D136EB" w:rsidRDefault="00D136EB" w:rsidP="004A1196">
      <w:pPr>
        <w:pStyle w:val="Nivel3"/>
      </w:pPr>
      <w:r>
        <w:t>Acuerdos G-7 (Imposición – 3.B.2</w:t>
      </w:r>
      <w:r w:rsidR="00CD1668">
        <w:t>1</w:t>
      </w:r>
      <w:r>
        <w:t>)</w:t>
      </w:r>
    </w:p>
    <w:p w14:paraId="532CB334" w14:textId="4054DEAC" w:rsidR="00D136EB" w:rsidRDefault="00D136EB" w:rsidP="004A1196">
      <w:pPr>
        <w:pStyle w:val="Nivel3"/>
      </w:pPr>
      <w:r>
        <w:t>Acuerdo G-20: Reestructuración de la deuda.</w:t>
      </w:r>
    </w:p>
    <w:p w14:paraId="12EF4786" w14:textId="4ED53021" w:rsidR="00D136EB" w:rsidRDefault="00D136EB" w:rsidP="004A1196">
      <w:pPr>
        <w:pStyle w:val="Nivel3"/>
      </w:pPr>
      <w:r>
        <w:lastRenderedPageBreak/>
        <w:t>FMI: Derechos Especiales de Giro.</w:t>
      </w:r>
    </w:p>
    <w:p w14:paraId="7FA14248" w14:textId="77777777" w:rsidR="003B1517" w:rsidRPr="00AC65FF" w:rsidRDefault="003B1517" w:rsidP="003B1517">
      <w:pPr>
        <w:pStyle w:val="Nivel1"/>
        <w:keepNext/>
        <w:spacing w:after="0"/>
        <w:rPr>
          <w:spacing w:val="-4"/>
        </w:rPr>
      </w:pPr>
      <w:r w:rsidRPr="00AC65FF">
        <w:rPr>
          <w:b/>
          <w:bCs/>
          <w:i/>
          <w:iCs/>
          <w:spacing w:val="-4"/>
        </w:rPr>
        <w:t>Relevancia</w:t>
      </w:r>
      <w:r w:rsidRPr="00AC65FF">
        <w:rPr>
          <w:spacing w:val="-4"/>
        </w:rPr>
        <w:t>:</w:t>
      </w:r>
    </w:p>
    <w:p w14:paraId="6878CDB9" w14:textId="77777777" w:rsidR="003B1517" w:rsidRDefault="003B1517" w:rsidP="003B1517">
      <w:pPr>
        <w:pStyle w:val="Nivel2"/>
      </w:pPr>
    </w:p>
    <w:p w14:paraId="7D791EED" w14:textId="77777777" w:rsidR="003B1517" w:rsidRDefault="003B1517" w:rsidP="003B1517">
      <w:pPr>
        <w:pStyle w:val="Nivel1"/>
        <w:keepNext/>
        <w:spacing w:after="0"/>
        <w:rPr>
          <w:spacing w:val="-4"/>
        </w:rPr>
      </w:pPr>
      <w:r w:rsidRPr="00AC65FF">
        <w:rPr>
          <w:b/>
          <w:bCs/>
          <w:i/>
          <w:iCs/>
          <w:spacing w:val="-4"/>
        </w:rPr>
        <w:t>Extensiones y relación con otras partes del temario</w:t>
      </w:r>
      <w:r w:rsidRPr="00AC65FF">
        <w:rPr>
          <w:spacing w:val="-4"/>
        </w:rPr>
        <w:t>:</w:t>
      </w:r>
    </w:p>
    <w:p w14:paraId="2AA45971" w14:textId="77777777" w:rsidR="003B1517" w:rsidRPr="00AC65FF" w:rsidRDefault="003B1517" w:rsidP="003B1517">
      <w:pPr>
        <w:pStyle w:val="Nivel2"/>
      </w:pPr>
    </w:p>
    <w:p w14:paraId="7E081AE4" w14:textId="77777777" w:rsidR="003B1517" w:rsidRPr="00AC65FF" w:rsidRDefault="003B1517" w:rsidP="003B1517">
      <w:pPr>
        <w:pStyle w:val="Nivel1"/>
        <w:keepNext/>
        <w:spacing w:after="0"/>
        <w:rPr>
          <w:spacing w:val="-4"/>
        </w:rPr>
      </w:pPr>
      <w:r w:rsidRPr="00AC65FF">
        <w:rPr>
          <w:b/>
          <w:bCs/>
          <w:i/>
          <w:iCs/>
          <w:spacing w:val="-4"/>
        </w:rPr>
        <w:t>Opinión</w:t>
      </w:r>
      <w:r w:rsidRPr="00AC65FF">
        <w:rPr>
          <w:spacing w:val="-4"/>
        </w:rPr>
        <w:t>:</w:t>
      </w:r>
    </w:p>
    <w:p w14:paraId="17FC8AAD" w14:textId="77777777" w:rsidR="003B1517" w:rsidRDefault="003B1517" w:rsidP="003B1517">
      <w:pPr>
        <w:pStyle w:val="Nivel2"/>
      </w:pPr>
    </w:p>
    <w:p w14:paraId="4E60CD6A" w14:textId="77777777" w:rsidR="003B1517" w:rsidRDefault="003B1517" w:rsidP="003B1517">
      <w:pPr>
        <w:pStyle w:val="Nivel1"/>
        <w:keepNext/>
        <w:spacing w:after="0"/>
        <w:rPr>
          <w:spacing w:val="-4"/>
        </w:rPr>
      </w:pPr>
      <w:r w:rsidRPr="00AC65FF">
        <w:rPr>
          <w:b/>
          <w:bCs/>
          <w:i/>
          <w:iCs/>
          <w:spacing w:val="-4"/>
        </w:rPr>
        <w:t>Idea final (Salida o cierre)</w:t>
      </w:r>
      <w:r w:rsidRPr="00AC65FF">
        <w:rPr>
          <w:spacing w:val="-4"/>
        </w:rPr>
        <w:t>:</w:t>
      </w:r>
    </w:p>
    <w:p w14:paraId="72B528AE" w14:textId="4BF6621F" w:rsidR="003B1517" w:rsidRDefault="00D136EB" w:rsidP="003B1517">
      <w:pPr>
        <w:pStyle w:val="Nivel2"/>
      </w:pPr>
      <w:r>
        <w:t>En definitiva, a pesar de la dificultad de implementación y la incertidumbre sobre las ganancias efectivas, en algunos casos se debe contemplar la coordinación de políticas económicas para llegar a situaciones Pareto superiores.</w:t>
      </w:r>
    </w:p>
    <w:p w14:paraId="577AA9EE" w14:textId="77777777" w:rsidR="008233F9" w:rsidRDefault="008233F9">
      <w:pPr>
        <w:spacing w:after="160"/>
        <w:jc w:val="left"/>
      </w:pPr>
      <w:r>
        <w:br w:type="page"/>
      </w:r>
    </w:p>
    <w:p w14:paraId="17D5F7EA" w14:textId="77777777" w:rsidR="00342648" w:rsidRDefault="00342648" w:rsidP="00342648">
      <w:pPr>
        <w:pStyle w:val="Ttulo4"/>
      </w:pPr>
      <w:r>
        <w:lastRenderedPageBreak/>
        <w:t>Bibliografía</w:t>
      </w:r>
    </w:p>
    <w:p w14:paraId="0F779646" w14:textId="77777777" w:rsidR="00CD1668" w:rsidRDefault="00550ADB" w:rsidP="00630D0B">
      <w:r>
        <w:t>Tema ICEX-CECO</w:t>
      </w:r>
    </w:p>
    <w:p w14:paraId="7B2F91AB" w14:textId="50CC5FBC" w:rsidR="00B120C0" w:rsidRDefault="00000000" w:rsidP="00630D0B">
      <w:pPr>
        <w:rPr>
          <w:rStyle w:val="Hipervnculo"/>
        </w:rPr>
      </w:pPr>
      <w:hyperlink r:id="rId26" w:history="1">
        <w:r w:rsidR="00B120C0" w:rsidRPr="00CC528C">
          <w:rPr>
            <w:rStyle w:val="Hipervnculo"/>
          </w:rPr>
          <w:t>https://www.frbsf.org/economic-research/wp-content/uploads/sites/4/Jeffrey-Frankel-Nov20.pdf</w:t>
        </w:r>
      </w:hyperlink>
    </w:p>
    <w:p w14:paraId="49306C63" w14:textId="2FF9BF63" w:rsidR="00CD1668" w:rsidRPr="00CD1668" w:rsidRDefault="00CD1668" w:rsidP="00CD1668">
      <w:r w:rsidRPr="00CD1668">
        <w:rPr>
          <w:rStyle w:val="Hipervnculo"/>
          <w:color w:val="auto"/>
          <w:u w:val="none"/>
        </w:rPr>
        <w:t>Tema Juan Luis Cordero Tarifa.</w:t>
      </w:r>
    </w:p>
    <w:p w14:paraId="0B1C3C04" w14:textId="77777777" w:rsidR="00342648" w:rsidRDefault="00342648" w:rsidP="00342648">
      <w:pPr>
        <w:pStyle w:val="Ttulo4"/>
      </w:pPr>
      <w:r w:rsidRPr="00342648">
        <w:t>Anexos</w:t>
      </w:r>
    </w:p>
    <w:p w14:paraId="0107925B" w14:textId="614709A5" w:rsidR="006B2CC7" w:rsidRPr="006B2CC7" w:rsidRDefault="00342648" w:rsidP="0002549F">
      <w:pPr>
        <w:pStyle w:val="Ttulo5"/>
      </w:pPr>
      <w:r w:rsidRPr="0002549F">
        <w:t>Anexo</w:t>
      </w:r>
      <w:r w:rsidR="00001266">
        <w:t> </w:t>
      </w:r>
      <w:r w:rsidRPr="0002549F">
        <w:t>1</w:t>
      </w:r>
      <w:r w:rsidR="00D564BC">
        <w:rPr>
          <w:i w:val="0"/>
          <w:iCs w:val="0"/>
          <w:u w:val="none"/>
        </w:rPr>
        <w:t xml:space="preserve">: </w:t>
      </w:r>
      <w:r w:rsidR="00B120C0" w:rsidRPr="006B2CC7">
        <w:rPr>
          <w:u w:val="none"/>
        </w:rPr>
        <w:t>Llamadas al activismo fiscal (</w:t>
      </w:r>
      <w:r w:rsidR="006B2CC7">
        <w:rPr>
          <w:u w:val="none"/>
        </w:rPr>
        <w:t>24/09/</w:t>
      </w:r>
      <w:r w:rsidR="00B120C0" w:rsidRPr="006B2CC7">
        <w:rPr>
          <w:u w:val="none"/>
        </w:rPr>
        <w:t>2019)</w:t>
      </w:r>
    </w:p>
    <w:p w14:paraId="553709A4" w14:textId="30E5F57D" w:rsidR="00342648" w:rsidRPr="0002549F" w:rsidRDefault="00000000" w:rsidP="006B2CC7">
      <w:pPr>
        <w:pStyle w:val="Cajadeanotaciones"/>
      </w:pPr>
      <w:hyperlink r:id="rId27" w:history="1">
        <w:r w:rsidR="008A0EFD" w:rsidRPr="00CC528C">
          <w:rPr>
            <w:rStyle w:val="Hipervnculo"/>
          </w:rPr>
          <w:t>https://blognewdeal.com/gonzalo-garcia-andres/oberturas-fiscales/</w:t>
        </w:r>
      </w:hyperlink>
    </w:p>
    <w:p w14:paraId="2D1FDABC" w14:textId="77777777" w:rsidR="00B120C0" w:rsidRDefault="00B120C0" w:rsidP="00B120C0">
      <w:r>
        <w:t>Banqueros centrales saben que no es suficiente.</w:t>
      </w:r>
    </w:p>
    <w:p w14:paraId="3A173AC2" w14:textId="77777777" w:rsidR="00B120C0" w:rsidRDefault="00B120C0" w:rsidP="00B120C0">
      <w:r>
        <w:t>El gobierno alemán ha presentado su plan para alcanzar los objetivos de cambio climático; el presupuesto elaborado por el gobierno holandés ha adoptado un tono expansivo, mientras en Corea la política fiscal está consumando un giro para apoyar a la economía, atenazada por la desaceleración china y por el conflicto con Japón.</w:t>
      </w:r>
    </w:p>
    <w:p w14:paraId="283603DD" w14:textId="7568469E" w:rsidR="00B120C0" w:rsidRDefault="00B120C0" w:rsidP="00B120C0">
      <w:r>
        <w:t>¿Estamos ante los primeros compases de una expansión fiscal coordinada como la que impulsó el G</w:t>
      </w:r>
      <w:r w:rsidR="006B2CC7">
        <w:t>-</w:t>
      </w:r>
      <w:r>
        <w:t>20 en 2009?</w:t>
      </w:r>
    </w:p>
    <w:p w14:paraId="3B3EF187" w14:textId="4782DF78" w:rsidR="00B120C0" w:rsidRDefault="00B120C0" w:rsidP="00B120C0">
      <w:r>
        <w:t xml:space="preserve">Estos países tienen en común superávit estructurales en sus </w:t>
      </w:r>
      <w:r w:rsidR="006B2CC7">
        <w:t>cuentas corrientes</w:t>
      </w:r>
      <w:r>
        <w:t>. Llevan años gastando menos de lo que producen, viviendo de la demanda agregada de otros y acumulando activos. Aunque desde el FMI se les ha instado repetidamente a adoptar políticas fiscales que impulsen la inversión, hasta ahora han hecho oídos sordos y han seguido con la cantinela de la austeridad</w:t>
      </w:r>
      <w:r w:rsidR="008A0EFD">
        <w:t>.</w:t>
      </w:r>
    </w:p>
    <w:p w14:paraId="3B79CE84" w14:textId="78C4A361" w:rsidR="0015013E" w:rsidRDefault="00B120C0" w:rsidP="00B120C0">
      <w:r>
        <w:t>Mientras la economía y el comercio mundial crecían, estos países no necesitaban la política fiscal activa: al revés, han acumulado superávits públicos y han llegado al pleno empleo (ver gráfico). En el entorno actual, de repliegue en la demanda de exportaciones y pulsiones proteccionistas, su crecimiento se ha debilitado con rapidez. El amplio margen fiscal del que disponen puede ser ahora necesario para superar esta etapa de freno a la globalización y de debilidad de la demanda de bienes de capital.</w:t>
      </w:r>
    </w:p>
    <w:p w14:paraId="51D4E933" w14:textId="3A9E4161" w:rsidR="006B2CC7" w:rsidRPr="00502A72" w:rsidRDefault="006B2CC7" w:rsidP="002C096A">
      <w:pPr>
        <w:jc w:val="center"/>
      </w:pPr>
      <w:r>
        <w:rPr>
          <w:noProof/>
        </w:rPr>
        <w:drawing>
          <wp:inline distT="0" distB="0" distL="0" distR="0" wp14:anchorId="2ED6264E" wp14:editId="6F3F95F2">
            <wp:extent cx="3497423" cy="2036619"/>
            <wp:effectExtent l="0" t="0" r="8255" b="1905"/>
            <wp:docPr id="1503116325" name="Imagen 1"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116325" name="Imagen 1" descr="Gráfico, Gráfico de barras&#10;&#10;Descripción generada automáticamen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02842" cy="2039774"/>
                    </a:xfrm>
                    <a:prstGeom prst="rect">
                      <a:avLst/>
                    </a:prstGeom>
                    <a:noFill/>
                    <a:ln>
                      <a:noFill/>
                    </a:ln>
                  </pic:spPr>
                </pic:pic>
              </a:graphicData>
            </a:graphic>
          </wp:inline>
        </w:drawing>
      </w:r>
    </w:p>
    <w:sectPr w:rsidR="006B2CC7" w:rsidRPr="00502A72" w:rsidSect="003B1517">
      <w:headerReference w:type="even" r:id="rId29"/>
      <w:headerReference w:type="default" r:id="rId30"/>
      <w:footerReference w:type="even" r:id="rId31"/>
      <w:footerReference w:type="default" r:id="rId32"/>
      <w:headerReference w:type="first" r:id="rId33"/>
      <w:footerReference w:type="first" r:id="rId34"/>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60B2A3" w14:textId="77777777" w:rsidR="00F253BF" w:rsidRDefault="00F253BF" w:rsidP="00B77C0F">
      <w:r>
        <w:separator/>
      </w:r>
    </w:p>
  </w:endnote>
  <w:endnote w:type="continuationSeparator" w:id="0">
    <w:p w14:paraId="5F9B483D" w14:textId="77777777" w:rsidR="00F253BF" w:rsidRDefault="00F253BF"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B1517" w:rsidRPr="00C44422" w14:paraId="707B7842" w14:textId="77777777" w:rsidTr="00C4165E">
      <w:trPr>
        <w:trHeight w:val="138"/>
        <w:jc w:val="center"/>
      </w:trPr>
      <w:tc>
        <w:tcPr>
          <w:tcW w:w="1134" w:type="dxa"/>
        </w:tcPr>
        <w:p w14:paraId="7A52B24A" w14:textId="77777777" w:rsidR="003B1517" w:rsidRPr="00C44422" w:rsidRDefault="003B1517" w:rsidP="00C4165E">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518EB3E6" w14:textId="77777777" w:rsidR="003B1517" w:rsidRPr="00C44422" w:rsidRDefault="003B1517" w:rsidP="00C4165E">
          <w:pPr>
            <w:pStyle w:val="Encabezado"/>
            <w:spacing w:after="0"/>
            <w:ind w:right="-110"/>
            <w:contextualSpacing/>
            <w:jc w:val="center"/>
            <w:rPr>
              <w:i/>
              <w:iCs/>
              <w:color w:val="5F2987"/>
              <w:sz w:val="18"/>
              <w:szCs w:val="18"/>
            </w:rPr>
          </w:pPr>
        </w:p>
      </w:tc>
      <w:tc>
        <w:tcPr>
          <w:tcW w:w="2551" w:type="dxa"/>
          <w:vAlign w:val="center"/>
        </w:tcPr>
        <w:p w14:paraId="6A98517F" w14:textId="77777777" w:rsidR="003B1517" w:rsidRPr="00C44422" w:rsidRDefault="003B1517" w:rsidP="00C4165E">
          <w:pPr>
            <w:pStyle w:val="Encabezado"/>
            <w:spacing w:after="0"/>
            <w:contextualSpacing/>
            <w:jc w:val="right"/>
            <w:rPr>
              <w:b/>
              <w:bCs/>
              <w:i/>
              <w:iCs/>
              <w:color w:val="5F2987"/>
              <w:spacing w:val="-6"/>
              <w:sz w:val="18"/>
              <w:szCs w:val="18"/>
            </w:rPr>
          </w:pPr>
        </w:p>
      </w:tc>
    </w:tr>
  </w:tbl>
  <w:p w14:paraId="068B3CB2" w14:textId="7C844B89" w:rsidR="00B70943" w:rsidRPr="003B1517" w:rsidRDefault="00B70943" w:rsidP="003B1517">
    <w:pPr>
      <w:pStyle w:val="Piedepgina"/>
      <w:ind w:right="-449"/>
      <w:jc w:val="left"/>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B1517" w:rsidRPr="00C44422" w14:paraId="31292D80" w14:textId="77777777" w:rsidTr="00C4165E">
      <w:trPr>
        <w:trHeight w:val="138"/>
        <w:jc w:val="center"/>
      </w:trPr>
      <w:tc>
        <w:tcPr>
          <w:tcW w:w="1134" w:type="dxa"/>
          <w:vAlign w:val="center"/>
        </w:tcPr>
        <w:p w14:paraId="4EE6EA46" w14:textId="77777777" w:rsidR="003B1517" w:rsidRPr="006B5D4B" w:rsidRDefault="003B1517" w:rsidP="00C4165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BB654DA" w14:textId="77777777" w:rsidR="003B1517" w:rsidRPr="006B5D4B" w:rsidRDefault="003B1517" w:rsidP="00C4165E">
          <w:pPr>
            <w:pStyle w:val="Encabezado"/>
            <w:spacing w:after="0"/>
            <w:ind w:right="-110"/>
            <w:contextualSpacing/>
            <w:jc w:val="center"/>
            <w:rPr>
              <w:i/>
              <w:iCs/>
              <w:color w:val="5F2987"/>
              <w:sz w:val="18"/>
              <w:szCs w:val="18"/>
            </w:rPr>
          </w:pPr>
        </w:p>
      </w:tc>
      <w:tc>
        <w:tcPr>
          <w:tcW w:w="2551" w:type="dxa"/>
          <w:vAlign w:val="center"/>
        </w:tcPr>
        <w:p w14:paraId="6CE1E55E" w14:textId="77777777" w:rsidR="003B1517" w:rsidRPr="006B5D4B" w:rsidRDefault="003B1517" w:rsidP="00C4165E">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01022C7D" w14:textId="2CA19BE8" w:rsidR="00C81078" w:rsidRPr="003B1517" w:rsidRDefault="00C81078" w:rsidP="003B1517">
    <w:pPr>
      <w:pStyle w:val="Piedepgina"/>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B1517" w:rsidRPr="00C44422" w14:paraId="66348AFC" w14:textId="77777777" w:rsidTr="00C4165E">
      <w:trPr>
        <w:trHeight w:val="138"/>
        <w:jc w:val="center"/>
      </w:trPr>
      <w:tc>
        <w:tcPr>
          <w:tcW w:w="1134" w:type="dxa"/>
          <w:vAlign w:val="center"/>
        </w:tcPr>
        <w:p w14:paraId="5C72490D" w14:textId="77777777" w:rsidR="003B1517" w:rsidRPr="006B5D4B" w:rsidRDefault="003B1517" w:rsidP="00C4165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7695862" w14:textId="77777777" w:rsidR="003B1517" w:rsidRPr="006B5D4B" w:rsidRDefault="003B1517" w:rsidP="00C4165E">
          <w:pPr>
            <w:pStyle w:val="Encabezado"/>
            <w:spacing w:after="0"/>
            <w:ind w:right="-110"/>
            <w:contextualSpacing/>
            <w:jc w:val="center"/>
            <w:rPr>
              <w:i/>
              <w:iCs/>
              <w:color w:val="5F2987"/>
              <w:sz w:val="18"/>
              <w:szCs w:val="18"/>
            </w:rPr>
          </w:pPr>
        </w:p>
      </w:tc>
      <w:tc>
        <w:tcPr>
          <w:tcW w:w="2551" w:type="dxa"/>
          <w:vAlign w:val="center"/>
        </w:tcPr>
        <w:p w14:paraId="0F706738" w14:textId="77777777" w:rsidR="003B1517" w:rsidRPr="006B5D4B" w:rsidRDefault="003B1517" w:rsidP="00C4165E">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4FA57703" w14:textId="77777777" w:rsidR="003B1517" w:rsidRPr="003B1517" w:rsidRDefault="003B1517" w:rsidP="003B1517">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F9B032" w14:textId="77777777" w:rsidR="00F253BF" w:rsidRPr="00417327" w:rsidRDefault="00F253BF" w:rsidP="00417327">
      <w:pPr>
        <w:spacing w:after="0" w:line="240" w:lineRule="auto"/>
        <w:rPr>
          <w:sz w:val="16"/>
          <w:szCs w:val="16"/>
        </w:rPr>
      </w:pPr>
      <w:r w:rsidRPr="00417327">
        <w:rPr>
          <w:sz w:val="16"/>
          <w:szCs w:val="16"/>
        </w:rPr>
        <w:separator/>
      </w:r>
    </w:p>
  </w:footnote>
  <w:footnote w:type="continuationSeparator" w:id="0">
    <w:p w14:paraId="59662621" w14:textId="77777777" w:rsidR="00F253BF" w:rsidRPr="002921AB" w:rsidRDefault="00F253BF" w:rsidP="002921AB">
      <w:pPr>
        <w:spacing w:after="0" w:line="240" w:lineRule="auto"/>
        <w:rPr>
          <w:sz w:val="16"/>
          <w:szCs w:val="16"/>
        </w:rPr>
      </w:pPr>
      <w:r w:rsidRPr="002921AB">
        <w:rPr>
          <w:sz w:val="16"/>
          <w:szCs w:val="16"/>
        </w:rPr>
        <w:continuationSeparator/>
      </w:r>
    </w:p>
  </w:footnote>
  <w:footnote w:type="continuationNotice" w:id="1">
    <w:p w14:paraId="0B3D9DB9" w14:textId="77777777" w:rsidR="00F253BF" w:rsidRPr="002921AB" w:rsidRDefault="00F253BF" w:rsidP="002921AB">
      <w:pPr>
        <w:spacing w:after="0" w:line="192" w:lineRule="auto"/>
        <w:jc w:val="right"/>
        <w:rPr>
          <w:sz w:val="16"/>
          <w:szCs w:val="16"/>
        </w:rPr>
      </w:pPr>
      <w:r w:rsidRPr="002921AB">
        <w:rPr>
          <w:rFonts w:ascii="Cambria Math" w:hAnsi="Cambria Math" w:cs="Cambria Math"/>
          <w:sz w:val="16"/>
          <w:szCs w:val="16"/>
        </w:rPr>
        <w:t>↪</w:t>
      </w:r>
    </w:p>
  </w:footnote>
  <w:footnote w:id="2">
    <w:p w14:paraId="72AF06F2" w14:textId="3F56C95E" w:rsidR="00A9399D" w:rsidRDefault="00A9399D">
      <w:pPr>
        <w:pStyle w:val="Textonotapie"/>
        <w:rPr>
          <w:lang w:val="en-US"/>
        </w:rPr>
      </w:pPr>
      <w:r>
        <w:rPr>
          <w:rStyle w:val="Refdenotaalpie"/>
        </w:rPr>
        <w:footnoteRef/>
      </w:r>
      <w:r w:rsidRPr="00A9399D">
        <w:rPr>
          <w:lang w:val="en-US"/>
        </w:rPr>
        <w:t xml:space="preserve"> Coordination among national Governments a</w:t>
      </w:r>
      <w:r>
        <w:rPr>
          <w:lang w:val="en-US"/>
        </w:rPr>
        <w:t>s they formulate macroeconomic policies has been proposed as a response to global integrations among national markets.</w:t>
      </w:r>
    </w:p>
    <w:p w14:paraId="3A2366E2" w14:textId="45432F9C" w:rsidR="00A9399D" w:rsidRPr="00A9399D" w:rsidRDefault="00A9399D">
      <w:pPr>
        <w:pStyle w:val="Textonotapie"/>
        <w:rPr>
          <w:spacing w:val="-1"/>
          <w:lang w:val="en-US"/>
        </w:rPr>
      </w:pPr>
      <w:r w:rsidRPr="00A9399D">
        <w:rPr>
          <w:spacing w:val="-1"/>
          <w:lang w:val="en-US"/>
        </w:rPr>
        <w:t xml:space="preserve">Awareness has grown over time of how national macroeconomies are interconnected in a global marketplace. Rising trade volumes indicate international integration among goods markets, large international financial flows indicate integration in asset markets, and highly visible immigration flows reflect increasing integration in national </w:t>
      </w:r>
      <w:proofErr w:type="spellStart"/>
      <w:r w:rsidRPr="00A9399D">
        <w:rPr>
          <w:spacing w:val="-1"/>
          <w:lang w:val="en-US"/>
        </w:rPr>
        <w:t>labour</w:t>
      </w:r>
      <w:proofErr w:type="spellEnd"/>
      <w:r w:rsidRPr="00A9399D">
        <w:rPr>
          <w:spacing w:val="-1"/>
          <w:lang w:val="en-US"/>
        </w:rPr>
        <w:t xml:space="preserve"> markets. Progressive globalization in the private economic sphere has prompted the question of whether public policy likewise should be global. Should the policies that nations use to manage their national macroeconomies be coordinated jointly with other nations? This is not a new question and economists have voiced a variety of opinions and theories. Most academic economists have tended to be skeptical about the need for explicit international coordination.</w:t>
      </w:r>
    </w:p>
  </w:footnote>
  <w:footnote w:id="3">
    <w:p w14:paraId="5C52E6AF" w14:textId="45983EF0" w:rsidR="00E34041" w:rsidRPr="00E34041" w:rsidRDefault="00E34041">
      <w:pPr>
        <w:pStyle w:val="Textonotapie"/>
      </w:pPr>
      <w:r>
        <w:rPr>
          <w:rStyle w:val="Refdenotaalpie"/>
        </w:rPr>
        <w:footnoteRef/>
      </w:r>
      <w:r>
        <w:t xml:space="preserve"> Y es que, al fin y al cabo, el libre comercio, la estabilidad cambiaria, un sistema financiero regulado, etc. son </w:t>
      </w:r>
      <w:r>
        <w:rPr>
          <w:i/>
          <w:iCs/>
        </w:rPr>
        <w:t>bienes públicos globales</w:t>
      </w:r>
      <w:r>
        <w:t>, pues una vez provistos, el coste marginal de incluir a un país adicional es prácticamente nulo.</w:t>
      </w:r>
    </w:p>
  </w:footnote>
  <w:footnote w:id="4">
    <w:p w14:paraId="74D6034B" w14:textId="77777777" w:rsidR="00F3015F" w:rsidRDefault="00F3015F" w:rsidP="00F3015F">
      <w:pPr>
        <w:pStyle w:val="Textonotapie"/>
        <w:keepNext/>
        <w:spacing w:after="0"/>
      </w:pPr>
      <w:r>
        <w:rPr>
          <w:rStyle w:val="Refdenotaalpie"/>
        </w:rPr>
        <w:footnoteRef/>
      </w:r>
      <w:r>
        <w:t xml:space="preserve"> Existen diferentes niveles de cooperación internacional en materia de política económica:</w:t>
      </w:r>
    </w:p>
    <w:p w14:paraId="51493DF8" w14:textId="77777777" w:rsidR="00F3015F" w:rsidRDefault="00F3015F">
      <w:pPr>
        <w:pStyle w:val="Textonotapie"/>
        <w:numPr>
          <w:ilvl w:val="0"/>
          <w:numId w:val="9"/>
        </w:numPr>
        <w:spacing w:after="0"/>
        <w:ind w:left="283" w:hanging="170"/>
      </w:pPr>
      <w:r>
        <w:rPr>
          <w:i/>
          <w:iCs/>
          <w:u w:val="single"/>
        </w:rPr>
        <w:t>Intercambio de información</w:t>
      </w:r>
      <w:r>
        <w:t xml:space="preserve"> sobre la coyuntura y las políticas económicas de los distintos países (p.ej. marco de cooperación de la OCDE, el FMI, G-20, etc.).</w:t>
      </w:r>
    </w:p>
    <w:p w14:paraId="01DB3853" w14:textId="77777777" w:rsidR="00F3015F" w:rsidRDefault="00F3015F">
      <w:pPr>
        <w:pStyle w:val="Textonotapie"/>
        <w:numPr>
          <w:ilvl w:val="0"/>
          <w:numId w:val="9"/>
        </w:numPr>
        <w:spacing w:after="0"/>
        <w:ind w:left="283" w:hanging="170"/>
      </w:pPr>
      <w:r>
        <w:rPr>
          <w:i/>
          <w:iCs/>
          <w:u w:val="single"/>
        </w:rPr>
        <w:t>Coordinación temporal o ad hoc</w:t>
      </w:r>
      <w:r>
        <w:t xml:space="preserve"> (que se produce, por ejemplo, en respuesta a una crisis, p.ej. Acuerdos del Plaza o del Louvre).</w:t>
      </w:r>
    </w:p>
    <w:p w14:paraId="520C8AD6" w14:textId="77777777" w:rsidR="00F3015F" w:rsidRDefault="00F3015F">
      <w:pPr>
        <w:pStyle w:val="Textonotapie"/>
        <w:numPr>
          <w:ilvl w:val="0"/>
          <w:numId w:val="9"/>
        </w:numPr>
        <w:ind w:left="283" w:hanging="170"/>
      </w:pPr>
      <w:r>
        <w:rPr>
          <w:i/>
          <w:iCs/>
          <w:u w:val="single"/>
        </w:rPr>
        <w:t>Coordinación permanente</w:t>
      </w:r>
      <w:r>
        <w:t xml:space="preserve"> (p.ej. Unión Europea).</w:t>
      </w:r>
    </w:p>
  </w:footnote>
  <w:footnote w:id="5">
    <w:p w14:paraId="5E8B410D" w14:textId="77777777" w:rsidR="001147E2" w:rsidRDefault="001147E2" w:rsidP="001147E2">
      <w:pPr>
        <w:pStyle w:val="Textonotapie"/>
        <w:keepNext/>
        <w:spacing w:after="0"/>
        <w:rPr>
          <w:lang w:val="en-US"/>
        </w:rPr>
      </w:pPr>
      <w:r>
        <w:rPr>
          <w:rStyle w:val="Refdenotaalpie"/>
        </w:rPr>
        <w:footnoteRef/>
      </w:r>
      <w:r w:rsidRPr="001147E2">
        <w:rPr>
          <w:lang w:val="en-US"/>
        </w:rPr>
        <w:t xml:space="preserve"> The opinions of academic e</w:t>
      </w:r>
      <w:r>
        <w:rPr>
          <w:lang w:val="en-US"/>
        </w:rPr>
        <w:t>conomists on the advisability of policy coordination have varied over time, largely in response to the introduction of new tools of economic analysis.</w:t>
      </w:r>
    </w:p>
    <w:p w14:paraId="6515927E" w14:textId="77777777" w:rsidR="001147E2" w:rsidRDefault="001147E2">
      <w:pPr>
        <w:pStyle w:val="Textonotapie"/>
        <w:numPr>
          <w:ilvl w:val="0"/>
          <w:numId w:val="33"/>
        </w:numPr>
        <w:spacing w:after="0"/>
        <w:ind w:left="283" w:hanging="113"/>
        <w:rPr>
          <w:lang w:val="en-US"/>
        </w:rPr>
      </w:pPr>
      <w:r>
        <w:rPr>
          <w:smallCaps/>
          <w:lang w:val="en-US"/>
        </w:rPr>
        <w:t>Milton Friedman</w:t>
      </w:r>
      <w:r>
        <w:rPr>
          <w:lang w:val="en-US"/>
        </w:rPr>
        <w:t xml:space="preserve"> (1953) and others recommended against explicit coordination, suggesting that private market forces could be trusted to achieve a desirable outcome. </w:t>
      </w:r>
      <w:proofErr w:type="gramStart"/>
      <w:r w:rsidRPr="001147E2">
        <w:rPr>
          <w:lang w:val="en-US"/>
        </w:rPr>
        <w:t>In particular, exchange</w:t>
      </w:r>
      <w:proofErr w:type="gramEnd"/>
      <w:r w:rsidRPr="001147E2">
        <w:rPr>
          <w:lang w:val="en-US"/>
        </w:rPr>
        <w:t xml:space="preserve"> rate movements could serve a useful f</w:t>
      </w:r>
      <w:r>
        <w:rPr>
          <w:lang w:val="en-US"/>
        </w:rPr>
        <w:t xml:space="preserve">unction of insulating countries against the macroeconomic shocks of their </w:t>
      </w:r>
      <w:proofErr w:type="spellStart"/>
      <w:r>
        <w:rPr>
          <w:lang w:val="en-US"/>
        </w:rPr>
        <w:t>neighbours</w:t>
      </w:r>
      <w:proofErr w:type="spellEnd"/>
      <w:r>
        <w:rPr>
          <w:lang w:val="en-US"/>
        </w:rPr>
        <w:t>.</w:t>
      </w:r>
    </w:p>
    <w:p w14:paraId="72B9830E" w14:textId="716FB23C" w:rsidR="001147E2" w:rsidRDefault="001147E2">
      <w:pPr>
        <w:pStyle w:val="Textonotapie"/>
        <w:numPr>
          <w:ilvl w:val="0"/>
          <w:numId w:val="33"/>
        </w:numPr>
        <w:spacing w:after="0"/>
        <w:ind w:left="283" w:hanging="113"/>
        <w:rPr>
          <w:lang w:val="en-US"/>
        </w:rPr>
      </w:pPr>
      <w:r>
        <w:rPr>
          <w:lang w:val="en-US"/>
        </w:rPr>
        <w:t>In contrast, economists of the 1970s and 1980s were able to find theoretical rationales for policy coordination, using Keynesian models that featured frictions that prevented economic markets for operating efficiently on their own.</w:t>
      </w:r>
    </w:p>
    <w:p w14:paraId="19B785EA" w14:textId="1EF68784" w:rsidR="001147E2" w:rsidRPr="001147E2" w:rsidRDefault="001147E2">
      <w:pPr>
        <w:pStyle w:val="Textonotapie"/>
        <w:numPr>
          <w:ilvl w:val="0"/>
          <w:numId w:val="33"/>
        </w:numPr>
        <w:ind w:left="283" w:hanging="113"/>
        <w:rPr>
          <w:lang w:val="en-US"/>
        </w:rPr>
      </w:pPr>
      <w:r w:rsidRPr="001147E2">
        <w:rPr>
          <w:lang w:val="en-US"/>
        </w:rPr>
        <w:t>Finally, a renewed interest in the subject since 2000, employing m</w:t>
      </w:r>
      <w:r>
        <w:rPr>
          <w:lang w:val="en-US"/>
        </w:rPr>
        <w:t>odels with more microeconomic foundations, has produced new theoretical reasons to question the usefulness of policy coordination.</w:t>
      </w:r>
    </w:p>
  </w:footnote>
  <w:footnote w:id="6">
    <w:p w14:paraId="5B57BD89" w14:textId="77777777" w:rsidR="005B4C3B" w:rsidRPr="000A24BD" w:rsidRDefault="005B4C3B" w:rsidP="005B4C3B">
      <w:pPr>
        <w:pStyle w:val="Textonotapie"/>
      </w:pPr>
      <w:r>
        <w:rPr>
          <w:rStyle w:val="Refdenotaalpie"/>
        </w:rPr>
        <w:footnoteRef/>
      </w:r>
      <w:r>
        <w:t xml:space="preserve"> </w:t>
      </w:r>
      <w:r>
        <w:rPr>
          <w:smallCaps/>
        </w:rPr>
        <w:t>Robert Mundell</w:t>
      </w:r>
      <w:r>
        <w:t xml:space="preserve"> fue galardonado con el Premio Nobel de Economía en 1999 </w:t>
      </w:r>
      <w:r w:rsidRPr="000A24BD">
        <w:t xml:space="preserve">«Por su análisis de la política fiscal y monetaria bajo diferentes regímenes de tipo de cambio y </w:t>
      </w:r>
      <w:r>
        <w:t xml:space="preserve">su análisis </w:t>
      </w:r>
      <w:r w:rsidRPr="000A24BD">
        <w:t>de las zonas monetarias óptimas».</w:t>
      </w:r>
    </w:p>
  </w:footnote>
  <w:footnote w:id="7">
    <w:p w14:paraId="442F46AA" w14:textId="77777777" w:rsidR="005B4C3B" w:rsidRDefault="005B4C3B" w:rsidP="005B4C3B">
      <w:pPr>
        <w:pStyle w:val="Textonotapie"/>
      </w:pPr>
      <w:r>
        <w:rPr>
          <w:rStyle w:val="Refdenotaalpie"/>
        </w:rPr>
        <w:footnoteRef/>
      </w:r>
      <w:r>
        <w:t xml:space="preserve"> Pese a tratarse de un modelo estático, en espíritu hay elementos dinámicos, pues el modelo sólo está en equilibrio cuando la economía se sitúa sobre las curvas. Para cualquier otra combinación de renta y tipos de interés existen mercados en desequilibrio que, de alguna manera, tienden a un equilibrio.</w:t>
      </w:r>
    </w:p>
  </w:footnote>
  <w:footnote w:id="8">
    <w:p w14:paraId="64B6B036" w14:textId="77777777" w:rsidR="005B4C3B" w:rsidRPr="003E62C9" w:rsidRDefault="005B4C3B" w:rsidP="005B4C3B">
      <w:pPr>
        <w:keepNext/>
        <w:spacing w:after="0"/>
        <w:rPr>
          <w:sz w:val="16"/>
          <w:szCs w:val="20"/>
        </w:rPr>
      </w:pPr>
      <w:r w:rsidRPr="009111EB">
        <w:rPr>
          <w:rStyle w:val="Refdenotaalpie"/>
          <w:sz w:val="16"/>
          <w:szCs w:val="16"/>
        </w:rPr>
        <w:footnoteRef/>
      </w:r>
      <w:r w:rsidRPr="009111EB">
        <w:rPr>
          <w:sz w:val="16"/>
          <w:szCs w:val="16"/>
        </w:rPr>
        <w:t xml:space="preserve"> Los</w:t>
      </w:r>
      <w:r w:rsidRPr="003E62C9">
        <w:rPr>
          <w:sz w:val="16"/>
          <w:szCs w:val="20"/>
        </w:rPr>
        <w:t xml:space="preserve"> 4</w:t>
      </w:r>
      <w:r>
        <w:rPr>
          <w:sz w:val="16"/>
          <w:szCs w:val="20"/>
        </w:rPr>
        <w:t> </w:t>
      </w:r>
      <w:r w:rsidRPr="003E62C9">
        <w:rPr>
          <w:sz w:val="16"/>
          <w:szCs w:val="20"/>
        </w:rPr>
        <w:t xml:space="preserve">últimos supuestos implican que el tipo de cambio nacional será igual al internacional, pues si la condición de equilibrio de los mercados financieros internacionales viene dada por la paridad descubierta de intereses, entonces </w:t>
      </w:r>
      <m:oMath>
        <m:r>
          <m:rPr>
            <m:nor/>
          </m:rPr>
          <w:rPr>
            <w:i/>
            <w:iCs/>
            <w:sz w:val="16"/>
            <w:szCs w:val="16"/>
          </w:rPr>
          <m:t>i</m:t>
        </m:r>
        <m:r>
          <w:rPr>
            <w:rFonts w:ascii="Cambria Math" w:hAnsi="Cambria Math"/>
            <w:sz w:val="16"/>
            <w:szCs w:val="16"/>
          </w:rPr>
          <m:t>=</m:t>
        </m:r>
        <m:sSup>
          <m:sSupPr>
            <m:ctrlPr>
              <w:rPr>
                <w:rFonts w:ascii="Cambria Math" w:hAnsi="Cambria Math"/>
                <w:i/>
                <w:iCs/>
                <w:sz w:val="16"/>
                <w:szCs w:val="16"/>
              </w:rPr>
            </m:ctrlPr>
          </m:sSupPr>
          <m:e>
            <m:r>
              <m:rPr>
                <m:nor/>
              </m:rPr>
              <w:rPr>
                <w:i/>
                <w:iCs/>
                <w:sz w:val="16"/>
                <w:szCs w:val="16"/>
              </w:rPr>
              <m:t>i</m:t>
            </m:r>
          </m:e>
          <m:sup>
            <m:r>
              <m:rPr>
                <m:nor/>
              </m:rPr>
              <w:rPr>
                <w:i/>
                <w:iCs/>
                <w:sz w:val="16"/>
                <w:szCs w:val="16"/>
              </w:rPr>
              <m:t>*</m:t>
            </m:r>
          </m:sup>
        </m:sSup>
      </m:oMath>
      <w:r w:rsidRPr="009111EB">
        <w:rPr>
          <w:sz w:val="16"/>
          <w:szCs w:val="16"/>
        </w:rPr>
        <w:t>:</w:t>
      </w:r>
    </w:p>
    <w:p w14:paraId="4F92FA42" w14:textId="77777777" w:rsidR="005B4C3B" w:rsidRPr="003E62C9" w:rsidRDefault="005B4C3B" w:rsidP="005B4C3B">
      <w:pPr>
        <w:pStyle w:val="Textonotapie"/>
        <w:rPr>
          <w:i/>
          <w:iCs/>
          <w:szCs w:val="16"/>
        </w:rPr>
      </w:pPr>
      <m:oMathPara>
        <m:oMath>
          <m:r>
            <w:rPr>
              <w:rFonts w:ascii="Cambria Math" w:eastAsiaTheme="minorEastAsia" w:hAnsi="Cambria Math"/>
              <w:szCs w:val="16"/>
            </w:rPr>
            <m:t xml:space="preserve"> </m:t>
          </m:r>
          <m:r>
            <m:rPr>
              <m:nor/>
            </m:rPr>
            <w:rPr>
              <w:i/>
              <w:iCs/>
              <w:szCs w:val="16"/>
            </w:rPr>
            <m:t>1</m:t>
          </m:r>
          <m:r>
            <w:rPr>
              <w:rFonts w:ascii="Cambria Math" w:hAnsi="Cambria Math"/>
              <w:szCs w:val="16"/>
            </w:rPr>
            <m:t>+</m:t>
          </m:r>
          <m:r>
            <m:rPr>
              <m:nor/>
            </m:rPr>
            <w:rPr>
              <w:i/>
              <w:iCs/>
              <w:szCs w:val="16"/>
            </w:rPr>
            <m:t>i</m:t>
          </m:r>
          <m:r>
            <w:rPr>
              <w:rFonts w:ascii="Cambria Math" w:hAnsi="Cambria Math"/>
              <w:szCs w:val="16"/>
            </w:rPr>
            <m:t>=</m:t>
          </m:r>
          <m:f>
            <m:fPr>
              <m:ctrlPr>
                <w:rPr>
                  <w:rFonts w:ascii="Cambria Math" w:hAnsi="Cambria Math"/>
                  <w:i/>
                  <w:iCs/>
                  <w:szCs w:val="16"/>
                </w:rPr>
              </m:ctrlPr>
            </m:fPr>
            <m:num>
              <m:sSup>
                <m:sSupPr>
                  <m:ctrlPr>
                    <w:rPr>
                      <w:rFonts w:ascii="Cambria Math" w:hAnsi="Cambria Math"/>
                      <w:i/>
                      <w:iCs/>
                      <w:szCs w:val="16"/>
                    </w:rPr>
                  </m:ctrlPr>
                </m:sSupPr>
                <m:e>
                  <m:r>
                    <m:rPr>
                      <m:nor/>
                    </m:rPr>
                    <w:rPr>
                      <w:i/>
                      <w:iCs/>
                      <w:szCs w:val="16"/>
                    </w:rPr>
                    <m:t>E</m:t>
                  </m:r>
                </m:e>
                <m:sup>
                  <m:r>
                    <m:rPr>
                      <m:nor/>
                    </m:rPr>
                    <w:rPr>
                      <w:i/>
                      <w:iCs/>
                      <w:szCs w:val="16"/>
                    </w:rPr>
                    <m:t>e</m:t>
                  </m:r>
                </m:sup>
              </m:sSup>
            </m:num>
            <m:den>
              <m:r>
                <m:rPr>
                  <m:nor/>
                </m:rPr>
                <w:rPr>
                  <w:i/>
                  <w:iCs/>
                  <w:szCs w:val="16"/>
                </w:rPr>
                <m:t>E</m:t>
              </m:r>
            </m:den>
          </m:f>
          <m:r>
            <w:rPr>
              <w:rFonts w:ascii="Cambria Math"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sSup>
                <m:sSupPr>
                  <m:ctrlPr>
                    <w:rPr>
                      <w:rFonts w:ascii="Cambria Math" w:hAnsi="Cambria Math"/>
                      <w:i/>
                      <w:iCs/>
                      <w:szCs w:val="16"/>
                    </w:rPr>
                  </m:ctrlPr>
                </m:sSupPr>
                <m:e>
                  <m:r>
                    <m:rPr>
                      <m:nor/>
                    </m:rPr>
                    <w:rPr>
                      <w:i/>
                      <w:iCs/>
                      <w:szCs w:val="16"/>
                    </w:rPr>
                    <m:t>i</m:t>
                  </m:r>
                </m:e>
                <m:sup>
                  <m:r>
                    <m:rPr>
                      <m:nor/>
                    </m:rPr>
                    <w:rPr>
                      <w:i/>
                      <w:iCs/>
                      <w:szCs w:val="16"/>
                    </w:rPr>
                    <m:t>*</m:t>
                  </m:r>
                </m:sup>
              </m:sSup>
            </m:e>
          </m:d>
          <m:groupChr>
            <m:groupChrPr>
              <m:chr m:val="→"/>
              <m:vertJc m:val="bot"/>
              <m:ctrlPr>
                <w:rPr>
                  <w:rFonts w:ascii="Cambria Math" w:hAnsi="Cambria Math"/>
                  <w:i/>
                  <w:iCs/>
                  <w:szCs w:val="16"/>
                </w:rPr>
              </m:ctrlPr>
            </m:groupChrPr>
            <m:e>
              <m:r>
                <m:rPr>
                  <m:nor/>
                </m:rPr>
                <w:rPr>
                  <w:i/>
                  <w:iCs/>
                  <w:szCs w:val="16"/>
                </w:rPr>
                <m:t>  </m:t>
              </m:r>
            </m:e>
          </m:groupChr>
          <m:r>
            <m:rPr>
              <m:nor/>
            </m:rPr>
            <w:rPr>
              <w:i/>
              <w:iCs/>
              <w:szCs w:val="16"/>
            </w:rPr>
            <m:t>1</m:t>
          </m:r>
          <m:r>
            <w:rPr>
              <w:rFonts w:ascii="Cambria Math" w:hAnsi="Cambria Math"/>
              <w:szCs w:val="16"/>
            </w:rPr>
            <m:t>+</m:t>
          </m:r>
          <m:r>
            <m:rPr>
              <m:nor/>
            </m:rPr>
            <w:rPr>
              <w:i/>
              <w:iCs/>
              <w:szCs w:val="16"/>
            </w:rPr>
            <m:t>i</m:t>
          </m:r>
          <m:r>
            <w:rPr>
              <w:rFonts w:ascii="Cambria Math" w:hAnsi="Cambria Math"/>
              <w:szCs w:val="16"/>
            </w:rPr>
            <m:t>=</m:t>
          </m:r>
          <m:r>
            <m:rPr>
              <m:nor/>
            </m:rPr>
            <w:rPr>
              <w:i/>
              <w:iCs/>
              <w:szCs w:val="16"/>
            </w:rPr>
            <m:t>1</m:t>
          </m:r>
          <m:r>
            <w:rPr>
              <w:rFonts w:ascii="Cambria Math" w:hAnsi="Cambria Math"/>
              <w:szCs w:val="16"/>
            </w:rPr>
            <m:t>+</m:t>
          </m:r>
          <m:sSup>
            <m:sSupPr>
              <m:ctrlPr>
                <w:rPr>
                  <w:rFonts w:ascii="Cambria Math" w:hAnsi="Cambria Math"/>
                  <w:i/>
                  <w:iCs/>
                  <w:szCs w:val="16"/>
                </w:rPr>
              </m:ctrlPr>
            </m:sSupPr>
            <m:e>
              <m:r>
                <m:rPr>
                  <m:nor/>
                </m:rPr>
                <w:rPr>
                  <w:i/>
                  <w:iCs/>
                  <w:szCs w:val="16"/>
                </w:rPr>
                <m:t>i</m:t>
              </m:r>
            </m:e>
            <m:sup>
              <m:r>
                <m:rPr>
                  <m:nor/>
                </m:rPr>
                <w:rPr>
                  <w:i/>
                  <w:iCs/>
                  <w:szCs w:val="16"/>
                </w:rPr>
                <m:t>*</m:t>
              </m:r>
            </m:sup>
          </m:sSup>
          <m:groupChr>
            <m:groupChrPr>
              <m:chr m:val="→"/>
              <m:vertJc m:val="bot"/>
              <m:ctrlPr>
                <w:rPr>
                  <w:rFonts w:ascii="Cambria Math" w:hAnsi="Cambria Math"/>
                  <w:i/>
                  <w:iCs/>
                  <w:szCs w:val="16"/>
                </w:rPr>
              </m:ctrlPr>
            </m:groupChrPr>
            <m:e>
              <m:r>
                <w:rPr>
                  <w:rFonts w:ascii="Cambria Math" w:hAnsi="Cambria Math"/>
                  <w:szCs w:val="16"/>
                </w:rPr>
                <m:t>  </m:t>
              </m:r>
            </m:e>
          </m:groupChr>
          <m:r>
            <m:rPr>
              <m:nor/>
            </m:rPr>
            <w:rPr>
              <w:i/>
              <w:iCs/>
              <w:szCs w:val="16"/>
            </w:rPr>
            <m:t>i</m:t>
          </m:r>
          <m:r>
            <w:rPr>
              <w:rFonts w:ascii="Cambria Math" w:hAnsi="Cambria Math"/>
              <w:szCs w:val="16"/>
            </w:rPr>
            <m:t>=</m:t>
          </m:r>
          <m:sSup>
            <m:sSupPr>
              <m:ctrlPr>
                <w:rPr>
                  <w:rFonts w:ascii="Cambria Math" w:hAnsi="Cambria Math"/>
                  <w:i/>
                  <w:iCs/>
                  <w:szCs w:val="16"/>
                </w:rPr>
              </m:ctrlPr>
            </m:sSupPr>
            <m:e>
              <m:r>
                <m:rPr>
                  <m:nor/>
                </m:rPr>
                <w:rPr>
                  <w:i/>
                  <w:iCs/>
                  <w:szCs w:val="16"/>
                </w:rPr>
                <m:t>i</m:t>
              </m:r>
            </m:e>
            <m:sup>
              <m:r>
                <m:rPr>
                  <m:nor/>
                </m:rPr>
                <w:rPr>
                  <w:i/>
                  <w:iCs/>
                  <w:szCs w:val="16"/>
                </w:rPr>
                <m:t>*</m:t>
              </m:r>
            </m:sup>
          </m:sSup>
        </m:oMath>
      </m:oMathPara>
    </w:p>
  </w:footnote>
  <w:footnote w:id="9">
    <w:p w14:paraId="54978C5E" w14:textId="77777777" w:rsidR="005B4C3B" w:rsidRDefault="005B4C3B" w:rsidP="005B4C3B">
      <w:pPr>
        <w:pStyle w:val="Textonotapie"/>
        <w:keepNext/>
        <w:spacing w:after="0"/>
      </w:pPr>
      <w:r>
        <w:rPr>
          <w:rStyle w:val="Refdenotaalpie"/>
        </w:rPr>
        <w:footnoteRef/>
      </w:r>
      <w:r>
        <w:t xml:space="preserve"> Realmente lo que hemos supuesto es lo siguiente:</w:t>
      </w:r>
    </w:p>
    <w:p w14:paraId="54F0DC8C" w14:textId="77777777" w:rsidR="005B4C3B" w:rsidRPr="00AE0C47" w:rsidRDefault="00000000" w:rsidP="005B4C3B">
      <w:pPr>
        <w:pStyle w:val="Textonotapie"/>
        <w:keepNext/>
        <w:spacing w:after="0"/>
        <w:rPr>
          <w:lang w:val="en-US"/>
        </w:rPr>
      </w:pPr>
      <m:oMathPara>
        <m:oMath>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color w:val="auto"/>
                      <w:u w:val="none"/>
                      <w:lang w:val="en-US"/>
                    </w:rPr>
                    <m:t>CC</m:t>
                  </m:r>
                </m:e>
              </m:groupChr>
            </m:e>
            <m:lim>
              <m:r>
                <m:rPr>
                  <m:nor/>
                </m:rPr>
                <w:rPr>
                  <w:rStyle w:val="Hipervnculo"/>
                  <w:i/>
                  <w:color w:val="auto"/>
                  <w:u w:val="none"/>
                  <w:lang w:val="en-US"/>
                </w:rPr>
                <m:t>CB&amp;S</m:t>
              </m:r>
              <m:r>
                <w:rPr>
                  <w:rStyle w:val="Hipervnculo"/>
                  <w:rFonts w:ascii="Cambria Math" w:hAnsi="Cambria Math"/>
                  <w:color w:val="auto"/>
                  <w:u w:val="none"/>
                  <w:lang w:val="en-US"/>
                </w:rPr>
                <m:t>+</m:t>
              </m:r>
              <m:limLow>
                <m:limLowPr>
                  <m:ctrlPr>
                    <w:rPr>
                      <w:rStyle w:val="Hipervnculo"/>
                      <w:rFonts w:ascii="Cambria Math" w:hAnsi="Cambria Math"/>
                      <w:i/>
                      <w:color w:val="auto"/>
                      <w:u w:val="none"/>
                      <w:lang w:val="fr-FR"/>
                    </w:rPr>
                  </m:ctrlPr>
                </m:limLowPr>
                <m:e>
                  <m:groupChr>
                    <m:groupChrPr>
                      <m:ctrlPr>
                        <w:rPr>
                          <w:rStyle w:val="Hipervnculo"/>
                          <w:rFonts w:ascii="Cambria Math" w:hAnsi="Cambria Math"/>
                          <w:i/>
                          <w:color w:val="auto"/>
                          <w:u w:val="none"/>
                          <w:lang w:val="fr-FR"/>
                        </w:rPr>
                      </m:ctrlPr>
                    </m:groupChrPr>
                    <m:e>
                      <m:r>
                        <m:rPr>
                          <m:nor/>
                        </m:rPr>
                        <w:rPr>
                          <w:rStyle w:val="Hipervnculo"/>
                          <w:i/>
                          <w:strike/>
                          <w:color w:val="C00000"/>
                          <w:u w:val="none"/>
                          <w:lang w:val="en-US"/>
                        </w:rPr>
                        <m:t>CR1</m:t>
                      </m:r>
                      <m:r>
                        <m:rPr>
                          <m:nor/>
                        </m:rPr>
                        <w:rPr>
                          <w:rStyle w:val="Hipervnculo"/>
                          <w:i/>
                          <w:color w:val="C00000"/>
                          <w:u w:val="none"/>
                          <w:vertAlign w:val="superscript"/>
                          <w:lang w:val="en-US"/>
                        </w:rPr>
                        <m:t>as</m:t>
                      </m:r>
                    </m:e>
                  </m:groupChr>
                </m:e>
                <m:lim>
                  <m:sSub>
                    <m:sSubPr>
                      <m:ctrlPr>
                        <w:rPr>
                          <w:rStyle w:val="Hipervnculo"/>
                          <w:rFonts w:ascii="Cambria Math" w:hAnsi="Cambria Math"/>
                          <w:i/>
                          <w:strike/>
                          <w:color w:val="C00000"/>
                          <w:u w:val="none"/>
                          <w:lang w:val="fr-FR"/>
                        </w:rPr>
                      </m:ctrlPr>
                    </m:sSubPr>
                    <m:e>
                      <m:r>
                        <m:rPr>
                          <m:nor/>
                        </m:rPr>
                        <w:rPr>
                          <w:rStyle w:val="Hipervnculo"/>
                          <w:i/>
                          <w:strike/>
                          <w:color w:val="C00000"/>
                          <w:u w:val="none"/>
                          <w:lang w:val="en-US"/>
                        </w:rPr>
                        <m:t>CR1</m:t>
                      </m:r>
                      <m:r>
                        <m:rPr>
                          <m:nor/>
                        </m:rPr>
                        <w:rPr>
                          <w:rStyle w:val="Hipervnculo"/>
                          <w:i/>
                          <w:color w:val="C00000"/>
                          <w:u w:val="none"/>
                          <w:vertAlign w:val="superscript"/>
                          <w:lang w:val="en-US"/>
                        </w:rPr>
                        <m:t>as</m:t>
                      </m:r>
                    </m:e>
                    <m:sub>
                      <m:r>
                        <m:rPr>
                          <m:nor/>
                        </m:rPr>
                        <w:rPr>
                          <w:rStyle w:val="Hipervnculo"/>
                          <w:i/>
                          <w:color w:val="C00000"/>
                          <w:u w:val="none"/>
                          <w:lang w:val="en-US"/>
                        </w:rPr>
                        <m:t>K</m:t>
                      </m:r>
                    </m:sub>
                  </m:sSub>
                  <m:r>
                    <w:rPr>
                      <w:rStyle w:val="Hipervnculo"/>
                      <w:rFonts w:ascii="Cambria Math" w:hAnsi="Cambria Math"/>
                      <w:color w:val="auto"/>
                      <w:u w:val="none"/>
                      <w:lang w:val="en-US"/>
                    </w:rPr>
                    <m:t>+</m:t>
                  </m:r>
                  <m:sSub>
                    <m:sSubPr>
                      <m:ctrlPr>
                        <w:rPr>
                          <w:rStyle w:val="Hipervnculo"/>
                          <w:rFonts w:ascii="Cambria Math" w:hAnsi="Cambria Math"/>
                          <w:i/>
                          <w:strike/>
                          <w:color w:val="C00000"/>
                          <w:u w:val="none"/>
                          <w:lang w:val="fr-FR"/>
                        </w:rPr>
                      </m:ctrlPr>
                    </m:sSubPr>
                    <m:e>
                      <m:r>
                        <m:rPr>
                          <m:nor/>
                        </m:rPr>
                        <w:rPr>
                          <w:rStyle w:val="Hipervnculo"/>
                          <w:i/>
                          <w:strike/>
                          <w:color w:val="C00000"/>
                          <w:u w:val="none"/>
                          <w:lang w:val="en-US"/>
                        </w:rPr>
                        <m:t>CR1</m:t>
                      </m:r>
                      <m:r>
                        <m:rPr>
                          <m:nor/>
                        </m:rPr>
                        <w:rPr>
                          <w:rStyle w:val="Hipervnculo"/>
                          <w:i/>
                          <w:color w:val="C00000"/>
                          <w:u w:val="none"/>
                          <w:vertAlign w:val="superscript"/>
                          <w:lang w:val="en-US"/>
                        </w:rPr>
                        <m:t>as</m:t>
                      </m:r>
                    </m:e>
                    <m:sub>
                      <m:r>
                        <m:rPr>
                          <m:nor/>
                        </m:rPr>
                        <w:rPr>
                          <w:rStyle w:val="Hipervnculo"/>
                          <w:i/>
                          <w:color w:val="C00000"/>
                          <w:u w:val="none"/>
                          <w:lang w:val="en-US"/>
                        </w:rPr>
                        <m:t>L</m:t>
                      </m:r>
                    </m:sub>
                  </m:sSub>
                </m:lim>
              </m:limLow>
              <m:r>
                <w:rPr>
                  <w:rStyle w:val="Hipervnculo"/>
                  <w:rFonts w:ascii="Cambria Math" w:hAnsi="Cambria Math"/>
                  <w:color w:val="auto"/>
                  <w:u w:val="none"/>
                  <w:lang w:val="en-US"/>
                </w:rPr>
                <m:t>+</m:t>
              </m:r>
              <m:r>
                <m:rPr>
                  <m:nor/>
                </m:rPr>
                <w:rPr>
                  <w:rStyle w:val="Hipervnculo"/>
                  <w:i/>
                  <w:strike/>
                  <w:color w:val="C00000"/>
                  <w:u w:val="none"/>
                  <w:lang w:val="en-US"/>
                </w:rPr>
                <m:t>CR2</m:t>
              </m:r>
              <m:r>
                <m:rPr>
                  <m:nor/>
                </m:rPr>
                <w:rPr>
                  <w:rStyle w:val="Hipervnculo"/>
                  <w:i/>
                  <w:color w:val="C00000"/>
                  <w:u w:val="none"/>
                  <w:vertAlign w:val="superscript"/>
                  <w:lang w:val="en-US"/>
                </w:rPr>
                <m:t>as</m:t>
              </m:r>
            </m:lim>
          </m:limLow>
          <m:r>
            <w:rPr>
              <w:rStyle w:val="Hipervnculo"/>
              <w:rFonts w:ascii="Cambria Math" w:hAnsi="Cambria Math"/>
              <w:color w:val="auto"/>
              <w:u w:val="none"/>
              <w:lang w:val="en-US"/>
            </w:rPr>
            <m:t>+</m:t>
          </m:r>
          <m:r>
            <m:rPr>
              <m:nor/>
            </m:rPr>
            <w:rPr>
              <w:rStyle w:val="Hipervnculo"/>
              <w:i/>
              <w:strike/>
              <w:color w:val="C00000"/>
              <w:u w:val="none"/>
              <w:lang w:val="en-US"/>
            </w:rPr>
            <m:t>CK</m:t>
          </m:r>
          <m:r>
            <w:rPr>
              <w:rStyle w:val="Hipervnculo"/>
              <w:rFonts w:ascii="Cambria Math" w:hAnsi="Cambria Math"/>
              <w:color w:val="auto"/>
              <w:u w:val="none"/>
              <w:lang w:val="en-US"/>
            </w:rPr>
            <m:t>+</m:t>
          </m:r>
          <m:r>
            <m:rPr>
              <m:nor/>
            </m:rPr>
            <w:rPr>
              <w:rStyle w:val="Hipervnculo"/>
              <w:i/>
              <w:strike/>
              <w:color w:val="C00000"/>
              <w:u w:val="none"/>
              <w:lang w:val="en-US"/>
            </w:rPr>
            <m:t>EO</m:t>
          </m:r>
          <m:r>
            <w:rPr>
              <w:rStyle w:val="Hipervnculo"/>
              <w:rFonts w:ascii="Cambria Math" w:hAnsi="Cambria Math"/>
              <w:color w:val="auto"/>
              <w:u w:val="none"/>
              <w:lang w:val="en-US"/>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color w:val="auto"/>
                      <w:u w:val="none"/>
                      <w:lang w:val="en-US"/>
                    </w:rPr>
                    <m:t>CF</m:t>
                  </m:r>
                </m:e>
              </m:groupChr>
            </m:e>
            <m:lim>
              <m:r>
                <m:rPr>
                  <m:nor/>
                </m:rPr>
                <w:rPr>
                  <w:rStyle w:val="Hipervnculo"/>
                  <w:i/>
                  <w:color w:val="auto"/>
                  <w:u w:val="none"/>
                  <w:lang w:val="en-US"/>
                </w:rPr>
                <m:t>ID</m:t>
              </m:r>
              <m:r>
                <w:rPr>
                  <w:rStyle w:val="Hipervnculo"/>
                  <w:rFonts w:ascii="Cambria Math" w:hAnsi="Cambria Math"/>
                  <w:color w:val="auto"/>
                  <w:u w:val="none"/>
                  <w:lang w:val="en-US"/>
                </w:rPr>
                <m:t>+</m:t>
              </m:r>
              <m:r>
                <m:rPr>
                  <m:nor/>
                </m:rPr>
                <w:rPr>
                  <w:rStyle w:val="Hipervnculo"/>
                  <w:i/>
                  <w:color w:val="auto"/>
                  <w:u w:val="none"/>
                  <w:lang w:val="en-US"/>
                </w:rPr>
                <m:t>IC</m:t>
              </m:r>
              <m:r>
                <w:rPr>
                  <w:rStyle w:val="Hipervnculo"/>
                  <w:rFonts w:ascii="Cambria Math" w:hAnsi="Cambria Math"/>
                  <w:color w:val="auto"/>
                  <w:u w:val="none"/>
                  <w:lang w:val="en-US"/>
                </w:rPr>
                <m:t>+</m:t>
              </m:r>
              <m:r>
                <m:rPr>
                  <m:nor/>
                </m:rPr>
                <w:rPr>
                  <w:rStyle w:val="Hipervnculo"/>
                  <w:i/>
                  <w:color w:val="auto"/>
                  <w:u w:val="none"/>
                  <w:lang w:val="en-US"/>
                </w:rPr>
                <m:t>Otra inversión</m:t>
              </m:r>
              <m:r>
                <w:rPr>
                  <w:rStyle w:val="Hipervnculo"/>
                  <w:rFonts w:ascii="Cambria Math" w:hAnsi="Cambria Math"/>
                  <w:color w:val="auto"/>
                  <w:u w:val="none"/>
                  <w:lang w:val="en-US"/>
                </w:rPr>
                <m:t>+</m:t>
              </m:r>
              <m:r>
                <m:rPr>
                  <m:nor/>
                </m:rPr>
                <w:rPr>
                  <w:rStyle w:val="Hipervnculo"/>
                  <w:i/>
                  <w:color w:val="auto"/>
                  <w:u w:val="none"/>
                  <w:lang w:val="en-US"/>
                </w:rPr>
                <m:t>Derivados</m:t>
              </m:r>
              <m:r>
                <w:rPr>
                  <w:rStyle w:val="Hipervnculo"/>
                  <w:rFonts w:ascii="Cambria Math" w:hAnsi="Cambria Math"/>
                  <w:color w:val="auto"/>
                  <w:u w:val="none"/>
                  <w:lang w:val="en-US"/>
                </w:rPr>
                <m:t>+</m:t>
              </m:r>
              <m:r>
                <m:rPr>
                  <m:nor/>
                </m:rPr>
                <w:rPr>
                  <w:i/>
                  <w:szCs w:val="16"/>
                  <w:lang w:val="en-US"/>
                </w:rPr>
                <m:t>∆R</m:t>
              </m:r>
            </m:lim>
          </m:limLow>
        </m:oMath>
      </m:oMathPara>
    </w:p>
    <w:p w14:paraId="3749BE00" w14:textId="0D840A55" w:rsidR="005B4C3B" w:rsidRDefault="005B4C3B" w:rsidP="005B4C3B">
      <w:pPr>
        <w:pStyle w:val="Textonotapie"/>
      </w:pPr>
      <w:r>
        <w:t>Así, el saldo por cuenta corriente queda reflejado en las exportaciones netas (que como ya hemos introducido en la curva</w:t>
      </w:r>
      <w:r w:rsidR="0035426E">
        <w:rPr>
          <w:b/>
        </w:rPr>
        <w:t> </w:t>
      </w:r>
      <w:r>
        <w:rPr>
          <w:i/>
          <w:iCs/>
        </w:rPr>
        <w:t>IS</w:t>
      </w:r>
      <w:r>
        <w:t xml:space="preserve"> depende positivamente de la renta extranjera y del tipo de cambio real, y negativamente de la renta nacional).</w:t>
      </w:r>
    </w:p>
    <w:p w14:paraId="230AE95B" w14:textId="77777777" w:rsidR="005B4C3B" w:rsidRPr="00AE0C47" w:rsidRDefault="005B4C3B" w:rsidP="005B4C3B">
      <w:pPr>
        <w:pStyle w:val="Textonotapie"/>
      </w:pPr>
      <w:r>
        <w:t xml:space="preserve">Por su parte, la cuenta financiera dependerá del diferencial de tipos de interés, de modo que si los tipos de interés nacionales son mayores que los internacionales se producirá una entrada de capitales. Estos flujos de capitales dependerán del grado de movilidad de capitales </w:t>
      </w:r>
      <m:oMath>
        <m:r>
          <m:rPr>
            <m:nor/>
          </m:rPr>
          <w:rPr>
            <w:i/>
            <w:lang w:val="en-US"/>
          </w:rPr>
          <m:t>β</m:t>
        </m:r>
      </m:oMath>
      <w:r w:rsidRPr="00AE0C47">
        <w:rPr>
          <w:rFonts w:eastAsiaTheme="minorEastAsia"/>
        </w:rPr>
        <w:t>.</w:t>
      </w:r>
    </w:p>
  </w:footnote>
  <w:footnote w:id="10">
    <w:p w14:paraId="7015CA0F" w14:textId="69713194" w:rsidR="000C2F1F" w:rsidRPr="000C2F1F" w:rsidRDefault="000C2F1F" w:rsidP="000C2F1F">
      <w:pPr>
        <w:pStyle w:val="Textonotapie"/>
        <w:spacing w:after="0"/>
      </w:pPr>
      <w:r>
        <w:rPr>
          <w:rStyle w:val="Refdenotaalpie"/>
        </w:rPr>
        <w:footnoteRef/>
      </w:r>
      <w:r>
        <w:t xml:space="preserve"> Si el País </w:t>
      </w:r>
      <w:r w:rsidRPr="000C2F1F">
        <w:rPr>
          <w:i/>
          <w:iCs/>
        </w:rPr>
        <w:t>A</w:t>
      </w:r>
      <w:r w:rsidRPr="000C2F1F">
        <w:t xml:space="preserve"> </w:t>
      </w:r>
      <w:r>
        <w:t>decide llevar a cabo una política monetaria expansiva se producirán los siguientes efectos:</w:t>
      </w:r>
    </w:p>
    <w:p w14:paraId="2740D78C" w14:textId="01049829" w:rsidR="000C2F1F" w:rsidRDefault="000C2F1F">
      <w:pPr>
        <w:pStyle w:val="Textonotapie"/>
        <w:numPr>
          <w:ilvl w:val="0"/>
          <w:numId w:val="32"/>
        </w:numPr>
        <w:spacing w:after="0"/>
        <w:ind w:left="283" w:hanging="113"/>
      </w:pPr>
      <w:r w:rsidRPr="000C2F1F">
        <w:rPr>
          <w:i/>
          <w:iCs/>
        </w:rPr>
        <w:t>Efectos directos (efecto renta)</w:t>
      </w:r>
      <w:r>
        <w:t>:</w:t>
      </w:r>
    </w:p>
    <w:p w14:paraId="7D99D459" w14:textId="10AF4B03" w:rsidR="000C2F1F" w:rsidRDefault="000C2F1F">
      <w:pPr>
        <w:pStyle w:val="Textonotapie"/>
        <w:numPr>
          <w:ilvl w:val="1"/>
          <w:numId w:val="32"/>
        </w:numPr>
        <w:spacing w:after="0"/>
        <w:ind w:left="567" w:hanging="113"/>
      </w:pPr>
      <w:r>
        <w:t>País </w:t>
      </w:r>
      <w:r w:rsidRPr="000C2F1F">
        <w:rPr>
          <w:i/>
          <w:iCs/>
        </w:rPr>
        <w:t>A</w:t>
      </w:r>
      <w:r>
        <w:t xml:space="preserve">: La política monetaria expansiva de </w:t>
      </w:r>
      <w:r w:rsidRPr="000C2F1F">
        <w:rPr>
          <w:i/>
          <w:iCs/>
        </w:rPr>
        <w:t>A</w:t>
      </w:r>
      <w:r>
        <w:t xml:space="preserve"> desplaza la curva LM hacia la derecha, aumentando la renta.</w:t>
      </w:r>
    </w:p>
    <w:p w14:paraId="117446E8" w14:textId="6B3FE0E3" w:rsidR="000C2F1F" w:rsidRDefault="000C2F1F">
      <w:pPr>
        <w:pStyle w:val="Textonotapie"/>
        <w:numPr>
          <w:ilvl w:val="1"/>
          <w:numId w:val="32"/>
        </w:numPr>
        <w:spacing w:after="0"/>
        <w:ind w:left="567" w:hanging="113"/>
      </w:pPr>
      <w:r>
        <w:t>País </w:t>
      </w:r>
      <w:r w:rsidRPr="000C2F1F">
        <w:rPr>
          <w:i/>
          <w:iCs/>
        </w:rPr>
        <w:t>B</w:t>
      </w:r>
      <w:r>
        <w:t xml:space="preserve">: El aumento de la renta de </w:t>
      </w:r>
      <w:r w:rsidRPr="000C2F1F">
        <w:rPr>
          <w:i/>
          <w:iCs/>
        </w:rPr>
        <w:t>A</w:t>
      </w:r>
      <w:r>
        <w:t xml:space="preserve"> provoca un aumento de la demanda de productos importados desde </w:t>
      </w:r>
      <w:r w:rsidRPr="000C2F1F">
        <w:rPr>
          <w:i/>
          <w:iCs/>
        </w:rPr>
        <w:t>B</w:t>
      </w:r>
      <w:r>
        <w:t xml:space="preserve"> (aumenta </w:t>
      </w:r>
      <w:r w:rsidRPr="000C2F1F">
        <w:rPr>
          <w:i/>
          <w:iCs/>
        </w:rPr>
        <w:t>Y</w:t>
      </w:r>
      <w:r>
        <w:t xml:space="preserve">), de manera que en </w:t>
      </w:r>
      <w:r w:rsidRPr="000C2F1F">
        <w:rPr>
          <w:i/>
          <w:iCs/>
        </w:rPr>
        <w:t>B</w:t>
      </w:r>
      <w:r>
        <w:t xml:space="preserve"> la curva IS se desplaza hacia la derecha.</w:t>
      </w:r>
    </w:p>
    <w:p w14:paraId="34D0ED67" w14:textId="0CA35C94" w:rsidR="000C2F1F" w:rsidRDefault="000C2F1F">
      <w:pPr>
        <w:pStyle w:val="Textonotapie"/>
        <w:numPr>
          <w:ilvl w:val="0"/>
          <w:numId w:val="32"/>
        </w:numPr>
        <w:spacing w:after="0"/>
        <w:ind w:left="283" w:hanging="113"/>
      </w:pPr>
      <w:r w:rsidRPr="000C2F1F">
        <w:rPr>
          <w:i/>
          <w:iCs/>
        </w:rPr>
        <w:t>Efectos indirectos (efecto monetario)</w:t>
      </w:r>
      <w:r>
        <w:t>:</w:t>
      </w:r>
    </w:p>
    <w:p w14:paraId="4E3047F5" w14:textId="505409D0" w:rsidR="000C2F1F" w:rsidRDefault="000C2F1F">
      <w:pPr>
        <w:pStyle w:val="Textonotapie"/>
        <w:numPr>
          <w:ilvl w:val="1"/>
          <w:numId w:val="32"/>
        </w:numPr>
        <w:spacing w:after="0"/>
        <w:ind w:left="567" w:hanging="113"/>
      </w:pPr>
      <w:r>
        <w:t>País </w:t>
      </w:r>
      <w:r w:rsidRPr="000C2F1F">
        <w:rPr>
          <w:i/>
          <w:iCs/>
        </w:rPr>
        <w:t>A</w:t>
      </w:r>
      <w:r>
        <w:t xml:space="preserve">: El tipo de interés en </w:t>
      </w:r>
      <w:r w:rsidRPr="000C2F1F">
        <w:rPr>
          <w:i/>
          <w:iCs/>
        </w:rPr>
        <w:t>A</w:t>
      </w:r>
      <w:r>
        <w:t xml:space="preserve"> será menor que el internacional por lo que existirán presiones de depreciación en </w:t>
      </w:r>
      <w:r w:rsidRPr="000C2F1F">
        <w:rPr>
          <w:i/>
          <w:iCs/>
        </w:rPr>
        <w:t>A</w:t>
      </w:r>
      <w:r>
        <w:t xml:space="preserve"> debido a la salida de capitales.</w:t>
      </w:r>
    </w:p>
    <w:p w14:paraId="64DC0BBC" w14:textId="77777777" w:rsidR="000C2F1F" w:rsidRDefault="000C2F1F">
      <w:pPr>
        <w:pStyle w:val="Textonotapie"/>
        <w:numPr>
          <w:ilvl w:val="1"/>
          <w:numId w:val="32"/>
        </w:numPr>
        <w:spacing w:after="0"/>
        <w:ind w:left="567" w:hanging="113"/>
      </w:pPr>
      <w:r>
        <w:t>País </w:t>
      </w:r>
      <w:r w:rsidRPr="000C2F1F">
        <w:rPr>
          <w:i/>
          <w:iCs/>
        </w:rPr>
        <w:t>B</w:t>
      </w:r>
      <w:r>
        <w:t xml:space="preserve">: El tipo de interés en </w:t>
      </w:r>
      <w:r w:rsidRPr="000C2F1F">
        <w:rPr>
          <w:i/>
          <w:iCs/>
        </w:rPr>
        <w:t>B</w:t>
      </w:r>
      <w:r>
        <w:t xml:space="preserve"> será mayor que el internacional, por lo que deberá llevar una política monetaria expansiva vía compra de reservas para reequilibrar el tipo de cambio.</w:t>
      </w:r>
    </w:p>
    <w:p w14:paraId="6CAD95E4" w14:textId="77777777" w:rsidR="000C2F1F" w:rsidRDefault="000C2F1F">
      <w:pPr>
        <w:pStyle w:val="Textonotapie"/>
        <w:numPr>
          <w:ilvl w:val="2"/>
          <w:numId w:val="32"/>
        </w:numPr>
        <w:spacing w:after="0"/>
        <w:ind w:left="850" w:hanging="113"/>
      </w:pPr>
      <w:r>
        <w:t>No obstante, al ser ambos países grandes, el resultado final dependerá del tamaño de cada país.</w:t>
      </w:r>
    </w:p>
    <w:p w14:paraId="2CEB9745" w14:textId="77777777" w:rsidR="000C2F1F" w:rsidRDefault="000C2F1F">
      <w:pPr>
        <w:pStyle w:val="Textonotapie"/>
        <w:numPr>
          <w:ilvl w:val="2"/>
          <w:numId w:val="32"/>
        </w:numPr>
        <w:spacing w:after="0"/>
        <w:ind w:left="850" w:hanging="113"/>
      </w:pPr>
      <w:r>
        <w:t xml:space="preserve">Suponiendo que ambos países sean del mismo tamaño y que el efecto directo de la política monetaria expansiva es mayor en </w:t>
      </w:r>
      <w:r>
        <w:rPr>
          <w:i/>
          <w:iCs/>
        </w:rPr>
        <w:t>A</w:t>
      </w:r>
      <w:r>
        <w:t xml:space="preserve"> que en </w:t>
      </w:r>
      <w:r>
        <w:rPr>
          <w:i/>
          <w:iCs/>
        </w:rPr>
        <w:t>B</w:t>
      </w:r>
      <w:r>
        <w:t>, el tipo de interés internacional se reducirá, con los siguientes efectos:</w:t>
      </w:r>
    </w:p>
    <w:p w14:paraId="7FE2ABC2" w14:textId="40B046A0" w:rsidR="00A86D39" w:rsidRDefault="00A86D39">
      <w:pPr>
        <w:pStyle w:val="Textonotapie"/>
        <w:numPr>
          <w:ilvl w:val="3"/>
          <w:numId w:val="32"/>
        </w:numPr>
        <w:spacing w:after="0"/>
        <w:ind w:left="1134" w:hanging="113"/>
      </w:pPr>
      <w:r>
        <w:t>En el país </w:t>
      </w:r>
      <w:r w:rsidRPr="00A86D39">
        <w:rPr>
          <w:i/>
          <w:iCs/>
        </w:rPr>
        <w:t>A</w:t>
      </w:r>
      <w:r>
        <w:t>,</w:t>
      </w:r>
      <w:r w:rsidR="000C2F1F">
        <w:t xml:space="preserve"> el ajuste de la </w:t>
      </w:r>
      <w:r>
        <w:t>política monetaria</w:t>
      </w:r>
      <w:r w:rsidR="000C2F1F">
        <w:t xml:space="preserve"> vía compra de divisas será menor que el requerido </w:t>
      </w:r>
      <w:r>
        <w:t xml:space="preserve">en caso de ser éste un país pequeño </w:t>
      </w:r>
      <w:r w:rsidR="000C2F1F">
        <w:t>y el equilibrio vendrá dado por el punto</w:t>
      </w:r>
      <w:r>
        <w:t> </w:t>
      </w:r>
      <w:r w:rsidR="007839C9">
        <w:rPr>
          <w:i/>
          <w:iCs/>
        </w:rPr>
        <w:t>3</w:t>
      </w:r>
      <w:r w:rsidR="000C2F1F">
        <w:t>.</w:t>
      </w:r>
    </w:p>
    <w:p w14:paraId="0FCDA125" w14:textId="45924F27" w:rsidR="000C2F1F" w:rsidRDefault="00A86D39">
      <w:pPr>
        <w:pStyle w:val="Textonotapie"/>
        <w:numPr>
          <w:ilvl w:val="3"/>
          <w:numId w:val="32"/>
        </w:numPr>
        <w:ind w:left="1134" w:hanging="113"/>
      </w:pPr>
      <w:r>
        <w:t>En el país </w:t>
      </w:r>
      <w:r w:rsidRPr="00A86D39">
        <w:rPr>
          <w:i/>
          <w:iCs/>
        </w:rPr>
        <w:t>B</w:t>
      </w:r>
      <w:r w:rsidR="000C2F1F">
        <w:t xml:space="preserve">, el ajuste vía compra de divisas será mayor que el requerido </w:t>
      </w:r>
      <w:r>
        <w:t>en ausencia de variaciones del tipo de interés internacional</w:t>
      </w:r>
      <w:r w:rsidR="000C2F1F">
        <w:t>.</w:t>
      </w:r>
    </w:p>
    <w:p w14:paraId="1DCE9906" w14:textId="30512CDE" w:rsidR="00A86D39" w:rsidRDefault="007839C9" w:rsidP="007839C9">
      <w:pPr>
        <w:pStyle w:val="Textonotapie"/>
        <w:ind w:left="1134"/>
        <w:jc w:val="center"/>
      </w:pPr>
      <w:r>
        <w:rPr>
          <w:noProof/>
        </w:rPr>
        <w:drawing>
          <wp:inline distT="0" distB="0" distL="0" distR="0" wp14:anchorId="3532FD1E" wp14:editId="374FB3A0">
            <wp:extent cx="1920133" cy="1080000"/>
            <wp:effectExtent l="0" t="0" r="4445" b="6350"/>
            <wp:docPr id="174043218" name="Imagen 2"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3218" name="Imagen 2" descr="Gráfico, Diagrama&#10;&#10;Descripción generada automáticamente"/>
                    <pic:cNvPicPr/>
                  </pic:nvPicPr>
                  <pic:blipFill>
                    <a:blip r:embed="rId1"/>
                    <a:stretch>
                      <a:fillRect/>
                    </a:stretch>
                  </pic:blipFill>
                  <pic:spPr>
                    <a:xfrm>
                      <a:off x="0" y="0"/>
                      <a:ext cx="1920133" cy="1080000"/>
                    </a:xfrm>
                    <a:prstGeom prst="rect">
                      <a:avLst/>
                    </a:prstGeom>
                  </pic:spPr>
                </pic:pic>
              </a:graphicData>
            </a:graphic>
          </wp:inline>
        </w:drawing>
      </w:r>
    </w:p>
  </w:footnote>
  <w:footnote w:id="11">
    <w:p w14:paraId="12AAC292" w14:textId="77777777" w:rsidR="00E304C3" w:rsidRDefault="00E304C3" w:rsidP="00E304C3">
      <w:pPr>
        <w:pStyle w:val="Textonotapie"/>
        <w:keepNext/>
        <w:spacing w:after="0"/>
      </w:pPr>
      <w:r>
        <w:rPr>
          <w:rStyle w:val="Refdenotaalpie"/>
        </w:rPr>
        <w:footnoteRef/>
      </w:r>
      <w:r>
        <w:t xml:space="preserve"> Para el caso de la Unión Europea, podemos mencionar 2 modelos:</w:t>
      </w:r>
    </w:p>
    <w:p w14:paraId="3BF70D64" w14:textId="77777777" w:rsidR="00E304C3" w:rsidRDefault="00E304C3">
      <w:pPr>
        <w:pStyle w:val="Textonotapie"/>
        <w:numPr>
          <w:ilvl w:val="0"/>
          <w:numId w:val="25"/>
        </w:numPr>
        <w:spacing w:after="0"/>
        <w:ind w:left="283" w:hanging="113"/>
      </w:pPr>
      <w:r w:rsidRPr="006E07C1">
        <w:rPr>
          <w:i/>
          <w:iCs/>
        </w:rPr>
        <w:t>Modelo QUEST</w:t>
      </w:r>
      <w:r>
        <w:rPr>
          <w:i/>
          <w:iCs/>
        </w:rPr>
        <w:t xml:space="preserve"> (</w:t>
      </w:r>
      <w:proofErr w:type="spellStart"/>
      <w:r w:rsidRPr="005359C8">
        <w:rPr>
          <w:i/>
          <w:iCs/>
        </w:rPr>
        <w:t>Quarterly</w:t>
      </w:r>
      <w:proofErr w:type="spellEnd"/>
      <w:r w:rsidRPr="005359C8">
        <w:rPr>
          <w:i/>
          <w:iCs/>
        </w:rPr>
        <w:t xml:space="preserve"> </w:t>
      </w:r>
      <w:proofErr w:type="spellStart"/>
      <w:r w:rsidRPr="005359C8">
        <w:rPr>
          <w:i/>
          <w:iCs/>
        </w:rPr>
        <w:t>European</w:t>
      </w:r>
      <w:proofErr w:type="spellEnd"/>
      <w:r w:rsidRPr="005359C8">
        <w:rPr>
          <w:i/>
          <w:iCs/>
        </w:rPr>
        <w:t xml:space="preserve"> </w:t>
      </w:r>
      <w:proofErr w:type="spellStart"/>
      <w:r w:rsidRPr="005359C8">
        <w:rPr>
          <w:i/>
          <w:iCs/>
        </w:rPr>
        <w:t>Simulation</w:t>
      </w:r>
      <w:proofErr w:type="spellEnd"/>
      <w:r w:rsidRPr="005359C8">
        <w:rPr>
          <w:i/>
          <w:iCs/>
        </w:rPr>
        <w:t xml:space="preserve"> Tool</w:t>
      </w:r>
      <w:r>
        <w:rPr>
          <w:i/>
          <w:iCs/>
        </w:rPr>
        <w:t>)</w:t>
      </w:r>
      <w:r>
        <w:t xml:space="preserve">: Se trata de un modelo EGDE neokeynesiano utilizado para comprender y analizar la situación de la economía europea. Fue desarrollado por el </w:t>
      </w:r>
      <w:r w:rsidRPr="006E07C1">
        <w:t>Directora</w:t>
      </w:r>
      <w:r>
        <w:t>do</w:t>
      </w:r>
      <w:r w:rsidRPr="006E07C1">
        <w:t xml:space="preserve"> General </w:t>
      </w:r>
      <w:r>
        <w:t>para Asuntos</w:t>
      </w:r>
      <w:r w:rsidRPr="006E07C1">
        <w:t xml:space="preserve"> Económic</w:t>
      </w:r>
      <w:r>
        <w:t>os</w:t>
      </w:r>
      <w:r w:rsidRPr="006E07C1">
        <w:t xml:space="preserve"> </w:t>
      </w:r>
      <w:r>
        <w:t>y</w:t>
      </w:r>
      <w:r w:rsidRPr="006E07C1">
        <w:t xml:space="preserve"> Financi</w:t>
      </w:r>
      <w:r>
        <w:t xml:space="preserve">eros (DG ECFIN) y que cuenta con numerosas variantes: </w:t>
      </w:r>
      <w:hyperlink r:id="rId2" w:history="1">
        <w:r w:rsidRPr="00613B67">
          <w:rPr>
            <w:rStyle w:val="Hipervnculo"/>
          </w:rPr>
          <w:t>https://web.jrc.ec.europa.eu/policy-model-inventory/explore/models/model-quest</w:t>
        </w:r>
      </w:hyperlink>
    </w:p>
    <w:p w14:paraId="0FC99191" w14:textId="77777777" w:rsidR="00E304C3" w:rsidRDefault="00E304C3">
      <w:pPr>
        <w:pStyle w:val="Textonotapie"/>
        <w:numPr>
          <w:ilvl w:val="0"/>
          <w:numId w:val="25"/>
        </w:numPr>
        <w:ind w:left="283" w:hanging="113"/>
      </w:pPr>
      <w:r w:rsidRPr="006E07C1">
        <w:rPr>
          <w:i/>
          <w:iCs/>
        </w:rPr>
        <w:t xml:space="preserve">Modelo Global </w:t>
      </w:r>
      <w:proofErr w:type="spellStart"/>
      <w:r w:rsidRPr="006E07C1">
        <w:rPr>
          <w:i/>
          <w:iCs/>
        </w:rPr>
        <w:t>Multi-país</w:t>
      </w:r>
      <w:proofErr w:type="spellEnd"/>
      <w:r w:rsidRPr="006E07C1">
        <w:rPr>
          <w:i/>
          <w:iCs/>
        </w:rPr>
        <w:t xml:space="preserve"> (Global </w:t>
      </w:r>
      <w:proofErr w:type="spellStart"/>
      <w:r w:rsidRPr="006E07C1">
        <w:rPr>
          <w:i/>
          <w:iCs/>
        </w:rPr>
        <w:t>Multi-country</w:t>
      </w:r>
      <w:proofErr w:type="spellEnd"/>
      <w:r w:rsidRPr="006E07C1">
        <w:rPr>
          <w:i/>
          <w:iCs/>
        </w:rPr>
        <w:t xml:space="preserve"> </w:t>
      </w:r>
      <w:proofErr w:type="spellStart"/>
      <w:r w:rsidRPr="006E07C1">
        <w:rPr>
          <w:i/>
          <w:iCs/>
        </w:rPr>
        <w:t>model</w:t>
      </w:r>
      <w:proofErr w:type="spellEnd"/>
      <w:r w:rsidRPr="006E07C1">
        <w:rPr>
          <w:i/>
          <w:iCs/>
        </w:rPr>
        <w:t>)</w:t>
      </w:r>
      <w:r>
        <w:t xml:space="preserve">: </w:t>
      </w:r>
      <w:hyperlink r:id="rId3" w:history="1">
        <w:r w:rsidRPr="00613B67">
          <w:rPr>
            <w:rStyle w:val="Hipervnculo"/>
          </w:rPr>
          <w:t>https://economy-finance.ec.europa.eu/economic-research-and-databases/economic-research/macroeconomic-models/global-multi-country-gm-model_es</w:t>
        </w:r>
      </w:hyperlink>
    </w:p>
  </w:footnote>
  <w:footnote w:id="12">
    <w:p w14:paraId="42E23228" w14:textId="77777777" w:rsidR="00E304C3" w:rsidRPr="00924DEA" w:rsidRDefault="00E304C3" w:rsidP="00E304C3">
      <w:pPr>
        <w:pStyle w:val="Textonotapie"/>
        <w:rPr>
          <w:lang w:val="en-US"/>
        </w:rPr>
      </w:pPr>
      <w:r>
        <w:rPr>
          <w:rStyle w:val="Refdenotaalpie"/>
        </w:rPr>
        <w:footnoteRef/>
      </w:r>
      <w:r w:rsidRPr="00924DEA">
        <w:rPr>
          <w:lang w:val="en-US"/>
        </w:rPr>
        <w:t xml:space="preserve"> Throughout the paper we maintain the Aggregate Demand / Aggregate Supply conceptual apparatus of most macro textbooks, although our graphical approach is closer in spirit to the microeconomic treatment of input/output relations. Thus, readers used to think about </w:t>
      </w:r>
      <w:r>
        <w:rPr>
          <w:lang w:val="en-US"/>
        </w:rPr>
        <w:t>‘</w:t>
      </w:r>
      <w:r w:rsidRPr="00924DEA">
        <w:rPr>
          <w:lang w:val="en-US"/>
        </w:rPr>
        <w:t>Aggregate Supply</w:t>
      </w:r>
      <w:r>
        <w:rPr>
          <w:lang w:val="en-US"/>
        </w:rPr>
        <w:t xml:space="preserve">’ </w:t>
      </w:r>
      <w:r w:rsidRPr="00924DEA">
        <w:rPr>
          <w:lang w:val="en-US"/>
        </w:rPr>
        <w:t>in reference to the relation between the price level and output, or in</w:t>
      </w:r>
      <w:r>
        <w:rPr>
          <w:lang w:val="en-US"/>
        </w:rPr>
        <w:t>fl</w:t>
      </w:r>
      <w:r w:rsidRPr="00924DEA">
        <w:rPr>
          <w:lang w:val="en-US"/>
        </w:rPr>
        <w:t xml:space="preserve">ation and the output gap, may prefer to consider our AS </w:t>
      </w:r>
      <w:r>
        <w:rPr>
          <w:lang w:val="en-US"/>
        </w:rPr>
        <w:t>s</w:t>
      </w:r>
      <w:r w:rsidRPr="00924DEA">
        <w:rPr>
          <w:lang w:val="en-US"/>
        </w:rPr>
        <w:t>chedule as the consumption-employment relation implied by the technology of productio</w:t>
      </w:r>
      <w:r>
        <w:rPr>
          <w:lang w:val="en-US"/>
        </w:rPr>
        <w:t>n.</w:t>
      </w:r>
    </w:p>
  </w:footnote>
  <w:footnote w:id="13">
    <w:p w14:paraId="7AAAF122" w14:textId="77777777" w:rsidR="00E304C3" w:rsidRDefault="00E304C3" w:rsidP="00E304C3">
      <w:pPr>
        <w:pStyle w:val="Textonotapie"/>
        <w:keepNext/>
        <w:spacing w:after="0"/>
      </w:pPr>
      <w:r>
        <w:rPr>
          <w:rStyle w:val="Refdenotaalpie"/>
        </w:rPr>
        <w:footnoteRef/>
      </w:r>
      <w:r>
        <w:t xml:space="preserve"> El término </w:t>
      </w:r>
      <m:oMath>
        <m:r>
          <m:rPr>
            <m:nor/>
          </m:rPr>
          <w:rPr>
            <w:i/>
          </w:rPr>
          <m:t>τ</m:t>
        </m:r>
      </m:oMath>
      <w:r>
        <w:rPr>
          <w:rFonts w:eastAsiaTheme="minorEastAsia"/>
        </w:rPr>
        <w:t xml:space="preserve"> se define de la siguiente manera</w:t>
      </w:r>
      <w:r>
        <w:t>:</w:t>
      </w:r>
    </w:p>
    <w:p w14:paraId="0AF1A5EF" w14:textId="77777777" w:rsidR="00E304C3" w:rsidRPr="001067A4" w:rsidRDefault="00E304C3" w:rsidP="00E304C3">
      <w:pPr>
        <w:pStyle w:val="Textonotapie"/>
        <w:jc w:val="center"/>
        <w:rPr>
          <w:sz w:val="15"/>
          <w:szCs w:val="15"/>
        </w:rPr>
      </w:pPr>
      <m:oMathPara>
        <m:oMath>
          <m:r>
            <m:rPr>
              <m:nor/>
            </m:rPr>
            <w:rPr>
              <w:rFonts w:ascii="Cambria Math"/>
              <w:iCs/>
              <w:sz w:val="15"/>
              <w:szCs w:val="15"/>
            </w:rPr>
            <m:t xml:space="preserve"> </m:t>
          </m:r>
          <m:r>
            <m:rPr>
              <m:nor/>
            </m:rPr>
            <w:rPr>
              <w:i/>
              <w:sz w:val="15"/>
              <w:szCs w:val="15"/>
            </w:rPr>
            <m:t>τ</m:t>
          </m:r>
          <m:r>
            <w:rPr>
              <w:rFonts w:ascii="Cambria Math" w:hAnsi="Cambria Math"/>
              <w:sz w:val="15"/>
              <w:szCs w:val="15"/>
            </w:rPr>
            <m:t>≡</m:t>
          </m:r>
          <m:sSup>
            <m:sSupPr>
              <m:ctrlPr>
                <w:rPr>
                  <w:rFonts w:ascii="Cambria Math" w:hAnsi="Cambria Math"/>
                  <w:i/>
                  <w:noProof/>
                  <w:sz w:val="15"/>
                  <w:szCs w:val="15"/>
                </w:rPr>
              </m:ctrlPr>
            </m:sSupPr>
            <m:e>
              <m:d>
                <m:dPr>
                  <m:begChr m:val="["/>
                  <m:endChr m:val="]"/>
                  <m:ctrlPr>
                    <w:rPr>
                      <w:rFonts w:ascii="Cambria Math" w:hAnsi="Cambria Math"/>
                      <w:i/>
                      <w:noProof/>
                      <w:sz w:val="15"/>
                      <w:szCs w:val="15"/>
                    </w:rPr>
                  </m:ctrlPr>
                </m:dPr>
                <m:e>
                  <m:f>
                    <m:fPr>
                      <m:ctrlPr>
                        <w:rPr>
                          <w:rFonts w:ascii="Cambria Math" w:hAnsi="Cambria Math"/>
                          <w:i/>
                          <w:noProof/>
                          <w:sz w:val="15"/>
                          <w:szCs w:val="15"/>
                        </w:rPr>
                      </m:ctrlPr>
                    </m:fPr>
                    <m:num>
                      <m:r>
                        <m:rPr>
                          <m:nor/>
                        </m:rPr>
                        <w:rPr>
                          <w:i/>
                          <w:sz w:val="15"/>
                          <w:szCs w:val="15"/>
                        </w:rPr>
                        <m:t>P</m:t>
                      </m:r>
                    </m:num>
                    <m:den>
                      <m:r>
                        <m:rPr>
                          <m:nor/>
                        </m:rPr>
                        <w:rPr>
                          <w:i/>
                          <w:sz w:val="15"/>
                          <w:szCs w:val="15"/>
                        </w:rPr>
                        <m:t>2</m:t>
                      </m:r>
                    </m:den>
                  </m:f>
                  <m:r>
                    <w:rPr>
                      <w:rFonts w:ascii="Cambria Math" w:hAnsi="Cambria Math"/>
                      <w:noProof/>
                      <w:sz w:val="15"/>
                      <w:szCs w:val="15"/>
                    </w:rPr>
                    <m:t>∙</m:t>
                  </m:r>
                  <m:d>
                    <m:dPr>
                      <m:ctrlPr>
                        <w:rPr>
                          <w:rFonts w:ascii="Cambria Math" w:hAnsi="Cambria Math"/>
                          <w:i/>
                          <w:noProof/>
                          <w:sz w:val="15"/>
                          <w:szCs w:val="15"/>
                        </w:rPr>
                      </m:ctrlPr>
                    </m:dPr>
                    <m:e>
                      <m:f>
                        <m:fPr>
                          <m:ctrlPr>
                            <w:rPr>
                              <w:rFonts w:ascii="Cambria Math" w:hAnsi="Cambria Math"/>
                              <w:i/>
                              <w:noProof/>
                              <w:sz w:val="15"/>
                              <w:szCs w:val="15"/>
                            </w:rPr>
                          </m:ctrlPr>
                        </m:fPr>
                        <m:num>
                          <m:r>
                            <m:rPr>
                              <m:nor/>
                            </m:rPr>
                            <w:rPr>
                              <w:i/>
                              <w:sz w:val="15"/>
                              <w:szCs w:val="15"/>
                            </w:rPr>
                            <m:t>1</m:t>
                          </m:r>
                        </m:num>
                        <m:den>
                          <m:sSub>
                            <m:sSubPr>
                              <m:ctrlPr>
                                <w:rPr>
                                  <w:rFonts w:ascii="Cambria Math" w:hAnsi="Cambria Math"/>
                                  <w:i/>
                                  <w:sz w:val="15"/>
                                  <w:szCs w:val="15"/>
                                </w:rPr>
                              </m:ctrlPr>
                            </m:sSubPr>
                            <m:e>
                              <m:r>
                                <m:rPr>
                                  <m:nor/>
                                </m:rPr>
                                <w:rPr>
                                  <w:i/>
                                  <w:sz w:val="15"/>
                                  <w:szCs w:val="15"/>
                                </w:rPr>
                                <m:t>P</m:t>
                              </m:r>
                            </m:e>
                            <m:sub>
                              <m:r>
                                <m:rPr>
                                  <m:nor/>
                                </m:rPr>
                                <w:rPr>
                                  <w:i/>
                                  <w:sz w:val="15"/>
                                  <w:szCs w:val="15"/>
                                </w:rPr>
                                <m:t>H</m:t>
                              </m:r>
                            </m:sub>
                          </m:sSub>
                        </m:den>
                      </m:f>
                      <m:r>
                        <w:rPr>
                          <w:rFonts w:ascii="Cambria Math" w:hAnsi="Cambria Math"/>
                          <w:noProof/>
                          <w:sz w:val="15"/>
                          <w:szCs w:val="15"/>
                        </w:rPr>
                        <m:t>+</m:t>
                      </m:r>
                      <m:f>
                        <m:fPr>
                          <m:ctrlPr>
                            <w:rPr>
                              <w:rFonts w:ascii="Cambria Math" w:hAnsi="Cambria Math"/>
                              <w:i/>
                              <w:noProof/>
                              <w:sz w:val="15"/>
                              <w:szCs w:val="15"/>
                            </w:rPr>
                          </m:ctrlPr>
                        </m:fPr>
                        <m:num>
                          <m:r>
                            <m:rPr>
                              <m:nor/>
                            </m:rPr>
                            <w:rPr>
                              <w:i/>
                              <w:sz w:val="15"/>
                              <w:szCs w:val="15"/>
                            </w:rPr>
                            <m:t>1</m:t>
                          </m:r>
                        </m:num>
                        <m:den>
                          <m:r>
                            <m:rPr>
                              <m:nor/>
                            </m:rPr>
                            <w:rPr>
                              <w:i/>
                              <w:sz w:val="15"/>
                              <w:szCs w:val="15"/>
                            </w:rPr>
                            <m:t>E</m:t>
                          </m:r>
                          <m:r>
                            <w:rPr>
                              <w:rFonts w:ascii="Cambria Math" w:hAnsi="Cambria Math"/>
                              <w:noProof/>
                              <w:sz w:val="15"/>
                              <w:szCs w:val="15"/>
                            </w:rPr>
                            <m:t>∙</m:t>
                          </m:r>
                          <m:sSubSup>
                            <m:sSubSupPr>
                              <m:ctrlPr>
                                <w:rPr>
                                  <w:rFonts w:ascii="Cambria Math" w:hAnsi="Cambria Math"/>
                                  <w:i/>
                                  <w:sz w:val="15"/>
                                  <w:szCs w:val="15"/>
                                </w:rPr>
                              </m:ctrlPr>
                            </m:sSubSupPr>
                            <m:e>
                              <m:r>
                                <m:rPr>
                                  <m:nor/>
                                </m:rPr>
                                <w:rPr>
                                  <w:i/>
                                  <w:sz w:val="15"/>
                                  <w:szCs w:val="15"/>
                                </w:rPr>
                                <m:t>P</m:t>
                              </m:r>
                            </m:e>
                            <m:sub>
                              <m:r>
                                <m:rPr>
                                  <m:nor/>
                                </m:rPr>
                                <w:rPr>
                                  <w:i/>
                                  <w:sz w:val="15"/>
                                  <w:szCs w:val="15"/>
                                </w:rPr>
                                <m:t>H</m:t>
                              </m:r>
                            </m:sub>
                            <m:sup>
                              <m:r>
                                <m:rPr>
                                  <m:nor/>
                                </m:rPr>
                                <w:rPr>
                                  <w:i/>
                                  <w:sz w:val="15"/>
                                  <w:szCs w:val="15"/>
                                </w:rPr>
                                <m:t>*</m:t>
                              </m:r>
                            </m:sup>
                          </m:sSubSup>
                        </m:den>
                      </m:f>
                    </m:e>
                  </m:d>
                </m:e>
              </m:d>
            </m:e>
            <m:sup>
              <m:r>
                <w:rPr>
                  <w:rFonts w:ascii="Cambria Math" w:hAnsi="Cambria Math"/>
                  <w:noProof/>
                  <w:sz w:val="15"/>
                  <w:szCs w:val="15"/>
                </w:rPr>
                <m:t>-</m:t>
              </m:r>
              <m:r>
                <m:rPr>
                  <m:nor/>
                </m:rPr>
                <w:rPr>
                  <w:i/>
                  <w:sz w:val="15"/>
                  <w:szCs w:val="15"/>
                </w:rPr>
                <m:t>1</m:t>
              </m:r>
            </m:sup>
          </m:sSup>
          <m:r>
            <w:rPr>
              <w:rFonts w:ascii="Cambria Math" w:eastAsiaTheme="minorEastAsia" w:hAnsi="Cambria Math"/>
              <w:noProof/>
              <w:sz w:val="15"/>
              <w:szCs w:val="15"/>
            </w:rPr>
            <m:t xml:space="preserve">                </m:t>
          </m:r>
          <m:r>
            <m:rPr>
              <m:nor/>
            </m:rPr>
            <w:rPr>
              <w:i/>
              <w:sz w:val="15"/>
              <w:szCs w:val="15"/>
            </w:rPr>
            <m:t>τ*</m:t>
          </m:r>
          <m:r>
            <w:rPr>
              <w:rFonts w:ascii="Cambria Math" w:hAnsi="Cambria Math"/>
              <w:sz w:val="15"/>
              <w:szCs w:val="15"/>
            </w:rPr>
            <m:t>≡</m:t>
          </m:r>
          <m:sSup>
            <m:sSupPr>
              <m:ctrlPr>
                <w:rPr>
                  <w:rFonts w:ascii="Cambria Math" w:hAnsi="Cambria Math"/>
                  <w:i/>
                  <w:noProof/>
                  <w:sz w:val="15"/>
                  <w:szCs w:val="15"/>
                </w:rPr>
              </m:ctrlPr>
            </m:sSupPr>
            <m:e>
              <m:d>
                <m:dPr>
                  <m:begChr m:val="["/>
                  <m:endChr m:val="]"/>
                  <m:ctrlPr>
                    <w:rPr>
                      <w:rFonts w:ascii="Cambria Math" w:hAnsi="Cambria Math"/>
                      <w:i/>
                      <w:noProof/>
                      <w:sz w:val="15"/>
                      <w:szCs w:val="15"/>
                    </w:rPr>
                  </m:ctrlPr>
                </m:dPr>
                <m:e>
                  <m:f>
                    <m:fPr>
                      <m:ctrlPr>
                        <w:rPr>
                          <w:rFonts w:ascii="Cambria Math" w:hAnsi="Cambria Math"/>
                          <w:i/>
                          <w:noProof/>
                          <w:sz w:val="15"/>
                          <w:szCs w:val="15"/>
                        </w:rPr>
                      </m:ctrlPr>
                    </m:fPr>
                    <m:num>
                      <m:r>
                        <m:rPr>
                          <m:nor/>
                        </m:rPr>
                        <w:rPr>
                          <w:i/>
                          <w:sz w:val="15"/>
                          <w:szCs w:val="15"/>
                        </w:rPr>
                        <m:t>P*</m:t>
                      </m:r>
                    </m:num>
                    <m:den>
                      <m:r>
                        <m:rPr>
                          <m:nor/>
                        </m:rPr>
                        <w:rPr>
                          <w:i/>
                          <w:sz w:val="15"/>
                          <w:szCs w:val="15"/>
                        </w:rPr>
                        <m:t>2</m:t>
                      </m:r>
                    </m:den>
                  </m:f>
                  <m:r>
                    <w:rPr>
                      <w:rFonts w:ascii="Cambria Math" w:hAnsi="Cambria Math"/>
                      <w:noProof/>
                      <w:sz w:val="15"/>
                      <w:szCs w:val="15"/>
                    </w:rPr>
                    <m:t>∙</m:t>
                  </m:r>
                  <m:d>
                    <m:dPr>
                      <m:ctrlPr>
                        <w:rPr>
                          <w:rFonts w:ascii="Cambria Math" w:hAnsi="Cambria Math"/>
                          <w:i/>
                          <w:noProof/>
                          <w:sz w:val="15"/>
                          <w:szCs w:val="15"/>
                        </w:rPr>
                      </m:ctrlPr>
                    </m:dPr>
                    <m:e>
                      <m:f>
                        <m:fPr>
                          <m:ctrlPr>
                            <w:rPr>
                              <w:rFonts w:ascii="Cambria Math" w:hAnsi="Cambria Math"/>
                              <w:i/>
                              <w:noProof/>
                              <w:sz w:val="15"/>
                              <w:szCs w:val="15"/>
                            </w:rPr>
                          </m:ctrlPr>
                        </m:fPr>
                        <m:num>
                          <m:r>
                            <m:rPr>
                              <m:nor/>
                            </m:rPr>
                            <w:rPr>
                              <w:i/>
                              <w:sz w:val="15"/>
                              <w:szCs w:val="15"/>
                            </w:rPr>
                            <m:t>1</m:t>
                          </m:r>
                        </m:num>
                        <m:den>
                          <m:sSubSup>
                            <m:sSubSupPr>
                              <m:ctrlPr>
                                <w:rPr>
                                  <w:rFonts w:ascii="Cambria Math" w:hAnsi="Cambria Math"/>
                                  <w:i/>
                                  <w:sz w:val="15"/>
                                  <w:szCs w:val="15"/>
                                </w:rPr>
                              </m:ctrlPr>
                            </m:sSubSupPr>
                            <m:e>
                              <m:r>
                                <m:rPr>
                                  <m:nor/>
                                </m:rPr>
                                <w:rPr>
                                  <w:i/>
                                  <w:sz w:val="15"/>
                                  <w:szCs w:val="15"/>
                                </w:rPr>
                                <m:t>P</m:t>
                              </m:r>
                            </m:e>
                            <m:sub>
                              <m:r>
                                <m:rPr>
                                  <m:nor/>
                                </m:rPr>
                                <w:rPr>
                                  <w:i/>
                                  <w:sz w:val="15"/>
                                  <w:szCs w:val="15"/>
                                </w:rPr>
                                <m:t>F</m:t>
                              </m:r>
                            </m:sub>
                            <m:sup>
                              <m:r>
                                <m:rPr>
                                  <m:nor/>
                                </m:rPr>
                                <w:rPr>
                                  <w:i/>
                                  <w:sz w:val="15"/>
                                  <w:szCs w:val="15"/>
                                </w:rPr>
                                <m:t>*</m:t>
                              </m:r>
                            </m:sup>
                          </m:sSubSup>
                        </m:den>
                      </m:f>
                      <m:r>
                        <w:rPr>
                          <w:rFonts w:ascii="Cambria Math" w:hAnsi="Cambria Math"/>
                          <w:noProof/>
                          <w:sz w:val="15"/>
                          <w:szCs w:val="15"/>
                        </w:rPr>
                        <m:t>+</m:t>
                      </m:r>
                      <m:f>
                        <m:fPr>
                          <m:ctrlPr>
                            <w:rPr>
                              <w:rFonts w:ascii="Cambria Math" w:hAnsi="Cambria Math"/>
                              <w:i/>
                              <w:noProof/>
                              <w:sz w:val="15"/>
                              <w:szCs w:val="15"/>
                            </w:rPr>
                          </m:ctrlPr>
                        </m:fPr>
                        <m:num>
                          <m:r>
                            <m:rPr>
                              <m:nor/>
                            </m:rPr>
                            <w:rPr>
                              <w:i/>
                              <w:sz w:val="15"/>
                              <w:szCs w:val="15"/>
                            </w:rPr>
                            <m:t>E</m:t>
                          </m:r>
                        </m:num>
                        <m:den>
                          <m:sSub>
                            <m:sSubPr>
                              <m:ctrlPr>
                                <w:rPr>
                                  <w:rFonts w:ascii="Cambria Math" w:hAnsi="Cambria Math"/>
                                  <w:i/>
                                  <w:sz w:val="15"/>
                                  <w:szCs w:val="15"/>
                                </w:rPr>
                              </m:ctrlPr>
                            </m:sSubPr>
                            <m:e>
                              <m:r>
                                <m:rPr>
                                  <m:nor/>
                                </m:rPr>
                                <w:rPr>
                                  <w:i/>
                                  <w:sz w:val="15"/>
                                  <w:szCs w:val="15"/>
                                </w:rPr>
                                <m:t>P</m:t>
                              </m:r>
                            </m:e>
                            <m:sub>
                              <m:r>
                                <m:rPr>
                                  <m:nor/>
                                </m:rPr>
                                <w:rPr>
                                  <w:i/>
                                  <w:sz w:val="15"/>
                                  <w:szCs w:val="15"/>
                                </w:rPr>
                                <m:t>F</m:t>
                              </m:r>
                            </m:sub>
                          </m:sSub>
                        </m:den>
                      </m:f>
                    </m:e>
                  </m:d>
                </m:e>
              </m:d>
            </m:e>
            <m:sup>
              <m:r>
                <w:rPr>
                  <w:rFonts w:ascii="Cambria Math" w:hAnsi="Cambria Math"/>
                  <w:noProof/>
                  <w:sz w:val="15"/>
                  <w:szCs w:val="15"/>
                </w:rPr>
                <m:t>-</m:t>
              </m:r>
              <m:r>
                <m:rPr>
                  <m:nor/>
                </m:rPr>
                <w:rPr>
                  <w:i/>
                  <w:sz w:val="15"/>
                  <w:szCs w:val="15"/>
                </w:rPr>
                <m:t>1</m:t>
              </m:r>
            </m:sup>
          </m:sSup>
        </m:oMath>
      </m:oMathPara>
    </w:p>
  </w:footnote>
  <w:footnote w:id="14">
    <w:p w14:paraId="7377699C" w14:textId="5E155C0E" w:rsidR="00E304C3" w:rsidRPr="00936102" w:rsidRDefault="00E304C3" w:rsidP="00E304C3">
      <w:pPr>
        <w:pStyle w:val="Textonotapie"/>
      </w:pPr>
      <w:r>
        <w:rPr>
          <w:rStyle w:val="Refdenotaalpie"/>
        </w:rPr>
        <w:footnoteRef/>
      </w:r>
      <w:r>
        <w:t xml:space="preserve"> Se asume competencia monopolística </w:t>
      </w:r>
      <w:r>
        <w:rPr>
          <w:i/>
          <w:iCs/>
        </w:rPr>
        <w:t xml:space="preserve">à la </w:t>
      </w:r>
      <w:r>
        <w:rPr>
          <w:smallCaps/>
        </w:rPr>
        <w:t>Dixit-Stiglitz</w:t>
      </w:r>
      <w:r>
        <w:t xml:space="preserve"> (1977) </w:t>
      </w:r>
      <w:r w:rsidRPr="00936102">
        <w:rPr>
          <w:color w:val="767171" w:themeColor="background2" w:themeShade="80"/>
          <w:sz w:val="14"/>
          <w:szCs w:val="14"/>
        </w:rPr>
        <w:t>[ver tema 3.A.1</w:t>
      </w:r>
      <w:r w:rsidR="00CD1668">
        <w:rPr>
          <w:color w:val="767171" w:themeColor="background2" w:themeShade="80"/>
          <w:sz w:val="14"/>
          <w:szCs w:val="14"/>
        </w:rPr>
        <w:t>8</w:t>
      </w:r>
      <w:r w:rsidRPr="00936102">
        <w:rPr>
          <w:color w:val="767171" w:themeColor="background2" w:themeShade="80"/>
          <w:sz w:val="14"/>
          <w:szCs w:val="14"/>
        </w:rPr>
        <w:t>]</w:t>
      </w:r>
      <w:r>
        <w:t>.</w:t>
      </w:r>
    </w:p>
  </w:footnote>
  <w:footnote w:id="15">
    <w:p w14:paraId="47830460" w14:textId="77777777" w:rsidR="0064544C" w:rsidRDefault="00ED7F1D" w:rsidP="0064544C">
      <w:pPr>
        <w:pStyle w:val="Textonotapie"/>
        <w:keepNext/>
        <w:spacing w:after="0"/>
        <w:rPr>
          <w:lang w:val="en-US"/>
        </w:rPr>
      </w:pPr>
      <w:r w:rsidRPr="0064544C">
        <w:rPr>
          <w:rStyle w:val="Refdenotaalpie"/>
        </w:rPr>
        <w:footnoteRef/>
      </w:r>
      <w:r w:rsidRPr="0064544C">
        <w:rPr>
          <w:lang w:val="en-US"/>
        </w:rPr>
        <w:t xml:space="preserve"> Although it may seem counter-intuitive, a policymaker wishing to maximize the welfare of his or her citizens in such an economy often will contract the money supply when output falls due to the productivity shock. This has the effect of raising the relative price of home goods and reducing demand and hence production</w:t>
      </w:r>
      <w:r w:rsidR="0064544C">
        <w:rPr>
          <w:lang w:val="en-US"/>
        </w:rPr>
        <w:t>:</w:t>
      </w:r>
    </w:p>
    <w:p w14:paraId="2C5D36B8" w14:textId="77777777" w:rsidR="0064544C" w:rsidRDefault="00ED7F1D">
      <w:pPr>
        <w:pStyle w:val="Textonotapie"/>
        <w:numPr>
          <w:ilvl w:val="0"/>
          <w:numId w:val="35"/>
        </w:numPr>
        <w:spacing w:after="0"/>
        <w:ind w:left="283" w:hanging="113"/>
        <w:rPr>
          <w:lang w:val="en-US"/>
        </w:rPr>
      </w:pPr>
      <w:r w:rsidRPr="0064544C">
        <w:rPr>
          <w:lang w:val="en-US"/>
        </w:rPr>
        <w:t xml:space="preserve">The outcome of this Nash game differs from the outcome described in the Mundell-Fleming </w:t>
      </w:r>
      <w:proofErr w:type="gramStart"/>
      <w:r w:rsidRPr="0064544C">
        <w:rPr>
          <w:lang w:val="en-US"/>
        </w:rPr>
        <w:t>model, and</w:t>
      </w:r>
      <w:proofErr w:type="gramEnd"/>
      <w:r w:rsidRPr="0064544C">
        <w:rPr>
          <w:lang w:val="en-US"/>
        </w:rPr>
        <w:t xml:space="preserve"> does not involve any </w:t>
      </w:r>
      <w:r w:rsidRPr="0064544C">
        <w:rPr>
          <w:i/>
          <w:iCs/>
          <w:lang w:val="en-US"/>
        </w:rPr>
        <w:t>beggar-thy-</w:t>
      </w:r>
      <w:proofErr w:type="spellStart"/>
      <w:r w:rsidRPr="0064544C">
        <w:rPr>
          <w:i/>
          <w:iCs/>
          <w:lang w:val="en-US"/>
        </w:rPr>
        <w:t>neighbour</w:t>
      </w:r>
      <w:proofErr w:type="spellEnd"/>
      <w:r w:rsidRPr="0064544C">
        <w:rPr>
          <w:lang w:val="en-US"/>
        </w:rPr>
        <w:t xml:space="preserve"> strategy.</w:t>
      </w:r>
    </w:p>
    <w:p w14:paraId="3EF9155B" w14:textId="23526E46" w:rsidR="0064544C" w:rsidRPr="0064544C" w:rsidRDefault="0064544C">
      <w:pPr>
        <w:pStyle w:val="Textonotapie"/>
        <w:numPr>
          <w:ilvl w:val="0"/>
          <w:numId w:val="35"/>
        </w:numPr>
        <w:spacing w:after="0"/>
        <w:ind w:left="283" w:hanging="113"/>
        <w:rPr>
          <w:lang w:val="en-US"/>
        </w:rPr>
      </w:pPr>
      <w:r w:rsidRPr="0064544C">
        <w:rPr>
          <w:lang w:val="en-US"/>
        </w:rPr>
        <w:t>Under certain conditions to be discussed below, t</w:t>
      </w:r>
      <w:r w:rsidR="00ED7F1D" w:rsidRPr="0064544C">
        <w:rPr>
          <w:lang w:val="en-US"/>
        </w:rPr>
        <w:t>he domestic policymaker is perfectly capable of replicating the flexible price outcome by the appropriate application of domestic policy.</w:t>
      </w:r>
    </w:p>
    <w:p w14:paraId="1AD130AF" w14:textId="4AD74183" w:rsidR="00ED7F1D" w:rsidRPr="0064544C" w:rsidRDefault="0064544C">
      <w:pPr>
        <w:pStyle w:val="Textonotapie"/>
        <w:numPr>
          <w:ilvl w:val="0"/>
          <w:numId w:val="35"/>
        </w:numPr>
        <w:ind w:left="283" w:hanging="113"/>
        <w:rPr>
          <w:spacing w:val="-4"/>
          <w:lang w:val="en-US"/>
        </w:rPr>
      </w:pPr>
      <w:r w:rsidRPr="0064544C">
        <w:rPr>
          <w:lang w:val="en-US"/>
        </w:rPr>
        <w:t>Moreover, u</w:t>
      </w:r>
      <w:r w:rsidR="00ED7F1D" w:rsidRPr="0064544C">
        <w:rPr>
          <w:lang w:val="en-US"/>
        </w:rPr>
        <w:t>nder certain conditions it turns out that the coordinated solution is identical to that for the Nash solution above. If policy in the two countries were dictated by a central coordinator trying to eliminate all externalities, the set of policies he would prescribe for each country would be identical to the policies that each country would have chosen independently. In this world the spillover argument fails to apply, and there is no benefit from international policy coordination.</w:t>
      </w:r>
    </w:p>
  </w:footnote>
  <w:footnote w:id="16">
    <w:p w14:paraId="471B70D2" w14:textId="77777777" w:rsidR="00E304C3" w:rsidRPr="002A3D93" w:rsidRDefault="00E304C3" w:rsidP="00E304C3">
      <w:pPr>
        <w:pStyle w:val="Textonotapie"/>
        <w:rPr>
          <w:lang w:val="en-US"/>
        </w:rPr>
      </w:pPr>
      <w:r>
        <w:rPr>
          <w:rStyle w:val="Refdenotaalpie"/>
        </w:rPr>
        <w:footnoteRef/>
      </w:r>
      <w:r w:rsidRPr="00F33AC7">
        <w:rPr>
          <w:lang w:val="en-US"/>
        </w:rPr>
        <w:t xml:space="preserve"> In our analysis of the closed economy, we have seen that, when monetary authorities react to</w:t>
      </w:r>
      <w:r>
        <w:rPr>
          <w:lang w:val="en-US"/>
        </w:rPr>
        <w:t xml:space="preserve"> </w:t>
      </w:r>
      <w:r w:rsidRPr="00F33AC7">
        <w:rPr>
          <w:lang w:val="en-US"/>
        </w:rPr>
        <w:t>productivity shocks by closing the output gap completely, the market equilibrium coincides</w:t>
      </w:r>
      <w:r>
        <w:rPr>
          <w:lang w:val="en-US"/>
        </w:rPr>
        <w:t xml:space="preserve"> </w:t>
      </w:r>
      <w:r w:rsidRPr="00F33AC7">
        <w:rPr>
          <w:lang w:val="en-US"/>
        </w:rPr>
        <w:t xml:space="preserve">with the </w:t>
      </w:r>
      <w:r>
        <w:rPr>
          <w:lang w:val="en-US"/>
        </w:rPr>
        <w:t>fl</w:t>
      </w:r>
      <w:r w:rsidRPr="00F33AC7">
        <w:rPr>
          <w:lang w:val="en-US"/>
        </w:rPr>
        <w:t>ex-price allocation. Is monetary policy equally e</w:t>
      </w:r>
      <w:r>
        <w:rPr>
          <w:lang w:val="en-US"/>
        </w:rPr>
        <w:t>ff</w:t>
      </w:r>
      <w:r w:rsidRPr="00F33AC7">
        <w:rPr>
          <w:lang w:val="en-US"/>
        </w:rPr>
        <w:t xml:space="preserve">ective in our </w:t>
      </w:r>
      <w:proofErr w:type="gramStart"/>
      <w:r w:rsidRPr="00F33AC7">
        <w:rPr>
          <w:lang w:val="en-US"/>
        </w:rPr>
        <w:t>open-economy</w:t>
      </w:r>
      <w:proofErr w:type="gramEnd"/>
      <w:r>
        <w:rPr>
          <w:lang w:val="en-US"/>
        </w:rPr>
        <w:t xml:space="preserve"> </w:t>
      </w:r>
      <w:r w:rsidRPr="00F33AC7">
        <w:rPr>
          <w:lang w:val="en-US"/>
        </w:rPr>
        <w:t>setting? To answer this question, we need to focus on the role of exchange rate movements in the international transmission. The</w:t>
      </w:r>
      <w:r>
        <w:rPr>
          <w:lang w:val="en-US"/>
        </w:rPr>
        <w:t xml:space="preserve"> </w:t>
      </w:r>
      <w:r w:rsidRPr="00F33AC7">
        <w:rPr>
          <w:lang w:val="en-US"/>
        </w:rPr>
        <w:t>conventional wisdom exempli</w:t>
      </w:r>
      <w:r>
        <w:rPr>
          <w:lang w:val="en-US"/>
        </w:rPr>
        <w:t>fi</w:t>
      </w:r>
      <w:r w:rsidRPr="00F33AC7">
        <w:rPr>
          <w:lang w:val="en-US"/>
        </w:rPr>
        <w:t xml:space="preserve">ed by the enduring contributions of </w:t>
      </w:r>
      <w:r w:rsidRPr="00A475E1">
        <w:rPr>
          <w:smallCaps/>
          <w:lang w:val="en-US"/>
        </w:rPr>
        <w:t>Friedman</w:t>
      </w:r>
      <w:r w:rsidRPr="00F33AC7">
        <w:rPr>
          <w:lang w:val="en-US"/>
        </w:rPr>
        <w:t xml:space="preserve"> (1953)</w:t>
      </w:r>
      <w:r>
        <w:rPr>
          <w:lang w:val="en-US"/>
        </w:rPr>
        <w:t xml:space="preserve"> </w:t>
      </w:r>
      <w:r w:rsidRPr="00F33AC7">
        <w:rPr>
          <w:lang w:val="en-US"/>
        </w:rPr>
        <w:t xml:space="preserve">and </w:t>
      </w:r>
      <w:r w:rsidRPr="00A475E1">
        <w:rPr>
          <w:smallCaps/>
          <w:lang w:val="en-US"/>
        </w:rPr>
        <w:t>Mundell</w:t>
      </w:r>
      <w:r w:rsidRPr="00F33AC7">
        <w:rPr>
          <w:lang w:val="en-US"/>
        </w:rPr>
        <w:t xml:space="preserve"> (1963) suggests that, in a world with nominal price rigidities, exchange rate</w:t>
      </w:r>
      <w:r>
        <w:rPr>
          <w:lang w:val="en-US"/>
        </w:rPr>
        <w:t xml:space="preserve"> </w:t>
      </w:r>
      <w:r w:rsidRPr="00F33AC7">
        <w:rPr>
          <w:lang w:val="en-US"/>
        </w:rPr>
        <w:t>movements facilitate the e</w:t>
      </w:r>
      <w:r>
        <w:rPr>
          <w:lang w:val="en-US"/>
        </w:rPr>
        <w:t>ffi</w:t>
      </w:r>
      <w:r w:rsidRPr="00F33AC7">
        <w:rPr>
          <w:lang w:val="en-US"/>
        </w:rPr>
        <w:t xml:space="preserve">cient adjustment of international relative prices. With </w:t>
      </w:r>
      <w:r>
        <w:rPr>
          <w:lang w:val="en-US"/>
        </w:rPr>
        <w:t>fl</w:t>
      </w:r>
      <w:r w:rsidRPr="00F33AC7">
        <w:rPr>
          <w:lang w:val="en-US"/>
        </w:rPr>
        <w:t>exible</w:t>
      </w:r>
      <w:r>
        <w:rPr>
          <w:lang w:val="en-US"/>
        </w:rPr>
        <w:t xml:space="preserve"> </w:t>
      </w:r>
      <w:r w:rsidRPr="00F33AC7">
        <w:rPr>
          <w:lang w:val="en-US"/>
        </w:rPr>
        <w:t xml:space="preserve">prices, the relative price of </w:t>
      </w:r>
      <w:proofErr w:type="gramStart"/>
      <w:r w:rsidRPr="00F33AC7">
        <w:rPr>
          <w:lang w:val="en-US"/>
        </w:rPr>
        <w:t>Home</w:t>
      </w:r>
      <w:proofErr w:type="gramEnd"/>
      <w:r w:rsidRPr="00F33AC7">
        <w:rPr>
          <w:lang w:val="en-US"/>
        </w:rPr>
        <w:t xml:space="preserve"> goods falls in response to a positive productivity shock.</w:t>
      </w:r>
      <w:r>
        <w:rPr>
          <w:lang w:val="en-US"/>
        </w:rPr>
        <w:t xml:space="preserve"> </w:t>
      </w:r>
      <w:r w:rsidRPr="00F33AC7">
        <w:rPr>
          <w:lang w:val="en-US"/>
        </w:rPr>
        <w:t>With sticky prices, adjustment can be achieved via an exchange rate depreciation (corresponding to Home monetary expansion relative to Foreign), that lowers the international price of the</w:t>
      </w:r>
      <w:r>
        <w:rPr>
          <w:lang w:val="en-US"/>
        </w:rPr>
        <w:t xml:space="preserve"> </w:t>
      </w:r>
      <w:proofErr w:type="gramStart"/>
      <w:r w:rsidRPr="002A3D93">
        <w:rPr>
          <w:lang w:val="en-US"/>
        </w:rPr>
        <w:t>Home</w:t>
      </w:r>
      <w:proofErr w:type="gramEnd"/>
      <w:r w:rsidRPr="002A3D93">
        <w:rPr>
          <w:lang w:val="en-US"/>
        </w:rPr>
        <w:t xml:space="preserve"> goods relative to Foreign goods.</w:t>
      </w:r>
    </w:p>
  </w:footnote>
  <w:footnote w:id="17">
    <w:p w14:paraId="02C3F88B" w14:textId="77777777" w:rsidR="00E304C3" w:rsidRPr="005D68F0" w:rsidRDefault="00E304C3" w:rsidP="00E304C3">
      <w:pPr>
        <w:pStyle w:val="Textonotapie"/>
        <w:rPr>
          <w:lang w:val="en-US"/>
        </w:rPr>
      </w:pPr>
      <w:r>
        <w:rPr>
          <w:rStyle w:val="Refdenotaalpie"/>
        </w:rPr>
        <w:footnoteRef/>
      </w:r>
      <w:r w:rsidRPr="005D68F0">
        <w:rPr>
          <w:lang w:val="en-US"/>
        </w:rPr>
        <w:t xml:space="preserve"> Observe that there is one-to-one pass-through of exchange rate movements onto the price</w:t>
      </w:r>
      <w:r>
        <w:rPr>
          <w:lang w:val="en-US"/>
        </w:rPr>
        <w:t xml:space="preserve"> </w:t>
      </w:r>
      <w:r w:rsidRPr="005D68F0">
        <w:rPr>
          <w:lang w:val="en-US"/>
        </w:rPr>
        <w:t>of imports, at both the border and the consumer-price level. Hence, once measured in the</w:t>
      </w:r>
      <w:r>
        <w:rPr>
          <w:lang w:val="en-US"/>
        </w:rPr>
        <w:t xml:space="preserve"> </w:t>
      </w:r>
      <w:r w:rsidRPr="005D68F0">
        <w:rPr>
          <w:lang w:val="en-US"/>
        </w:rPr>
        <w:t>same currency, goods prices are identical in all markets and the law of one price</w:t>
      </w:r>
      <w:r>
        <w:rPr>
          <w:lang w:val="en-US"/>
        </w:rPr>
        <w:t xml:space="preserve"> </w:t>
      </w:r>
      <w:r w:rsidRPr="005D68F0">
        <w:rPr>
          <w:lang w:val="en-US"/>
        </w:rPr>
        <w:t>hold</w:t>
      </w:r>
      <w:r>
        <w:rPr>
          <w:lang w:val="en-US"/>
        </w:rPr>
        <w:t>s.</w:t>
      </w:r>
    </w:p>
  </w:footnote>
  <w:footnote w:id="18">
    <w:p w14:paraId="33228E37" w14:textId="3960EE18" w:rsidR="00E304C3" w:rsidRPr="002A3D93" w:rsidRDefault="00E304C3" w:rsidP="00E304C3">
      <w:pPr>
        <w:pStyle w:val="Textonotapie"/>
        <w:rPr>
          <w:spacing w:val="-3"/>
          <w:highlight w:val="yellow"/>
        </w:rPr>
      </w:pPr>
      <w:r w:rsidRPr="002A3D93">
        <w:rPr>
          <w:rStyle w:val="Refdenotaalpie"/>
        </w:rPr>
        <w:footnoteRef/>
      </w:r>
      <w:r w:rsidRPr="002A3D93">
        <w:t xml:space="preserve"> </w:t>
      </w:r>
      <w:r w:rsidRPr="002A3D93">
        <w:rPr>
          <w:spacing w:val="-3"/>
        </w:rPr>
        <w:t xml:space="preserve">Por tanto, a pesar de las rigideces nominales internas se restablece el resultado de los modelos de precios flexibles de </w:t>
      </w:r>
      <w:r w:rsidRPr="002A3D93">
        <w:rPr>
          <w:smallCaps/>
          <w:spacing w:val="-3"/>
        </w:rPr>
        <w:t>Frenkel</w:t>
      </w:r>
      <w:r w:rsidRPr="002A3D93">
        <w:rPr>
          <w:spacing w:val="-3"/>
        </w:rPr>
        <w:t xml:space="preserve"> y </w:t>
      </w:r>
      <w:proofErr w:type="spellStart"/>
      <w:r w:rsidRPr="002A3D93">
        <w:rPr>
          <w:smallCaps/>
          <w:spacing w:val="-3"/>
        </w:rPr>
        <w:t>Mussa</w:t>
      </w:r>
      <w:proofErr w:type="spellEnd"/>
      <w:r>
        <w:rPr>
          <w:spacing w:val="-3"/>
        </w:rPr>
        <w:t xml:space="preserve"> </w:t>
      </w:r>
      <w:r w:rsidRPr="002A3D93">
        <w:rPr>
          <w:color w:val="767171" w:themeColor="background2" w:themeShade="80"/>
          <w:spacing w:val="-3"/>
          <w:sz w:val="14"/>
          <w:szCs w:val="18"/>
        </w:rPr>
        <w:t>[</w:t>
      </w:r>
      <w:r>
        <w:rPr>
          <w:color w:val="767171" w:themeColor="background2" w:themeShade="80"/>
          <w:spacing w:val="-3"/>
          <w:sz w:val="14"/>
          <w:szCs w:val="18"/>
        </w:rPr>
        <w:t>ver tema 3.</w:t>
      </w:r>
      <w:r w:rsidR="00CD1668">
        <w:rPr>
          <w:color w:val="767171" w:themeColor="background2" w:themeShade="80"/>
          <w:spacing w:val="-3"/>
          <w:sz w:val="14"/>
          <w:szCs w:val="18"/>
        </w:rPr>
        <w:t>B</w:t>
      </w:r>
      <w:r>
        <w:rPr>
          <w:color w:val="767171" w:themeColor="background2" w:themeShade="80"/>
          <w:spacing w:val="-3"/>
          <w:sz w:val="14"/>
          <w:szCs w:val="18"/>
        </w:rPr>
        <w:t>.1</w:t>
      </w:r>
      <w:r w:rsidR="00CD1668">
        <w:rPr>
          <w:color w:val="767171" w:themeColor="background2" w:themeShade="80"/>
          <w:spacing w:val="-3"/>
          <w:sz w:val="14"/>
          <w:szCs w:val="18"/>
        </w:rPr>
        <w:t>4</w:t>
      </w:r>
      <w:r w:rsidRPr="002A3D93">
        <w:rPr>
          <w:color w:val="767171" w:themeColor="background2" w:themeShade="80"/>
          <w:spacing w:val="-3"/>
          <w:sz w:val="14"/>
          <w:szCs w:val="18"/>
        </w:rPr>
        <w:t>]</w:t>
      </w:r>
      <w:r w:rsidRPr="002A3D93">
        <w:rPr>
          <w:spacing w:val="-3"/>
        </w:rPr>
        <w:t xml:space="preserve">: un aumento de la masa monetaria lleva al tipo de cambio nominal a aumentar inmediatamente a su valor de largo plazo. En otras palabras, no habría </w:t>
      </w:r>
      <w:r w:rsidRPr="002A3D93">
        <w:rPr>
          <w:i/>
          <w:iCs/>
          <w:spacing w:val="-3"/>
        </w:rPr>
        <w:t>overshooting</w:t>
      </w:r>
      <w:r w:rsidRPr="002A3D93">
        <w:rPr>
          <w:spacing w:val="-3"/>
        </w:rPr>
        <w:t>.</w:t>
      </w:r>
    </w:p>
  </w:footnote>
  <w:footnote w:id="19">
    <w:p w14:paraId="4FB6A3C8" w14:textId="77777777" w:rsidR="00E304C3" w:rsidRPr="00B7406F" w:rsidRDefault="00E304C3" w:rsidP="00E304C3">
      <w:pPr>
        <w:pStyle w:val="Textonotapie"/>
      </w:pPr>
      <w:r>
        <w:rPr>
          <w:rStyle w:val="Refdenotaalpie"/>
        </w:rPr>
        <w:footnoteRef/>
      </w:r>
      <w:r>
        <w:t xml:space="preserve"> Nótese que el país </w:t>
      </w:r>
      <w:r>
        <w:rPr>
          <w:i/>
          <w:iCs/>
        </w:rPr>
        <w:t>A</w:t>
      </w:r>
      <w:r>
        <w:t xml:space="preserve"> estaría mejor de haber permanecido como una economía cerrada, ya que obtendría los beneficios del shock de productividad y podría haber evitado el efecto negativo sobre la RRI.</w:t>
      </w:r>
    </w:p>
  </w:footnote>
  <w:footnote w:id="20">
    <w:p w14:paraId="2CB60B4C" w14:textId="77777777" w:rsidR="00E304C3" w:rsidRDefault="00E304C3" w:rsidP="00E304C3">
      <w:pPr>
        <w:pStyle w:val="Textonotapie"/>
        <w:rPr>
          <w:lang w:val="en-US"/>
        </w:rPr>
      </w:pPr>
      <w:r>
        <w:rPr>
          <w:rStyle w:val="Refdenotaalpie"/>
        </w:rPr>
        <w:footnoteRef/>
      </w:r>
      <w:r w:rsidRPr="00BE4B79">
        <w:rPr>
          <w:lang w:val="en-US"/>
        </w:rPr>
        <w:t xml:space="preserve"> Analyze This! Exchange Rates and Trade with </w:t>
      </w:r>
      <w:r w:rsidRPr="00BE4B79">
        <w:rPr>
          <w:smallCaps/>
          <w:lang w:val="en-US"/>
        </w:rPr>
        <w:t>Gita Gopinath</w:t>
      </w:r>
      <w:r w:rsidRPr="00BE4B79">
        <w:rPr>
          <w:lang w:val="en-US"/>
        </w:rPr>
        <w:t xml:space="preserve"> </w:t>
      </w:r>
      <w:r>
        <w:rPr>
          <w:lang w:val="en-US"/>
        </w:rPr>
        <w:t>–</w:t>
      </w:r>
      <w:r w:rsidRPr="00BE4B79">
        <w:rPr>
          <w:lang w:val="en-US"/>
        </w:rPr>
        <w:t xml:space="preserve"> </w:t>
      </w:r>
      <w:r>
        <w:rPr>
          <w:lang w:val="en-US"/>
        </w:rPr>
        <w:t xml:space="preserve">International Monetary Fund – </w:t>
      </w:r>
      <w:r w:rsidR="00000000">
        <w:fldChar w:fldCharType="begin"/>
      </w:r>
      <w:r w:rsidR="00000000" w:rsidRPr="00E37AC1">
        <w:rPr>
          <w:lang w:val="en-US"/>
        </w:rPr>
        <w:instrText>HYPERLINK "https://youtu.be/aApyiK-dDtc"</w:instrText>
      </w:r>
      <w:r w:rsidR="00000000">
        <w:fldChar w:fldCharType="separate"/>
      </w:r>
      <w:r w:rsidRPr="00613B67">
        <w:rPr>
          <w:rStyle w:val="Hipervnculo"/>
          <w:lang w:val="en-US"/>
        </w:rPr>
        <w:t>https://youtu.be/aApyiK-dDtc</w:t>
      </w:r>
      <w:r w:rsidR="00000000">
        <w:rPr>
          <w:rStyle w:val="Hipervnculo"/>
          <w:lang w:val="en-US"/>
        </w:rPr>
        <w:fldChar w:fldCharType="end"/>
      </w:r>
    </w:p>
    <w:p w14:paraId="5EDC1BB4" w14:textId="77777777" w:rsidR="00E304C3" w:rsidRPr="00BE4B79" w:rsidRDefault="00000000" w:rsidP="00E304C3">
      <w:pPr>
        <w:pStyle w:val="Textonotapie"/>
        <w:rPr>
          <w:lang w:val="en-US"/>
        </w:rPr>
      </w:pPr>
      <w:r>
        <w:fldChar w:fldCharType="begin"/>
      </w:r>
      <w:r w:rsidRPr="00E37AC1">
        <w:rPr>
          <w:lang w:val="en-US"/>
        </w:rPr>
        <w:instrText>HYPERLINK "https://www.imf.org/en/Publications/ESR/Issues/2019/07/03/2019-external-sector-report"</w:instrText>
      </w:r>
      <w:r>
        <w:fldChar w:fldCharType="separate"/>
      </w:r>
      <w:r w:rsidR="00E304C3" w:rsidRPr="00BE4B79">
        <w:rPr>
          <w:rStyle w:val="Hipervnculo"/>
          <w:lang w:val="en-US"/>
        </w:rPr>
        <w:t>https://www.imf.org/en/Publications/ESR/Issues/2019/07/03/2019-external-sector-report</w:t>
      </w:r>
      <w:r>
        <w:rPr>
          <w:rStyle w:val="Hipervnculo"/>
          <w:lang w:val="en-US"/>
        </w:rPr>
        <w:fldChar w:fldCharType="end"/>
      </w:r>
      <w:r w:rsidR="00E304C3" w:rsidRPr="00BE4B79">
        <w:rPr>
          <w:lang w:val="en-US"/>
        </w:rPr>
        <w:t xml:space="preserve"> </w:t>
      </w:r>
      <w:r w:rsidR="00E304C3">
        <w:rPr>
          <w:lang w:val="en-US"/>
        </w:rPr>
        <w:t>[</w:t>
      </w:r>
      <w:proofErr w:type="spellStart"/>
      <w:r w:rsidR="00E304C3" w:rsidRPr="00BE4B79">
        <w:rPr>
          <w:lang w:val="en-US"/>
        </w:rPr>
        <w:t>ver</w:t>
      </w:r>
      <w:proofErr w:type="spellEnd"/>
      <w:r w:rsidR="00E304C3" w:rsidRPr="00BE4B79">
        <w:rPr>
          <w:lang w:val="en-US"/>
        </w:rPr>
        <w:t xml:space="preserve"> Chapter 2: </w:t>
      </w:r>
      <w:r w:rsidR="00E304C3" w:rsidRPr="00BE4B79">
        <w:rPr>
          <w:i/>
          <w:iCs/>
          <w:lang w:val="en-US"/>
        </w:rPr>
        <w:t>Exchange Rates an</w:t>
      </w:r>
      <w:r w:rsidR="00E304C3">
        <w:rPr>
          <w:i/>
          <w:iCs/>
          <w:lang w:val="en-US"/>
        </w:rPr>
        <w:t>d External Adjustment</w:t>
      </w:r>
      <w:r w:rsidR="00E304C3">
        <w:rPr>
          <w:lang w:val="en-US"/>
        </w:rPr>
        <w:t>]</w:t>
      </w:r>
    </w:p>
  </w:footnote>
  <w:footnote w:id="21">
    <w:p w14:paraId="3D1FB1F7" w14:textId="77777777" w:rsidR="00E304C3" w:rsidRPr="00ED769B" w:rsidRDefault="00E304C3" w:rsidP="00E304C3">
      <w:pPr>
        <w:pStyle w:val="Textonotapie"/>
        <w:rPr>
          <w:spacing w:val="-2"/>
        </w:rPr>
      </w:pPr>
      <w:r w:rsidRPr="00ED769B">
        <w:rPr>
          <w:rStyle w:val="Refdenotaalpie"/>
          <w:spacing w:val="-2"/>
        </w:rPr>
        <w:footnoteRef/>
      </w:r>
      <w:r w:rsidRPr="00ED769B">
        <w:rPr>
          <w:spacing w:val="-2"/>
        </w:rPr>
        <w:t xml:space="preserve"> Debido al poder de monopolio en la producción, la curva de indiferencia del agente representativo en el equilibrio inicial corta a la recta </w:t>
      </w:r>
      <w:r w:rsidRPr="00ED769B">
        <w:rPr>
          <w:i/>
          <w:iCs/>
          <w:spacing w:val="-2"/>
        </w:rPr>
        <w:t>AS*</w:t>
      </w:r>
      <w:r w:rsidRPr="00ED769B">
        <w:rPr>
          <w:spacing w:val="-2"/>
        </w:rPr>
        <w:t xml:space="preserve"> desde arriba. Por lo tanto, un movimiento a lo largo de la recta </w:t>
      </w:r>
      <w:r w:rsidRPr="00ED769B">
        <w:rPr>
          <w:i/>
          <w:iCs/>
          <w:spacing w:val="-2"/>
        </w:rPr>
        <w:t>AS*</w:t>
      </w:r>
      <w:r w:rsidRPr="00ED769B">
        <w:rPr>
          <w:spacing w:val="-2"/>
        </w:rPr>
        <w:t xml:space="preserve"> aumenta el bienestar (siempre que éste no sea demasiado grande).</w:t>
      </w:r>
    </w:p>
  </w:footnote>
  <w:footnote w:id="22">
    <w:p w14:paraId="51321BA0" w14:textId="77DCEA6B" w:rsidR="004071CA" w:rsidRDefault="004071CA">
      <w:pPr>
        <w:pStyle w:val="Textonotapie"/>
        <w:rPr>
          <w:lang w:val="en-US"/>
        </w:rPr>
      </w:pPr>
      <w:r>
        <w:rPr>
          <w:rStyle w:val="Refdenotaalpie"/>
        </w:rPr>
        <w:footnoteRef/>
      </w:r>
      <w:r w:rsidRPr="004071CA">
        <w:rPr>
          <w:lang w:val="en-US"/>
        </w:rPr>
        <w:t xml:space="preserve"> While the discussion above has offered two motivations for policy coordination, namely, risk sharing and price stickiness, a revealing distinction between the two is how they are affected by openness and globalization. Consider first openness in the form of international economic integration in goods markets. Goods trade itself may have </w:t>
      </w:r>
      <w:proofErr w:type="spellStart"/>
      <w:r w:rsidRPr="004071CA">
        <w:rPr>
          <w:lang w:val="en-US"/>
        </w:rPr>
        <w:t>builtin</w:t>
      </w:r>
      <w:proofErr w:type="spellEnd"/>
      <w:r w:rsidRPr="004071CA">
        <w:rPr>
          <w:lang w:val="en-US"/>
        </w:rPr>
        <w:t xml:space="preserve"> mechanisms that can help insure a country against country-specific output shocks. For example, if a country is hit by a fall in its production, the relative scarcity of home goods would induce a rise in their relative price. Depending on consumer preferences, such as a type implying constant expenditure shares over home and foreign goods, this terms-of-trade effect will be able to compensate home agents for the fact they have a smaller quantity of home goods. </w:t>
      </w:r>
      <w:proofErr w:type="gramStart"/>
      <w:r w:rsidRPr="004071CA">
        <w:rPr>
          <w:lang w:val="en-US"/>
        </w:rPr>
        <w:t>In particular, they</w:t>
      </w:r>
      <w:proofErr w:type="gramEnd"/>
      <w:r w:rsidRPr="004071CA">
        <w:rPr>
          <w:lang w:val="en-US"/>
        </w:rPr>
        <w:t xml:space="preserve"> will be able to import more foreign goods in exchange for the smaller quantity of home exports, and thereby enjoy a comparable level of overall consumption and utility as the foreign country. This means that goods markets potentially can do the job of pooling risk internationally without the need for an international policy coordinator. This conclusion stands in sharp contrast to earlier literature. Recall that Oudiz and Sachs (1984) concluded that the need for coordination was small precisely because the degree of goods trade was small. But here we conclude that the need for coordination is small when goods market integration is high. Consider also the implications of integration in asset markets. In the limiting case where asset markets were complete, with assets to insure against all shocks, private agents would be able to pool the risk of asymmetric shocks internationally on their own. Again, if private markets pool risk, there is no need for policy coordination to serve this function. Clearly the world remains far from complete asset markets, but international trade in equities is </w:t>
      </w:r>
      <w:proofErr w:type="gramStart"/>
      <w:r w:rsidRPr="004071CA">
        <w:rPr>
          <w:lang w:val="en-US"/>
        </w:rPr>
        <w:t>definitely on</w:t>
      </w:r>
      <w:proofErr w:type="gramEnd"/>
      <w:r w:rsidRPr="004071CA">
        <w:rPr>
          <w:lang w:val="en-US"/>
        </w:rPr>
        <w:t xml:space="preserve"> the rise, and international capital flows of various types have ballooned. One gets the impression that international integration has progressed faster in asset markets than in goods markets, so that this type of integration may be more important.</w:t>
      </w:r>
    </w:p>
    <w:p w14:paraId="320825F1" w14:textId="2FBDFCCF" w:rsidR="004071CA" w:rsidRPr="004071CA" w:rsidRDefault="004071CA">
      <w:pPr>
        <w:pStyle w:val="Textonotapie"/>
        <w:rPr>
          <w:lang w:val="en-US"/>
        </w:rPr>
      </w:pPr>
      <w:r w:rsidRPr="004071CA">
        <w:rPr>
          <w:lang w:val="en-US"/>
        </w:rPr>
        <w:t xml:space="preserve">Nevertheless, integration in both markets works in the same direction here. A high level of integration, be it in either asset markets or goods markets, indicates there is less need for explicit international policy coordination to pool national risks. Contrary to the predictions of some analysts, as the age of globalism </w:t>
      </w:r>
      <w:proofErr w:type="gramStart"/>
      <w:r w:rsidRPr="004071CA">
        <w:rPr>
          <w:lang w:val="en-US"/>
        </w:rPr>
        <w:t>progresses</w:t>
      </w:r>
      <w:proofErr w:type="gramEnd"/>
      <w:r w:rsidRPr="004071CA">
        <w:rPr>
          <w:lang w:val="en-US"/>
        </w:rPr>
        <w:t xml:space="preserve"> we might see less pressure for international policy coordination rather than more.</w:t>
      </w:r>
    </w:p>
  </w:footnote>
  <w:footnote w:id="23">
    <w:p w14:paraId="18F159F0" w14:textId="77777777" w:rsidR="00E304C3" w:rsidRDefault="00E304C3" w:rsidP="00E304C3">
      <w:pPr>
        <w:pStyle w:val="Textonotapie"/>
      </w:pPr>
      <w:r>
        <w:rPr>
          <w:rStyle w:val="Refdenotaalpie"/>
        </w:rPr>
        <w:footnoteRef/>
      </w:r>
      <w:r>
        <w:t xml:space="preserve"> </w:t>
      </w:r>
      <w:r w:rsidRPr="009D556A">
        <w:t xml:space="preserve">Si, en lugar de una decisión simultánea, uno de los países decidiera primero (esto es, jugara </w:t>
      </w:r>
      <w:r w:rsidRPr="009D556A">
        <w:rPr>
          <w:i/>
          <w:iCs/>
        </w:rPr>
        <w:t>à la</w:t>
      </w:r>
      <w:r w:rsidRPr="009D556A">
        <w:t xml:space="preserve"> </w:t>
      </w:r>
      <w:r>
        <w:rPr>
          <w:smallCaps/>
        </w:rPr>
        <w:t>Stackelberg</w:t>
      </w:r>
      <w:r w:rsidRPr="009D556A">
        <w:t xml:space="preserve">), entonces el líder (digamos, </w:t>
      </w:r>
      <w:r w:rsidRPr="009D556A">
        <w:rPr>
          <w:i/>
          <w:iCs/>
        </w:rPr>
        <w:t>A</w:t>
      </w:r>
      <w:r w:rsidRPr="009D556A">
        <w:t>) elegirá el nivel de oferta monetaria que le permita situarse en la curva de indiferencia más cercana a su punto de saturación y que, a su vez, sea tangente a la función de reacción del país</w:t>
      </w:r>
      <w:r>
        <w:t> </w:t>
      </w:r>
      <w:r w:rsidRPr="009D556A">
        <w:rPr>
          <w:i/>
          <w:iCs/>
        </w:rPr>
        <w:t>B</w:t>
      </w:r>
      <w:r w:rsidRPr="009D556A">
        <w:t xml:space="preserve"> (pues ésta es la restricción de </w:t>
      </w:r>
      <w:r w:rsidRPr="009D556A">
        <w:rPr>
          <w:i/>
          <w:iCs/>
        </w:rPr>
        <w:t>A</w:t>
      </w:r>
      <w:r w:rsidRPr="009D556A">
        <w:t xml:space="preserve">). Dado el carácter circular de las curvas de indiferencia, esto nos situará en el mismo punto que antes, </w:t>
      </w:r>
      <w:r w:rsidRPr="009D556A">
        <w:rPr>
          <w:i/>
          <w:iCs/>
        </w:rPr>
        <w:t>N</w:t>
      </w:r>
      <w:r w:rsidRPr="009D556A">
        <w:t>.</w:t>
      </w:r>
    </w:p>
  </w:footnote>
  <w:footnote w:id="24">
    <w:p w14:paraId="7E141696" w14:textId="77777777" w:rsidR="00E304C3" w:rsidRPr="00902D15" w:rsidRDefault="00E304C3" w:rsidP="00E304C3">
      <w:pPr>
        <w:pStyle w:val="Textonotapie"/>
      </w:pPr>
      <w:r w:rsidRPr="00902D15">
        <w:rPr>
          <w:rStyle w:val="Refdenotaalpie"/>
        </w:rPr>
        <w:footnoteRef/>
      </w:r>
      <w:r w:rsidRPr="00902D15">
        <w:t xml:space="preserve"> Nótese que </w:t>
      </w:r>
      <m:oMath>
        <m:sSup>
          <m:sSupPr>
            <m:ctrlPr>
              <w:rPr>
                <w:rFonts w:ascii="Cambria Math" w:hAnsi="Cambria Math"/>
                <w:i/>
                <w:iCs/>
              </w:rPr>
            </m:ctrlPr>
          </m:sSupPr>
          <m:e>
            <m:r>
              <m:rPr>
                <m:nor/>
              </m:rPr>
              <w:rPr>
                <w:i/>
                <w:iCs/>
              </w:rPr>
              <m:t>Π</m:t>
            </m:r>
          </m:e>
          <m:sup>
            <m:r>
              <m:rPr>
                <m:nor/>
              </m:rPr>
              <w:rPr>
                <w:i/>
                <w:iCs/>
              </w:rPr>
              <m:t>colusión</m:t>
            </m:r>
          </m:sup>
        </m:sSup>
        <m:r>
          <w:rPr>
            <w:rFonts w:ascii="Cambria Math" w:hAnsi="Cambria Math"/>
          </w:rPr>
          <m:t>=</m:t>
        </m:r>
        <m:sSup>
          <m:sSupPr>
            <m:ctrlPr>
              <w:rPr>
                <w:rFonts w:ascii="Cambria Math" w:hAnsi="Cambria Math"/>
                <w:i/>
                <w:iCs/>
              </w:rPr>
            </m:ctrlPr>
          </m:sSupPr>
          <m:e>
            <m:r>
              <m:rPr>
                <m:nor/>
              </m:rPr>
              <w:rPr>
                <w:i/>
                <w:iCs/>
              </w:rPr>
              <m:t>π</m:t>
            </m:r>
          </m:e>
          <m:sup>
            <m:r>
              <m:rPr>
                <m:nor/>
              </m:rPr>
              <w:rPr>
                <w:i/>
                <w:iCs/>
              </w:rPr>
              <m:t>colusión</m:t>
            </m:r>
          </m:sup>
        </m:sSup>
      </m:oMath>
      <w:r w:rsidRPr="00902D15">
        <w:t xml:space="preserve"> y que el </w:t>
      </w:r>
      <m:oMath>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β</m:t>
            </m:r>
          </m:e>
        </m:d>
      </m:oMath>
      <w:r w:rsidRPr="00902D15">
        <w:t xml:space="preserve"> sirve para normalizar el beneficio intertemporal a un equivalente por periodo.</w:t>
      </w:r>
    </w:p>
  </w:footnote>
  <w:footnote w:id="25">
    <w:p w14:paraId="63B386DB" w14:textId="77777777" w:rsidR="00E304C3" w:rsidRPr="00621462" w:rsidRDefault="00E304C3" w:rsidP="00E304C3">
      <w:pPr>
        <w:pStyle w:val="Textonotapie"/>
        <w:spacing w:after="0"/>
        <w:rPr>
          <w:rFonts w:eastAsiaTheme="minorEastAsia"/>
          <w:i/>
          <w:szCs w:val="16"/>
        </w:rPr>
      </w:pPr>
      <w:r w:rsidRPr="00902D15">
        <w:rPr>
          <w:rStyle w:val="Refdenotaalpie"/>
        </w:rPr>
        <w:footnoteRef/>
      </w:r>
      <w:r w:rsidRPr="00902D15">
        <w:t xml:space="preserve"> </w:t>
      </w:r>
      <m:oMath>
        <m:r>
          <m:rPr>
            <m:sty m:val="p"/>
          </m:rPr>
          <w:rPr>
            <w:rFonts w:ascii="Cambria Math" w:hAnsi="Cambria Math"/>
          </w:rPr>
          <w:br/>
        </m:r>
      </m:oMath>
      <m:oMathPara>
        <m:oMath>
          <m:sSup>
            <m:sSupPr>
              <m:ctrlPr>
                <w:rPr>
                  <w:rFonts w:ascii="Cambria Math" w:hAnsi="Cambria Math"/>
                  <w:i/>
                  <w:szCs w:val="16"/>
                </w:rPr>
              </m:ctrlPr>
            </m:sSupPr>
            <m:e>
              <m:r>
                <m:rPr>
                  <m:nor/>
                </m:rPr>
                <w:rPr>
                  <w:i/>
                  <w:szCs w:val="16"/>
                </w:rPr>
                <m:t>Π</m:t>
              </m:r>
            </m:e>
            <m:sup>
              <m:r>
                <m:rPr>
                  <m:nor/>
                </m:rPr>
                <w:rPr>
                  <w:i/>
                  <w:szCs w:val="16"/>
                </w:rPr>
                <m:t>colusión</m:t>
              </m:r>
            </m:sup>
          </m:sSup>
          <m:r>
            <w:rPr>
              <w:rFonts w:ascii="Cambria Math" w:hAnsi="Cambria Math"/>
              <w:szCs w:val="16"/>
            </w:rPr>
            <m:t>=</m:t>
          </m:r>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β</m:t>
              </m:r>
            </m:e>
          </m:d>
          <m:r>
            <w:rPr>
              <w:rFonts w:ascii="Cambria Math" w:eastAsiaTheme="minorEastAsia" w:hAnsi="Cambria Math"/>
              <w:szCs w:val="16"/>
            </w:rPr>
            <m:t>∙</m:t>
          </m:r>
          <m:d>
            <m:dPr>
              <m:ctrlPr>
                <w:rPr>
                  <w:rFonts w:ascii="Cambria Math" w:eastAsiaTheme="minorEastAsia" w:hAnsi="Cambria Math"/>
                  <w:i/>
                  <w:szCs w:val="16"/>
                </w:rPr>
              </m:ctrlPr>
            </m:dPr>
            <m:e>
              <m:nary>
                <m:naryPr>
                  <m:chr m:val="∑"/>
                  <m:limLoc m:val="undOvr"/>
                  <m:ctrlPr>
                    <w:rPr>
                      <w:rFonts w:ascii="Cambria Math" w:eastAsiaTheme="minorEastAsia" w:hAnsi="Cambria Math"/>
                      <w:i/>
                      <w:szCs w:val="16"/>
                    </w:rPr>
                  </m:ctrlPr>
                </m:naryPr>
                <m:sub>
                  <m:r>
                    <m:rPr>
                      <m:nor/>
                    </m:rPr>
                    <w:rPr>
                      <w:rFonts w:eastAsiaTheme="minorEastAsia"/>
                      <w:i/>
                      <w:szCs w:val="16"/>
                    </w:rPr>
                    <m:t>t</m:t>
                  </m:r>
                  <m:r>
                    <w:rPr>
                      <w:rFonts w:ascii="Cambria Math" w:eastAsiaTheme="minorEastAsia" w:hAnsi="Cambria Math"/>
                      <w:szCs w:val="16"/>
                    </w:rPr>
                    <m:t>=</m:t>
                  </m:r>
                  <m:r>
                    <m:rPr>
                      <m:nor/>
                    </m:rPr>
                    <w:rPr>
                      <w:rFonts w:eastAsiaTheme="minorEastAsia"/>
                      <w:i/>
                      <w:szCs w:val="16"/>
                    </w:rPr>
                    <m:t>0</m:t>
                  </m:r>
                </m:sub>
                <m:sup>
                  <m:r>
                    <w:rPr>
                      <w:rFonts w:ascii="Cambria Math" w:eastAsiaTheme="minorEastAsia" w:hAnsi="Cambria Math"/>
                      <w:szCs w:val="16"/>
                    </w:rPr>
                    <m:t>+∞</m:t>
                  </m:r>
                </m:sup>
                <m:e>
                  <m:sSup>
                    <m:sSupPr>
                      <m:ctrlPr>
                        <w:rPr>
                          <w:rFonts w:ascii="Cambria Math" w:hAnsi="Cambria Math"/>
                          <w:i/>
                          <w:szCs w:val="16"/>
                        </w:rPr>
                      </m:ctrlPr>
                    </m:sSupPr>
                    <m:e>
                      <m:r>
                        <m:rPr>
                          <m:nor/>
                        </m:rPr>
                        <w:rPr>
                          <w:i/>
                          <w:szCs w:val="16"/>
                        </w:rPr>
                        <m:t>β</m:t>
                      </m:r>
                    </m:e>
                    <m:sup>
                      <m:r>
                        <m:rPr>
                          <m:nor/>
                        </m:rPr>
                        <w:rPr>
                          <w:i/>
                          <w:szCs w:val="16"/>
                        </w:rPr>
                        <m:t>t</m:t>
                      </m:r>
                    </m:sup>
                  </m:sSup>
                  <m:r>
                    <w:rPr>
                      <w:rFonts w:ascii="Cambria Math" w:eastAsiaTheme="minorEastAsia" w:hAnsi="Cambria Math"/>
                      <w:szCs w:val="16"/>
                    </w:rPr>
                    <m:t>∙</m:t>
                  </m:r>
                  <m:sSup>
                    <m:sSupPr>
                      <m:ctrlPr>
                        <w:rPr>
                          <w:rFonts w:ascii="Cambria Math" w:hAnsi="Cambria Math"/>
                          <w:i/>
                          <w:szCs w:val="16"/>
                        </w:rPr>
                      </m:ctrlPr>
                    </m:sSupPr>
                    <m:e>
                      <m:r>
                        <m:rPr>
                          <m:nor/>
                        </m:rPr>
                        <w:rPr>
                          <w:i/>
                          <w:szCs w:val="16"/>
                        </w:rPr>
                        <m:t>π</m:t>
                      </m:r>
                    </m:e>
                    <m:sup>
                      <m:r>
                        <m:rPr>
                          <m:nor/>
                        </m:rPr>
                        <w:rPr>
                          <w:i/>
                          <w:szCs w:val="16"/>
                        </w:rPr>
                        <m:t>colusión</m:t>
                      </m:r>
                    </m:sup>
                  </m:sSup>
                </m:e>
              </m:nary>
            </m:e>
          </m:d>
          <m:r>
            <w:rPr>
              <w:rFonts w:ascii="Cambria Math" w:eastAsiaTheme="minorEastAsia" w:hAnsi="Cambria Math"/>
              <w:szCs w:val="16"/>
            </w:rPr>
            <m:t>≥</m:t>
          </m:r>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β</m:t>
              </m:r>
            </m:e>
          </m:d>
          <m:r>
            <w:rPr>
              <w:rFonts w:ascii="Cambria Math" w:eastAsiaTheme="minorEastAsia" w:hAnsi="Cambria Math"/>
              <w:szCs w:val="16"/>
            </w:rPr>
            <m:t>∙</m:t>
          </m:r>
          <m:d>
            <m:dPr>
              <m:ctrlPr>
                <w:rPr>
                  <w:rFonts w:ascii="Cambria Math" w:hAnsi="Cambria Math"/>
                  <w:i/>
                  <w:szCs w:val="16"/>
                </w:rPr>
              </m:ctrlPr>
            </m:dPr>
            <m:e>
              <m:sSup>
                <m:sSupPr>
                  <m:ctrlPr>
                    <w:rPr>
                      <w:rFonts w:ascii="Cambria Math" w:hAnsi="Cambria Math"/>
                      <w:i/>
                      <w:szCs w:val="16"/>
                    </w:rPr>
                  </m:ctrlPr>
                </m:sSupPr>
                <m:e>
                  <m:r>
                    <m:rPr>
                      <m:nor/>
                    </m:rPr>
                    <w:rPr>
                      <w:i/>
                      <w:szCs w:val="16"/>
                    </w:rPr>
                    <m:t>π</m:t>
                  </m:r>
                </m:e>
                <m:sup>
                  <m:r>
                    <m:rPr>
                      <m:nor/>
                    </m:rPr>
                    <w:rPr>
                      <w:i/>
                      <w:szCs w:val="16"/>
                    </w:rPr>
                    <m:t>free rider</m:t>
                  </m:r>
                </m:sup>
              </m:sSup>
              <m:r>
                <m:rPr>
                  <m:nor/>
                </m:rPr>
                <w:rPr>
                  <w:rFonts w:eastAsiaTheme="minorEastAsia"/>
                  <w:i/>
                  <w:szCs w:val="16"/>
                </w:rPr>
                <m:t>+</m:t>
              </m:r>
              <m:nary>
                <m:naryPr>
                  <m:chr m:val="∑"/>
                  <m:limLoc m:val="undOvr"/>
                  <m:ctrlPr>
                    <w:rPr>
                      <w:rFonts w:ascii="Cambria Math" w:eastAsiaTheme="minorEastAsia" w:hAnsi="Cambria Math"/>
                      <w:i/>
                      <w:szCs w:val="16"/>
                    </w:rPr>
                  </m:ctrlPr>
                </m:naryPr>
                <m:sub>
                  <m:r>
                    <m:rPr>
                      <m:nor/>
                    </m:rPr>
                    <w:rPr>
                      <w:rFonts w:eastAsiaTheme="minorEastAsia"/>
                      <w:i/>
                      <w:szCs w:val="16"/>
                    </w:rPr>
                    <m:t>t</m:t>
                  </m:r>
                  <m:r>
                    <w:rPr>
                      <w:rFonts w:ascii="Cambria Math" w:eastAsiaTheme="minorEastAsia" w:hAnsi="Cambria Math"/>
                      <w:szCs w:val="16"/>
                    </w:rPr>
                    <m:t>=</m:t>
                  </m:r>
                  <m:r>
                    <m:rPr>
                      <m:nor/>
                    </m:rPr>
                    <w:rPr>
                      <w:rFonts w:eastAsiaTheme="minorEastAsia"/>
                      <w:i/>
                      <w:szCs w:val="16"/>
                    </w:rPr>
                    <m:t>1</m:t>
                  </m:r>
                </m:sub>
                <m:sup>
                  <m:r>
                    <w:rPr>
                      <w:rFonts w:ascii="Cambria Math" w:eastAsiaTheme="minorEastAsia" w:hAnsi="Cambria Math"/>
                      <w:szCs w:val="16"/>
                    </w:rPr>
                    <m:t>+∞</m:t>
                  </m:r>
                </m:sup>
                <m:e>
                  <m:sSup>
                    <m:sSupPr>
                      <m:ctrlPr>
                        <w:rPr>
                          <w:rFonts w:ascii="Cambria Math" w:hAnsi="Cambria Math"/>
                          <w:i/>
                          <w:szCs w:val="16"/>
                        </w:rPr>
                      </m:ctrlPr>
                    </m:sSupPr>
                    <m:e>
                      <m:r>
                        <m:rPr>
                          <m:nor/>
                        </m:rPr>
                        <w:rPr>
                          <w:i/>
                          <w:szCs w:val="16"/>
                        </w:rPr>
                        <m:t>β</m:t>
                      </m:r>
                    </m:e>
                    <m:sup>
                      <m:r>
                        <m:rPr>
                          <m:nor/>
                        </m:rPr>
                        <w:rPr>
                          <w:i/>
                          <w:szCs w:val="16"/>
                        </w:rPr>
                        <m:t>t</m:t>
                      </m:r>
                    </m:sup>
                  </m:sSup>
                  <m:r>
                    <w:rPr>
                      <w:rFonts w:ascii="Cambria Math" w:eastAsiaTheme="minorEastAsia" w:hAnsi="Cambria Math"/>
                      <w:szCs w:val="16"/>
                    </w:rPr>
                    <m:t>∙</m:t>
                  </m:r>
                  <m:sSup>
                    <m:sSupPr>
                      <m:ctrlPr>
                        <w:rPr>
                          <w:rFonts w:ascii="Cambria Math" w:hAnsi="Cambria Math"/>
                          <w:i/>
                          <w:szCs w:val="16"/>
                        </w:rPr>
                      </m:ctrlPr>
                    </m:sSupPr>
                    <m:e>
                      <m:r>
                        <m:rPr>
                          <m:nor/>
                        </m:rPr>
                        <w:rPr>
                          <w:i/>
                          <w:szCs w:val="16"/>
                        </w:rPr>
                        <m:t>π</m:t>
                      </m:r>
                    </m:e>
                    <m:sup>
                      <m:r>
                        <m:rPr>
                          <m:nor/>
                        </m:rPr>
                        <w:rPr>
                          <w:i/>
                          <w:szCs w:val="16"/>
                        </w:rPr>
                        <m:t>castigo</m:t>
                      </m:r>
                    </m:sup>
                  </m:sSup>
                </m:e>
              </m:nary>
            </m:e>
          </m:d>
          <m:r>
            <w:rPr>
              <w:rFonts w:ascii="Cambria Math" w:eastAsiaTheme="minorEastAsia" w:hAnsi="Cambria Math"/>
              <w:szCs w:val="16"/>
            </w:rPr>
            <m:t>=</m:t>
          </m:r>
          <m:sSup>
            <m:sSupPr>
              <m:ctrlPr>
                <w:rPr>
                  <w:rFonts w:ascii="Cambria Math" w:hAnsi="Cambria Math"/>
                  <w:i/>
                  <w:szCs w:val="16"/>
                </w:rPr>
              </m:ctrlPr>
            </m:sSupPr>
            <m:e>
              <m:r>
                <m:rPr>
                  <m:nor/>
                </m:rPr>
                <w:rPr>
                  <w:i/>
                  <w:szCs w:val="16"/>
                </w:rPr>
                <m:t>Π</m:t>
              </m:r>
            </m:e>
            <m:sup>
              <m:r>
                <m:rPr>
                  <m:nor/>
                </m:rPr>
                <w:rPr>
                  <w:i/>
                  <w:szCs w:val="16"/>
                </w:rPr>
                <m:t>desviación</m:t>
              </m:r>
            </m:sup>
          </m:sSup>
        </m:oMath>
      </m:oMathPara>
    </w:p>
    <w:p w14:paraId="79495DE4" w14:textId="77777777" w:rsidR="00E304C3" w:rsidRPr="00621462" w:rsidRDefault="00000000" w:rsidP="00E304C3">
      <w:pPr>
        <w:pStyle w:val="Textonotapie"/>
        <w:spacing w:after="0"/>
        <w:rPr>
          <w:rFonts w:eastAsiaTheme="minorEastAsia"/>
          <w:i/>
          <w:szCs w:val="16"/>
        </w:rPr>
      </w:pPr>
      <m:oMathPara>
        <m:oMath>
          <m:sSup>
            <m:sSupPr>
              <m:ctrlPr>
                <w:rPr>
                  <w:rFonts w:ascii="Cambria Math" w:hAnsi="Cambria Math"/>
                  <w:i/>
                  <w:szCs w:val="16"/>
                </w:rPr>
              </m:ctrlPr>
            </m:sSupPr>
            <m:e>
              <m:r>
                <m:rPr>
                  <m:nor/>
                </m:rPr>
                <w:rPr>
                  <w:i/>
                  <w:szCs w:val="16"/>
                </w:rPr>
                <m:t>Π</m:t>
              </m:r>
            </m:e>
            <m:sup>
              <m:r>
                <m:rPr>
                  <m:nor/>
                </m:rPr>
                <w:rPr>
                  <w:i/>
                  <w:szCs w:val="16"/>
                </w:rPr>
                <m:t>colusión</m:t>
              </m:r>
            </m:sup>
          </m:sSup>
          <m:r>
            <w:rPr>
              <w:rFonts w:ascii="Cambria Math" w:hAnsi="Cambria Math"/>
              <w:szCs w:val="16"/>
            </w:rPr>
            <m:t>=</m:t>
          </m:r>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β</m:t>
              </m:r>
            </m:e>
          </m:d>
          <m:r>
            <w:rPr>
              <w:rFonts w:ascii="Cambria Math" w:eastAsiaTheme="minorEastAsia" w:hAnsi="Cambria Math"/>
              <w:szCs w:val="16"/>
            </w:rPr>
            <m:t>∙</m:t>
          </m:r>
          <m:sSup>
            <m:sSupPr>
              <m:ctrlPr>
                <w:rPr>
                  <w:rFonts w:ascii="Cambria Math" w:hAnsi="Cambria Math"/>
                  <w:i/>
                  <w:szCs w:val="16"/>
                </w:rPr>
              </m:ctrlPr>
            </m:sSupPr>
            <m:e>
              <m:r>
                <m:rPr>
                  <m:nor/>
                </m:rPr>
                <w:rPr>
                  <w:i/>
                  <w:szCs w:val="16"/>
                </w:rPr>
                <m:t>π</m:t>
              </m:r>
            </m:e>
            <m:sup>
              <m:r>
                <m:rPr>
                  <m:nor/>
                </m:rPr>
                <w:rPr>
                  <w:i/>
                  <w:szCs w:val="16"/>
                </w:rPr>
                <m:t>colusión</m:t>
              </m:r>
            </m:sup>
          </m:sSup>
          <m:r>
            <w:rPr>
              <w:rFonts w:ascii="Cambria Math" w:hAnsi="Cambria Math"/>
              <w:szCs w:val="16"/>
            </w:rPr>
            <m:t>+</m:t>
          </m:r>
          <m:r>
            <m:rPr>
              <m:nor/>
            </m:rPr>
            <w:rPr>
              <w:i/>
              <w:szCs w:val="16"/>
            </w:rPr>
            <m:t>β</m:t>
          </m:r>
          <w:bookmarkStart w:id="54" w:name="_Hlk130900360"/>
          <m:r>
            <w:rPr>
              <w:rFonts w:ascii="Cambria Math" w:eastAsiaTheme="minorEastAsia" w:hAnsi="Cambria Math"/>
              <w:szCs w:val="16"/>
            </w:rPr>
            <m:t>∙</m:t>
          </m:r>
          <w:bookmarkEnd w:id="54"/>
          <m:sSup>
            <m:sSupPr>
              <m:ctrlPr>
                <w:rPr>
                  <w:rFonts w:ascii="Cambria Math" w:hAnsi="Cambria Math"/>
                  <w:i/>
                  <w:szCs w:val="16"/>
                </w:rPr>
              </m:ctrlPr>
            </m:sSupPr>
            <m:e>
              <m:r>
                <m:rPr>
                  <m:nor/>
                </m:rPr>
                <w:rPr>
                  <w:i/>
                  <w:szCs w:val="16"/>
                </w:rPr>
                <m:t>π</m:t>
              </m:r>
            </m:e>
            <m:sup>
              <m:r>
                <m:rPr>
                  <m:nor/>
                </m:rPr>
                <w:rPr>
                  <w:i/>
                  <w:szCs w:val="16"/>
                </w:rPr>
                <m:t>colusión</m:t>
              </m:r>
            </m:sup>
          </m:sSup>
          <m:r>
            <w:rPr>
              <w:rFonts w:ascii="Cambria Math" w:eastAsiaTheme="minorEastAsia" w:hAnsi="Cambria Math"/>
              <w:szCs w:val="16"/>
            </w:rPr>
            <m:t>≥</m:t>
          </m:r>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β</m:t>
              </m:r>
            </m:e>
          </m:d>
          <m:r>
            <w:rPr>
              <w:rFonts w:ascii="Cambria Math" w:eastAsiaTheme="minorEastAsia" w:hAnsi="Cambria Math"/>
              <w:szCs w:val="16"/>
            </w:rPr>
            <m:t>∙</m:t>
          </m:r>
          <m:sSup>
            <m:sSupPr>
              <m:ctrlPr>
                <w:rPr>
                  <w:rFonts w:ascii="Cambria Math" w:hAnsi="Cambria Math"/>
                  <w:i/>
                  <w:szCs w:val="16"/>
                </w:rPr>
              </m:ctrlPr>
            </m:sSupPr>
            <m:e>
              <m:r>
                <m:rPr>
                  <m:nor/>
                </m:rPr>
                <w:rPr>
                  <w:i/>
                  <w:szCs w:val="16"/>
                </w:rPr>
                <m:t>π</m:t>
              </m:r>
            </m:e>
            <m:sup>
              <m:r>
                <m:rPr>
                  <m:nor/>
                </m:rPr>
                <w:rPr>
                  <w:i/>
                  <w:szCs w:val="16"/>
                </w:rPr>
                <m:t>free rider</m:t>
              </m:r>
            </m:sup>
          </m:sSup>
          <m:r>
            <w:rPr>
              <w:rFonts w:ascii="Cambria Math" w:hAnsi="Cambria Math"/>
              <w:szCs w:val="16"/>
            </w:rPr>
            <m:t>+</m:t>
          </m:r>
          <m:r>
            <m:rPr>
              <m:nor/>
            </m:rPr>
            <w:rPr>
              <w:i/>
              <w:szCs w:val="16"/>
            </w:rPr>
            <m:t>β</m:t>
          </m:r>
          <m:r>
            <w:rPr>
              <w:rFonts w:ascii="Cambria Math" w:eastAsiaTheme="minorEastAsia" w:hAnsi="Cambria Math"/>
              <w:szCs w:val="16"/>
            </w:rPr>
            <m:t>∙</m:t>
          </m:r>
          <m:sSup>
            <m:sSupPr>
              <m:ctrlPr>
                <w:rPr>
                  <w:rFonts w:ascii="Cambria Math" w:hAnsi="Cambria Math"/>
                  <w:i/>
                  <w:szCs w:val="16"/>
                </w:rPr>
              </m:ctrlPr>
            </m:sSupPr>
            <m:e>
              <m:r>
                <m:rPr>
                  <m:nor/>
                </m:rPr>
                <w:rPr>
                  <w:i/>
                  <w:szCs w:val="16"/>
                </w:rPr>
                <m:t>π</m:t>
              </m:r>
            </m:e>
            <m:sup>
              <m:r>
                <m:rPr>
                  <m:nor/>
                </m:rPr>
                <w:rPr>
                  <w:i/>
                  <w:szCs w:val="16"/>
                </w:rPr>
                <m:t>castigo</m:t>
              </m:r>
            </m:sup>
          </m:sSup>
          <m:r>
            <w:rPr>
              <w:rFonts w:ascii="Cambria Math" w:hAnsi="Cambria Math"/>
              <w:szCs w:val="16"/>
            </w:rPr>
            <m:t>=</m:t>
          </m:r>
          <m:sSup>
            <m:sSupPr>
              <m:ctrlPr>
                <w:rPr>
                  <w:rFonts w:ascii="Cambria Math" w:hAnsi="Cambria Math"/>
                  <w:i/>
                  <w:szCs w:val="16"/>
                </w:rPr>
              </m:ctrlPr>
            </m:sSupPr>
            <m:e>
              <m:r>
                <m:rPr>
                  <m:nor/>
                </m:rPr>
                <w:rPr>
                  <w:i/>
                  <w:szCs w:val="16"/>
                </w:rPr>
                <m:t>Π</m:t>
              </m:r>
            </m:e>
            <m:sup>
              <m:r>
                <m:rPr>
                  <m:nor/>
                </m:rPr>
                <w:rPr>
                  <w:i/>
                  <w:szCs w:val="16"/>
                </w:rPr>
                <m:t>desviación</m:t>
              </m:r>
            </m:sup>
          </m:sSup>
        </m:oMath>
      </m:oMathPara>
    </w:p>
    <w:p w14:paraId="0EA3E7F8" w14:textId="77777777" w:rsidR="00E304C3" w:rsidRPr="00621462" w:rsidRDefault="00000000" w:rsidP="00E304C3">
      <w:pPr>
        <w:pStyle w:val="Textonotapie"/>
        <w:spacing w:after="0"/>
        <w:rPr>
          <w:rFonts w:eastAsiaTheme="minorEastAsia"/>
          <w:i/>
          <w:szCs w:val="16"/>
          <w:lang w:val="en-US"/>
        </w:rPr>
      </w:pPr>
      <m:oMathPara>
        <m:oMath>
          <m:sSup>
            <m:sSupPr>
              <m:ctrlPr>
                <w:rPr>
                  <w:rFonts w:ascii="Cambria Math" w:hAnsi="Cambria Math"/>
                  <w:i/>
                  <w:szCs w:val="16"/>
                </w:rPr>
              </m:ctrlPr>
            </m:sSupPr>
            <m:e>
              <m:r>
                <m:rPr>
                  <m:nor/>
                </m:rPr>
                <w:rPr>
                  <w:i/>
                  <w:szCs w:val="16"/>
                </w:rPr>
                <m:t>π</m:t>
              </m:r>
            </m:e>
            <m:sup>
              <m:r>
                <m:rPr>
                  <m:nor/>
                </m:rPr>
                <w:rPr>
                  <w:i/>
                  <w:szCs w:val="16"/>
                  <w:lang w:val="en-US"/>
                </w:rPr>
                <m:t>colusión</m:t>
              </m:r>
            </m:sup>
          </m:sSup>
          <m:r>
            <w:rPr>
              <w:rFonts w:ascii="Cambria Math" w:eastAsiaTheme="minorEastAsia"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free rider</m:t>
              </m:r>
            </m:sup>
          </m:sSup>
          <m:r>
            <w:rPr>
              <w:rFonts w:ascii="Cambria Math" w:hAnsi="Cambria Math"/>
              <w:szCs w:val="16"/>
              <w:lang w:val="en-US"/>
            </w:rPr>
            <m:t>-</m:t>
          </m:r>
          <m:r>
            <m:rPr>
              <m:nor/>
            </m:rPr>
            <w:rPr>
              <w:i/>
              <w:szCs w:val="16"/>
            </w:rPr>
            <m:t>β</m:t>
          </m:r>
          <m:r>
            <w:rPr>
              <w:rFonts w:ascii="Cambria Math" w:eastAsiaTheme="minorEastAsia"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free rider</m:t>
              </m:r>
            </m:sup>
          </m:sSup>
          <m:r>
            <w:rPr>
              <w:rFonts w:ascii="Cambria Math" w:hAnsi="Cambria Math"/>
              <w:szCs w:val="16"/>
              <w:lang w:val="en-US"/>
            </w:rPr>
            <m:t>+</m:t>
          </m:r>
          <m:r>
            <m:rPr>
              <m:nor/>
            </m:rPr>
            <w:rPr>
              <w:i/>
              <w:szCs w:val="16"/>
            </w:rPr>
            <m:t>β</m:t>
          </m:r>
          <m:r>
            <w:rPr>
              <w:rFonts w:ascii="Cambria Math" w:eastAsiaTheme="minorEastAsia"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castigo</m:t>
              </m:r>
            </m:sup>
          </m:sSup>
        </m:oMath>
      </m:oMathPara>
    </w:p>
    <w:p w14:paraId="4106DD8D" w14:textId="77777777" w:rsidR="00E304C3" w:rsidRPr="00621462" w:rsidRDefault="00000000" w:rsidP="00E304C3">
      <w:pPr>
        <w:pStyle w:val="Textonotapie"/>
        <w:spacing w:after="0"/>
        <w:rPr>
          <w:rFonts w:eastAsiaTheme="minorEastAsia"/>
          <w:i/>
          <w:szCs w:val="16"/>
          <w:lang w:val="en-US"/>
        </w:rPr>
      </w:pPr>
      <m:oMathPara>
        <m:oMath>
          <m:sSup>
            <m:sSupPr>
              <m:ctrlPr>
                <w:rPr>
                  <w:rFonts w:ascii="Cambria Math" w:hAnsi="Cambria Math"/>
                  <w:i/>
                  <w:szCs w:val="16"/>
                </w:rPr>
              </m:ctrlPr>
            </m:sSupPr>
            <m:e>
              <m:r>
                <m:rPr>
                  <m:nor/>
                </m:rPr>
                <w:rPr>
                  <w:i/>
                  <w:szCs w:val="16"/>
                </w:rPr>
                <m:t>π</m:t>
              </m:r>
            </m:e>
            <m:sup>
              <m:r>
                <m:rPr>
                  <m:nor/>
                </m:rPr>
                <w:rPr>
                  <w:i/>
                  <w:szCs w:val="16"/>
                  <w:lang w:val="en-US"/>
                </w:rPr>
                <m:t>colusión</m:t>
              </m:r>
            </m:sup>
          </m:sSup>
          <m:r>
            <w:rPr>
              <w:rFonts w:ascii="Cambria Math" w:eastAsiaTheme="minorEastAsia"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free rider</m:t>
              </m:r>
            </m:sup>
          </m:sSup>
          <m:r>
            <w:rPr>
              <w:rFonts w:ascii="Cambria Math" w:hAnsi="Cambria Math"/>
              <w:szCs w:val="16"/>
              <w:lang w:val="en-US"/>
            </w:rPr>
            <m:t>-</m:t>
          </m:r>
          <m:r>
            <m:rPr>
              <m:nor/>
            </m:rPr>
            <w:rPr>
              <w:i/>
              <w:szCs w:val="16"/>
            </w:rPr>
            <m:t>β</m:t>
          </m:r>
          <m:r>
            <w:rPr>
              <w:rFonts w:ascii="Cambria Math" w:eastAsiaTheme="minorEastAsia" w:hAnsi="Cambria Math"/>
              <w:szCs w:val="16"/>
              <w:lang w:val="en-US"/>
            </w:rPr>
            <m:t>∙</m:t>
          </m:r>
          <m:d>
            <m:dPr>
              <m:ctrlPr>
                <w:rPr>
                  <w:rFonts w:ascii="Cambria Math" w:hAnsi="Cambria Math"/>
                  <w:i/>
                  <w:szCs w:val="16"/>
                </w:rPr>
              </m:ctrlPr>
            </m:dPr>
            <m:e>
              <m:sSup>
                <m:sSupPr>
                  <m:ctrlPr>
                    <w:rPr>
                      <w:rFonts w:ascii="Cambria Math" w:hAnsi="Cambria Math"/>
                      <w:i/>
                      <w:szCs w:val="16"/>
                    </w:rPr>
                  </m:ctrlPr>
                </m:sSupPr>
                <m:e>
                  <m:r>
                    <m:rPr>
                      <m:nor/>
                    </m:rPr>
                    <w:rPr>
                      <w:i/>
                      <w:szCs w:val="16"/>
                    </w:rPr>
                    <m:t>π</m:t>
                  </m:r>
                </m:e>
                <m:sup>
                  <m:r>
                    <m:rPr>
                      <m:nor/>
                    </m:rPr>
                    <w:rPr>
                      <w:i/>
                      <w:szCs w:val="16"/>
                      <w:lang w:val="en-US"/>
                    </w:rPr>
                    <m:t>free rider</m:t>
                  </m:r>
                </m:sup>
              </m:sSup>
              <m:r>
                <w:rPr>
                  <w:rFonts w:ascii="Cambria Math"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castigo</m:t>
                  </m:r>
                </m:sup>
              </m:sSup>
            </m:e>
          </m:d>
        </m:oMath>
      </m:oMathPara>
    </w:p>
    <w:p w14:paraId="3F6E3680" w14:textId="77777777" w:rsidR="00E304C3" w:rsidRPr="00001266" w:rsidRDefault="00E304C3" w:rsidP="00E304C3">
      <w:pPr>
        <w:pStyle w:val="Textonotapie"/>
        <w:rPr>
          <w:rFonts w:eastAsiaTheme="minorEastAsia"/>
          <w:i/>
          <w:sz w:val="14"/>
          <w:szCs w:val="14"/>
          <w:lang w:val="en-US"/>
        </w:rPr>
      </w:pPr>
      <m:oMathPara>
        <m:oMath>
          <m:r>
            <m:rPr>
              <m:nor/>
            </m:rPr>
            <w:rPr>
              <w:i/>
              <w:szCs w:val="16"/>
            </w:rPr>
            <m:t>β</m:t>
          </m:r>
          <m:r>
            <w:rPr>
              <w:rFonts w:ascii="Cambria Math" w:eastAsiaTheme="minorEastAsia" w:hAnsi="Cambria Math"/>
              <w:szCs w:val="16"/>
              <w:lang w:val="en-US"/>
            </w:rPr>
            <m:t>≥</m:t>
          </m:r>
          <m:f>
            <m:fPr>
              <m:ctrlPr>
                <w:rPr>
                  <w:rFonts w:ascii="Cambria Math" w:eastAsiaTheme="minorEastAsia" w:hAnsi="Cambria Math"/>
                  <w:i/>
                  <w:szCs w:val="16"/>
                </w:rPr>
              </m:ctrlPr>
            </m:fPr>
            <m:num>
              <m:sSup>
                <m:sSupPr>
                  <m:ctrlPr>
                    <w:rPr>
                      <w:rFonts w:ascii="Cambria Math" w:hAnsi="Cambria Math"/>
                      <w:i/>
                      <w:szCs w:val="16"/>
                    </w:rPr>
                  </m:ctrlPr>
                </m:sSupPr>
                <m:e>
                  <m:r>
                    <m:rPr>
                      <m:nor/>
                    </m:rPr>
                    <w:rPr>
                      <w:i/>
                      <w:szCs w:val="16"/>
                    </w:rPr>
                    <m:t>π</m:t>
                  </m:r>
                </m:e>
                <m:sup>
                  <m:r>
                    <m:rPr>
                      <m:nor/>
                    </m:rPr>
                    <w:rPr>
                      <w:i/>
                      <w:szCs w:val="16"/>
                      <w:lang w:val="en-US"/>
                    </w:rPr>
                    <m:t>free rider</m:t>
                  </m:r>
                </m:sup>
              </m:sSup>
              <m:r>
                <w:rPr>
                  <w:rFonts w:ascii="Cambria Math"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colusión</m:t>
                  </m:r>
                </m:sup>
              </m:sSup>
            </m:num>
            <m:den>
              <m:sSup>
                <m:sSupPr>
                  <m:ctrlPr>
                    <w:rPr>
                      <w:rFonts w:ascii="Cambria Math" w:hAnsi="Cambria Math"/>
                      <w:i/>
                      <w:szCs w:val="16"/>
                    </w:rPr>
                  </m:ctrlPr>
                </m:sSupPr>
                <m:e>
                  <m:r>
                    <m:rPr>
                      <m:nor/>
                    </m:rPr>
                    <w:rPr>
                      <w:i/>
                      <w:szCs w:val="16"/>
                    </w:rPr>
                    <m:t>π</m:t>
                  </m:r>
                </m:e>
                <m:sup>
                  <m:r>
                    <m:rPr>
                      <m:nor/>
                    </m:rPr>
                    <w:rPr>
                      <w:i/>
                      <w:szCs w:val="16"/>
                      <w:lang w:val="en-US"/>
                    </w:rPr>
                    <m:t>free rider</m:t>
                  </m:r>
                </m:sup>
              </m:sSup>
              <m:r>
                <w:rPr>
                  <w:rFonts w:ascii="Cambria Math"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castigo</m:t>
                  </m:r>
                </m:sup>
              </m:sSup>
            </m:den>
          </m:f>
        </m:oMath>
      </m:oMathPara>
    </w:p>
  </w:footnote>
  <w:footnote w:id="26">
    <w:p w14:paraId="022DA2E5" w14:textId="77777777" w:rsidR="00E304C3" w:rsidRDefault="00E304C3" w:rsidP="00E304C3">
      <w:pPr>
        <w:pStyle w:val="Textonotapie"/>
        <w:keepNext/>
        <w:spacing w:after="0"/>
      </w:pPr>
      <w:r>
        <w:rPr>
          <w:rStyle w:val="Refdenotaalpie"/>
        </w:rPr>
        <w:footnoteRef/>
      </w:r>
      <w:r>
        <w:t xml:space="preserve"> Cabe destacar que el resultado de </w:t>
      </w:r>
      <w:r>
        <w:rPr>
          <w:smallCaps/>
        </w:rPr>
        <w:t>James Friedman</w:t>
      </w:r>
      <w:r>
        <w:t xml:space="preserve"> (1971):</w:t>
      </w:r>
    </w:p>
    <w:p w14:paraId="2BCEEF3A" w14:textId="77777777" w:rsidR="00E304C3" w:rsidRDefault="00E304C3">
      <w:pPr>
        <w:pStyle w:val="Textonotapie"/>
        <w:numPr>
          <w:ilvl w:val="0"/>
          <w:numId w:val="19"/>
        </w:numPr>
        <w:spacing w:after="0"/>
        <w:ind w:left="283" w:hanging="113"/>
      </w:pPr>
      <w:r>
        <w:t xml:space="preserve">Entronca con la contribución pionera de </w:t>
      </w:r>
      <w:r w:rsidRPr="00911ADB">
        <w:rPr>
          <w:smallCaps/>
        </w:rPr>
        <w:t>Ge</w:t>
      </w:r>
      <w:r>
        <w:rPr>
          <w:smallCaps/>
        </w:rPr>
        <w:t>o</w:t>
      </w:r>
      <w:r w:rsidRPr="00911ADB">
        <w:rPr>
          <w:smallCaps/>
        </w:rPr>
        <w:t>rge J. St</w:t>
      </w:r>
      <w:r>
        <w:rPr>
          <w:smallCaps/>
        </w:rPr>
        <w:t>igler</w:t>
      </w:r>
      <w:r>
        <w:t xml:space="preserve"> (1961), quien destacó como el afán de mayores beneficios detrás de la colusión conduce también a las empresas a querer desviarse/traicionar al cártel y acaparar el mercado, de modo análogo a lo que cabe observar en el dilema del prisionero;</w:t>
      </w:r>
    </w:p>
    <w:p w14:paraId="3CBC5B37" w14:textId="77777777" w:rsidR="00E304C3" w:rsidRDefault="00E304C3">
      <w:pPr>
        <w:pStyle w:val="Textonotapie"/>
        <w:keepNext/>
        <w:numPr>
          <w:ilvl w:val="0"/>
          <w:numId w:val="19"/>
        </w:numPr>
        <w:spacing w:after="0"/>
        <w:ind w:left="283" w:hanging="113"/>
      </w:pPr>
      <w:r>
        <w:t>Ha dado pie a una amplia literatura económica que explora los factores que hacen más sostenible la colusión, ya sea por incidir en el beneficio colusorio, el beneficio que resulta de desviarse, o el beneficio de castigo (que no solo depende del tamaño del castigo infligido, sino también de la rapidez con la que se detecta el incumplimiento del pacto colusorio por parte de una empresa). Según esta literatura, la sostenibilidad de la colusión dependerá de:</w:t>
      </w:r>
    </w:p>
    <w:p w14:paraId="210420FA" w14:textId="77777777" w:rsidR="00E304C3" w:rsidRDefault="00E304C3">
      <w:pPr>
        <w:pStyle w:val="Textonotapie"/>
        <w:keepNext/>
        <w:numPr>
          <w:ilvl w:val="1"/>
          <w:numId w:val="19"/>
        </w:numPr>
        <w:spacing w:after="0"/>
        <w:ind w:left="567" w:hanging="113"/>
      </w:pPr>
      <w:r>
        <w:rPr>
          <w:i/>
          <w:iCs/>
        </w:rPr>
        <w:t>Expectativas de renegociación</w:t>
      </w:r>
      <w:r>
        <w:t xml:space="preserve"> (</w:t>
      </w:r>
      <w:r>
        <w:rPr>
          <w:rFonts w:ascii="Times New Roman" w:hAnsi="Times New Roman" w:cs="Times New Roman"/>
        </w:rPr>
        <w:t>−</w:t>
      </w:r>
      <w:r>
        <w:t>): Si las empresas esperan que ante una desviación se va a reiniciar la colusión, existirán más incentivos a desviarse y por lo tanto la colusión será más difícil de sostener (menor será el coste de oportunidad de desviarse).</w:t>
      </w:r>
    </w:p>
    <w:p w14:paraId="3671E20D" w14:textId="77777777" w:rsidR="00E304C3" w:rsidRDefault="00E304C3">
      <w:pPr>
        <w:pStyle w:val="Textonotapie"/>
        <w:numPr>
          <w:ilvl w:val="1"/>
          <w:numId w:val="19"/>
        </w:numPr>
        <w:spacing w:after="0"/>
        <w:ind w:left="567" w:hanging="113"/>
      </w:pPr>
      <w:r>
        <w:rPr>
          <w:i/>
          <w:iCs/>
        </w:rPr>
        <w:t>Número de empresas</w:t>
      </w:r>
      <w:r>
        <w:t xml:space="preserve"> (</w:t>
      </w:r>
      <w:r>
        <w:rPr>
          <w:rFonts w:ascii="Times New Roman" w:hAnsi="Times New Roman" w:cs="Times New Roman"/>
        </w:rPr>
        <w:t>−</w:t>
      </w:r>
      <w:r>
        <w:t>): Cuanto mayor sea el número de empresas más difícil será la colusión (mayor será el beneficio del desvío y menor el beneficio bajo colusión ya que se reparte entre más empresas).</w:t>
      </w:r>
    </w:p>
    <w:p w14:paraId="49F9CE49" w14:textId="77777777" w:rsidR="00E304C3" w:rsidRDefault="00E304C3">
      <w:pPr>
        <w:pStyle w:val="Textonotapie"/>
        <w:numPr>
          <w:ilvl w:val="1"/>
          <w:numId w:val="19"/>
        </w:numPr>
        <w:spacing w:after="0"/>
        <w:ind w:left="567" w:hanging="113"/>
      </w:pPr>
      <w:r>
        <w:rPr>
          <w:i/>
          <w:iCs/>
        </w:rPr>
        <w:t>Transparencia del mercado</w:t>
      </w:r>
      <w:r>
        <w:t xml:space="preserve"> (+): Afecta a la habilidad para detectar incumplimientos al incidir sobre el tiempo de detección. Cuanto menor sea la transparencia, menor posibilidad de detectar incumplimientos, con lo que menores beneficios de desviarse.</w:t>
      </w:r>
    </w:p>
    <w:p w14:paraId="0F6B9DE4" w14:textId="77777777" w:rsidR="00E304C3" w:rsidRDefault="00E304C3">
      <w:pPr>
        <w:pStyle w:val="Textonotapie"/>
        <w:numPr>
          <w:ilvl w:val="1"/>
          <w:numId w:val="19"/>
        </w:numPr>
        <w:spacing w:after="0"/>
        <w:ind w:left="567" w:hanging="113"/>
      </w:pPr>
      <w:r>
        <w:rPr>
          <w:i/>
          <w:iCs/>
        </w:rPr>
        <w:t>Frecuencia de interacción en el mercado</w:t>
      </w:r>
      <w:r>
        <w:t xml:space="preserve"> (+): Cuando las empresas compiten entre sí con frecuencia es más fácil sostener la colusión porque las empresas pueden reaccionar más rápido ante una desviación de uno de los participantes en el cártel. Una forma de incrementar la frecuencia de interacción es la presencia simultánea en varios mercados, lo que además implicaría mayor posibilidad de castigo al permitir el castigo en otros mercados.</w:t>
      </w:r>
    </w:p>
    <w:p w14:paraId="2E94DF5D" w14:textId="77777777" w:rsidR="00E304C3" w:rsidRDefault="00E304C3">
      <w:pPr>
        <w:pStyle w:val="Textonotapie"/>
        <w:numPr>
          <w:ilvl w:val="1"/>
          <w:numId w:val="19"/>
        </w:numPr>
        <w:spacing w:after="0"/>
        <w:ind w:left="567" w:hanging="113"/>
      </w:pPr>
      <w:r>
        <w:rPr>
          <w:i/>
          <w:iCs/>
        </w:rPr>
        <w:t>Crecimiento de la demanda</w:t>
      </w:r>
      <w:r>
        <w:t xml:space="preserve"> (¿): Tendría un efecto ambiguo, pues generaría un mayor coste de oportunidad de desviarse porque los beneficios de cooperar son mayores, pero un mayor beneficio de desviarse.</w:t>
      </w:r>
    </w:p>
    <w:p w14:paraId="2049BAB8" w14:textId="77777777" w:rsidR="00E304C3" w:rsidRDefault="00E304C3">
      <w:pPr>
        <w:pStyle w:val="Textonotapie"/>
        <w:numPr>
          <w:ilvl w:val="1"/>
          <w:numId w:val="19"/>
        </w:numPr>
        <w:spacing w:after="0"/>
        <w:ind w:left="567" w:hanging="113"/>
      </w:pPr>
      <w:r>
        <w:rPr>
          <w:i/>
          <w:iCs/>
        </w:rPr>
        <w:t>Asimetrías de costes</w:t>
      </w:r>
      <w:r>
        <w:t xml:space="preserve"> (</w:t>
      </w:r>
      <w:r>
        <w:rPr>
          <w:rFonts w:ascii="Times New Roman" w:hAnsi="Times New Roman" w:cs="Times New Roman"/>
        </w:rPr>
        <w:t>−</w:t>
      </w:r>
      <w:r>
        <w:t>): Las asimetrías de costes hacen más difícil la colusión, ya que si una empresa es más eficiente que el resto y se desvía puede ganar más desviándose que otras y además es más difícil castigarla.</w:t>
      </w:r>
    </w:p>
    <w:p w14:paraId="478CE6B5" w14:textId="77777777" w:rsidR="00E304C3" w:rsidRPr="00087832" w:rsidRDefault="00E304C3">
      <w:pPr>
        <w:pStyle w:val="Textonotapie"/>
        <w:numPr>
          <w:ilvl w:val="1"/>
          <w:numId w:val="19"/>
        </w:numPr>
        <w:spacing w:after="0"/>
        <w:ind w:left="567" w:hanging="113"/>
      </w:pPr>
      <w:r>
        <w:rPr>
          <w:i/>
          <w:iCs/>
        </w:rPr>
        <w:t>Diferenciación de productos de tipo horizontal</w:t>
      </w:r>
      <w:r>
        <w:t xml:space="preserve"> (¿): Por un lado reduce el beneficio de desviarse, pero por otro lado, hacen que el castigo sea menos efectivo.</w:t>
      </w:r>
    </w:p>
    <w:p w14:paraId="037B7AA2" w14:textId="77777777" w:rsidR="00E304C3" w:rsidRDefault="00E304C3">
      <w:pPr>
        <w:pStyle w:val="Textonotapie"/>
        <w:numPr>
          <w:ilvl w:val="1"/>
          <w:numId w:val="19"/>
        </w:numPr>
        <w:ind w:left="567" w:hanging="113"/>
      </w:pPr>
      <w:r>
        <w:rPr>
          <w:i/>
          <w:iCs/>
        </w:rPr>
        <w:t>Barreras a la entrada</w:t>
      </w:r>
      <w:r>
        <w:t xml:space="preserve"> (+): La existencia de barreras de entrada juega a favor de la colusión. Permite evitar estrategias de </w:t>
      </w:r>
      <w:r>
        <w:rPr>
          <w:i/>
          <w:iCs/>
        </w:rPr>
        <w:t>hit</w:t>
      </w:r>
      <w:r>
        <w:t xml:space="preserve"> </w:t>
      </w:r>
      <w:r>
        <w:rPr>
          <w:i/>
          <w:iCs/>
        </w:rPr>
        <w:t>&amp; run</w:t>
      </w:r>
      <w:r>
        <w:t xml:space="preserve"> que harían la colusión insostenible.</w:t>
      </w:r>
    </w:p>
  </w:footnote>
  <w:footnote w:id="27">
    <w:p w14:paraId="6BFF913B" w14:textId="4405C9AE" w:rsidR="008A0EFD" w:rsidRDefault="008A0EFD">
      <w:pPr>
        <w:pStyle w:val="Textonotapie"/>
      </w:pPr>
      <w:r>
        <w:rPr>
          <w:rStyle w:val="Refdenotaalpie"/>
        </w:rPr>
        <w:footnoteRef/>
      </w:r>
      <w:r>
        <w:t xml:space="preserve"> </w:t>
      </w:r>
      <w:hyperlink r:id="rId4" w:history="1">
        <w:r w:rsidRPr="00CC528C">
          <w:rPr>
            <w:rStyle w:val="Hipervnculo"/>
          </w:rPr>
          <w:t>https://www.imf.org/en/Blogs/Articles/2013/12/15/international-policy-coordination-the-loch-ness-monster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CD1668" w:rsidRPr="00C44422" w14:paraId="606FFE8F"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0B2F830D" w14:textId="633C2031" w:rsidR="00CD1668" w:rsidRPr="00851FCE" w:rsidRDefault="00CD1668"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3.B.19</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38C345AB" w14:textId="3EC6F6EC" w:rsidR="00CD1668" w:rsidRPr="00851FCE" w:rsidRDefault="00CD1668" w:rsidP="00CD1668">
              <w:pPr>
                <w:pStyle w:val="Encabezado"/>
                <w:spacing w:after="0"/>
                <w:ind w:left="1171" w:right="460"/>
                <w:contextualSpacing/>
                <w:jc w:val="center"/>
                <w:rPr>
                  <w:i/>
                  <w:iCs/>
                  <w:color w:val="5F2987"/>
                  <w:sz w:val="18"/>
                  <w:szCs w:val="18"/>
                </w:rPr>
              </w:pPr>
              <w:r>
                <w:rPr>
                  <w:i/>
                  <w:iCs/>
                  <w:color w:val="5F2987"/>
                  <w:sz w:val="18"/>
                  <w:szCs w:val="18"/>
                </w:rPr>
                <w:t>La coordinación internacional de políticas económicas. Aspectos teóricos y prácticos. El G-20, la OCDE y otros foros internacionales.</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36547096" w14:textId="77777777" w:rsidR="00CD1668" w:rsidRPr="00C44422" w:rsidRDefault="00CD1668"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4418E47D"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CD1668" w:rsidRPr="00C44422" w14:paraId="52342FF1" w14:textId="77777777" w:rsidTr="000D0954">
      <w:trPr>
        <w:trHeight w:val="136"/>
        <w:jc w:val="center"/>
      </w:trPr>
      <w:sdt>
        <w:sdtPr>
          <w:rPr>
            <w:b/>
            <w:bCs/>
            <w:i/>
            <w:iCs/>
            <w:caps/>
            <w:color w:val="5F2987"/>
            <w:sz w:val="18"/>
            <w:szCs w:val="18"/>
          </w:rPr>
          <w:alias w:val="Title"/>
          <w:tag w:val=""/>
          <w:id w:val="-1238932555"/>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22024829" w14:textId="77777777" w:rsidR="00CD1668" w:rsidRPr="00851FCE" w:rsidRDefault="00CD1668" w:rsidP="00CD1668">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3.B.19</w:t>
              </w:r>
            </w:p>
          </w:tc>
        </w:sdtContent>
      </w:sdt>
      <w:tc>
        <w:tcPr>
          <w:tcW w:w="7937" w:type="dxa"/>
          <w:vAlign w:val="center"/>
        </w:tcPr>
        <w:sdt>
          <w:sdtPr>
            <w:rPr>
              <w:i/>
              <w:iCs/>
              <w:color w:val="5F2987"/>
              <w:sz w:val="18"/>
              <w:szCs w:val="18"/>
            </w:rPr>
            <w:alias w:val="Subject"/>
            <w:tag w:val=""/>
            <w:id w:val="2125267511"/>
            <w:dataBinding w:prefixMappings="xmlns:ns0='http://purl.org/dc/elements/1.1/' xmlns:ns1='http://schemas.openxmlformats.org/package/2006/metadata/core-properties' " w:xpath="/ns1:coreProperties[1]/ns0:subject[1]" w:storeItemID="{6C3C8BC8-F283-45AE-878A-BAB7291924A1}"/>
            <w:text/>
          </w:sdtPr>
          <w:sdtContent>
            <w:p w14:paraId="4C970FCE" w14:textId="77777777" w:rsidR="00CD1668" w:rsidRPr="00851FCE" w:rsidRDefault="00CD1668" w:rsidP="00CD1668">
              <w:pPr>
                <w:pStyle w:val="Encabezado"/>
                <w:spacing w:after="0"/>
                <w:ind w:left="1171" w:right="460"/>
                <w:contextualSpacing/>
                <w:jc w:val="center"/>
                <w:rPr>
                  <w:i/>
                  <w:iCs/>
                  <w:color w:val="5F2987"/>
                  <w:sz w:val="18"/>
                  <w:szCs w:val="18"/>
                </w:rPr>
              </w:pPr>
              <w:r>
                <w:rPr>
                  <w:i/>
                  <w:iCs/>
                  <w:color w:val="5F2987"/>
                  <w:sz w:val="18"/>
                  <w:szCs w:val="18"/>
                </w:rPr>
                <w:t>La coordinación internacional de políticas económicas. Aspectos teóricos y prácticos. El G-20, la OCDE y otros foros internacionales.</w:t>
              </w:r>
            </w:p>
          </w:sdtContent>
        </w:sdt>
      </w:tc>
      <w:sdt>
        <w:sdtPr>
          <w:rPr>
            <w:b/>
            <w:bCs/>
            <w:i/>
            <w:iCs/>
            <w:color w:val="5F2987"/>
            <w:spacing w:val="-6"/>
            <w:sz w:val="18"/>
            <w:szCs w:val="18"/>
          </w:rPr>
          <w:alias w:val="Author"/>
          <w:tag w:val=""/>
          <w:id w:val="1413277867"/>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5A46338B" w14:textId="77777777" w:rsidR="00CD1668" w:rsidRPr="00C44422" w:rsidRDefault="00CD1668" w:rsidP="00CD1668">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118B7577" w14:textId="77777777" w:rsidR="008274D7" w:rsidRPr="004C465C" w:rsidRDefault="008274D7"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3B1517" w:rsidRPr="00BE1B62" w14:paraId="19AC3382" w14:textId="77777777" w:rsidTr="003B1517">
      <w:tc>
        <w:tcPr>
          <w:tcW w:w="3261" w:type="dxa"/>
          <w:tcBorders>
            <w:bottom w:val="thickThinSmallGap" w:sz="12" w:space="0" w:color="5F2987"/>
          </w:tcBorders>
        </w:tcPr>
        <w:p w14:paraId="4EAA9530" w14:textId="098A53E9" w:rsidR="003B1517" w:rsidRPr="00BE1B62" w:rsidRDefault="003B1517" w:rsidP="00C4165E">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E37AC1">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012A22C4" w14:textId="77777777" w:rsidR="003B1517" w:rsidRPr="00BE1B62" w:rsidRDefault="003B1517" w:rsidP="00C4165E">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48E63B94DF04407E8E1DECA702B11924"/>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488461E4" w14:textId="096AF64A" w:rsidR="003B1517" w:rsidRPr="00BE1B62" w:rsidRDefault="00114D4F" w:rsidP="00C4165E">
              <w:pPr>
                <w:pStyle w:val="Encabezado"/>
                <w:spacing w:after="0"/>
                <w:jc w:val="right"/>
                <w:rPr>
                  <w:i/>
                  <w:iCs/>
                  <w:color w:val="5F2987"/>
                  <w:spacing w:val="-6"/>
                  <w:sz w:val="18"/>
                  <w:szCs w:val="18"/>
                </w:rPr>
              </w:pPr>
              <w:r>
                <w:rPr>
                  <w:i/>
                  <w:iCs/>
                  <w:color w:val="5F2987"/>
                  <w:spacing w:val="-6"/>
                  <w:sz w:val="20"/>
                  <w:szCs w:val="20"/>
                </w:rPr>
                <w:t>3.B.19</w:t>
              </w:r>
            </w:p>
          </w:tc>
        </w:sdtContent>
      </w:sdt>
    </w:tr>
  </w:tbl>
  <w:p w14:paraId="7E40D2B2" w14:textId="77777777" w:rsidR="003B1517" w:rsidRPr="00C80BBD" w:rsidRDefault="003B1517" w:rsidP="00C4165E">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30C26"/>
    <w:multiLevelType w:val="hybridMultilevel"/>
    <w:tmpl w:val="4146AB82"/>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AA778E"/>
    <w:multiLevelType w:val="hybridMultilevel"/>
    <w:tmpl w:val="D6C6E0F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3" w15:restartNumberingAfterBreak="0">
    <w:nsid w:val="0FC95012"/>
    <w:multiLevelType w:val="hybridMultilevel"/>
    <w:tmpl w:val="27AC57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C9F395C"/>
    <w:multiLevelType w:val="hybridMultilevel"/>
    <w:tmpl w:val="8DE89F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DB600AC"/>
    <w:multiLevelType w:val="hybridMultilevel"/>
    <w:tmpl w:val="68723BC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E9E5C38"/>
    <w:multiLevelType w:val="hybridMultilevel"/>
    <w:tmpl w:val="BC3274B6"/>
    <w:lvl w:ilvl="0" w:tplc="6D3E5EA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ED32A48"/>
    <w:multiLevelType w:val="hybridMultilevel"/>
    <w:tmpl w:val="2552393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3082DF6"/>
    <w:multiLevelType w:val="hybridMultilevel"/>
    <w:tmpl w:val="6AB4182C"/>
    <w:lvl w:ilvl="0" w:tplc="0C0A0011">
      <w:start w:val="1"/>
      <w:numFmt w:val="decimal"/>
      <w:lvlText w:val="%1)"/>
      <w:lvlJc w:val="left"/>
      <w:pPr>
        <w:ind w:left="720" w:hanging="360"/>
      </w:pPr>
      <w:rPr>
        <w:rFonts w:hint="default"/>
      </w:rPr>
    </w:lvl>
    <w:lvl w:ilvl="1" w:tplc="9D3CACF2">
      <w:start w:val="1"/>
      <w:numFmt w:val="lowerRoman"/>
      <w:lvlText w:val="%2."/>
      <w:lvlJc w:val="right"/>
      <w:pPr>
        <w:ind w:left="1440" w:hanging="360"/>
      </w:pPr>
      <w:rPr>
        <w:i/>
        <w:iC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2" w15:restartNumberingAfterBreak="0">
    <w:nsid w:val="29933568"/>
    <w:multiLevelType w:val="hybridMultilevel"/>
    <w:tmpl w:val="D1D8C56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C755005"/>
    <w:multiLevelType w:val="hybridMultilevel"/>
    <w:tmpl w:val="686C682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CDF28BA"/>
    <w:multiLevelType w:val="hybridMultilevel"/>
    <w:tmpl w:val="7D8E0CC8"/>
    <w:lvl w:ilvl="0" w:tplc="40928E8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22571F3"/>
    <w:multiLevelType w:val="hybridMultilevel"/>
    <w:tmpl w:val="27AC57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B04382D"/>
    <w:multiLevelType w:val="hybridMultilevel"/>
    <w:tmpl w:val="FDB81524"/>
    <w:lvl w:ilvl="0" w:tplc="5EC2B18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C136B07"/>
    <w:multiLevelType w:val="hybridMultilevel"/>
    <w:tmpl w:val="39F48E2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D175BFE"/>
    <w:multiLevelType w:val="hybridMultilevel"/>
    <w:tmpl w:val="F800A02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1580E14"/>
    <w:multiLevelType w:val="hybridMultilevel"/>
    <w:tmpl w:val="0CC2D7D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225415B"/>
    <w:multiLevelType w:val="hybridMultilevel"/>
    <w:tmpl w:val="61EC193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6B133ED"/>
    <w:multiLevelType w:val="hybridMultilevel"/>
    <w:tmpl w:val="9C1EC32C"/>
    <w:lvl w:ilvl="0" w:tplc="1B7808F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7043A32"/>
    <w:multiLevelType w:val="hybridMultilevel"/>
    <w:tmpl w:val="D8BAFA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9E35BA6"/>
    <w:multiLevelType w:val="hybridMultilevel"/>
    <w:tmpl w:val="2552393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E025B85"/>
    <w:multiLevelType w:val="hybridMultilevel"/>
    <w:tmpl w:val="E29E76C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09A65C9"/>
    <w:multiLevelType w:val="hybridMultilevel"/>
    <w:tmpl w:val="27900640"/>
    <w:lvl w:ilvl="0" w:tplc="C1F6A76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0B460D1"/>
    <w:multiLevelType w:val="hybridMultilevel"/>
    <w:tmpl w:val="8236ED82"/>
    <w:lvl w:ilvl="0" w:tplc="3E3847CA">
      <w:start w:val="1"/>
      <w:numFmt w:val="decimal"/>
      <w:lvlText w:val="%1."/>
      <w:lvlJc w:val="left"/>
      <w:pPr>
        <w:ind w:left="720" w:hanging="360"/>
      </w:pPr>
      <w:rPr>
        <w:rFonts w:ascii="Palatino Linotype" w:hAnsi="Palatino Linotype"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2A22D50"/>
    <w:multiLevelType w:val="hybridMultilevel"/>
    <w:tmpl w:val="68088F78"/>
    <w:lvl w:ilvl="0" w:tplc="8C4A7AF4">
      <w:start w:val="1"/>
      <w:numFmt w:val="lowerRoman"/>
      <w:lvlText w:val="%1)"/>
      <w:lvlJc w:val="right"/>
      <w:pPr>
        <w:ind w:left="1440" w:hanging="720"/>
      </w:pPr>
      <w:rPr>
        <w:rFonts w:hint="default"/>
        <w:i/>
        <w:iCs/>
        <w:u w:val="none"/>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1" w15:restartNumberingAfterBreak="0">
    <w:nsid w:val="6E2C6102"/>
    <w:multiLevelType w:val="hybridMultilevel"/>
    <w:tmpl w:val="D5C8FF92"/>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start w:val="1"/>
      <w:numFmt w:val="bullet"/>
      <w:lvlText w:val=""/>
      <w:lvlJc w:val="left"/>
      <w:pPr>
        <w:ind w:left="2160" w:hanging="360"/>
      </w:pPr>
      <w:rPr>
        <w:rFonts w:ascii="Wingdings" w:hAnsi="Wingdings" w:hint="default"/>
      </w:rPr>
    </w:lvl>
    <w:lvl w:ilvl="3" w:tplc="4F0C0602">
      <w:numFmt w:val="bullet"/>
      <w:lvlText w:val="-"/>
      <w:lvlJc w:val="left"/>
      <w:pPr>
        <w:ind w:left="2880" w:hanging="360"/>
      </w:pPr>
      <w:rPr>
        <w:rFonts w:ascii="Times New Roman" w:eastAsia="Times New Roman" w:hAnsi="Times New Roman" w:cs="Times New Roman"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1E70646"/>
    <w:multiLevelType w:val="hybridMultilevel"/>
    <w:tmpl w:val="B3FA0C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7C7A169A"/>
    <w:multiLevelType w:val="hybridMultilevel"/>
    <w:tmpl w:val="94E0D7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86007955">
    <w:abstractNumId w:val="2"/>
  </w:num>
  <w:num w:numId="2" w16cid:durableId="1963610698">
    <w:abstractNumId w:val="33"/>
  </w:num>
  <w:num w:numId="3" w16cid:durableId="1007487979">
    <w:abstractNumId w:val="10"/>
  </w:num>
  <w:num w:numId="4" w16cid:durableId="825824281">
    <w:abstractNumId w:val="30"/>
  </w:num>
  <w:num w:numId="5" w16cid:durableId="1861815978">
    <w:abstractNumId w:val="11"/>
  </w:num>
  <w:num w:numId="6" w16cid:durableId="526600865">
    <w:abstractNumId w:val="21"/>
  </w:num>
  <w:num w:numId="7" w16cid:durableId="1183396641">
    <w:abstractNumId w:val="4"/>
  </w:num>
  <w:num w:numId="8" w16cid:durableId="1523350295">
    <w:abstractNumId w:val="19"/>
  </w:num>
  <w:num w:numId="9" w16cid:durableId="589966916">
    <w:abstractNumId w:val="20"/>
  </w:num>
  <w:num w:numId="10" w16cid:durableId="2108235903">
    <w:abstractNumId w:val="23"/>
  </w:num>
  <w:num w:numId="11" w16cid:durableId="1608582793">
    <w:abstractNumId w:val="25"/>
  </w:num>
  <w:num w:numId="12" w16cid:durableId="246887905">
    <w:abstractNumId w:val="6"/>
  </w:num>
  <w:num w:numId="13" w16cid:durableId="1432748814">
    <w:abstractNumId w:val="27"/>
  </w:num>
  <w:num w:numId="14" w16cid:durableId="1284849484">
    <w:abstractNumId w:val="15"/>
  </w:num>
  <w:num w:numId="15" w16cid:durableId="52386904">
    <w:abstractNumId w:val="3"/>
  </w:num>
  <w:num w:numId="16" w16cid:durableId="956718699">
    <w:abstractNumId w:val="18"/>
  </w:num>
  <w:num w:numId="17" w16cid:durableId="1904830917">
    <w:abstractNumId w:val="12"/>
  </w:num>
  <w:num w:numId="18" w16cid:durableId="1944994563">
    <w:abstractNumId w:val="9"/>
  </w:num>
  <w:num w:numId="19" w16cid:durableId="1846436643">
    <w:abstractNumId w:val="0"/>
  </w:num>
  <w:num w:numId="20" w16cid:durableId="2014990441">
    <w:abstractNumId w:val="22"/>
  </w:num>
  <w:num w:numId="21" w16cid:durableId="1182934793">
    <w:abstractNumId w:val="13"/>
  </w:num>
  <w:num w:numId="22" w16cid:durableId="1366827799">
    <w:abstractNumId w:val="1"/>
  </w:num>
  <w:num w:numId="23" w16cid:durableId="135729743">
    <w:abstractNumId w:val="8"/>
  </w:num>
  <w:num w:numId="24" w16cid:durableId="1222448440">
    <w:abstractNumId w:val="24"/>
  </w:num>
  <w:num w:numId="25" w16cid:durableId="1225947089">
    <w:abstractNumId w:val="32"/>
  </w:num>
  <w:num w:numId="26" w16cid:durableId="116948624">
    <w:abstractNumId w:val="14"/>
  </w:num>
  <w:num w:numId="27" w16cid:durableId="1651514268">
    <w:abstractNumId w:val="26"/>
  </w:num>
  <w:num w:numId="28" w16cid:durableId="303585578">
    <w:abstractNumId w:val="16"/>
  </w:num>
  <w:num w:numId="29" w16cid:durableId="1504783448">
    <w:abstractNumId w:val="28"/>
  </w:num>
  <w:num w:numId="30" w16cid:durableId="1827547383">
    <w:abstractNumId w:val="29"/>
  </w:num>
  <w:num w:numId="31" w16cid:durableId="1990594267">
    <w:abstractNumId w:val="17"/>
  </w:num>
  <w:num w:numId="32" w16cid:durableId="1511525512">
    <w:abstractNumId w:val="31"/>
  </w:num>
  <w:num w:numId="33" w16cid:durableId="333537265">
    <w:abstractNumId w:val="34"/>
  </w:num>
  <w:num w:numId="34" w16cid:durableId="1467162613">
    <w:abstractNumId w:val="7"/>
  </w:num>
  <w:num w:numId="35" w16cid:durableId="44306349">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B2F"/>
    <w:rsid w:val="000001E6"/>
    <w:rsid w:val="000002B3"/>
    <w:rsid w:val="00001266"/>
    <w:rsid w:val="00003C5F"/>
    <w:rsid w:val="000057E3"/>
    <w:rsid w:val="00006CA3"/>
    <w:rsid w:val="000073EA"/>
    <w:rsid w:val="0002440E"/>
    <w:rsid w:val="000253B8"/>
    <w:rsid w:val="0002549F"/>
    <w:rsid w:val="00026954"/>
    <w:rsid w:val="000314C8"/>
    <w:rsid w:val="00031D43"/>
    <w:rsid w:val="00037EE2"/>
    <w:rsid w:val="00044055"/>
    <w:rsid w:val="0006593D"/>
    <w:rsid w:val="00070322"/>
    <w:rsid w:val="00071FA2"/>
    <w:rsid w:val="0007581A"/>
    <w:rsid w:val="000817B1"/>
    <w:rsid w:val="000A24BD"/>
    <w:rsid w:val="000A3137"/>
    <w:rsid w:val="000A7D32"/>
    <w:rsid w:val="000B0DE8"/>
    <w:rsid w:val="000B5EC4"/>
    <w:rsid w:val="000C2F1F"/>
    <w:rsid w:val="000E330E"/>
    <w:rsid w:val="000E3517"/>
    <w:rsid w:val="00100B7B"/>
    <w:rsid w:val="001067A4"/>
    <w:rsid w:val="001147E2"/>
    <w:rsid w:val="00114D4F"/>
    <w:rsid w:val="00130A46"/>
    <w:rsid w:val="00131B07"/>
    <w:rsid w:val="00132A3C"/>
    <w:rsid w:val="00136D3C"/>
    <w:rsid w:val="0014123E"/>
    <w:rsid w:val="0015013E"/>
    <w:rsid w:val="00156883"/>
    <w:rsid w:val="00156FEC"/>
    <w:rsid w:val="00157E9E"/>
    <w:rsid w:val="00160C77"/>
    <w:rsid w:val="0016795D"/>
    <w:rsid w:val="00170D22"/>
    <w:rsid w:val="001869B6"/>
    <w:rsid w:val="001957CC"/>
    <w:rsid w:val="00197840"/>
    <w:rsid w:val="001A227D"/>
    <w:rsid w:val="001A5952"/>
    <w:rsid w:val="001B0EE4"/>
    <w:rsid w:val="001B3BC2"/>
    <w:rsid w:val="001B7E4B"/>
    <w:rsid w:val="001C25AA"/>
    <w:rsid w:val="001E38AF"/>
    <w:rsid w:val="001F4A62"/>
    <w:rsid w:val="001F4F16"/>
    <w:rsid w:val="002101F1"/>
    <w:rsid w:val="00210259"/>
    <w:rsid w:val="002111FC"/>
    <w:rsid w:val="00211BA9"/>
    <w:rsid w:val="00211BE7"/>
    <w:rsid w:val="00212D33"/>
    <w:rsid w:val="0021715F"/>
    <w:rsid w:val="0021774E"/>
    <w:rsid w:val="00247347"/>
    <w:rsid w:val="00254714"/>
    <w:rsid w:val="002756C0"/>
    <w:rsid w:val="002921AB"/>
    <w:rsid w:val="002925FF"/>
    <w:rsid w:val="00294AD7"/>
    <w:rsid w:val="002A1386"/>
    <w:rsid w:val="002A17D0"/>
    <w:rsid w:val="002A2558"/>
    <w:rsid w:val="002A3679"/>
    <w:rsid w:val="002A3D93"/>
    <w:rsid w:val="002A6CFF"/>
    <w:rsid w:val="002A7603"/>
    <w:rsid w:val="002C096A"/>
    <w:rsid w:val="002C2FAD"/>
    <w:rsid w:val="002C6439"/>
    <w:rsid w:val="002D1DF9"/>
    <w:rsid w:val="002D76DA"/>
    <w:rsid w:val="002E0C48"/>
    <w:rsid w:val="002E5BAC"/>
    <w:rsid w:val="002E5F5F"/>
    <w:rsid w:val="002F0A7A"/>
    <w:rsid w:val="002F28E6"/>
    <w:rsid w:val="002F7FA3"/>
    <w:rsid w:val="00301708"/>
    <w:rsid w:val="00302A0E"/>
    <w:rsid w:val="00307C23"/>
    <w:rsid w:val="00316B2F"/>
    <w:rsid w:val="0031762E"/>
    <w:rsid w:val="00321933"/>
    <w:rsid w:val="00342648"/>
    <w:rsid w:val="003428A7"/>
    <w:rsid w:val="003509D3"/>
    <w:rsid w:val="0035426E"/>
    <w:rsid w:val="003618AB"/>
    <w:rsid w:val="00361B0A"/>
    <w:rsid w:val="003622AC"/>
    <w:rsid w:val="003639B2"/>
    <w:rsid w:val="00364C6F"/>
    <w:rsid w:val="00371478"/>
    <w:rsid w:val="003729C4"/>
    <w:rsid w:val="003737FB"/>
    <w:rsid w:val="003739F7"/>
    <w:rsid w:val="00380EAF"/>
    <w:rsid w:val="003847B1"/>
    <w:rsid w:val="00385254"/>
    <w:rsid w:val="00385DDC"/>
    <w:rsid w:val="003943B3"/>
    <w:rsid w:val="003A1BCD"/>
    <w:rsid w:val="003A30BE"/>
    <w:rsid w:val="003B04F7"/>
    <w:rsid w:val="003B1517"/>
    <w:rsid w:val="003B6A3C"/>
    <w:rsid w:val="003B6BBD"/>
    <w:rsid w:val="003C0606"/>
    <w:rsid w:val="003C2FEA"/>
    <w:rsid w:val="003C797C"/>
    <w:rsid w:val="003D2BA2"/>
    <w:rsid w:val="003D2C36"/>
    <w:rsid w:val="003D5B45"/>
    <w:rsid w:val="003E6033"/>
    <w:rsid w:val="003E62C9"/>
    <w:rsid w:val="003E77BB"/>
    <w:rsid w:val="003F2B37"/>
    <w:rsid w:val="003F529B"/>
    <w:rsid w:val="004003BE"/>
    <w:rsid w:val="004005AD"/>
    <w:rsid w:val="00406DF9"/>
    <w:rsid w:val="004071CA"/>
    <w:rsid w:val="004155DF"/>
    <w:rsid w:val="00417327"/>
    <w:rsid w:val="004263AB"/>
    <w:rsid w:val="00431AE3"/>
    <w:rsid w:val="0043291F"/>
    <w:rsid w:val="00442FE6"/>
    <w:rsid w:val="004464AC"/>
    <w:rsid w:val="00447376"/>
    <w:rsid w:val="00450278"/>
    <w:rsid w:val="00451942"/>
    <w:rsid w:val="004567F5"/>
    <w:rsid w:val="00460BA4"/>
    <w:rsid w:val="00461875"/>
    <w:rsid w:val="00461E8E"/>
    <w:rsid w:val="00464008"/>
    <w:rsid w:val="00464072"/>
    <w:rsid w:val="00466EEB"/>
    <w:rsid w:val="0046781D"/>
    <w:rsid w:val="0047308D"/>
    <w:rsid w:val="00476B22"/>
    <w:rsid w:val="00481E21"/>
    <w:rsid w:val="00483D1A"/>
    <w:rsid w:val="00484AD1"/>
    <w:rsid w:val="004969E1"/>
    <w:rsid w:val="004A1196"/>
    <w:rsid w:val="004A2B15"/>
    <w:rsid w:val="004A2FAF"/>
    <w:rsid w:val="004A6BE1"/>
    <w:rsid w:val="004A7AB7"/>
    <w:rsid w:val="004C0C34"/>
    <w:rsid w:val="004C465C"/>
    <w:rsid w:val="004C5DE5"/>
    <w:rsid w:val="004F12DF"/>
    <w:rsid w:val="00502A72"/>
    <w:rsid w:val="00510FB5"/>
    <w:rsid w:val="005120EB"/>
    <w:rsid w:val="0052212F"/>
    <w:rsid w:val="0052273D"/>
    <w:rsid w:val="00530AE7"/>
    <w:rsid w:val="00534452"/>
    <w:rsid w:val="005359C8"/>
    <w:rsid w:val="00536EFA"/>
    <w:rsid w:val="0054281F"/>
    <w:rsid w:val="00543E1D"/>
    <w:rsid w:val="00550ADB"/>
    <w:rsid w:val="00550E4F"/>
    <w:rsid w:val="00554E7A"/>
    <w:rsid w:val="005566A3"/>
    <w:rsid w:val="00556F6E"/>
    <w:rsid w:val="00561E50"/>
    <w:rsid w:val="005644DD"/>
    <w:rsid w:val="00572180"/>
    <w:rsid w:val="00577A43"/>
    <w:rsid w:val="00592E83"/>
    <w:rsid w:val="00594683"/>
    <w:rsid w:val="005A0192"/>
    <w:rsid w:val="005A2451"/>
    <w:rsid w:val="005A5265"/>
    <w:rsid w:val="005B4C3B"/>
    <w:rsid w:val="005B4FE2"/>
    <w:rsid w:val="005C007D"/>
    <w:rsid w:val="005C131B"/>
    <w:rsid w:val="005D0C10"/>
    <w:rsid w:val="005D2D05"/>
    <w:rsid w:val="005D68F0"/>
    <w:rsid w:val="005E2AE6"/>
    <w:rsid w:val="005E53B9"/>
    <w:rsid w:val="005E5BDF"/>
    <w:rsid w:val="005E6879"/>
    <w:rsid w:val="005F0C11"/>
    <w:rsid w:val="00600CAD"/>
    <w:rsid w:val="00602888"/>
    <w:rsid w:val="00602B2F"/>
    <w:rsid w:val="006050F8"/>
    <w:rsid w:val="0060664A"/>
    <w:rsid w:val="00606E13"/>
    <w:rsid w:val="006102EA"/>
    <w:rsid w:val="00611EB9"/>
    <w:rsid w:val="00621462"/>
    <w:rsid w:val="006225DE"/>
    <w:rsid w:val="00624FBE"/>
    <w:rsid w:val="00626237"/>
    <w:rsid w:val="00630988"/>
    <w:rsid w:val="00630D0B"/>
    <w:rsid w:val="00631C7E"/>
    <w:rsid w:val="00636938"/>
    <w:rsid w:val="00637C22"/>
    <w:rsid w:val="0064544C"/>
    <w:rsid w:val="00650D19"/>
    <w:rsid w:val="00651CB4"/>
    <w:rsid w:val="006532D2"/>
    <w:rsid w:val="00657F8D"/>
    <w:rsid w:val="0066655E"/>
    <w:rsid w:val="00675C7C"/>
    <w:rsid w:val="0068304E"/>
    <w:rsid w:val="00684229"/>
    <w:rsid w:val="0068426C"/>
    <w:rsid w:val="00692C57"/>
    <w:rsid w:val="00693B21"/>
    <w:rsid w:val="00693E74"/>
    <w:rsid w:val="006971CA"/>
    <w:rsid w:val="006B2CC7"/>
    <w:rsid w:val="006B6AE8"/>
    <w:rsid w:val="006C69B3"/>
    <w:rsid w:val="006D22C2"/>
    <w:rsid w:val="006E07C1"/>
    <w:rsid w:val="006E1CC7"/>
    <w:rsid w:val="006F12CD"/>
    <w:rsid w:val="006F210E"/>
    <w:rsid w:val="006F596A"/>
    <w:rsid w:val="00700412"/>
    <w:rsid w:val="00710F47"/>
    <w:rsid w:val="00711F29"/>
    <w:rsid w:val="00721709"/>
    <w:rsid w:val="00726993"/>
    <w:rsid w:val="00730A94"/>
    <w:rsid w:val="00741B8A"/>
    <w:rsid w:val="007441E2"/>
    <w:rsid w:val="00744290"/>
    <w:rsid w:val="00752542"/>
    <w:rsid w:val="00762D3C"/>
    <w:rsid w:val="007839C9"/>
    <w:rsid w:val="00784BE1"/>
    <w:rsid w:val="00785FED"/>
    <w:rsid w:val="007915F5"/>
    <w:rsid w:val="00791F08"/>
    <w:rsid w:val="007947FE"/>
    <w:rsid w:val="007A0831"/>
    <w:rsid w:val="007A52E1"/>
    <w:rsid w:val="007B17A0"/>
    <w:rsid w:val="007D617B"/>
    <w:rsid w:val="007D7277"/>
    <w:rsid w:val="007D7B56"/>
    <w:rsid w:val="007E4A7C"/>
    <w:rsid w:val="007F604D"/>
    <w:rsid w:val="007F6F36"/>
    <w:rsid w:val="007F7398"/>
    <w:rsid w:val="00812700"/>
    <w:rsid w:val="00812E82"/>
    <w:rsid w:val="008142B0"/>
    <w:rsid w:val="0081544B"/>
    <w:rsid w:val="00820FDA"/>
    <w:rsid w:val="00822A1C"/>
    <w:rsid w:val="008233F9"/>
    <w:rsid w:val="008274D7"/>
    <w:rsid w:val="00827955"/>
    <w:rsid w:val="00830F28"/>
    <w:rsid w:val="00832BC1"/>
    <w:rsid w:val="00835DDE"/>
    <w:rsid w:val="00856C38"/>
    <w:rsid w:val="008653F0"/>
    <w:rsid w:val="008764F9"/>
    <w:rsid w:val="00880683"/>
    <w:rsid w:val="00881644"/>
    <w:rsid w:val="00885A29"/>
    <w:rsid w:val="00887161"/>
    <w:rsid w:val="00887197"/>
    <w:rsid w:val="008876C2"/>
    <w:rsid w:val="008937DA"/>
    <w:rsid w:val="00894A57"/>
    <w:rsid w:val="008A0EFD"/>
    <w:rsid w:val="008A165B"/>
    <w:rsid w:val="008A75A3"/>
    <w:rsid w:val="008B0CF9"/>
    <w:rsid w:val="008B1738"/>
    <w:rsid w:val="008B3D40"/>
    <w:rsid w:val="008C0E27"/>
    <w:rsid w:val="008C4A1A"/>
    <w:rsid w:val="008D01B1"/>
    <w:rsid w:val="008D0C92"/>
    <w:rsid w:val="008E03B8"/>
    <w:rsid w:val="008E19D1"/>
    <w:rsid w:val="008E2DA4"/>
    <w:rsid w:val="008E5500"/>
    <w:rsid w:val="008F2B30"/>
    <w:rsid w:val="008F4B2D"/>
    <w:rsid w:val="008F4EA2"/>
    <w:rsid w:val="00900D26"/>
    <w:rsid w:val="009111EB"/>
    <w:rsid w:val="009161F0"/>
    <w:rsid w:val="00924DEA"/>
    <w:rsid w:val="00931381"/>
    <w:rsid w:val="00936102"/>
    <w:rsid w:val="00944607"/>
    <w:rsid w:val="00955585"/>
    <w:rsid w:val="0096481D"/>
    <w:rsid w:val="00965126"/>
    <w:rsid w:val="00966A3C"/>
    <w:rsid w:val="00971031"/>
    <w:rsid w:val="00975B1C"/>
    <w:rsid w:val="00976C72"/>
    <w:rsid w:val="009808CE"/>
    <w:rsid w:val="00981A85"/>
    <w:rsid w:val="00981B1B"/>
    <w:rsid w:val="00993675"/>
    <w:rsid w:val="00994F0B"/>
    <w:rsid w:val="009979B4"/>
    <w:rsid w:val="009A343D"/>
    <w:rsid w:val="009A5497"/>
    <w:rsid w:val="009B5B72"/>
    <w:rsid w:val="009B7CCA"/>
    <w:rsid w:val="009C1D3F"/>
    <w:rsid w:val="009C69E8"/>
    <w:rsid w:val="009D0AC9"/>
    <w:rsid w:val="009D556A"/>
    <w:rsid w:val="009E25C7"/>
    <w:rsid w:val="009E7AFD"/>
    <w:rsid w:val="009F29B4"/>
    <w:rsid w:val="009F589F"/>
    <w:rsid w:val="009F6075"/>
    <w:rsid w:val="00A0130A"/>
    <w:rsid w:val="00A03A0E"/>
    <w:rsid w:val="00A116B6"/>
    <w:rsid w:val="00A13CA3"/>
    <w:rsid w:val="00A1409A"/>
    <w:rsid w:val="00A229AE"/>
    <w:rsid w:val="00A234D9"/>
    <w:rsid w:val="00A23B10"/>
    <w:rsid w:val="00A23D54"/>
    <w:rsid w:val="00A33610"/>
    <w:rsid w:val="00A34E8F"/>
    <w:rsid w:val="00A35E0B"/>
    <w:rsid w:val="00A37063"/>
    <w:rsid w:val="00A3772F"/>
    <w:rsid w:val="00A408AC"/>
    <w:rsid w:val="00A42120"/>
    <w:rsid w:val="00A42628"/>
    <w:rsid w:val="00A43651"/>
    <w:rsid w:val="00A443E0"/>
    <w:rsid w:val="00A475E1"/>
    <w:rsid w:val="00A51B24"/>
    <w:rsid w:val="00A53BF8"/>
    <w:rsid w:val="00A54398"/>
    <w:rsid w:val="00A6505E"/>
    <w:rsid w:val="00A71F09"/>
    <w:rsid w:val="00A73A52"/>
    <w:rsid w:val="00A73D07"/>
    <w:rsid w:val="00A74B6B"/>
    <w:rsid w:val="00A75142"/>
    <w:rsid w:val="00A86D39"/>
    <w:rsid w:val="00A9399D"/>
    <w:rsid w:val="00A9722A"/>
    <w:rsid w:val="00AA2FD2"/>
    <w:rsid w:val="00AC16AC"/>
    <w:rsid w:val="00AC3F4E"/>
    <w:rsid w:val="00AC7C32"/>
    <w:rsid w:val="00AD472E"/>
    <w:rsid w:val="00AD4844"/>
    <w:rsid w:val="00AD5A8C"/>
    <w:rsid w:val="00AE0C47"/>
    <w:rsid w:val="00AE76A5"/>
    <w:rsid w:val="00AF2020"/>
    <w:rsid w:val="00AF2B6D"/>
    <w:rsid w:val="00B0080A"/>
    <w:rsid w:val="00B10D2F"/>
    <w:rsid w:val="00B120C0"/>
    <w:rsid w:val="00B148F0"/>
    <w:rsid w:val="00B2341D"/>
    <w:rsid w:val="00B351DB"/>
    <w:rsid w:val="00B456F1"/>
    <w:rsid w:val="00B50D06"/>
    <w:rsid w:val="00B52A4E"/>
    <w:rsid w:val="00B70943"/>
    <w:rsid w:val="00B722E6"/>
    <w:rsid w:val="00B73AED"/>
    <w:rsid w:val="00B7406F"/>
    <w:rsid w:val="00B75046"/>
    <w:rsid w:val="00B77C0F"/>
    <w:rsid w:val="00B820A3"/>
    <w:rsid w:val="00B85791"/>
    <w:rsid w:val="00B9022F"/>
    <w:rsid w:val="00B939A3"/>
    <w:rsid w:val="00B949A4"/>
    <w:rsid w:val="00BA0335"/>
    <w:rsid w:val="00BB01CE"/>
    <w:rsid w:val="00BB3B7E"/>
    <w:rsid w:val="00BB49C6"/>
    <w:rsid w:val="00BC7353"/>
    <w:rsid w:val="00BC78A6"/>
    <w:rsid w:val="00BD54B0"/>
    <w:rsid w:val="00BD73C7"/>
    <w:rsid w:val="00BE4B79"/>
    <w:rsid w:val="00BE6315"/>
    <w:rsid w:val="00BF26BE"/>
    <w:rsid w:val="00BF5604"/>
    <w:rsid w:val="00BF5D82"/>
    <w:rsid w:val="00C00EFD"/>
    <w:rsid w:val="00C0213F"/>
    <w:rsid w:val="00C0717C"/>
    <w:rsid w:val="00C079C4"/>
    <w:rsid w:val="00C12AAF"/>
    <w:rsid w:val="00C313B4"/>
    <w:rsid w:val="00C316BA"/>
    <w:rsid w:val="00C4165E"/>
    <w:rsid w:val="00C4210F"/>
    <w:rsid w:val="00C455F7"/>
    <w:rsid w:val="00C66727"/>
    <w:rsid w:val="00C73466"/>
    <w:rsid w:val="00C81078"/>
    <w:rsid w:val="00C851DA"/>
    <w:rsid w:val="00C90401"/>
    <w:rsid w:val="00C914AB"/>
    <w:rsid w:val="00CA0DC9"/>
    <w:rsid w:val="00CA3C0E"/>
    <w:rsid w:val="00CA6A8D"/>
    <w:rsid w:val="00CA6BEA"/>
    <w:rsid w:val="00CB266C"/>
    <w:rsid w:val="00CC3003"/>
    <w:rsid w:val="00CD1668"/>
    <w:rsid w:val="00CD6EDF"/>
    <w:rsid w:val="00CE01DE"/>
    <w:rsid w:val="00CE0A9F"/>
    <w:rsid w:val="00CE1C67"/>
    <w:rsid w:val="00CE27A8"/>
    <w:rsid w:val="00CE47B3"/>
    <w:rsid w:val="00CE7571"/>
    <w:rsid w:val="00CF6BBD"/>
    <w:rsid w:val="00CF6FE1"/>
    <w:rsid w:val="00D004AC"/>
    <w:rsid w:val="00D05D2C"/>
    <w:rsid w:val="00D136EB"/>
    <w:rsid w:val="00D17CBB"/>
    <w:rsid w:val="00D312AB"/>
    <w:rsid w:val="00D34916"/>
    <w:rsid w:val="00D42DAF"/>
    <w:rsid w:val="00D476D9"/>
    <w:rsid w:val="00D50C34"/>
    <w:rsid w:val="00D53570"/>
    <w:rsid w:val="00D544B5"/>
    <w:rsid w:val="00D564BC"/>
    <w:rsid w:val="00D607B3"/>
    <w:rsid w:val="00D60E93"/>
    <w:rsid w:val="00D66B55"/>
    <w:rsid w:val="00D7768F"/>
    <w:rsid w:val="00D852AF"/>
    <w:rsid w:val="00DA3D77"/>
    <w:rsid w:val="00DA723A"/>
    <w:rsid w:val="00DB048D"/>
    <w:rsid w:val="00DB3942"/>
    <w:rsid w:val="00DC117D"/>
    <w:rsid w:val="00DC62AC"/>
    <w:rsid w:val="00DC6F40"/>
    <w:rsid w:val="00DD4384"/>
    <w:rsid w:val="00DE0737"/>
    <w:rsid w:val="00DE3CA6"/>
    <w:rsid w:val="00DE3D40"/>
    <w:rsid w:val="00DE664B"/>
    <w:rsid w:val="00DE7EAB"/>
    <w:rsid w:val="00DE7FB5"/>
    <w:rsid w:val="00DF0C7F"/>
    <w:rsid w:val="00DF474B"/>
    <w:rsid w:val="00E00016"/>
    <w:rsid w:val="00E034C0"/>
    <w:rsid w:val="00E11755"/>
    <w:rsid w:val="00E11DA3"/>
    <w:rsid w:val="00E14EF3"/>
    <w:rsid w:val="00E2580D"/>
    <w:rsid w:val="00E272DD"/>
    <w:rsid w:val="00E27A40"/>
    <w:rsid w:val="00E304C3"/>
    <w:rsid w:val="00E328ED"/>
    <w:rsid w:val="00E32D86"/>
    <w:rsid w:val="00E34041"/>
    <w:rsid w:val="00E37AC1"/>
    <w:rsid w:val="00E45B25"/>
    <w:rsid w:val="00E4671A"/>
    <w:rsid w:val="00E5461E"/>
    <w:rsid w:val="00E5694A"/>
    <w:rsid w:val="00E62421"/>
    <w:rsid w:val="00E6505E"/>
    <w:rsid w:val="00E65266"/>
    <w:rsid w:val="00E6544F"/>
    <w:rsid w:val="00E70DB4"/>
    <w:rsid w:val="00E73DE9"/>
    <w:rsid w:val="00E7487F"/>
    <w:rsid w:val="00E82C01"/>
    <w:rsid w:val="00E906F2"/>
    <w:rsid w:val="00EB35D3"/>
    <w:rsid w:val="00EB3B72"/>
    <w:rsid w:val="00EB707E"/>
    <w:rsid w:val="00EB7781"/>
    <w:rsid w:val="00EC3F7A"/>
    <w:rsid w:val="00EC62F8"/>
    <w:rsid w:val="00ED4BBE"/>
    <w:rsid w:val="00ED60C7"/>
    <w:rsid w:val="00ED646B"/>
    <w:rsid w:val="00ED769B"/>
    <w:rsid w:val="00ED7809"/>
    <w:rsid w:val="00ED7F1D"/>
    <w:rsid w:val="00F018F3"/>
    <w:rsid w:val="00F02C85"/>
    <w:rsid w:val="00F0404C"/>
    <w:rsid w:val="00F04D1D"/>
    <w:rsid w:val="00F11CFB"/>
    <w:rsid w:val="00F124E2"/>
    <w:rsid w:val="00F14110"/>
    <w:rsid w:val="00F14DBE"/>
    <w:rsid w:val="00F17ACB"/>
    <w:rsid w:val="00F17F8F"/>
    <w:rsid w:val="00F21227"/>
    <w:rsid w:val="00F222D9"/>
    <w:rsid w:val="00F23D18"/>
    <w:rsid w:val="00F2467B"/>
    <w:rsid w:val="00F253BF"/>
    <w:rsid w:val="00F26527"/>
    <w:rsid w:val="00F279A7"/>
    <w:rsid w:val="00F3015F"/>
    <w:rsid w:val="00F31E37"/>
    <w:rsid w:val="00F328E2"/>
    <w:rsid w:val="00F33AC7"/>
    <w:rsid w:val="00F4044E"/>
    <w:rsid w:val="00F46B9A"/>
    <w:rsid w:val="00F46BE9"/>
    <w:rsid w:val="00F60830"/>
    <w:rsid w:val="00F657E9"/>
    <w:rsid w:val="00F810B2"/>
    <w:rsid w:val="00F81B3F"/>
    <w:rsid w:val="00F83898"/>
    <w:rsid w:val="00F862B2"/>
    <w:rsid w:val="00F87AD1"/>
    <w:rsid w:val="00F912A7"/>
    <w:rsid w:val="00F919B8"/>
    <w:rsid w:val="00F921C1"/>
    <w:rsid w:val="00FA394E"/>
    <w:rsid w:val="00FA3958"/>
    <w:rsid w:val="00FB006D"/>
    <w:rsid w:val="00FB1CC2"/>
    <w:rsid w:val="00FB379F"/>
    <w:rsid w:val="00FB4446"/>
    <w:rsid w:val="00FC171C"/>
    <w:rsid w:val="00FC46FE"/>
    <w:rsid w:val="00FC5153"/>
    <w:rsid w:val="00FD095D"/>
    <w:rsid w:val="00FE0280"/>
    <w:rsid w:val="00FE0542"/>
    <w:rsid w:val="00FF035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7AA65C"/>
  <w15:docId w15:val="{38DBD61C-73B3-428B-BA82-D4675A862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708"/>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301708"/>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301708"/>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301708"/>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301708"/>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301708"/>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301708"/>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301708"/>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301708"/>
    <w:pPr>
      <w:ind w:left="993"/>
      <w:outlineLvl w:val="7"/>
    </w:pPr>
    <w:rPr>
      <w:color w:val="321547"/>
      <w:szCs w:val="22"/>
      <w:u w:val="dotDotDash"/>
    </w:rPr>
  </w:style>
  <w:style w:type="paragraph" w:styleId="Ttulo9">
    <w:name w:val="heading 9"/>
    <w:basedOn w:val="Ttulo8"/>
    <w:next w:val="Normal"/>
    <w:link w:val="Ttulo9Car"/>
    <w:uiPriority w:val="9"/>
    <w:unhideWhenUsed/>
    <w:qFormat/>
    <w:rsid w:val="00301708"/>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301708"/>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301708"/>
  </w:style>
  <w:style w:type="paragraph" w:styleId="Encabezado">
    <w:name w:val="header"/>
    <w:basedOn w:val="Normal"/>
    <w:link w:val="EncabezadoCar"/>
    <w:uiPriority w:val="99"/>
    <w:unhideWhenUsed/>
    <w:rsid w:val="00301708"/>
    <w:pPr>
      <w:tabs>
        <w:tab w:val="center" w:pos="4252"/>
        <w:tab w:val="right" w:pos="8504"/>
      </w:tabs>
    </w:pPr>
  </w:style>
  <w:style w:type="character" w:customStyle="1" w:styleId="HeaderChar">
    <w:name w:val="Header Char"/>
    <w:basedOn w:val="Fuentedeprrafopredeter"/>
    <w:uiPriority w:val="99"/>
    <w:rsid w:val="00301708"/>
    <w:rPr>
      <w:rFonts w:ascii="Garamond" w:hAnsi="Garamond"/>
      <w:lang w:val="es-ES"/>
    </w:rPr>
  </w:style>
  <w:style w:type="paragraph" w:styleId="Piedepgina">
    <w:name w:val="footer"/>
    <w:basedOn w:val="Normal"/>
    <w:link w:val="PiedepginaCar"/>
    <w:uiPriority w:val="99"/>
    <w:unhideWhenUsed/>
    <w:qFormat/>
    <w:rsid w:val="00D42DAF"/>
    <w:pPr>
      <w:tabs>
        <w:tab w:val="center" w:pos="4252"/>
        <w:tab w:val="right" w:pos="8504"/>
      </w:tabs>
      <w:spacing w:after="0" w:line="240" w:lineRule="auto"/>
    </w:pPr>
  </w:style>
  <w:style w:type="character" w:customStyle="1" w:styleId="FooterChar">
    <w:name w:val="Footer Char"/>
    <w:basedOn w:val="Fuentedeprrafopredeter"/>
    <w:uiPriority w:val="99"/>
    <w:rsid w:val="00301708"/>
    <w:rPr>
      <w:rFonts w:ascii="Garamond" w:hAnsi="Garamond"/>
      <w:lang w:val="es-ES"/>
    </w:rPr>
  </w:style>
  <w:style w:type="table" w:styleId="Tablaconcuadrcula">
    <w:name w:val="Table Grid"/>
    <w:basedOn w:val="Tablanormal"/>
    <w:uiPriority w:val="39"/>
    <w:rsid w:val="003017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301708"/>
    <w:rPr>
      <w:color w:val="808080"/>
    </w:rPr>
  </w:style>
  <w:style w:type="paragraph" w:styleId="Ttulo">
    <w:name w:val="Title"/>
    <w:basedOn w:val="Normal"/>
    <w:next w:val="Normal"/>
    <w:link w:val="TtuloCar"/>
    <w:uiPriority w:val="10"/>
    <w:qFormat/>
    <w:rsid w:val="00301708"/>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301708"/>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301708"/>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301708"/>
    <w:pPr>
      <w:numPr>
        <w:ilvl w:val="1"/>
        <w:numId w:val="1"/>
      </w:numPr>
      <w:spacing w:after="100"/>
      <w:ind w:left="1049" w:hanging="198"/>
      <w:contextualSpacing/>
    </w:pPr>
  </w:style>
  <w:style w:type="character" w:customStyle="1" w:styleId="Heading2Char">
    <w:name w:val="Heading 2 Char"/>
    <w:basedOn w:val="Fuentedeprrafopredeter"/>
    <w:uiPriority w:val="9"/>
    <w:rsid w:val="00301708"/>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301708"/>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301708"/>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301708"/>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301708"/>
    <w:rPr>
      <w:color w:val="0563C1" w:themeColor="hyperlink"/>
      <w:u w:val="single"/>
    </w:rPr>
  </w:style>
  <w:style w:type="character" w:customStyle="1" w:styleId="Heading3Char">
    <w:name w:val="Heading 3 Char"/>
    <w:basedOn w:val="Fuentedeprrafopredeter"/>
    <w:uiPriority w:val="9"/>
    <w:rsid w:val="00301708"/>
    <w:rPr>
      <w:rFonts w:ascii="Garamond" w:hAnsi="Garamond"/>
      <w:i/>
      <w:iCs/>
      <w:color w:val="5F2987"/>
      <w:u w:val="single"/>
      <w:lang w:val="es-ES"/>
    </w:rPr>
  </w:style>
  <w:style w:type="paragraph" w:styleId="TDC3">
    <w:name w:val="toc 3"/>
    <w:basedOn w:val="Normal"/>
    <w:next w:val="FinTDC"/>
    <w:autoRedefine/>
    <w:uiPriority w:val="39"/>
    <w:unhideWhenUsed/>
    <w:rsid w:val="00301708"/>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301708"/>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301708"/>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301708"/>
    <w:rPr>
      <w:color w:val="FFFFFF" w:themeColor="text1" w:themeTint="80"/>
      <w:sz w:val="16"/>
    </w:rPr>
  </w:style>
  <w:style w:type="character" w:customStyle="1" w:styleId="NocantarChar">
    <w:name w:val="No cantar Char"/>
    <w:basedOn w:val="Fuentedeprrafopredeter"/>
    <w:link w:val="Nocantar"/>
    <w:rsid w:val="00301708"/>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301708"/>
    <w:pPr>
      <w:numPr>
        <w:numId w:val="0"/>
      </w:numPr>
      <w:ind w:firstLine="142"/>
    </w:pPr>
  </w:style>
  <w:style w:type="character" w:customStyle="1" w:styleId="IntroduccinyconclusinChar">
    <w:name w:val="Introducción y conclusión Char"/>
    <w:basedOn w:val="Ttulo1Car"/>
    <w:link w:val="Introduccinyconclusin"/>
    <w:rsid w:val="00301708"/>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301708"/>
    <w:pPr>
      <w:numPr>
        <w:numId w:val="3"/>
      </w:numPr>
    </w:pPr>
  </w:style>
  <w:style w:type="paragraph" w:customStyle="1" w:styleId="Nivel1">
    <w:name w:val="Nivel 1"/>
    <w:basedOn w:val="Normal"/>
    <w:qFormat/>
    <w:rsid w:val="00301708"/>
    <w:pPr>
      <w:numPr>
        <w:numId w:val="1"/>
      </w:numPr>
      <w:spacing w:before="100" w:after="100"/>
      <w:ind w:left="623" w:hanging="198"/>
    </w:pPr>
  </w:style>
  <w:style w:type="paragraph" w:customStyle="1" w:styleId="Nivel3">
    <w:name w:val="Nivel 3"/>
    <w:basedOn w:val="Nivel2"/>
    <w:link w:val="Nivel3Car"/>
    <w:qFormat/>
    <w:rsid w:val="00301708"/>
    <w:pPr>
      <w:numPr>
        <w:ilvl w:val="2"/>
      </w:numPr>
      <w:spacing w:after="0"/>
      <w:ind w:left="1474" w:hanging="198"/>
    </w:pPr>
  </w:style>
  <w:style w:type="paragraph" w:customStyle="1" w:styleId="Letra">
    <w:name w:val="Letra"/>
    <w:basedOn w:val="Nivel1"/>
    <w:qFormat/>
    <w:rsid w:val="00301708"/>
    <w:pPr>
      <w:numPr>
        <w:numId w:val="4"/>
      </w:numPr>
      <w:spacing w:before="0" w:after="40"/>
      <w:ind w:left="936" w:hanging="227"/>
    </w:pPr>
  </w:style>
  <w:style w:type="paragraph" w:customStyle="1" w:styleId="Nmero">
    <w:name w:val="Número"/>
    <w:basedOn w:val="Normal"/>
    <w:qFormat/>
    <w:rsid w:val="00301708"/>
    <w:pPr>
      <w:numPr>
        <w:numId w:val="5"/>
      </w:numPr>
      <w:spacing w:after="40"/>
      <w:ind w:left="936" w:hanging="227"/>
    </w:pPr>
  </w:style>
  <w:style w:type="paragraph" w:styleId="Textodeglobo">
    <w:name w:val="Balloon Text"/>
    <w:basedOn w:val="Normal"/>
    <w:link w:val="TextodegloboCar"/>
    <w:uiPriority w:val="99"/>
    <w:semiHidden/>
    <w:unhideWhenUsed/>
    <w:rsid w:val="00301708"/>
    <w:rPr>
      <w:rFonts w:ascii="Segoe UI" w:hAnsi="Segoe UI" w:cs="Segoe UI"/>
      <w:sz w:val="18"/>
      <w:szCs w:val="18"/>
    </w:rPr>
  </w:style>
  <w:style w:type="character" w:customStyle="1" w:styleId="BalloonTextChar">
    <w:name w:val="Balloon Text Char"/>
    <w:basedOn w:val="Fuentedeprrafopredeter"/>
    <w:uiPriority w:val="99"/>
    <w:semiHidden/>
    <w:rsid w:val="00301708"/>
    <w:rPr>
      <w:rFonts w:ascii="Segoe UI" w:hAnsi="Segoe UI" w:cs="Segoe UI"/>
      <w:sz w:val="18"/>
      <w:szCs w:val="18"/>
      <w:lang w:val="es-ES"/>
    </w:rPr>
  </w:style>
  <w:style w:type="paragraph" w:customStyle="1" w:styleId="Notaalopositor">
    <w:name w:val="Nota al opositor"/>
    <w:basedOn w:val="Normal"/>
    <w:link w:val="NotaalopositorChar"/>
    <w:qFormat/>
    <w:rsid w:val="00301708"/>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301708"/>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301708"/>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301708"/>
    <w:rPr>
      <w:rFonts w:ascii="Garamond" w:hAnsi="Garamond"/>
      <w:sz w:val="16"/>
      <w:szCs w:val="20"/>
      <w:lang w:val="es-ES"/>
    </w:rPr>
  </w:style>
  <w:style w:type="character" w:styleId="Refdenotaalpie">
    <w:name w:val="footnote reference"/>
    <w:basedOn w:val="Fuentedeprrafopredeter"/>
    <w:uiPriority w:val="99"/>
    <w:unhideWhenUsed/>
    <w:rsid w:val="00301708"/>
    <w:rPr>
      <w:vertAlign w:val="superscript"/>
    </w:rPr>
  </w:style>
  <w:style w:type="character" w:customStyle="1" w:styleId="Heading6Char">
    <w:name w:val="Heading 6 Char"/>
    <w:basedOn w:val="Fuentedeprrafopredeter"/>
    <w:uiPriority w:val="9"/>
    <w:semiHidden/>
    <w:rsid w:val="00301708"/>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301708"/>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301708"/>
    <w:rPr>
      <w:rFonts w:ascii="Garamond" w:eastAsiaTheme="minorEastAsia" w:hAnsi="Garamond"/>
      <w:smallCaps/>
      <w:color w:val="FFFFFF" w:themeColor="text1" w:themeTint="A5"/>
      <w:lang w:val="es-ES"/>
    </w:rPr>
  </w:style>
  <w:style w:type="paragraph" w:customStyle="1" w:styleId="Nivel1SM">
    <w:name w:val="Nivel 1 SM"/>
    <w:basedOn w:val="Nivel1"/>
    <w:qFormat/>
    <w:rsid w:val="00301708"/>
    <w:pPr>
      <w:ind w:left="0"/>
    </w:pPr>
  </w:style>
  <w:style w:type="paragraph" w:customStyle="1" w:styleId="Nivel2SM">
    <w:name w:val="Nivel 2 SM"/>
    <w:basedOn w:val="Nivel2"/>
    <w:qFormat/>
    <w:rsid w:val="00301708"/>
    <w:pPr>
      <w:ind w:left="567"/>
    </w:pPr>
  </w:style>
  <w:style w:type="paragraph" w:customStyle="1" w:styleId="Nivel3SM">
    <w:name w:val="Nivel 3 SM"/>
    <w:basedOn w:val="Nivel3"/>
    <w:qFormat/>
    <w:rsid w:val="00301708"/>
    <w:pPr>
      <w:ind w:left="963"/>
    </w:pPr>
  </w:style>
  <w:style w:type="paragraph" w:styleId="Encabezadodelista">
    <w:name w:val="toa heading"/>
    <w:basedOn w:val="Normal"/>
    <w:next w:val="Normal"/>
    <w:uiPriority w:val="99"/>
    <w:semiHidden/>
    <w:unhideWhenUsed/>
    <w:rsid w:val="00301708"/>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301708"/>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301708"/>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301708"/>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301708"/>
    <w:rPr>
      <w:rFonts w:ascii="Palatino Linotype" w:hAnsi="Palatino Linotype"/>
      <w:lang w:val="es-ES"/>
    </w:rPr>
  </w:style>
  <w:style w:type="character" w:customStyle="1" w:styleId="PiedepginaCar">
    <w:name w:val="Pie de página Car"/>
    <w:basedOn w:val="Fuentedeprrafopredeter"/>
    <w:link w:val="Piedepgina"/>
    <w:uiPriority w:val="99"/>
    <w:rsid w:val="00D42DAF"/>
    <w:rPr>
      <w:rFonts w:ascii="Palatino Linotype" w:hAnsi="Palatino Linotype"/>
      <w:lang w:val="es-ES"/>
    </w:rPr>
  </w:style>
  <w:style w:type="character" w:customStyle="1" w:styleId="TtuloCar">
    <w:name w:val="Título Car"/>
    <w:basedOn w:val="Fuentedeprrafopredeter"/>
    <w:link w:val="Ttulo"/>
    <w:uiPriority w:val="10"/>
    <w:rsid w:val="00301708"/>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301708"/>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301708"/>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301708"/>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301708"/>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301708"/>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301708"/>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301708"/>
    <w:rPr>
      <w:rFonts w:ascii="Palatino Linotype" w:hAnsi="Palatino Linotype"/>
      <w:sz w:val="16"/>
      <w:szCs w:val="20"/>
      <w:lang w:val="es-ES"/>
    </w:rPr>
  </w:style>
  <w:style w:type="character" w:customStyle="1" w:styleId="Ttulo6Car">
    <w:name w:val="Título 6 Car"/>
    <w:basedOn w:val="Fuentedeprrafopredeter"/>
    <w:link w:val="Ttulo6"/>
    <w:uiPriority w:val="9"/>
    <w:rsid w:val="00301708"/>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301708"/>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301708"/>
    <w:rPr>
      <w:color w:val="605E5C"/>
      <w:shd w:val="clear" w:color="auto" w:fill="E1DFDD"/>
    </w:rPr>
  </w:style>
  <w:style w:type="character" w:styleId="Hipervnculovisitado">
    <w:name w:val="FollowedHyperlink"/>
    <w:basedOn w:val="Fuentedeprrafopredeter"/>
    <w:uiPriority w:val="99"/>
    <w:semiHidden/>
    <w:unhideWhenUsed/>
    <w:rsid w:val="00550ADB"/>
    <w:rPr>
      <w:color w:val="954F72" w:themeColor="followedHyperlink"/>
      <w:u w:val="single"/>
    </w:rPr>
  </w:style>
  <w:style w:type="character" w:customStyle="1" w:styleId="Ttulo7Car">
    <w:name w:val="Título 7 Car"/>
    <w:basedOn w:val="Fuentedeprrafopredeter"/>
    <w:link w:val="Ttulo7"/>
    <w:uiPriority w:val="9"/>
    <w:rsid w:val="00301708"/>
    <w:rPr>
      <w:rFonts w:ascii="Palatino Linotype" w:eastAsiaTheme="majorEastAsia" w:hAnsi="Palatino Linotype" w:cstheme="majorBidi"/>
      <w:i/>
      <w:iCs/>
      <w:color w:val="5F2987"/>
      <w:spacing w:val="-4"/>
      <w:szCs w:val="20"/>
      <w:u w:val="dash"/>
      <w:lang w:val="es-ES"/>
    </w:rPr>
  </w:style>
  <w:style w:type="character" w:customStyle="1" w:styleId="Ttulo8Car">
    <w:name w:val="Título 8 Car"/>
    <w:basedOn w:val="Fuentedeprrafopredeter"/>
    <w:link w:val="Ttulo8"/>
    <w:uiPriority w:val="9"/>
    <w:rsid w:val="00301708"/>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301708"/>
    <w:rPr>
      <w:rFonts w:ascii="Palatino Linotype" w:eastAsiaTheme="majorEastAsia" w:hAnsi="Palatino Linotype" w:cstheme="majorBidi"/>
      <w:i/>
      <w:color w:val="240F33"/>
      <w:spacing w:val="-4"/>
      <w:w w:val="99"/>
      <w:sz w:val="21"/>
      <w:szCs w:val="21"/>
      <w:u w:val="dotted"/>
      <w:lang w:val="es-ES"/>
    </w:rPr>
  </w:style>
  <w:style w:type="paragraph" w:styleId="TDC5">
    <w:name w:val="toc 5"/>
    <w:basedOn w:val="Normal"/>
    <w:next w:val="FinTDC"/>
    <w:autoRedefine/>
    <w:uiPriority w:val="39"/>
    <w:unhideWhenUsed/>
    <w:rsid w:val="00301708"/>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301708"/>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301708"/>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301708"/>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301708"/>
    <w:pPr>
      <w:spacing w:line="240" w:lineRule="auto"/>
      <w:ind w:left="567" w:hanging="567"/>
    </w:pPr>
  </w:style>
  <w:style w:type="paragraph" w:customStyle="1" w:styleId="Ttuloimagen">
    <w:name w:val="Título imagen"/>
    <w:basedOn w:val="PiedeImagen"/>
    <w:next w:val="Imagen"/>
    <w:link w:val="TtuloimagenCar"/>
    <w:qFormat/>
    <w:rsid w:val="00301708"/>
    <w:pPr>
      <w:keepNext/>
      <w:spacing w:after="0"/>
    </w:pPr>
    <w:rPr>
      <w:i w:val="0"/>
      <w:smallCaps/>
      <w:sz w:val="20"/>
    </w:rPr>
  </w:style>
  <w:style w:type="character" w:customStyle="1" w:styleId="TtuloimagenCar">
    <w:name w:val="Título imagen Car"/>
    <w:basedOn w:val="ImagenCar"/>
    <w:link w:val="Ttuloimagen"/>
    <w:rsid w:val="00301708"/>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301708"/>
    <w:pPr>
      <w:ind w:left="1100"/>
    </w:pPr>
  </w:style>
  <w:style w:type="paragraph" w:styleId="Sinespaciado">
    <w:name w:val="No Spacing"/>
    <w:link w:val="SinespaciadoCar"/>
    <w:uiPriority w:val="1"/>
    <w:qFormat/>
    <w:rsid w:val="00301708"/>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301708"/>
    <w:rPr>
      <w:rFonts w:eastAsiaTheme="minorEastAsia"/>
      <w:lang w:val="es-ES" w:eastAsia="es-ES"/>
    </w:rPr>
  </w:style>
  <w:style w:type="paragraph" w:styleId="Prrafodelista">
    <w:name w:val="List Paragraph"/>
    <w:basedOn w:val="Normal"/>
    <w:uiPriority w:val="34"/>
    <w:rsid w:val="00301708"/>
    <w:pPr>
      <w:ind w:left="720"/>
      <w:contextualSpacing/>
    </w:pPr>
  </w:style>
  <w:style w:type="paragraph" w:customStyle="1" w:styleId="Nmeroromano">
    <w:name w:val="Número romano"/>
    <w:basedOn w:val="Prrafodelista"/>
    <w:qFormat/>
    <w:rsid w:val="00301708"/>
    <w:pPr>
      <w:numPr>
        <w:numId w:val="30"/>
      </w:numPr>
      <w:spacing w:after="100"/>
      <w:ind w:left="567" w:hanging="113"/>
    </w:pPr>
  </w:style>
  <w:style w:type="paragraph" w:customStyle="1" w:styleId="Saltodettulos">
    <w:name w:val="Salto de títulos"/>
    <w:basedOn w:val="Normal"/>
    <w:rsid w:val="00301708"/>
    <w:pPr>
      <w:spacing w:after="0" w:line="240" w:lineRule="auto"/>
    </w:pPr>
    <w:rPr>
      <w:color w:val="FFFFFF"/>
      <w:sz w:val="2"/>
    </w:rPr>
  </w:style>
  <w:style w:type="paragraph" w:styleId="TDC7">
    <w:name w:val="toc 7"/>
    <w:basedOn w:val="Normal"/>
    <w:next w:val="FinTDC"/>
    <w:autoRedefine/>
    <w:uiPriority w:val="39"/>
    <w:unhideWhenUsed/>
    <w:rsid w:val="00301708"/>
    <w:pPr>
      <w:spacing w:after="0" w:line="20" w:lineRule="atLeast"/>
      <w:ind w:left="1418"/>
      <w:jc w:val="left"/>
    </w:pPr>
    <w:rPr>
      <w:i/>
      <w:color w:val="5F2987"/>
      <w:sz w:val="12"/>
    </w:rPr>
  </w:style>
  <w:style w:type="paragraph" w:customStyle="1" w:styleId="FinTDC">
    <w:name w:val="FinTDC"/>
    <w:basedOn w:val="Nivel1"/>
    <w:qFormat/>
    <w:rsid w:val="00301708"/>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301708"/>
    <w:pPr>
      <w:spacing w:after="0" w:line="240" w:lineRule="auto"/>
      <w:jc w:val="left"/>
    </w:pPr>
    <w:rPr>
      <w:sz w:val="15"/>
    </w:rPr>
  </w:style>
  <w:style w:type="paragraph" w:styleId="TDC9">
    <w:name w:val="toc 9"/>
    <w:basedOn w:val="TDC8"/>
    <w:next w:val="FinTDC"/>
    <w:autoRedefine/>
    <w:uiPriority w:val="39"/>
    <w:semiHidden/>
    <w:unhideWhenUsed/>
    <w:rsid w:val="00301708"/>
    <w:pPr>
      <w:ind w:left="1760"/>
    </w:pPr>
  </w:style>
  <w:style w:type="paragraph" w:customStyle="1" w:styleId="Apartado0">
    <w:name w:val="Apartado 0"/>
    <w:basedOn w:val="Ttulo1"/>
    <w:next w:val="Normal"/>
    <w:link w:val="Apartado0Car"/>
    <w:qFormat/>
    <w:rsid w:val="00301708"/>
    <w:pPr>
      <w:numPr>
        <w:numId w:val="7"/>
      </w:numPr>
      <w:ind w:left="357" w:hanging="357"/>
    </w:pPr>
  </w:style>
  <w:style w:type="character" w:customStyle="1" w:styleId="Apartado0Car">
    <w:name w:val="Apartado 0 Car"/>
    <w:basedOn w:val="Ttulo1Car"/>
    <w:link w:val="Apartado0"/>
    <w:rsid w:val="00301708"/>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301708"/>
    <w:pPr>
      <w:numPr>
        <w:ilvl w:val="3"/>
      </w:numPr>
      <w:ind w:left="1899" w:hanging="198"/>
    </w:pPr>
  </w:style>
  <w:style w:type="paragraph" w:customStyle="1" w:styleId="Nivel5">
    <w:name w:val="Nivel 5"/>
    <w:basedOn w:val="Nivel4"/>
    <w:link w:val="Nivel5Car"/>
    <w:qFormat/>
    <w:rsid w:val="00301708"/>
    <w:pPr>
      <w:numPr>
        <w:ilvl w:val="4"/>
      </w:numPr>
      <w:ind w:left="2155" w:hanging="170"/>
    </w:pPr>
  </w:style>
  <w:style w:type="character" w:customStyle="1" w:styleId="Nivel2Car">
    <w:name w:val="Nivel 2 Car"/>
    <w:basedOn w:val="Fuentedeprrafopredeter"/>
    <w:link w:val="Nivel2"/>
    <w:rsid w:val="00301708"/>
    <w:rPr>
      <w:rFonts w:ascii="Palatino Linotype" w:hAnsi="Palatino Linotype"/>
      <w:lang w:val="es-ES"/>
    </w:rPr>
  </w:style>
  <w:style w:type="character" w:customStyle="1" w:styleId="Nivel3Car">
    <w:name w:val="Nivel 3 Car"/>
    <w:basedOn w:val="Nivel2Car"/>
    <w:link w:val="Nivel3"/>
    <w:rsid w:val="00301708"/>
    <w:rPr>
      <w:rFonts w:ascii="Palatino Linotype" w:hAnsi="Palatino Linotype"/>
      <w:lang w:val="es-ES"/>
    </w:rPr>
  </w:style>
  <w:style w:type="character" w:customStyle="1" w:styleId="Nivel4Car">
    <w:name w:val="Nivel 4 Car"/>
    <w:basedOn w:val="Nivel3Car"/>
    <w:link w:val="Nivel4"/>
    <w:rsid w:val="00301708"/>
    <w:rPr>
      <w:rFonts w:ascii="Palatino Linotype" w:hAnsi="Palatino Linotype"/>
      <w:lang w:val="es-ES"/>
    </w:rPr>
  </w:style>
  <w:style w:type="paragraph" w:customStyle="1" w:styleId="Nivel6">
    <w:name w:val="Nivel 6"/>
    <w:basedOn w:val="Nivel5"/>
    <w:link w:val="Nivel6Car"/>
    <w:qFormat/>
    <w:rsid w:val="00301708"/>
    <w:pPr>
      <w:numPr>
        <w:ilvl w:val="5"/>
      </w:numPr>
      <w:ind w:left="2438" w:hanging="227"/>
    </w:pPr>
  </w:style>
  <w:style w:type="character" w:customStyle="1" w:styleId="Nivel5Car">
    <w:name w:val="Nivel 5 Car"/>
    <w:basedOn w:val="Nivel4Car"/>
    <w:link w:val="Nivel5"/>
    <w:rsid w:val="00301708"/>
    <w:rPr>
      <w:rFonts w:ascii="Palatino Linotype" w:hAnsi="Palatino Linotype"/>
      <w:lang w:val="es-ES"/>
    </w:rPr>
  </w:style>
  <w:style w:type="paragraph" w:customStyle="1" w:styleId="Nivel7">
    <w:name w:val="Nivel 7"/>
    <w:basedOn w:val="Nivel5"/>
    <w:link w:val="Nivel7Car"/>
    <w:qFormat/>
    <w:rsid w:val="00301708"/>
    <w:pPr>
      <w:numPr>
        <w:ilvl w:val="6"/>
      </w:numPr>
      <w:ind w:left="2722" w:hanging="170"/>
    </w:pPr>
  </w:style>
  <w:style w:type="character" w:customStyle="1" w:styleId="Nivel6Car">
    <w:name w:val="Nivel 6 Car"/>
    <w:basedOn w:val="Nivel5Car"/>
    <w:link w:val="Nivel6"/>
    <w:rsid w:val="00301708"/>
    <w:rPr>
      <w:rFonts w:ascii="Palatino Linotype" w:hAnsi="Palatino Linotype"/>
      <w:lang w:val="es-ES"/>
    </w:rPr>
  </w:style>
  <w:style w:type="character" w:customStyle="1" w:styleId="Nivel7Car">
    <w:name w:val="Nivel 7 Car"/>
    <w:basedOn w:val="Nivel5Car"/>
    <w:link w:val="Nivel7"/>
    <w:rsid w:val="00301708"/>
    <w:rPr>
      <w:rFonts w:ascii="Palatino Linotype" w:hAnsi="Palatino Linotype"/>
      <w:lang w:val="es-ES"/>
    </w:rPr>
  </w:style>
  <w:style w:type="paragraph" w:styleId="Descripcin">
    <w:name w:val="caption"/>
    <w:basedOn w:val="Normal"/>
    <w:next w:val="Normal"/>
    <w:uiPriority w:val="35"/>
    <w:unhideWhenUsed/>
    <w:qFormat/>
    <w:rsid w:val="00301708"/>
    <w:pPr>
      <w:spacing w:after="200" w:line="240" w:lineRule="auto"/>
    </w:pPr>
    <w:rPr>
      <w:i/>
      <w:iCs/>
      <w:color w:val="44546A" w:themeColor="text2"/>
      <w:sz w:val="18"/>
      <w:szCs w:val="18"/>
    </w:rPr>
  </w:style>
  <w:style w:type="paragraph" w:customStyle="1" w:styleId="Ttulo10">
    <w:name w:val="Título 10"/>
    <w:basedOn w:val="Ttulo9"/>
    <w:link w:val="Ttulo10Car"/>
    <w:qFormat/>
    <w:rsid w:val="00301708"/>
    <w:pPr>
      <w:ind w:left="1276"/>
    </w:pPr>
    <w:rPr>
      <w:w w:val="97"/>
      <w:sz w:val="20"/>
    </w:rPr>
  </w:style>
  <w:style w:type="character" w:customStyle="1" w:styleId="Ttulo10Car">
    <w:name w:val="Título 10 Car"/>
    <w:basedOn w:val="Ttulo9Car"/>
    <w:link w:val="Ttulo10"/>
    <w:rsid w:val="00301708"/>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301708"/>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301708"/>
    <w:pPr>
      <w:numPr>
        <w:ilvl w:val="7"/>
      </w:numPr>
      <w:ind w:left="3005" w:hanging="170"/>
    </w:pPr>
  </w:style>
  <w:style w:type="character" w:customStyle="1" w:styleId="Nivel8Car">
    <w:name w:val="Nivel 8 Car"/>
    <w:basedOn w:val="Nivel7Car"/>
    <w:link w:val="Nivel8"/>
    <w:rsid w:val="00301708"/>
    <w:rPr>
      <w:rFonts w:ascii="Palatino Linotype" w:hAnsi="Palatino Linotype"/>
      <w:lang w:val="es-ES"/>
    </w:rPr>
  </w:style>
  <w:style w:type="paragraph" w:customStyle="1" w:styleId="Advertencia">
    <w:name w:val="Advertencia"/>
    <w:basedOn w:val="Normal"/>
    <w:next w:val="Normal"/>
    <w:link w:val="AdvertenciaCar"/>
    <w:qFormat/>
    <w:rsid w:val="00301708"/>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301708"/>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301708"/>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01708"/>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3017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781465">
      <w:bodyDiv w:val="1"/>
      <w:marLeft w:val="0"/>
      <w:marRight w:val="0"/>
      <w:marTop w:val="0"/>
      <w:marBottom w:val="0"/>
      <w:divBdr>
        <w:top w:val="none" w:sz="0" w:space="0" w:color="auto"/>
        <w:left w:val="none" w:sz="0" w:space="0" w:color="auto"/>
        <w:bottom w:val="none" w:sz="0" w:space="0" w:color="auto"/>
        <w:right w:val="none" w:sz="0" w:space="0" w:color="auto"/>
      </w:divBdr>
    </w:div>
    <w:div w:id="183328303">
      <w:bodyDiv w:val="1"/>
      <w:marLeft w:val="0"/>
      <w:marRight w:val="0"/>
      <w:marTop w:val="0"/>
      <w:marBottom w:val="0"/>
      <w:divBdr>
        <w:top w:val="none" w:sz="0" w:space="0" w:color="auto"/>
        <w:left w:val="none" w:sz="0" w:space="0" w:color="auto"/>
        <w:bottom w:val="none" w:sz="0" w:space="0" w:color="auto"/>
        <w:right w:val="none" w:sz="0" w:space="0" w:color="auto"/>
      </w:divBdr>
      <w:divsChild>
        <w:div w:id="24453122">
          <w:marLeft w:val="480"/>
          <w:marRight w:val="0"/>
          <w:marTop w:val="0"/>
          <w:marBottom w:val="0"/>
          <w:divBdr>
            <w:top w:val="none" w:sz="0" w:space="0" w:color="auto"/>
            <w:left w:val="none" w:sz="0" w:space="0" w:color="auto"/>
            <w:bottom w:val="none" w:sz="0" w:space="0" w:color="auto"/>
            <w:right w:val="none" w:sz="0" w:space="0" w:color="auto"/>
          </w:divBdr>
          <w:divsChild>
            <w:div w:id="62207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610900">
      <w:bodyDiv w:val="1"/>
      <w:marLeft w:val="0"/>
      <w:marRight w:val="0"/>
      <w:marTop w:val="0"/>
      <w:marBottom w:val="0"/>
      <w:divBdr>
        <w:top w:val="none" w:sz="0" w:space="0" w:color="auto"/>
        <w:left w:val="none" w:sz="0" w:space="0" w:color="auto"/>
        <w:bottom w:val="none" w:sz="0" w:space="0" w:color="auto"/>
        <w:right w:val="none" w:sz="0" w:space="0" w:color="auto"/>
      </w:divBdr>
    </w:div>
    <w:div w:id="1436558022">
      <w:bodyDiv w:val="1"/>
      <w:marLeft w:val="0"/>
      <w:marRight w:val="0"/>
      <w:marTop w:val="0"/>
      <w:marBottom w:val="0"/>
      <w:divBdr>
        <w:top w:val="none" w:sz="0" w:space="0" w:color="auto"/>
        <w:left w:val="none" w:sz="0" w:space="0" w:color="auto"/>
        <w:bottom w:val="none" w:sz="0" w:space="0" w:color="auto"/>
        <w:right w:val="none" w:sz="0" w:space="0" w:color="auto"/>
      </w:divBdr>
    </w:div>
    <w:div w:id="1459571031">
      <w:bodyDiv w:val="1"/>
      <w:marLeft w:val="0"/>
      <w:marRight w:val="0"/>
      <w:marTop w:val="0"/>
      <w:marBottom w:val="0"/>
      <w:divBdr>
        <w:top w:val="none" w:sz="0" w:space="0" w:color="auto"/>
        <w:left w:val="none" w:sz="0" w:space="0" w:color="auto"/>
        <w:bottom w:val="none" w:sz="0" w:space="0" w:color="auto"/>
        <w:right w:val="none" w:sz="0" w:space="0" w:color="auto"/>
      </w:divBdr>
    </w:div>
    <w:div w:id="1550338268">
      <w:bodyDiv w:val="1"/>
      <w:marLeft w:val="0"/>
      <w:marRight w:val="0"/>
      <w:marTop w:val="0"/>
      <w:marBottom w:val="0"/>
      <w:divBdr>
        <w:top w:val="none" w:sz="0" w:space="0" w:color="auto"/>
        <w:left w:val="none" w:sz="0" w:space="0" w:color="auto"/>
        <w:bottom w:val="none" w:sz="0" w:space="0" w:color="auto"/>
        <w:right w:val="none" w:sz="0" w:space="0" w:color="auto"/>
      </w:divBdr>
      <w:divsChild>
        <w:div w:id="488249221">
          <w:marLeft w:val="480"/>
          <w:marRight w:val="0"/>
          <w:marTop w:val="0"/>
          <w:marBottom w:val="0"/>
          <w:divBdr>
            <w:top w:val="none" w:sz="0" w:space="0" w:color="auto"/>
            <w:left w:val="none" w:sz="0" w:space="0" w:color="auto"/>
            <w:bottom w:val="none" w:sz="0" w:space="0" w:color="auto"/>
            <w:right w:val="none" w:sz="0" w:space="0" w:color="auto"/>
          </w:divBdr>
          <w:divsChild>
            <w:div w:id="82871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9.png"/><Relationship Id="rId26" Type="http://schemas.openxmlformats.org/officeDocument/2006/relationships/hyperlink" Target="https://www.frbsf.org/economic-research/wp-content/uploads/sites/4/Jeffrey-Frankel-Nov20.pdf" TargetMode="External"/><Relationship Id="rId21" Type="http://schemas.openxmlformats.org/officeDocument/2006/relationships/image" Target="media/image12.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nk.springer.com/referenceworkentry/10.1057/978-1-349-95121-5_1939-1" TargetMode="External"/><Relationship Id="rId24" Type="http://schemas.openxmlformats.org/officeDocument/2006/relationships/hyperlink" Target="file:///C:\Users\UX533FD\AppData\Roaming\Materiales%20por%20temas\Parte%20A%20-%20Econom&#237;a%20General\Tema%203.A.16\Sostenibilidad%20de%20la%20colusi&#243;n.xlsx"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image" Target="media/image16.jpeg"/><Relationship Id="rId36" Type="http://schemas.openxmlformats.org/officeDocument/2006/relationships/glossaryDocument" Target="glossary/document.xml"/><Relationship Id="rId10" Type="http://schemas.openxmlformats.org/officeDocument/2006/relationships/hyperlink" Target="https://scholar.harvard.edu/files/jfrieden/files/broz_frieden_final_0.pdf" TargetMode="External"/><Relationship Id="rId19" Type="http://schemas.openxmlformats.org/officeDocument/2006/relationships/image" Target="media/image10.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rbsf.org/economic-research/wp-content/uploads/sites/4/Jeffrey-Frankel-Nov20.pdf" TargetMode="External"/><Relationship Id="rId14" Type="http://schemas.openxmlformats.org/officeDocument/2006/relationships/image" Target="media/image4.jpg"/><Relationship Id="rId22" Type="http://schemas.openxmlformats.org/officeDocument/2006/relationships/image" Target="media/image13.png"/><Relationship Id="rId27" Type="http://schemas.openxmlformats.org/officeDocument/2006/relationships/hyperlink" Target="https://blognewdeal.com/gonzalo-garcia-andres/oberturas-fiscales/"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research-and-databases/economic-research/macroeconomic-models/global-multi-country-gm-model_es" TargetMode="External"/><Relationship Id="rId2" Type="http://schemas.openxmlformats.org/officeDocument/2006/relationships/hyperlink" Target="https://web.jrc.ec.europa.eu/policy-model-inventory/explore/models/model-quest" TargetMode="External"/><Relationship Id="rId1" Type="http://schemas.openxmlformats.org/officeDocument/2006/relationships/image" Target="media/image5.jpg"/><Relationship Id="rId4" Type="http://schemas.openxmlformats.org/officeDocument/2006/relationships/hyperlink" Target="https://www.imf.org/en/Blogs/Articles/2013/12/15/international-policy-coordination-the-loch-ness-mon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242BAD2A0354AA782966B9BDE269D2B"/>
        <w:category>
          <w:name w:val="General"/>
          <w:gallery w:val="placeholder"/>
        </w:category>
        <w:types>
          <w:type w:val="bbPlcHdr"/>
        </w:types>
        <w:behaviors>
          <w:behavior w:val="content"/>
        </w:behaviors>
        <w:guid w:val="{07FAFD9A-5B71-45B3-9D34-37B6893ACAFF}"/>
      </w:docPartPr>
      <w:docPartBody>
        <w:p w:rsidR="00CC6555" w:rsidRDefault="001E044C">
          <w:pPr>
            <w:pStyle w:val="F242BAD2A0354AA782966B9BDE269D2B"/>
          </w:pPr>
          <w:r w:rsidRPr="001B5103">
            <w:rPr>
              <w:rStyle w:val="Textodelmarcadordeposicin"/>
            </w:rPr>
            <w:t>[Title]</w:t>
          </w:r>
        </w:p>
      </w:docPartBody>
    </w:docPart>
    <w:docPart>
      <w:docPartPr>
        <w:name w:val="BE707097988E46D2B4770390AAEB81A7"/>
        <w:category>
          <w:name w:val="General"/>
          <w:gallery w:val="placeholder"/>
        </w:category>
        <w:types>
          <w:type w:val="bbPlcHdr"/>
        </w:types>
        <w:behaviors>
          <w:behavior w:val="content"/>
        </w:behaviors>
        <w:guid w:val="{9819AE57-9D5D-41D1-A122-70DB4B4E6726}"/>
      </w:docPartPr>
      <w:docPartBody>
        <w:p w:rsidR="00CC6555" w:rsidRDefault="001E044C">
          <w:pPr>
            <w:pStyle w:val="BE707097988E46D2B4770390AAEB81A7"/>
          </w:pPr>
          <w:r w:rsidRPr="001B5103">
            <w:rPr>
              <w:rStyle w:val="Textodelmarcadordeposicin"/>
            </w:rPr>
            <w:t>[Subject]</w:t>
          </w:r>
        </w:p>
      </w:docPartBody>
    </w:docPart>
    <w:docPart>
      <w:docPartPr>
        <w:name w:val="48E63B94DF04407E8E1DECA702B11924"/>
        <w:category>
          <w:name w:val="General"/>
          <w:gallery w:val="placeholder"/>
        </w:category>
        <w:types>
          <w:type w:val="bbPlcHdr"/>
        </w:types>
        <w:behaviors>
          <w:behavior w:val="content"/>
        </w:behaviors>
        <w:guid w:val="{4B17D962-F76D-4CA2-A869-678831385B51}"/>
      </w:docPartPr>
      <w:docPartBody>
        <w:p w:rsidR="00B84505" w:rsidRDefault="004A1C6A" w:rsidP="004A1C6A">
          <w:pPr>
            <w:pStyle w:val="48E63B94DF04407E8E1DECA702B11924"/>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44C"/>
    <w:rsid w:val="00034F46"/>
    <w:rsid w:val="00054D85"/>
    <w:rsid w:val="00132586"/>
    <w:rsid w:val="00136057"/>
    <w:rsid w:val="0014123E"/>
    <w:rsid w:val="001848FE"/>
    <w:rsid w:val="001E044C"/>
    <w:rsid w:val="002328D5"/>
    <w:rsid w:val="00380E73"/>
    <w:rsid w:val="003E0367"/>
    <w:rsid w:val="00430073"/>
    <w:rsid w:val="004725D9"/>
    <w:rsid w:val="004A1C6A"/>
    <w:rsid w:val="00602E4A"/>
    <w:rsid w:val="00633196"/>
    <w:rsid w:val="007230CD"/>
    <w:rsid w:val="007610A8"/>
    <w:rsid w:val="00776C2A"/>
    <w:rsid w:val="007915F5"/>
    <w:rsid w:val="00810A14"/>
    <w:rsid w:val="00816B70"/>
    <w:rsid w:val="00925BAB"/>
    <w:rsid w:val="00931C32"/>
    <w:rsid w:val="00962A9D"/>
    <w:rsid w:val="00995493"/>
    <w:rsid w:val="00B43FBA"/>
    <w:rsid w:val="00B84505"/>
    <w:rsid w:val="00BD7464"/>
    <w:rsid w:val="00BF564E"/>
    <w:rsid w:val="00CB0656"/>
    <w:rsid w:val="00CC6555"/>
    <w:rsid w:val="00D145B9"/>
    <w:rsid w:val="00D61A8C"/>
    <w:rsid w:val="00D82443"/>
    <w:rsid w:val="00E6776B"/>
    <w:rsid w:val="00EB4D9C"/>
    <w:rsid w:val="00F84C55"/>
    <w:rsid w:val="00FC0E9C"/>
    <w:rsid w:val="00FE2A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B4D9C"/>
    <w:rPr>
      <w:color w:val="808080"/>
    </w:rPr>
  </w:style>
  <w:style w:type="paragraph" w:customStyle="1" w:styleId="F242BAD2A0354AA782966B9BDE269D2B">
    <w:name w:val="F242BAD2A0354AA782966B9BDE269D2B"/>
  </w:style>
  <w:style w:type="paragraph" w:customStyle="1" w:styleId="BE707097988E46D2B4770390AAEB81A7">
    <w:name w:val="BE707097988E46D2B4770390AAEB81A7"/>
  </w:style>
  <w:style w:type="paragraph" w:customStyle="1" w:styleId="48E63B94DF04407E8E1DECA702B11924">
    <w:name w:val="48E63B94DF04407E8E1DECA702B11924"/>
    <w:rsid w:val="004A1C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22</TotalTime>
  <Pages>1</Pages>
  <Words>16375</Words>
  <Characters>90063</Characters>
  <Application>Microsoft Office Word</Application>
  <DocSecurity>0</DocSecurity>
  <Lines>750</Lines>
  <Paragraphs>212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3.B.19</vt:lpstr>
      <vt:lpstr>TEMA E.P.NN</vt:lpstr>
    </vt:vector>
  </TitlesOfParts>
  <Company/>
  <LinksUpToDate>false</LinksUpToDate>
  <CharactersWithSpaces>106226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3.B.19</dc:title>
  <dc:subject>La coordinación internacional de políticas económicas. Aspectos teóricos y prácticos. El G-20, la OCDE y otros foros internacionales.</dc:subject>
  <dc:creator>Víctor Gutiérrez Marcos</dc:creator>
  <cp:keywords/>
  <dc:description/>
  <cp:lastModifiedBy>Víctor Gutiérrez Marcos</cp:lastModifiedBy>
  <dcterms:created xsi:type="dcterms:W3CDTF">2024-08-07T22:47:00Z</dcterms:created>
  <dcterms:modified xsi:type="dcterms:W3CDTF">2024-08-10T20:27:00Z</dcterms:modified>
</cp:coreProperties>
</file>