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2C372B" w14:textId="33CF0C17" w:rsidR="00307C23" w:rsidRDefault="00000000" w:rsidP="00FA5252">
      <w:pPr>
        <w:pStyle w:val="Ttulo"/>
        <w:ind w:left="0" w:right="84"/>
      </w:pPr>
      <w:sdt>
        <w:sdtPr>
          <w:rPr>
            <w:i/>
            <w:iCs w:val="0"/>
            <w:u w:val="single"/>
          </w:rPr>
          <w:alias w:val="Title"/>
          <w:tag w:val=""/>
          <w:id w:val="-780801520"/>
          <w:placeholder>
            <w:docPart w:val="0678ABFA9B5040C492EF39FE21323D40"/>
          </w:placeholder>
          <w:dataBinding w:prefixMappings="xmlns:ns0='http://purl.org/dc/elements/1.1/' xmlns:ns1='http://schemas.openxmlformats.org/package/2006/metadata/core-properties' " w:xpath="/ns1:coreProperties[1]/ns0:title[1]" w:storeItemID="{6C3C8BC8-F283-45AE-878A-BAB7291924A1}"/>
          <w:text/>
        </w:sdtPr>
        <w:sdtContent>
          <w:r w:rsidR="00C307D2">
            <w:rPr>
              <w:i/>
              <w:iCs w:val="0"/>
              <w:u w:val="single"/>
            </w:rPr>
            <w:t>3.B.1</w:t>
          </w:r>
          <w:r w:rsidR="000A13F4">
            <w:rPr>
              <w:i/>
              <w:iCs w:val="0"/>
              <w:u w:val="single"/>
            </w:rPr>
            <w:t>7</w:t>
          </w:r>
        </w:sdtContent>
      </w:sdt>
      <w:r w:rsidR="00C851DA">
        <w:t xml:space="preserve"> :</w:t>
      </w:r>
      <w:r w:rsidR="00C81078" w:rsidRPr="004C0C34">
        <w:t xml:space="preserve"> </w:t>
      </w:r>
      <w:sdt>
        <w:sdtPr>
          <w:alias w:val="Subject"/>
          <w:tag w:val=""/>
          <w:id w:val="-1903059896"/>
          <w:placeholder>
            <w:docPart w:val="18AE687AF4CF4023BF217C29CD6E4E88"/>
          </w:placeholder>
          <w:dataBinding w:prefixMappings="xmlns:ns0='http://purl.org/dc/elements/1.1/' xmlns:ns1='http://schemas.openxmlformats.org/package/2006/metadata/core-properties' " w:xpath="/ns1:coreProperties[1]/ns0:subject[1]" w:storeItemID="{6C3C8BC8-F283-45AE-878A-BAB7291924A1}"/>
          <w:text/>
        </w:sdtPr>
        <w:sdtContent>
          <w:r w:rsidR="00C307D2">
            <w:t xml:space="preserve">Teorías explicativas de las crisis </w:t>
          </w:r>
          <w:r w:rsidR="000A13F4">
            <w:t>de balanza de pagos</w:t>
          </w:r>
          <w:r w:rsidR="005015D1">
            <w:t>.</w:t>
          </w:r>
        </w:sdtContent>
      </w:sdt>
    </w:p>
    <w:p w14:paraId="4AAA21A2" w14:textId="77777777" w:rsidR="00CD14F9" w:rsidRDefault="00CD14F9" w:rsidP="00CD14F9">
      <w:pPr>
        <w:pStyle w:val="Notaalopositor"/>
        <w:spacing w:after="0"/>
      </w:pPr>
      <w:bookmarkStart w:id="0" w:name="_Hlk111398052"/>
      <w:r>
        <w:t>Con el cambio de temario, a partir de la convocatoria de 2023 este tema pasará a ser:</w:t>
      </w:r>
    </w:p>
    <w:p w14:paraId="7BD927CD" w14:textId="7925EC51" w:rsidR="00CD14F9" w:rsidRDefault="00CD14F9" w:rsidP="00CD14F9">
      <w:pPr>
        <w:pStyle w:val="Notaalopositor"/>
      </w:pPr>
      <w:r>
        <w:t>3.B.17: Teorías explicativas de las crisis de balanza de pagos.</w:t>
      </w:r>
    </w:p>
    <w:p w14:paraId="54D8EF83" w14:textId="77777777" w:rsidR="00CD14F9" w:rsidRDefault="00CD14F9" w:rsidP="00CD14F9">
      <w:pPr>
        <w:pStyle w:val="Notaalopositor"/>
        <w:spacing w:after="0"/>
      </w:pPr>
      <w:r>
        <w:t xml:space="preserve">De este modo, con lo escrito en este documento estaría </w:t>
      </w:r>
      <w:r>
        <w:rPr>
          <w:b/>
          <w:bCs/>
        </w:rPr>
        <w:t>actualizado</w:t>
      </w:r>
      <w:r w:rsidRPr="00CC188F">
        <w:rPr>
          <w:bCs/>
        </w:rPr>
        <w:t>.</w:t>
      </w:r>
      <w:bookmarkEnd w:id="0"/>
    </w:p>
    <w:p w14:paraId="46E4980E" w14:textId="2C902A43" w:rsidR="00CD14F9" w:rsidRPr="00CD14F9" w:rsidRDefault="00CD14F9" w:rsidP="00CD14F9">
      <w:pPr>
        <w:pStyle w:val="Notaalopositor"/>
        <w:jc w:val="center"/>
      </w:pPr>
      <w:r w:rsidRPr="00CD14F9">
        <w:rPr>
          <w:noProof/>
        </w:rPr>
        <w:drawing>
          <wp:inline distT="0" distB="0" distL="0" distR="0" wp14:anchorId="03BD88C1" wp14:editId="6E3587AC">
            <wp:extent cx="2880000" cy="2498715"/>
            <wp:effectExtent l="0" t="0" r="0" b="0"/>
            <wp:docPr id="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pic:cNvPicPr/>
                  </pic:nvPicPr>
                  <pic:blipFill>
                    <a:blip r:embed="rId8"/>
                    <a:stretch>
                      <a:fillRect/>
                    </a:stretch>
                  </pic:blipFill>
                  <pic:spPr>
                    <a:xfrm>
                      <a:off x="0" y="0"/>
                      <a:ext cx="2880000" cy="2498715"/>
                    </a:xfrm>
                    <a:prstGeom prst="rect">
                      <a:avLst/>
                    </a:prstGeom>
                  </pic:spPr>
                </pic:pic>
              </a:graphicData>
            </a:graphic>
          </wp:inline>
        </w:drawing>
      </w:r>
    </w:p>
    <w:p w14:paraId="764D584A" w14:textId="3B96FDEA" w:rsidR="0021774E" w:rsidRPr="00B9022F" w:rsidRDefault="000C6A0E" w:rsidP="00B9022F">
      <w:pPr>
        <w:pStyle w:val="Introduccinyconclusin"/>
      </w:pPr>
      <w:bookmarkStart w:id="1" w:name="_Toc55382054"/>
      <w:bookmarkStart w:id="2" w:name="_Toc55382089"/>
      <w:bookmarkStart w:id="3" w:name="_Toc55382517"/>
      <w:bookmarkStart w:id="4" w:name="_Toc55382751"/>
      <w:r>
        <w:rPr>
          <w:noProof/>
        </w:rPr>
        <w:drawing>
          <wp:anchor distT="0" distB="0" distL="114300" distR="114300" simplePos="0" relativeHeight="251659264" behindDoc="0" locked="0" layoutInCell="1" allowOverlap="1" wp14:anchorId="3131BF62" wp14:editId="393F23E9">
            <wp:simplePos x="0" y="0"/>
            <wp:positionH relativeFrom="column">
              <wp:posOffset>5582920</wp:posOffset>
            </wp:positionH>
            <wp:positionV relativeFrom="paragraph">
              <wp:posOffset>260119</wp:posOffset>
            </wp:positionV>
            <wp:extent cx="792000" cy="1226230"/>
            <wp:effectExtent l="0" t="0" r="8255" b="0"/>
            <wp:wrapSquare wrapText="bothSides"/>
            <wp:docPr id="14" name="Imagen 14" descr="THIS TIME IS DIFFERENT: Eight Centuries of Financial Folly : Fiell,  Charlotte &amp; Peter: Amazon.es: Lib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S TIME IS DIFFERENT: Eight Centuries of Financial Folly : Fiell,  Charlotte &amp; Peter: Amazon.es: Libr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2000" cy="1226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774E" w:rsidRPr="00B9022F">
        <w:t>I</w:t>
      </w:r>
      <w:r w:rsidR="0021774E" w:rsidRPr="00B9022F">
        <w:rPr>
          <w:rStyle w:val="IntroduccinyconclusinChar"/>
          <w:b/>
          <w:bCs/>
          <w:caps/>
          <w:shd w:val="clear" w:color="auto" w:fill="auto"/>
        </w:rPr>
        <w:t>NTRODUCCIÓN</w:t>
      </w:r>
      <w:bookmarkEnd w:id="1"/>
      <w:bookmarkEnd w:id="2"/>
      <w:bookmarkEnd w:id="3"/>
      <w:bookmarkEnd w:id="4"/>
    </w:p>
    <w:p w14:paraId="7708B04E" w14:textId="60C9DFAE" w:rsidR="00477E31" w:rsidRDefault="00B77C0F" w:rsidP="00DC4DF2">
      <w:pPr>
        <w:pStyle w:val="Nivel1"/>
        <w:keepNext/>
        <w:spacing w:before="0" w:after="0"/>
      </w:pPr>
      <w:r w:rsidRPr="00034A05">
        <w:rPr>
          <w:b/>
          <w:bCs/>
          <w:i/>
          <w:iCs/>
        </w:rPr>
        <w:t>Enganche</w:t>
      </w:r>
      <w:r>
        <w:t>:</w:t>
      </w:r>
    </w:p>
    <w:p w14:paraId="0A2DD0D1" w14:textId="01F1B339" w:rsidR="000A13F4" w:rsidRDefault="000A13F4" w:rsidP="000A13F4">
      <w:pPr>
        <w:pStyle w:val="Nivel2"/>
        <w:keepNext/>
        <w:spacing w:after="0"/>
      </w:pPr>
      <w:bookmarkStart w:id="5" w:name="_Hlk131002413"/>
      <w:r>
        <w:t>Volveremos a tener una nueva crisis financiera internacional</w:t>
      </w:r>
      <w:bookmarkStart w:id="6" w:name="_Hlk131002178"/>
      <w:r>
        <w:t>, o bien podemos decir, se está gestando una crisis financiera.</w:t>
      </w:r>
      <w:bookmarkEnd w:id="6"/>
      <w:r w:rsidR="000C6A0E">
        <w:t xml:space="preserve"> Al menos esto es lo que podemos interpretar </w:t>
      </w:r>
      <w:r w:rsidR="000C6A0E" w:rsidRPr="009C2335">
        <w:t>al</w:t>
      </w:r>
      <w:r w:rsidR="000C6A0E">
        <w:t xml:space="preserve"> leer </w:t>
      </w:r>
      <w:r w:rsidR="000C6A0E">
        <w:rPr>
          <w:i/>
          <w:iCs/>
        </w:rPr>
        <w:t>Esta vez es diferente</w:t>
      </w:r>
      <w:r w:rsidR="000C6A0E">
        <w:t xml:space="preserve"> (</w:t>
      </w:r>
      <w:proofErr w:type="spellStart"/>
      <w:r w:rsidR="000C6A0E" w:rsidRPr="00A85C22">
        <w:rPr>
          <w:i/>
          <w:iCs/>
        </w:rPr>
        <w:t>This</w:t>
      </w:r>
      <w:proofErr w:type="spellEnd"/>
      <w:r w:rsidR="000C6A0E" w:rsidRPr="00A85C22">
        <w:rPr>
          <w:i/>
          <w:iCs/>
        </w:rPr>
        <w:t xml:space="preserve"> Time </w:t>
      </w:r>
      <w:proofErr w:type="spellStart"/>
      <w:r w:rsidR="000C6A0E" w:rsidRPr="00A85C22">
        <w:rPr>
          <w:i/>
          <w:iCs/>
        </w:rPr>
        <w:t>Is</w:t>
      </w:r>
      <w:proofErr w:type="spellEnd"/>
      <w:r w:rsidR="000C6A0E" w:rsidRPr="00A85C22">
        <w:rPr>
          <w:i/>
          <w:iCs/>
        </w:rPr>
        <w:t xml:space="preserve"> </w:t>
      </w:r>
      <w:proofErr w:type="spellStart"/>
      <w:r w:rsidR="000C6A0E" w:rsidRPr="00A85C22">
        <w:rPr>
          <w:i/>
          <w:iCs/>
        </w:rPr>
        <w:t>Different</w:t>
      </w:r>
      <w:proofErr w:type="spellEnd"/>
      <w:r w:rsidR="000C6A0E" w:rsidRPr="00A85C22">
        <w:rPr>
          <w:i/>
          <w:iCs/>
        </w:rPr>
        <w:t xml:space="preserve">: </w:t>
      </w:r>
      <w:proofErr w:type="spellStart"/>
      <w:r w:rsidR="000C6A0E" w:rsidRPr="00A85C22">
        <w:rPr>
          <w:i/>
          <w:iCs/>
        </w:rPr>
        <w:t>Eight</w:t>
      </w:r>
      <w:proofErr w:type="spellEnd"/>
      <w:r w:rsidR="000C6A0E" w:rsidRPr="00A85C22">
        <w:rPr>
          <w:i/>
          <w:iCs/>
        </w:rPr>
        <w:t xml:space="preserve"> </w:t>
      </w:r>
      <w:proofErr w:type="spellStart"/>
      <w:r w:rsidR="000C6A0E" w:rsidRPr="00A85C22">
        <w:rPr>
          <w:i/>
          <w:iCs/>
        </w:rPr>
        <w:t>Centuries</w:t>
      </w:r>
      <w:proofErr w:type="spellEnd"/>
      <w:r w:rsidR="000C6A0E" w:rsidRPr="00A85C22">
        <w:rPr>
          <w:i/>
          <w:iCs/>
        </w:rPr>
        <w:t xml:space="preserve"> </w:t>
      </w:r>
      <w:proofErr w:type="spellStart"/>
      <w:r w:rsidR="000C6A0E" w:rsidRPr="00A85C22">
        <w:rPr>
          <w:i/>
          <w:iCs/>
        </w:rPr>
        <w:t>of</w:t>
      </w:r>
      <w:proofErr w:type="spellEnd"/>
      <w:r w:rsidR="000C6A0E" w:rsidRPr="00A85C22">
        <w:rPr>
          <w:i/>
          <w:iCs/>
        </w:rPr>
        <w:t xml:space="preserve"> </w:t>
      </w:r>
      <w:proofErr w:type="spellStart"/>
      <w:r w:rsidR="000C6A0E" w:rsidRPr="00A85C22">
        <w:rPr>
          <w:i/>
          <w:iCs/>
        </w:rPr>
        <w:t>Financial</w:t>
      </w:r>
      <w:proofErr w:type="spellEnd"/>
      <w:r w:rsidR="000C6A0E" w:rsidRPr="00A85C22">
        <w:rPr>
          <w:i/>
          <w:iCs/>
        </w:rPr>
        <w:t xml:space="preserve"> </w:t>
      </w:r>
      <w:proofErr w:type="spellStart"/>
      <w:r w:rsidR="000C6A0E" w:rsidRPr="00A85C22">
        <w:rPr>
          <w:i/>
          <w:iCs/>
        </w:rPr>
        <w:t>Folly</w:t>
      </w:r>
      <w:proofErr w:type="spellEnd"/>
      <w:r w:rsidR="000C6A0E">
        <w:t xml:space="preserve">), un libro de </w:t>
      </w:r>
      <w:r w:rsidR="000C6A0E" w:rsidRPr="009C2335">
        <w:rPr>
          <w:smallCaps/>
        </w:rPr>
        <w:t>Reinhart</w:t>
      </w:r>
      <w:r w:rsidR="000C6A0E">
        <w:t xml:space="preserve"> y </w:t>
      </w:r>
      <w:r w:rsidR="000C6A0E">
        <w:rPr>
          <w:smallCaps/>
        </w:rPr>
        <w:t>Rogoff</w:t>
      </w:r>
      <w:r w:rsidR="000C6A0E">
        <w:t xml:space="preserve"> (2011) en el que se documenta la existencia continua de crisis financieras en los últimos siglos.</w:t>
      </w:r>
    </w:p>
    <w:p w14:paraId="76EE72E1" w14:textId="18139FDF" w:rsidR="000A13F4" w:rsidRDefault="000A13F4" w:rsidP="000A13F4">
      <w:pPr>
        <w:pStyle w:val="Nivel3"/>
      </w:pPr>
      <w:r>
        <w:t>La esencia del síndrome “esta vez es diferente” surge por la creencia de que las crisis financieras son acontecimientos que ocurren en otros países. Sin embargo, las economías actuales (especialmente las más endeudadas) pueden estar al borde del precipicio durante muchos años hasta que alguna circunstancia provoque una crisis de confianza que desencadene la crisis.</w:t>
      </w:r>
    </w:p>
    <w:p w14:paraId="43E8FB90" w14:textId="173FD6CE" w:rsidR="000A13F4" w:rsidRDefault="000A13F4" w:rsidP="000A13F4">
      <w:pPr>
        <w:pStyle w:val="Nivel2"/>
        <w:keepNext/>
        <w:spacing w:after="0"/>
      </w:pPr>
      <w:r>
        <w:t xml:space="preserve">De hecho, tal y como documentan </w:t>
      </w:r>
      <w:r>
        <w:rPr>
          <w:smallCaps/>
        </w:rPr>
        <w:t>Reinhart</w:t>
      </w:r>
      <w:r>
        <w:t xml:space="preserve"> y </w:t>
      </w:r>
      <w:r>
        <w:rPr>
          <w:smallCaps/>
        </w:rPr>
        <w:t>Rogoff</w:t>
      </w:r>
      <w:r>
        <w:t>, las crisis financieras no son nada nuevo. Han ocurrido desde el desarrollo del dinero y de los mercados financieros.</w:t>
      </w:r>
    </w:p>
    <w:p w14:paraId="0720618D" w14:textId="49EA2468" w:rsidR="000A13F4" w:rsidRDefault="000A13F4" w:rsidP="000A13F4">
      <w:pPr>
        <w:pStyle w:val="Nivel3"/>
      </w:pPr>
      <w:r>
        <w:t>Ahora bien, su interés se ha magnificado en las últimas 5</w:t>
      </w:r>
      <w:r w:rsidR="000C6A0E">
        <w:t> </w:t>
      </w:r>
      <w:r>
        <w:t>décadas como consecuencia de la mayor integración de los mercados financieros internacionales. Esta creciente integración, dejando de lado algunos efectos positivos ha conllevado una mayor vulnerabilidad de las economías ante shocks.</w:t>
      </w:r>
    </w:p>
    <w:bookmarkEnd w:id="5"/>
    <w:p w14:paraId="57970BD3" w14:textId="6F31F2DC" w:rsidR="000A13F4" w:rsidRDefault="008C03CE" w:rsidP="000A13F4">
      <w:pPr>
        <w:pStyle w:val="Nivel2"/>
        <w:keepNext/>
        <w:spacing w:after="0"/>
      </w:pPr>
      <w:r>
        <w:t>Aunque no existe una cla</w:t>
      </w:r>
      <w:r w:rsidR="000C6A0E">
        <w:t>s</w:t>
      </w:r>
      <w:r>
        <w:t>ificación generalmente aceptada de crisis financieras</w:t>
      </w:r>
      <w:r w:rsidR="000A13F4">
        <w:t xml:space="preserve">, podemos distinguir las siguientes </w:t>
      </w:r>
      <w:r w:rsidR="000A13F4" w:rsidRPr="000A13F4">
        <w:rPr>
          <w:b/>
          <w:bCs/>
        </w:rPr>
        <w:t>modalidades de crisis financieras</w:t>
      </w:r>
      <w:r w:rsidR="000A13F4">
        <w:t>:</w:t>
      </w:r>
    </w:p>
    <w:p w14:paraId="0D3CAA7D" w14:textId="034B4E4F" w:rsidR="008C03CE" w:rsidRPr="005A0870" w:rsidRDefault="008C03CE" w:rsidP="006E1B54">
      <w:pPr>
        <w:pStyle w:val="Nivel3"/>
        <w:spacing w:line="254" w:lineRule="auto"/>
        <w:rPr>
          <w:spacing w:val="-2"/>
        </w:rPr>
      </w:pPr>
      <w:r w:rsidRPr="005A0870">
        <w:rPr>
          <w:i/>
          <w:iCs/>
          <w:spacing w:val="-2"/>
          <w:u w:val="single"/>
        </w:rPr>
        <w:t>Crisis monetarias (o cambiarias)</w:t>
      </w:r>
      <w:r w:rsidRPr="005A0870">
        <w:rPr>
          <w:spacing w:val="-2"/>
        </w:rPr>
        <w:t xml:space="preserve">: </w:t>
      </w:r>
      <w:r w:rsidR="002A51E0">
        <w:rPr>
          <w:spacing w:val="-2"/>
        </w:rPr>
        <w:t>S</w:t>
      </w:r>
      <w:r w:rsidRPr="005A0870">
        <w:rPr>
          <w:spacing w:val="-2"/>
        </w:rPr>
        <w:t>e caracterizan por una caída en la demanda de una moneda tal que provoca una disminución sustancial de reservas internacionales del banco central, lo que a su vez acaba forzando la devaluación de la moneda bajo presión (o una fuerte depreciación si se pasa a un sistema de libre flotación de la divisa).</w:t>
      </w:r>
    </w:p>
    <w:p w14:paraId="6B6532FB" w14:textId="77D3F428" w:rsidR="008C03CE" w:rsidRDefault="008C03CE" w:rsidP="006E1B54">
      <w:pPr>
        <w:pStyle w:val="Nivel3"/>
        <w:keepNext/>
        <w:spacing w:line="254" w:lineRule="auto"/>
      </w:pPr>
      <w:r>
        <w:rPr>
          <w:i/>
          <w:iCs/>
          <w:u w:val="single"/>
        </w:rPr>
        <w:t>Crisis financieras</w:t>
      </w:r>
      <w:r>
        <w:t xml:space="preserve">: </w:t>
      </w:r>
      <w:r w:rsidR="002A51E0">
        <w:t>S</w:t>
      </w:r>
      <w:r>
        <w:t>e manifiestan principalmente en forma de:</w:t>
      </w:r>
    </w:p>
    <w:p w14:paraId="2461C285" w14:textId="7A5CE53F" w:rsidR="008C03CE" w:rsidRPr="00FA5252" w:rsidRDefault="008C03CE" w:rsidP="006E1B54">
      <w:pPr>
        <w:pStyle w:val="Nivel3"/>
        <w:keepNext/>
        <w:numPr>
          <w:ilvl w:val="3"/>
          <w:numId w:val="1"/>
        </w:numPr>
        <w:spacing w:line="254" w:lineRule="auto"/>
        <w:ind w:left="1871" w:hanging="170"/>
        <w:rPr>
          <w:spacing w:val="-2"/>
        </w:rPr>
      </w:pPr>
      <w:r w:rsidRPr="00FA5252">
        <w:rPr>
          <w:i/>
          <w:iCs/>
          <w:spacing w:val="-2"/>
        </w:rPr>
        <w:t>Crisis bancarias</w:t>
      </w:r>
      <w:r w:rsidR="002A51E0" w:rsidRPr="00FA5252">
        <w:rPr>
          <w:spacing w:val="-2"/>
        </w:rPr>
        <w:t>:</w:t>
      </w:r>
      <w:r w:rsidRPr="00FA5252">
        <w:rPr>
          <w:spacing w:val="-2"/>
        </w:rPr>
        <w:t xml:space="preserve"> </w:t>
      </w:r>
      <w:r w:rsidR="002A51E0" w:rsidRPr="00FA5252">
        <w:rPr>
          <w:spacing w:val="-2"/>
        </w:rPr>
        <w:t>P</w:t>
      </w:r>
      <w:r w:rsidRPr="00FA5252">
        <w:rPr>
          <w:spacing w:val="-2"/>
        </w:rPr>
        <w:t>ueden venir provocadas por el lado del pasivo o el lado del activo:</w:t>
      </w:r>
    </w:p>
    <w:p w14:paraId="55701B31" w14:textId="77777777" w:rsidR="008C03CE" w:rsidRPr="001235AF" w:rsidRDefault="008C03CE" w:rsidP="006E1B54">
      <w:pPr>
        <w:pStyle w:val="Nivel3"/>
        <w:numPr>
          <w:ilvl w:val="4"/>
          <w:numId w:val="1"/>
        </w:numPr>
        <w:spacing w:line="254" w:lineRule="auto"/>
        <w:ind w:left="2155" w:hanging="170"/>
        <w:rPr>
          <w:sz w:val="19"/>
          <w:szCs w:val="19"/>
        </w:rPr>
      </w:pPr>
      <w:r w:rsidRPr="001235AF">
        <w:rPr>
          <w:sz w:val="19"/>
          <w:szCs w:val="19"/>
        </w:rPr>
        <w:t>Del lado del pasivo, se producirá cuando las dudas sobre la solvencia del sistema bancario conduzcan a una retirada masiva de depósitos y en consecuencia problemas de liquidez de las entidades.</w:t>
      </w:r>
    </w:p>
    <w:p w14:paraId="48D00D74" w14:textId="77777777" w:rsidR="008C03CE" w:rsidRPr="001235AF" w:rsidRDefault="008C03CE" w:rsidP="006E1B54">
      <w:pPr>
        <w:pStyle w:val="Nivel3"/>
        <w:numPr>
          <w:ilvl w:val="4"/>
          <w:numId w:val="1"/>
        </w:numPr>
        <w:spacing w:line="254" w:lineRule="auto"/>
        <w:ind w:left="2155" w:hanging="170"/>
        <w:rPr>
          <w:sz w:val="19"/>
          <w:szCs w:val="19"/>
        </w:rPr>
      </w:pPr>
      <w:r w:rsidRPr="001235AF">
        <w:rPr>
          <w:sz w:val="19"/>
          <w:szCs w:val="19"/>
        </w:rPr>
        <w:t>Del lado del activo, factores como el aumento de la morosidad o el colapso en los precios de los activos reales podrían generar un deterioro del valor de los activos.</w:t>
      </w:r>
    </w:p>
    <w:p w14:paraId="70A0EF22" w14:textId="27F64730" w:rsidR="008C03CE" w:rsidRDefault="008C03CE" w:rsidP="006E1B54">
      <w:pPr>
        <w:pStyle w:val="Nivel3"/>
        <w:numPr>
          <w:ilvl w:val="3"/>
          <w:numId w:val="1"/>
        </w:numPr>
        <w:spacing w:line="254" w:lineRule="auto"/>
        <w:ind w:left="1871" w:hanging="170"/>
      </w:pPr>
      <w:r>
        <w:rPr>
          <w:i/>
          <w:iCs/>
        </w:rPr>
        <w:t>Crisis de deuda externa</w:t>
      </w:r>
      <w:r>
        <w:t>: Situación en la que un país no puede atender el servicio de su deuda contraída con el exterior (ya sea deuda pública o privada).</w:t>
      </w:r>
    </w:p>
    <w:p w14:paraId="3142F9B7" w14:textId="20B50021" w:rsidR="000A13F4" w:rsidRDefault="000A13F4" w:rsidP="005A0870">
      <w:pPr>
        <w:pStyle w:val="Nivel2"/>
        <w:keepNext/>
        <w:spacing w:after="0"/>
      </w:pPr>
      <w:r>
        <w:rPr>
          <w:i/>
          <w:iCs/>
        </w:rPr>
        <w:lastRenderedPageBreak/>
        <w:t>En esta exposición</w:t>
      </w:r>
      <w:r>
        <w:t xml:space="preserve">, nos centraremos en explicar las crisis fundamentalmente monetarias en países con liberalización comercial y financiera frente </w:t>
      </w:r>
      <w:r w:rsidR="005A0870">
        <w:t>a</w:t>
      </w:r>
      <w:r>
        <w:t xml:space="preserve">l exterior y con tipo de cambio fijo. Es decir, crisis donde el componente del tipo de cambio juega un papel fundamental. Por ello, nuestra atención no se centrará en la crisis de las hipotecas </w:t>
      </w:r>
      <w:r>
        <w:rPr>
          <w:i/>
          <w:iCs/>
        </w:rPr>
        <w:t>subprime</w:t>
      </w:r>
      <w:r>
        <w:t>, sino en los modelos de distintas generaciones de crisis cambiarias.</w:t>
      </w:r>
    </w:p>
    <w:p w14:paraId="76DE7E4B" w14:textId="77777777" w:rsidR="005A0870" w:rsidRDefault="005A0870">
      <w:pPr>
        <w:pStyle w:val="Prrafodelista"/>
        <w:keepNext/>
        <w:numPr>
          <w:ilvl w:val="0"/>
          <w:numId w:val="9"/>
        </w:numPr>
        <w:spacing w:after="0"/>
        <w:ind w:left="1702" w:hanging="284"/>
      </w:pPr>
      <w:r>
        <w:t>¿Se trata únicamente de una crisis monetaria?</w:t>
      </w:r>
    </w:p>
    <w:p w14:paraId="4196268B" w14:textId="71892A07" w:rsidR="005A0870" w:rsidRDefault="005A0870" w:rsidP="005A0870">
      <w:pPr>
        <w:pStyle w:val="Nivel5"/>
      </w:pPr>
      <w:r>
        <w:t xml:space="preserve">Hecho clave, ya que </w:t>
      </w:r>
      <w:r w:rsidRPr="005A0870">
        <w:rPr>
          <w:i/>
          <w:iCs/>
        </w:rPr>
        <w:t>los distintos tipos de crisis se suelen solapar</w:t>
      </w:r>
      <w:r>
        <w:t xml:space="preserve">. Por ejemplo, un gran número de crisis bancarias llevan asociados episodios de </w:t>
      </w:r>
      <w:proofErr w:type="spellStart"/>
      <w:r w:rsidRPr="005A0870">
        <w:rPr>
          <w:i/>
          <w:iCs/>
        </w:rPr>
        <w:t>sudden</w:t>
      </w:r>
      <w:proofErr w:type="spellEnd"/>
      <w:r w:rsidRPr="005A0870">
        <w:rPr>
          <w:i/>
          <w:iCs/>
        </w:rPr>
        <w:t xml:space="preserve"> stop</w:t>
      </w:r>
      <w:r w:rsidR="00E63CC3">
        <w:rPr>
          <w:rStyle w:val="Refdenotaalpie"/>
        </w:rPr>
        <w:footnoteReference w:id="2"/>
      </w:r>
      <w:r>
        <w:t xml:space="preserve"> y de crisis monetarias.</w:t>
      </w:r>
    </w:p>
    <w:p w14:paraId="097C9DA1" w14:textId="65D51AB5" w:rsidR="005A0870" w:rsidRDefault="005A0870">
      <w:pPr>
        <w:pStyle w:val="Prrafodelista"/>
        <w:keepNext/>
        <w:numPr>
          <w:ilvl w:val="0"/>
          <w:numId w:val="9"/>
        </w:numPr>
        <w:spacing w:after="0"/>
        <w:ind w:left="1702" w:hanging="284"/>
      </w:pPr>
      <w:r>
        <w:t xml:space="preserve">Un rasgo recurrente de muchos de los episodios de crisis monetarias y financieras recientes es su rápida transmisión entre países, lo que ha conducido a la literatura académica a centrarse en el estudio del </w:t>
      </w:r>
      <w:r>
        <w:rPr>
          <w:i/>
          <w:iCs/>
        </w:rPr>
        <w:t>contagio</w:t>
      </w:r>
      <w:r>
        <w:t>.</w:t>
      </w:r>
    </w:p>
    <w:p w14:paraId="3B6E8824" w14:textId="451D1B50" w:rsidR="005A0870" w:rsidRDefault="005A0870" w:rsidP="005A0870">
      <w:pPr>
        <w:pStyle w:val="Nivel5"/>
      </w:pPr>
      <w:r>
        <w:t>Se define contagio como la situación en que la crisis de un país incrementa la probabilidad de ocurrencia de crisis en otros países de acuerdo a un nexo causal (canal de contagio) y a través de una serie de mecanismos de transmisión por los que se propaga dicho contagio.</w:t>
      </w:r>
    </w:p>
    <w:p w14:paraId="0367139F" w14:textId="77777777" w:rsidR="00477E31" w:rsidRPr="000A3137" w:rsidRDefault="00477E31" w:rsidP="00477E31">
      <w:pPr>
        <w:pStyle w:val="Nivel1"/>
        <w:keepNext/>
        <w:spacing w:after="0"/>
      </w:pPr>
      <w:r w:rsidRPr="00034A05">
        <w:rPr>
          <w:b/>
          <w:bCs/>
          <w:i/>
          <w:iCs/>
        </w:rPr>
        <w:t>Relevancia</w:t>
      </w:r>
      <w:r w:rsidRPr="000A3137">
        <w:t>:</w:t>
      </w:r>
    </w:p>
    <w:p w14:paraId="3F3563E7" w14:textId="77777777" w:rsidR="005A0870" w:rsidRPr="005A0870" w:rsidRDefault="000A13F4" w:rsidP="005A0870">
      <w:pPr>
        <w:pStyle w:val="Nivel2"/>
        <w:keepNext/>
        <w:spacing w:after="0"/>
        <w:rPr>
          <w:spacing w:val="-2"/>
        </w:rPr>
      </w:pPr>
      <w:r w:rsidRPr="005A0870">
        <w:rPr>
          <w:spacing w:val="-2"/>
        </w:rPr>
        <w:t>El estudio</w:t>
      </w:r>
      <w:r w:rsidR="005A0870" w:rsidRPr="005A0870">
        <w:rPr>
          <w:spacing w:val="-2"/>
        </w:rPr>
        <w:t xml:space="preserve"> de las causas de estas crisis resulta fundamental para </w:t>
      </w:r>
      <w:r w:rsidR="005A0870" w:rsidRPr="005A0870">
        <w:rPr>
          <w:i/>
          <w:iCs/>
          <w:spacing w:val="-2"/>
        </w:rPr>
        <w:t>prevenir</w:t>
      </w:r>
      <w:r w:rsidR="005A0870" w:rsidRPr="005A0870">
        <w:rPr>
          <w:spacing w:val="-2"/>
        </w:rPr>
        <w:t xml:space="preserve"> o </w:t>
      </w:r>
      <w:r w:rsidR="005A0870" w:rsidRPr="005A0870">
        <w:rPr>
          <w:i/>
          <w:iCs/>
          <w:spacing w:val="-2"/>
        </w:rPr>
        <w:t>mitigar sus efectos</w:t>
      </w:r>
      <w:r w:rsidR="005A0870" w:rsidRPr="005A0870">
        <w:rPr>
          <w:spacing w:val="-2"/>
        </w:rPr>
        <w:t>.</w:t>
      </w:r>
    </w:p>
    <w:p w14:paraId="6501715E" w14:textId="35EF7A58" w:rsidR="00477E31" w:rsidRPr="00477E31" w:rsidRDefault="005A0870" w:rsidP="005A0870">
      <w:pPr>
        <w:pStyle w:val="Nivel3"/>
        <w:spacing w:after="100"/>
      </w:pPr>
      <w:r>
        <w:t>Por ello, han ido surgiendo diversos modelos explicativos en la literatura agrupados en generaciones, lo que motivará la división de la exposición.</w:t>
      </w:r>
    </w:p>
    <w:p w14:paraId="2B094F73" w14:textId="54E15EDF" w:rsidR="00A51B24" w:rsidRDefault="00034A05" w:rsidP="00477E31">
      <w:pPr>
        <w:pStyle w:val="Nivel1"/>
        <w:keepNext/>
        <w:spacing w:after="0"/>
      </w:pPr>
      <w:r>
        <w:rPr>
          <w:b/>
          <w:bCs/>
          <w:i/>
          <w:iCs/>
        </w:rPr>
        <w:t>Contextualización</w:t>
      </w:r>
      <w:r w:rsidR="00A51B24">
        <w:t>:</w:t>
      </w:r>
    </w:p>
    <w:p w14:paraId="22250F82" w14:textId="4AB8F59F" w:rsidR="000922F2" w:rsidRDefault="000922F2" w:rsidP="000922F2">
      <w:pPr>
        <w:pStyle w:val="Nivel2"/>
      </w:pPr>
      <w:r>
        <w:t>Las crisis monetarias y financieras constituyen un fenómeno recurrente de la economía internacional cuyo estudio por parte de la literatura académica ha despertado un interés creciente desde los años</w:t>
      </w:r>
      <w:r w:rsidR="002A51E0">
        <w:t> </w:t>
      </w:r>
      <w:r>
        <w:t>60 y 70.</w:t>
      </w:r>
    </w:p>
    <w:p w14:paraId="4596E80D" w14:textId="7B0A5D02" w:rsidR="005A0870" w:rsidRDefault="005A0870" w:rsidP="005A0870">
      <w:pPr>
        <w:pStyle w:val="Nivel2"/>
        <w:keepNext/>
        <w:spacing w:after="0"/>
      </w:pPr>
      <w:r>
        <w:t>L</w:t>
      </w:r>
      <w:r w:rsidR="000922F2">
        <w:t>as crisis monetarias se han producido con mayor frecuencia desde los años</w:t>
      </w:r>
      <w:r w:rsidR="002A51E0">
        <w:t> </w:t>
      </w:r>
      <w:r w:rsidR="000922F2">
        <w:t xml:space="preserve">80, tal y como muestran </w:t>
      </w:r>
      <w:r w:rsidR="000922F2">
        <w:rPr>
          <w:smallCaps/>
        </w:rPr>
        <w:t>Reinhart</w:t>
      </w:r>
      <w:r w:rsidR="000922F2" w:rsidRPr="000922F2">
        <w:t xml:space="preserve"> y </w:t>
      </w:r>
      <w:r w:rsidR="000922F2">
        <w:rPr>
          <w:smallCaps/>
        </w:rPr>
        <w:t>Rogoff</w:t>
      </w:r>
      <w:r w:rsidR="000922F2">
        <w:t xml:space="preserve"> (2008) en su estudio sobre 66</w:t>
      </w:r>
      <w:r w:rsidR="002A51E0">
        <w:t> </w:t>
      </w:r>
      <w:r w:rsidR="000922F2">
        <w:t>países de todo el mundo con datos desde el siglo</w:t>
      </w:r>
      <w:r w:rsidR="002A51E0">
        <w:t> </w:t>
      </w:r>
      <w:r w:rsidR="000922F2">
        <w:t>XIII hasta la actualidad.</w:t>
      </w:r>
    </w:p>
    <w:p w14:paraId="0FD2DD46" w14:textId="0B9DAE48" w:rsidR="005A0870" w:rsidRDefault="000922F2" w:rsidP="005A0870">
      <w:pPr>
        <w:pStyle w:val="Nivel3"/>
        <w:keepNext/>
      </w:pPr>
      <w:r>
        <w:t>Sin embargo, las aportaciones a la literatura académica de los años</w:t>
      </w:r>
      <w:r w:rsidR="002A51E0">
        <w:t> </w:t>
      </w:r>
      <w:r>
        <w:t>80 que siguieron a la crisis de deu</w:t>
      </w:r>
      <w:r w:rsidR="005868BA">
        <w:t>d</w:t>
      </w:r>
      <w:r>
        <w:t>a latinoamericana no fueron capaces de anticipar las crisis acontecidas a lo largo de los años</w:t>
      </w:r>
      <w:r w:rsidR="002A51E0">
        <w:t> </w:t>
      </w:r>
      <w:r>
        <w:t>90.</w:t>
      </w:r>
    </w:p>
    <w:p w14:paraId="057624E9" w14:textId="77777777" w:rsidR="005A0870" w:rsidRDefault="000922F2" w:rsidP="005A0870">
      <w:pPr>
        <w:pStyle w:val="Nivel4"/>
      </w:pPr>
      <w:r>
        <w:t>Durante esta década, los ataques masivos que sufrió el Sistema Monetario Europeo (SME) constituyeron un hito de la especulación sobre las monedas, que, sin embargo, pronto sería superado por la denominada “Crisis del Tequila” de México de 1994.</w:t>
      </w:r>
    </w:p>
    <w:p w14:paraId="62D831F7" w14:textId="7B805628" w:rsidR="000922F2" w:rsidRDefault="000922F2" w:rsidP="005A0870">
      <w:pPr>
        <w:pStyle w:val="Nivel4"/>
      </w:pPr>
      <w:r>
        <w:t>Pese a todo, inicialmente estos episodios se consideraron casos aislados. Sin embargo, la crisis asiática de 1997 y su posterior contagio a países con pocos vínculos aparentes como Brasil, Rusia, Turquía o Argentina hizo que ese optimismo se desvaneciese y reveló nuevos rasgos de las crisis internacionales.</w:t>
      </w:r>
    </w:p>
    <w:p w14:paraId="74C9ACC0" w14:textId="534E9CE1" w:rsidR="000922F2" w:rsidRDefault="000922F2" w:rsidP="000922F2">
      <w:pPr>
        <w:pStyle w:val="Nivel2"/>
      </w:pPr>
      <w:r>
        <w:t xml:space="preserve">En definitiva, las crisis monetarias no son un fenómeno </w:t>
      </w:r>
      <w:r w:rsidR="005003D6">
        <w:t>nuevo,</w:t>
      </w:r>
      <w:r>
        <w:t xml:space="preserve"> pero sí algunos de sus rasgos actuales como su frecuencia y magni</w:t>
      </w:r>
      <w:r w:rsidR="005003D6">
        <w:t>t</w:t>
      </w:r>
      <w:r>
        <w:t>ud, la aparición simultánea de crisis monetarias y financieras, y la virulencia de los procesos de contagio a otras economías derivada de la creciente integración de los mercados financieros internacionales, que ha aumentado</w:t>
      </w:r>
      <w:r w:rsidR="005003D6">
        <w:t xml:space="preserve"> la vulnerabilidad de las economías ante shocks.</w:t>
      </w:r>
    </w:p>
    <w:p w14:paraId="13317839" w14:textId="04B2C59D" w:rsidR="001235AF" w:rsidRDefault="001235AF" w:rsidP="00E65145">
      <w:pPr>
        <w:pStyle w:val="Nivel2"/>
        <w:keepNext/>
        <w:spacing w:after="0"/>
      </w:pPr>
      <w:r w:rsidRPr="001235AF">
        <w:lastRenderedPageBreak/>
        <w:t xml:space="preserve">El estudio de las causas de estas crisis resulta fundamental para prevenir sus efectos, para lo que han ido surgiendo diversos modelos explicativos. Estos modelos pueden agruparse, como sugirieron </w:t>
      </w:r>
      <w:r w:rsidRPr="001235AF">
        <w:rPr>
          <w:smallCaps/>
        </w:rPr>
        <w:t>Eichengreen</w:t>
      </w:r>
      <w:r w:rsidRPr="001235AF">
        <w:t xml:space="preserve">, </w:t>
      </w:r>
      <w:r w:rsidRPr="001235AF">
        <w:rPr>
          <w:smallCaps/>
        </w:rPr>
        <w:t>Rose</w:t>
      </w:r>
      <w:r w:rsidRPr="001235AF">
        <w:t xml:space="preserve"> y </w:t>
      </w:r>
      <w:r w:rsidRPr="001235AF">
        <w:rPr>
          <w:smallCaps/>
        </w:rPr>
        <w:t>Wyplosz</w:t>
      </w:r>
      <w:r w:rsidRPr="001235AF">
        <w:t xml:space="preserve"> (1995) en </w:t>
      </w:r>
      <w:r w:rsidRPr="001235AF">
        <w:rPr>
          <w:b/>
          <w:bCs/>
        </w:rPr>
        <w:t>generaciones</w:t>
      </w:r>
      <w:r w:rsidRPr="001235AF">
        <w:t>:</w:t>
      </w:r>
    </w:p>
    <w:p w14:paraId="5953D64D" w14:textId="6B03B3DE" w:rsidR="001235AF" w:rsidRPr="00E65145" w:rsidRDefault="001235AF" w:rsidP="001235AF">
      <w:pPr>
        <w:pStyle w:val="Nivel3"/>
      </w:pPr>
      <w:r w:rsidRPr="00E65145">
        <w:rPr>
          <w:b/>
          <w:bCs/>
        </w:rPr>
        <w:t xml:space="preserve">Modelos de </w:t>
      </w:r>
      <w:r w:rsidR="00E65145" w:rsidRPr="00E65145">
        <w:rPr>
          <w:b/>
          <w:bCs/>
        </w:rPr>
        <w:t>1ª </w:t>
      </w:r>
      <w:r w:rsidRPr="00E65145">
        <w:rPr>
          <w:b/>
          <w:bCs/>
        </w:rPr>
        <w:t>generación</w:t>
      </w:r>
      <w:r w:rsidR="006C1F0C" w:rsidRPr="00E65145">
        <w:rPr>
          <w:b/>
          <w:bCs/>
        </w:rPr>
        <w:t xml:space="preserve"> </w:t>
      </w:r>
      <w:r w:rsidR="006C1F0C" w:rsidRPr="00E65145">
        <w:t>(</w:t>
      </w:r>
      <w:r w:rsidR="006C1F0C" w:rsidRPr="00E65145">
        <w:rPr>
          <w:i/>
          <w:iCs/>
        </w:rPr>
        <w:t>o de crisis de los fundamentales</w:t>
      </w:r>
      <w:r w:rsidR="006C1F0C" w:rsidRPr="00E65145">
        <w:t>)</w:t>
      </w:r>
      <w:r w:rsidRPr="00E65145">
        <w:t>:</w:t>
      </w:r>
      <w:r w:rsidR="00505318" w:rsidRPr="00E65145">
        <w:t xml:space="preserve"> Desarrollados por </w:t>
      </w:r>
      <w:proofErr w:type="spellStart"/>
      <w:r w:rsidR="00505318" w:rsidRPr="00E65145">
        <w:rPr>
          <w:smallCaps/>
        </w:rPr>
        <w:t>Flood</w:t>
      </w:r>
      <w:proofErr w:type="spellEnd"/>
      <w:r w:rsidR="00505318" w:rsidRPr="00E65145">
        <w:t xml:space="preserve">, </w:t>
      </w:r>
      <w:r w:rsidR="00505318" w:rsidRPr="00E65145">
        <w:rPr>
          <w:smallCaps/>
        </w:rPr>
        <w:t>Garber</w:t>
      </w:r>
      <w:r w:rsidR="00505318" w:rsidRPr="00E65145">
        <w:t xml:space="preserve"> y </w:t>
      </w:r>
      <w:r w:rsidR="00505318" w:rsidRPr="00E65145">
        <w:rPr>
          <w:smallCaps/>
        </w:rPr>
        <w:t>Krugman</w:t>
      </w:r>
      <w:r w:rsidR="00505318" w:rsidRPr="00E65145">
        <w:t xml:space="preserve"> muestran cómo la inconsistencia entre la política económica interna y el compromiso externo de mantenimiento de un tipo de cambio fijo acabará provocando un agotamiento de las reservas internacionales y </w:t>
      </w:r>
      <w:r w:rsidR="006C1F0C" w:rsidRPr="00E65145">
        <w:t xml:space="preserve">con ello una </w:t>
      </w:r>
      <w:r w:rsidR="006C1F0C" w:rsidRPr="00E65145">
        <w:rPr>
          <w:i/>
          <w:iCs/>
        </w:rPr>
        <w:t>crisis cambiaria</w:t>
      </w:r>
      <w:r w:rsidR="00505318" w:rsidRPr="00E65145">
        <w:t>. Estos modelos permiten explicar la crisis latinoamericana de los años</w:t>
      </w:r>
      <w:r w:rsidR="00E63CC3" w:rsidRPr="00E65145">
        <w:t> </w:t>
      </w:r>
      <w:r w:rsidR="00505318" w:rsidRPr="00E65145">
        <w:t>80.</w:t>
      </w:r>
    </w:p>
    <w:p w14:paraId="283ED12A" w14:textId="2E4D621D" w:rsidR="001235AF" w:rsidRPr="00E65145" w:rsidRDefault="001235AF" w:rsidP="001235AF">
      <w:pPr>
        <w:pStyle w:val="Nivel3"/>
      </w:pPr>
      <w:r w:rsidRPr="00E65145">
        <w:rPr>
          <w:b/>
          <w:bCs/>
        </w:rPr>
        <w:t xml:space="preserve">Modelos de </w:t>
      </w:r>
      <w:r w:rsidR="00E65145" w:rsidRPr="00E65145">
        <w:rPr>
          <w:b/>
          <w:bCs/>
        </w:rPr>
        <w:t>2ª </w:t>
      </w:r>
      <w:r w:rsidRPr="00E65145">
        <w:rPr>
          <w:b/>
          <w:bCs/>
        </w:rPr>
        <w:t>generación</w:t>
      </w:r>
      <w:r w:rsidR="006C1F0C" w:rsidRPr="00E65145">
        <w:rPr>
          <w:b/>
          <w:bCs/>
        </w:rPr>
        <w:t xml:space="preserve"> </w:t>
      </w:r>
      <w:r w:rsidR="006C1F0C" w:rsidRPr="00E65145">
        <w:t>(</w:t>
      </w:r>
      <w:r w:rsidR="006C1F0C" w:rsidRPr="00E65145">
        <w:rPr>
          <w:i/>
          <w:iCs/>
        </w:rPr>
        <w:t>o de crisis autocumplidas</w:t>
      </w:r>
      <w:r w:rsidR="006C1F0C" w:rsidRPr="00E65145">
        <w:t>)</w:t>
      </w:r>
      <w:r w:rsidRPr="00E65145">
        <w:t>:</w:t>
      </w:r>
      <w:r w:rsidR="00505318" w:rsidRPr="00E65145">
        <w:t xml:space="preserve"> Desarrollados por autores como </w:t>
      </w:r>
      <w:r w:rsidR="00505318" w:rsidRPr="00E65145">
        <w:rPr>
          <w:smallCaps/>
        </w:rPr>
        <w:t>Obstfeld</w:t>
      </w:r>
      <w:r w:rsidR="00505318" w:rsidRPr="00E65145">
        <w:t>, analizan también las situaciones de inconsistencia entre políticas y régimen cambiario, pero considerando ya a las autoridades como un agente activo que llevará a cabo un análisis coste</w:t>
      </w:r>
      <w:r w:rsidR="00E63CC3" w:rsidRPr="00E65145">
        <w:t>-</w:t>
      </w:r>
      <w:r w:rsidR="00505318" w:rsidRPr="00E65145">
        <w:t xml:space="preserve">beneficio del mantenimiento de la paridad. La interacción con las expectativas de los inversores podrá generar situaciones de equilibrios múltiples y </w:t>
      </w:r>
      <w:r w:rsidR="00505318" w:rsidRPr="00E65145">
        <w:rPr>
          <w:i/>
          <w:iCs/>
        </w:rPr>
        <w:t xml:space="preserve">crisis </w:t>
      </w:r>
      <w:r w:rsidR="00945EB6" w:rsidRPr="00E65145">
        <w:rPr>
          <w:i/>
          <w:iCs/>
        </w:rPr>
        <w:t>cambiarias</w:t>
      </w:r>
      <w:r w:rsidR="00945EB6" w:rsidRPr="00E65145">
        <w:t xml:space="preserve"> impredecibles</w:t>
      </w:r>
      <w:r w:rsidR="00505318" w:rsidRPr="00E65145">
        <w:t xml:space="preserve">. </w:t>
      </w:r>
      <w:r w:rsidR="00477E31" w:rsidRPr="00E65145">
        <w:t xml:space="preserve">Demuestran que el deterioro de los fundamentales no es una condición necesaria para que se desencadene una crisis cambiaria. </w:t>
      </w:r>
      <w:r w:rsidR="00505318" w:rsidRPr="00E65145">
        <w:t>Estos modelos se aplicaron a crisis como la del SME en 1992 o la de México en 1994, pero no fueron capaces de explicar la crisis del Sudeste Asiático que estalló en 1997.</w:t>
      </w:r>
    </w:p>
    <w:p w14:paraId="6BC7F8A5" w14:textId="65561021" w:rsidR="001235AF" w:rsidRPr="00E65145" w:rsidRDefault="001235AF" w:rsidP="001235AF">
      <w:pPr>
        <w:pStyle w:val="Nivel3"/>
      </w:pPr>
      <w:r w:rsidRPr="00E65145">
        <w:rPr>
          <w:b/>
          <w:bCs/>
        </w:rPr>
        <w:t xml:space="preserve">Modelos de </w:t>
      </w:r>
      <w:r w:rsidR="00E65145" w:rsidRPr="00E65145">
        <w:rPr>
          <w:b/>
          <w:bCs/>
        </w:rPr>
        <w:t>3ª </w:t>
      </w:r>
      <w:r w:rsidRPr="00E65145">
        <w:rPr>
          <w:b/>
          <w:bCs/>
        </w:rPr>
        <w:t>generación</w:t>
      </w:r>
      <w:r w:rsidR="006C1F0C" w:rsidRPr="00E65145">
        <w:rPr>
          <w:b/>
          <w:bCs/>
        </w:rPr>
        <w:t xml:space="preserve"> </w:t>
      </w:r>
      <w:r w:rsidR="006C1F0C" w:rsidRPr="00E65145">
        <w:t>(</w:t>
      </w:r>
      <w:r w:rsidR="006C1F0C" w:rsidRPr="00E65145">
        <w:rPr>
          <w:i/>
          <w:iCs/>
        </w:rPr>
        <w:t>o de crisis gemelas</w:t>
      </w:r>
      <w:r w:rsidR="006C1F0C" w:rsidRPr="00E65145">
        <w:t>)</w:t>
      </w:r>
      <w:r w:rsidRPr="00E65145">
        <w:t xml:space="preserve">: </w:t>
      </w:r>
      <w:r w:rsidR="00E63CC3" w:rsidRPr="00E65145">
        <w:t>I</w:t>
      </w:r>
      <w:r w:rsidRPr="00E65145">
        <w:t>ntroducen las posibles interacciones entre las crisis monetari</w:t>
      </w:r>
      <w:r w:rsidR="00505318" w:rsidRPr="00E65145">
        <w:t xml:space="preserve">as y financieras en episodios de </w:t>
      </w:r>
      <w:r w:rsidR="00505318" w:rsidRPr="000B5E4C">
        <w:rPr>
          <w:i/>
          <w:iCs/>
        </w:rPr>
        <w:t>“crisis gemelas”</w:t>
      </w:r>
      <w:r w:rsidR="00505318" w:rsidRPr="00E65145">
        <w:t xml:space="preserve"> provocadas por problemas de fragilidad financiera, riesgo moral y problemas de balance.</w:t>
      </w:r>
    </w:p>
    <w:p w14:paraId="4730EAC8" w14:textId="33F30108" w:rsidR="00505318" w:rsidRPr="001235AF" w:rsidRDefault="00505318" w:rsidP="00505318">
      <w:pPr>
        <w:pStyle w:val="Nivel2"/>
      </w:pPr>
      <w:r>
        <w:t>Las teoría</w:t>
      </w:r>
      <w:r w:rsidR="00B90132">
        <w:t>s</w:t>
      </w:r>
      <w:r>
        <w:t xml:space="preserve"> explicativas de las crisis monetarias y financieras también prestan interés al fenómeno de </w:t>
      </w:r>
      <w:r w:rsidRPr="00B90132">
        <w:rPr>
          <w:b/>
          <w:bCs/>
        </w:rPr>
        <w:t>contagio</w:t>
      </w:r>
      <w:r>
        <w:t xml:space="preserve"> de crisis entre países, rasgo fundamental de las crisis recientes con la creciente integración financiera internacional.</w:t>
      </w:r>
    </w:p>
    <w:p w14:paraId="1EA4CEE8" w14:textId="77777777" w:rsidR="00477E31" w:rsidRDefault="00B77C0F" w:rsidP="00477E31">
      <w:pPr>
        <w:pStyle w:val="Nivel1"/>
        <w:keepNext/>
        <w:spacing w:after="0"/>
      </w:pPr>
      <w:r w:rsidRPr="00034A05">
        <w:rPr>
          <w:b/>
          <w:bCs/>
          <w:i/>
          <w:iCs/>
        </w:rPr>
        <w:t>Problemática</w:t>
      </w:r>
      <w:r w:rsidR="00034A05" w:rsidRPr="00034A05">
        <w:rPr>
          <w:b/>
          <w:bCs/>
          <w:i/>
          <w:iCs/>
        </w:rPr>
        <w:t xml:space="preserve"> (Preguntas clave)</w:t>
      </w:r>
      <w:r w:rsidRPr="000A3137">
        <w:t>:</w:t>
      </w:r>
    </w:p>
    <w:p w14:paraId="59E005C7" w14:textId="2587FB7C" w:rsidR="00477E31" w:rsidRDefault="00477E31" w:rsidP="00477E31">
      <w:pPr>
        <w:pStyle w:val="Nivel2"/>
      </w:pPr>
      <w:r>
        <w:t>¿Por qué se producen las crisis financieras?</w:t>
      </w:r>
    </w:p>
    <w:p w14:paraId="024A7C76" w14:textId="77777777" w:rsidR="00477E31" w:rsidRDefault="00477E31" w:rsidP="00477E31">
      <w:pPr>
        <w:pStyle w:val="Nivel2"/>
      </w:pPr>
      <w:r>
        <w:t>¿Qué modelos las explican?</w:t>
      </w:r>
    </w:p>
    <w:p w14:paraId="7E95742F" w14:textId="77777777" w:rsidR="00477E31" w:rsidRDefault="00477E31" w:rsidP="00477E31">
      <w:pPr>
        <w:pStyle w:val="Nivel2"/>
      </w:pPr>
      <w:r>
        <w:t>¿Qué implicaciones de política económica se derivan?</w:t>
      </w:r>
    </w:p>
    <w:p w14:paraId="46972D8E" w14:textId="210430A1" w:rsidR="00477E31" w:rsidRDefault="00477E31" w:rsidP="00477E31">
      <w:pPr>
        <w:pStyle w:val="Nivel2"/>
      </w:pPr>
      <w:r>
        <w:t>¿Pueden preverse?</w:t>
      </w:r>
    </w:p>
    <w:p w14:paraId="55D8338D" w14:textId="7C4E1247" w:rsidR="00A42628" w:rsidRPr="000A3137" w:rsidRDefault="00477E31" w:rsidP="00477E31">
      <w:pPr>
        <w:pStyle w:val="Nivel2"/>
      </w:pPr>
      <w:r>
        <w:t>¿En qué consiste el contagio financiero?</w:t>
      </w:r>
    </w:p>
    <w:p w14:paraId="623E88CE" w14:textId="73C11909" w:rsidR="00A42628" w:rsidRPr="000A3137" w:rsidRDefault="00034A05" w:rsidP="00034A05">
      <w:pPr>
        <w:pStyle w:val="Nivel1"/>
        <w:keepNext/>
        <w:spacing w:after="0"/>
      </w:pPr>
      <w:r w:rsidRPr="00034A05">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3E1D6B6E" w14:textId="77777777" w:rsidTr="00684229">
        <w:trPr>
          <w:hidden/>
        </w:trPr>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21589058" w14:textId="77777777" w:rsidR="0081544B" w:rsidRPr="00CA6BEA" w:rsidRDefault="0081544B">
      <w:pPr>
        <w:spacing w:after="160"/>
        <w:jc w:val="left"/>
        <w:rPr>
          <w:sz w:val="20"/>
          <w:highlight w:val="lightGray"/>
        </w:rPr>
      </w:pPr>
      <w:r>
        <w:rPr>
          <w:highlight w:val="lightGray"/>
        </w:rPr>
        <w:br w:type="page"/>
      </w:r>
    </w:p>
    <w:p w14:paraId="5DA652B0" w14:textId="70F8FCC4" w:rsidR="00C4210F" w:rsidRDefault="00740AF6" w:rsidP="00E778E4">
      <w:pPr>
        <w:pStyle w:val="Ttulo1"/>
      </w:pPr>
      <w:bookmarkStart w:id="7" w:name="_Toc145492484"/>
      <w:r>
        <w:lastRenderedPageBreak/>
        <w:t>MODELOS DE PRIMERA GENERACIÓN</w:t>
      </w:r>
      <w:r w:rsidR="00113C8E">
        <w:t xml:space="preserve"> (</w:t>
      </w:r>
      <w:proofErr w:type="spellStart"/>
      <w:r w:rsidR="00113C8E">
        <w:rPr>
          <w:caps w:val="0"/>
          <w:smallCaps/>
        </w:rPr>
        <w:t>Flood</w:t>
      </w:r>
      <w:proofErr w:type="spellEnd"/>
      <w:r w:rsidR="00113C8E">
        <w:rPr>
          <w:caps w:val="0"/>
        </w:rPr>
        <w:t xml:space="preserve">, </w:t>
      </w:r>
      <w:r w:rsidR="00113C8E" w:rsidRPr="00113C8E">
        <w:rPr>
          <w:caps w:val="0"/>
          <w:smallCaps/>
        </w:rPr>
        <w:t>Garber</w:t>
      </w:r>
      <w:r w:rsidR="00113C8E">
        <w:rPr>
          <w:caps w:val="0"/>
        </w:rPr>
        <w:t xml:space="preserve"> y </w:t>
      </w:r>
      <w:r w:rsidR="00113C8E">
        <w:rPr>
          <w:caps w:val="0"/>
          <w:smallCaps/>
        </w:rPr>
        <w:t>Krugman</w:t>
      </w:r>
      <w:r w:rsidR="00113C8E">
        <w:rPr>
          <w:caps w:val="0"/>
        </w:rPr>
        <w:t>, 1980s</w:t>
      </w:r>
      <w:r w:rsidR="00113C8E">
        <w:t>)</w:t>
      </w:r>
      <w:r w:rsidR="00411A26">
        <w:t>:</w:t>
      </w:r>
      <w:r w:rsidR="00E778E4">
        <w:br/>
      </w:r>
      <w:r w:rsidR="00E778E4" w:rsidRPr="00041E59">
        <w:rPr>
          <w:sz w:val="19"/>
          <w:szCs w:val="19"/>
        </w:rPr>
        <w:t>CRISIS MONETARIAS DE LOS FUNDAMENTALES</w:t>
      </w:r>
      <w:bookmarkEnd w:id="7"/>
    </w:p>
    <w:p w14:paraId="1F66DDCC" w14:textId="1437DEC9" w:rsidR="00F92951" w:rsidRDefault="00F92951" w:rsidP="005A0870">
      <w:pPr>
        <w:pStyle w:val="Ttulo2"/>
      </w:pPr>
      <w:bookmarkStart w:id="8" w:name="_Toc145492485"/>
      <w:r>
        <w:t>Idea</w:t>
      </w:r>
      <w:bookmarkEnd w:id="8"/>
    </w:p>
    <w:p w14:paraId="591F3FE4" w14:textId="1181AC00" w:rsidR="00B54CA9" w:rsidRDefault="00B54CA9" w:rsidP="00DC4DF2">
      <w:pPr>
        <w:pStyle w:val="Nivel1SM"/>
        <w:keepNext/>
        <w:spacing w:before="0" w:after="0"/>
      </w:pPr>
      <w:r>
        <w:t xml:space="preserve">Estos modelos son modelos de crisis monetarias desarrollados por autores como </w:t>
      </w:r>
      <w:proofErr w:type="spellStart"/>
      <w:r>
        <w:rPr>
          <w:smallCaps/>
        </w:rPr>
        <w:t>Flood</w:t>
      </w:r>
      <w:proofErr w:type="spellEnd"/>
      <w:r>
        <w:t xml:space="preserve"> y </w:t>
      </w:r>
      <w:r>
        <w:rPr>
          <w:smallCaps/>
        </w:rPr>
        <w:t>Garber</w:t>
      </w:r>
      <w:r>
        <w:t xml:space="preserve"> o </w:t>
      </w:r>
      <w:r>
        <w:rPr>
          <w:smallCaps/>
        </w:rPr>
        <w:t>Krugman</w:t>
      </w:r>
      <w:r>
        <w:t xml:space="preserve"> que tienen su origen en los fundamentos económicos.</w:t>
      </w:r>
    </w:p>
    <w:p w14:paraId="4F2432F9" w14:textId="2312262C" w:rsidR="00B54CA9" w:rsidRPr="001D2FB9" w:rsidRDefault="00B54CA9" w:rsidP="00B54CA9">
      <w:pPr>
        <w:pStyle w:val="Nivel2SM"/>
        <w:rPr>
          <w:spacing w:val="-4"/>
        </w:rPr>
      </w:pPr>
      <w:r w:rsidRPr="001D2FB9">
        <w:rPr>
          <w:spacing w:val="-4"/>
        </w:rPr>
        <w:t xml:space="preserve">En concreto, tratan de explicar crisis provocadas por un </w:t>
      </w:r>
      <w:r w:rsidRPr="001D2FB9">
        <w:rPr>
          <w:i/>
          <w:iCs/>
          <w:spacing w:val="-4"/>
        </w:rPr>
        <w:t>mix</w:t>
      </w:r>
      <w:r w:rsidRPr="001D2FB9">
        <w:rPr>
          <w:spacing w:val="-4"/>
        </w:rPr>
        <w:t xml:space="preserve"> de políticas económicas inconsistentes.</w:t>
      </w:r>
    </w:p>
    <w:p w14:paraId="50C7D3C1" w14:textId="591F2E70" w:rsidR="00B54CA9" w:rsidRDefault="00B54CA9" w:rsidP="00B54CA9">
      <w:pPr>
        <w:pStyle w:val="Nivel1SM"/>
        <w:keepNext/>
        <w:spacing w:after="0"/>
      </w:pPr>
      <w:r>
        <w:t>Tratan de explicar el colapso de los sistemas de tipo de cambio fijo que tuvieron lugar en las décadas de 1970 y 1980 en varios países en desarrollo (en especial en varios países de América Latina).</w:t>
      </w:r>
    </w:p>
    <w:p w14:paraId="1C456963" w14:textId="5099A61F" w:rsidR="00B54CA9" w:rsidRDefault="00B54CA9" w:rsidP="00B54CA9">
      <w:pPr>
        <w:pStyle w:val="Nivel2SM"/>
      </w:pPr>
      <w:r>
        <w:t>La liberalización de capitales unida al reciclaje de petrodólares facilitó una gran entrada de capitales en América Latina a mediados y finales de la década de 1970, donde se fue gestando una crisis de deuda externa.</w:t>
      </w:r>
    </w:p>
    <w:p w14:paraId="3186CD1A" w14:textId="168173CA" w:rsidR="00E0737D" w:rsidRDefault="00E0737D" w:rsidP="00B54CA9">
      <w:pPr>
        <w:pStyle w:val="Nivel2SM"/>
      </w:pPr>
      <w:r>
        <w:t xml:space="preserve">Los problemas en la balanza de pagos empezaron cuando, en 1980-1982, la Reserva Federal estadounidense (bajo el mandato de </w:t>
      </w:r>
      <w:r>
        <w:rPr>
          <w:smallCaps/>
        </w:rPr>
        <w:t>Paul Volcker</w:t>
      </w:r>
      <w:r>
        <w:t>) llevó a cabo una política monetaria contractiva de aumento de tipos de interés.</w:t>
      </w:r>
    </w:p>
    <w:p w14:paraId="7F43DA28" w14:textId="1D724A46" w:rsidR="00E0737D" w:rsidRDefault="00E0737D" w:rsidP="00E0737D">
      <w:pPr>
        <w:pStyle w:val="Nivel2SM"/>
        <w:keepNext/>
        <w:spacing w:after="0"/>
      </w:pPr>
      <w:r>
        <w:t>Algunos países de América Latina optaron por monetizar los elevados déficits públicos, emplear sus reservas internacionales y devaluar sus monedas, lo que llevó a dificultades para satisfacer las deudas denominadas en deuda extranjera.</w:t>
      </w:r>
    </w:p>
    <w:p w14:paraId="4498208B" w14:textId="5832DDD2" w:rsidR="00E0737D" w:rsidRDefault="00E0737D" w:rsidP="00E0737D">
      <w:pPr>
        <w:pStyle w:val="Nivel3SM"/>
      </w:pPr>
      <w:r>
        <w:t xml:space="preserve">Por lo tanto, el </w:t>
      </w:r>
      <w:r>
        <w:rPr>
          <w:i/>
          <w:iCs/>
        </w:rPr>
        <w:t>aspecto clave</w:t>
      </w:r>
      <w:r>
        <w:t xml:space="preserve"> de estas crisis fue la existencia de grandes déficits públicos y el deterioro de los fundamentales.</w:t>
      </w:r>
    </w:p>
    <w:p w14:paraId="1A1B884E" w14:textId="77777777" w:rsidR="001D2FB9" w:rsidRDefault="001D2FB9" w:rsidP="001D2FB9">
      <w:pPr>
        <w:pStyle w:val="Nivel1SM"/>
        <w:keepNext/>
        <w:spacing w:after="0"/>
      </w:pPr>
      <w:r>
        <w:t xml:space="preserve">La crisis puede </w:t>
      </w:r>
      <w:r w:rsidRPr="00C42D86">
        <w:rPr>
          <w:b/>
          <w:bCs/>
        </w:rPr>
        <w:t>justificarse</w:t>
      </w:r>
      <w:r>
        <w:t xml:space="preserve"> mediante los siguientes </w:t>
      </w:r>
      <w:r w:rsidRPr="00C42D86">
        <w:rPr>
          <w:b/>
          <w:bCs/>
        </w:rPr>
        <w:t>pasos</w:t>
      </w:r>
      <w:r>
        <w:t>:</w:t>
      </w:r>
    </w:p>
    <w:p w14:paraId="2D48DB10" w14:textId="5D6E6391" w:rsidR="001D2FB9" w:rsidRDefault="001D2FB9" w:rsidP="001D2FB9">
      <w:pPr>
        <w:pStyle w:val="Nivel2SM"/>
        <w:keepNext/>
        <w:spacing w:after="0"/>
      </w:pPr>
      <w:r w:rsidRPr="00C42D86">
        <w:rPr>
          <w:i/>
          <w:iCs/>
        </w:rPr>
        <w:t>Paso</w:t>
      </w:r>
      <w:r>
        <w:rPr>
          <w:i/>
          <w:iCs/>
        </w:rPr>
        <w:t> </w:t>
      </w:r>
      <w:r w:rsidRPr="00C42D86">
        <w:rPr>
          <w:i/>
          <w:iCs/>
        </w:rPr>
        <w:t>1</w:t>
      </w:r>
      <w:r>
        <w:t xml:space="preserve"> </w:t>
      </w:r>
      <w:r w:rsidRPr="00A15354">
        <w:rPr>
          <w:sz w:val="19"/>
          <w:szCs w:val="19"/>
        </w:rPr>
        <w:t xml:space="preserve">(situación inicial </w:t>
      </w:r>
      <w:r>
        <w:rPr>
          <w:sz w:val="19"/>
          <w:szCs w:val="19"/>
        </w:rPr>
        <w:t>e inconsistencia entre la política monetaria y la política cambiaria</w:t>
      </w:r>
      <w:r w:rsidRPr="00A15354">
        <w:rPr>
          <w:sz w:val="19"/>
          <w:szCs w:val="19"/>
        </w:rPr>
        <w:t>)</w:t>
      </w:r>
      <w:r>
        <w:t>:</w:t>
      </w:r>
    </w:p>
    <w:p w14:paraId="034EFF0E" w14:textId="089B6573" w:rsidR="001D2FB9" w:rsidRDefault="001D2FB9" w:rsidP="001D2FB9">
      <w:pPr>
        <w:pStyle w:val="Nivel3SM"/>
      </w:pPr>
      <w:r>
        <w:t xml:space="preserve">Partimos de una economía con </w:t>
      </w:r>
      <w:r>
        <w:rPr>
          <w:b/>
          <w:bCs/>
        </w:rPr>
        <w:t>tipo de cambio fijo</w:t>
      </w:r>
      <w:r>
        <w:t xml:space="preserve">, pero una política monetaria que </w:t>
      </w:r>
      <w:r>
        <w:rPr>
          <w:b/>
          <w:bCs/>
        </w:rPr>
        <w:t>no</w:t>
      </w:r>
      <w:r>
        <w:t> </w:t>
      </w:r>
      <w:r w:rsidRPr="001D2FB9">
        <w:rPr>
          <w:b/>
          <w:bCs/>
        </w:rPr>
        <w:t>tiene por objetivo principal la</w:t>
      </w:r>
      <w:r>
        <w:t xml:space="preserve"> </w:t>
      </w:r>
      <w:r>
        <w:rPr>
          <w:b/>
          <w:bCs/>
        </w:rPr>
        <w:t>defensa de la paridad</w:t>
      </w:r>
      <w:r>
        <w:t xml:space="preserve"> </w:t>
      </w:r>
      <w:r w:rsidRPr="00647206">
        <w:rPr>
          <w:b/>
          <w:bCs/>
        </w:rPr>
        <w:t>de</w:t>
      </w:r>
      <w:r>
        <w:rPr>
          <w:b/>
          <w:bCs/>
        </w:rPr>
        <w:t>l</w:t>
      </w:r>
      <w:r w:rsidRPr="00647206">
        <w:rPr>
          <w:b/>
          <w:bCs/>
        </w:rPr>
        <w:t xml:space="preserve"> tipo de cambio fijo</w:t>
      </w:r>
      <w:r>
        <w:t>.</w:t>
      </w:r>
    </w:p>
    <w:p w14:paraId="5FEF8E27" w14:textId="05A0C26A" w:rsidR="001D2FB9" w:rsidRPr="001D2FB9" w:rsidRDefault="001D2FB9" w:rsidP="001D2FB9">
      <w:pPr>
        <w:pStyle w:val="Nivel3SM"/>
      </w:pPr>
      <w:r w:rsidRPr="001D2FB9">
        <w:t>El objetivo principal de la política monetaria distinto del mantenimiento del tipo de cambio fijo puede ser variado: financiación del déficit público, sostenimiento de un sistema bancario débil, etc. Aquí vamos a suponer que el objetivo principal de la política monetaria es la financiación del déficit público.</w:t>
      </w:r>
    </w:p>
    <w:p w14:paraId="336D77F7" w14:textId="3F1BB0DB" w:rsidR="001D2FB9" w:rsidRDefault="001D2FB9" w:rsidP="001D2FB9">
      <w:pPr>
        <w:pStyle w:val="Nivel2SM"/>
        <w:keepNext/>
        <w:spacing w:after="0"/>
      </w:pPr>
      <w:r w:rsidRPr="006D58C4">
        <w:rPr>
          <w:i/>
          <w:iCs/>
        </w:rPr>
        <w:t>Paso</w:t>
      </w:r>
      <w:r>
        <w:rPr>
          <w:i/>
          <w:iCs/>
        </w:rPr>
        <w:t> </w:t>
      </w:r>
      <w:r w:rsidRPr="006D58C4">
        <w:rPr>
          <w:i/>
          <w:iCs/>
        </w:rPr>
        <w:t>2</w:t>
      </w:r>
      <w:r>
        <w:t xml:space="preserve"> </w:t>
      </w:r>
      <w:r w:rsidRPr="00A15354">
        <w:rPr>
          <w:sz w:val="19"/>
          <w:szCs w:val="19"/>
        </w:rPr>
        <w:t>(</w:t>
      </w:r>
      <w:r>
        <w:rPr>
          <w:sz w:val="19"/>
          <w:szCs w:val="19"/>
        </w:rPr>
        <w:t>expectativas de insostenibilidad</w:t>
      </w:r>
      <w:r w:rsidRPr="00A15354">
        <w:rPr>
          <w:sz w:val="19"/>
          <w:szCs w:val="19"/>
        </w:rPr>
        <w:t>)</w:t>
      </w:r>
      <w:r>
        <w:t>:</w:t>
      </w:r>
    </w:p>
    <w:p w14:paraId="09A00731" w14:textId="033CF1DE" w:rsidR="001D2FB9" w:rsidRDefault="001D2FB9" w:rsidP="001D2FB9">
      <w:pPr>
        <w:pStyle w:val="Nivel3SM"/>
      </w:pPr>
      <w:r>
        <w:t xml:space="preserve">A partir de ahí, </w:t>
      </w:r>
      <w:r w:rsidRPr="001D2FB9">
        <w:rPr>
          <w:b/>
          <w:bCs/>
        </w:rPr>
        <w:t>los agentes perciben que la situación es insostenible</w:t>
      </w:r>
      <w:r>
        <w:t>.</w:t>
      </w:r>
    </w:p>
    <w:p w14:paraId="47033232" w14:textId="6542609A" w:rsidR="001D2FB9" w:rsidRDefault="001D2FB9" w:rsidP="001D2FB9">
      <w:pPr>
        <w:pStyle w:val="Nivel3SM"/>
      </w:pPr>
      <w:r>
        <w:t xml:space="preserve">La incompatibilidad de los objetivos lleva a una </w:t>
      </w:r>
      <w:r w:rsidRPr="001D2FB9">
        <w:rPr>
          <w:b/>
          <w:bCs/>
        </w:rPr>
        <w:t>caída de las reservas internacionales</w:t>
      </w:r>
      <w:r>
        <w:t xml:space="preserve"> y a una </w:t>
      </w:r>
      <w:r w:rsidRPr="001D2FB9">
        <w:rPr>
          <w:b/>
          <w:bCs/>
        </w:rPr>
        <w:t>de</w:t>
      </w:r>
      <w:r>
        <w:rPr>
          <w:b/>
          <w:bCs/>
        </w:rPr>
        <w:t>preci</w:t>
      </w:r>
      <w:r w:rsidRPr="001D2FB9">
        <w:rPr>
          <w:b/>
          <w:bCs/>
        </w:rPr>
        <w:t>ación del tipo de cambio sombra</w:t>
      </w:r>
      <w:r>
        <w:t xml:space="preserve"> (i.e. aquel que estaría vigente si el tipo fuera flexible –el determinado por los fundamentos–).</w:t>
      </w:r>
    </w:p>
    <w:p w14:paraId="11940666" w14:textId="774201E5" w:rsidR="001D2FB9" w:rsidRDefault="001D2FB9" w:rsidP="001D2FB9">
      <w:pPr>
        <w:pStyle w:val="Nivel2SM"/>
        <w:keepNext/>
        <w:spacing w:after="0"/>
      </w:pPr>
      <w:r w:rsidRPr="006D58C4">
        <w:rPr>
          <w:i/>
          <w:iCs/>
        </w:rPr>
        <w:t>Paso</w:t>
      </w:r>
      <w:r>
        <w:rPr>
          <w:i/>
          <w:iCs/>
        </w:rPr>
        <w:t> </w:t>
      </w:r>
      <w:r w:rsidRPr="006D58C4">
        <w:rPr>
          <w:i/>
          <w:iCs/>
        </w:rPr>
        <w:t>3</w:t>
      </w:r>
      <w:r>
        <w:t xml:space="preserve"> </w:t>
      </w:r>
      <w:r w:rsidRPr="00A15354">
        <w:rPr>
          <w:sz w:val="19"/>
          <w:szCs w:val="19"/>
        </w:rPr>
        <w:t>(</w:t>
      </w:r>
      <w:r>
        <w:rPr>
          <w:sz w:val="19"/>
          <w:szCs w:val="19"/>
        </w:rPr>
        <w:t>ataque especulativo predecible pero inevitable</w:t>
      </w:r>
      <w:r w:rsidRPr="00A15354">
        <w:rPr>
          <w:sz w:val="19"/>
          <w:szCs w:val="19"/>
        </w:rPr>
        <w:t>)</w:t>
      </w:r>
      <w:r>
        <w:t>:</w:t>
      </w:r>
    </w:p>
    <w:p w14:paraId="3CC24E0D" w14:textId="77777777" w:rsidR="001D2FB9" w:rsidRDefault="001D2FB9" w:rsidP="001D2FB9">
      <w:pPr>
        <w:pStyle w:val="Nivel3SM"/>
      </w:pPr>
      <w:r>
        <w:t xml:space="preserve">Por lo tanto, </w:t>
      </w:r>
      <w:r w:rsidRPr="001D2FB9">
        <w:rPr>
          <w:b/>
          <w:bCs/>
        </w:rPr>
        <w:t>se acabará produciendo un ataque especulativo</w:t>
      </w:r>
      <w:r>
        <w:t>.</w:t>
      </w:r>
    </w:p>
    <w:p w14:paraId="02954E5C" w14:textId="68BE0F5C" w:rsidR="001D2FB9" w:rsidRPr="00647206" w:rsidRDefault="001D2FB9" w:rsidP="001D2FB9">
      <w:pPr>
        <w:pStyle w:val="Nivel3SM"/>
      </w:pPr>
      <w:r>
        <w:t xml:space="preserve">Lo único que queda por determinar es cuándo se producirá dicho ataque. Como veremos, </w:t>
      </w:r>
      <w:r w:rsidR="00C40412">
        <w:t xml:space="preserve">esto </w:t>
      </w:r>
      <w:r>
        <w:t xml:space="preserve">se producirá </w:t>
      </w:r>
      <w:r w:rsidRPr="001D2FB9">
        <w:rPr>
          <w:b/>
          <w:bCs/>
        </w:rPr>
        <w:t>cuando el tipo de cambio sombra este tan depreciado como el tipo de cambio oficial</w:t>
      </w:r>
      <w:r>
        <w:t>.</w:t>
      </w:r>
    </w:p>
    <w:p w14:paraId="524497E0" w14:textId="3865924F" w:rsidR="00F92951" w:rsidRPr="00CB2F85" w:rsidRDefault="00F92951" w:rsidP="005A0870">
      <w:pPr>
        <w:pStyle w:val="Ttulo2"/>
      </w:pPr>
      <w:bookmarkStart w:id="9" w:name="_Toc145492486"/>
      <w:r w:rsidRPr="00CB2F85">
        <w:lastRenderedPageBreak/>
        <w:t>Modelo</w:t>
      </w:r>
      <w:r w:rsidR="00CB2F85" w:rsidRPr="00CB2F85">
        <w:t xml:space="preserve"> (</w:t>
      </w:r>
      <w:proofErr w:type="spellStart"/>
      <w:r>
        <w:fldChar w:fldCharType="begin"/>
      </w:r>
      <w:r>
        <w:instrText>HYPERLINK "https://forvo.com/search/Flood/"</w:instrText>
      </w:r>
      <w:r>
        <w:fldChar w:fldCharType="separate"/>
      </w:r>
      <w:r w:rsidR="00CB2F85" w:rsidRPr="00CB2F85">
        <w:rPr>
          <w:rStyle w:val="Hipervnculo"/>
          <w:smallCaps/>
          <w:color w:val="5F2987"/>
          <w:u w:val="none"/>
        </w:rPr>
        <w:t>Flood</w:t>
      </w:r>
      <w:proofErr w:type="spellEnd"/>
      <w:r>
        <w:rPr>
          <w:rStyle w:val="Hipervnculo"/>
          <w:smallCaps/>
          <w:color w:val="5F2987"/>
          <w:u w:val="none"/>
        </w:rPr>
        <w:fldChar w:fldCharType="end"/>
      </w:r>
      <w:r w:rsidR="00CB2F85" w:rsidRPr="00CB2F85">
        <w:t xml:space="preserve"> y </w:t>
      </w:r>
      <w:hyperlink r:id="rId10" w:history="1">
        <w:r w:rsidR="00CB2F85" w:rsidRPr="00CB2F85">
          <w:rPr>
            <w:rStyle w:val="Hipervnculo"/>
            <w:smallCaps/>
            <w:color w:val="5F2987"/>
            <w:u w:val="none"/>
          </w:rPr>
          <w:t>Garber</w:t>
        </w:r>
      </w:hyperlink>
      <w:r w:rsidR="00CB2F85" w:rsidRPr="00CB2F85">
        <w:t>, 1984)</w:t>
      </w:r>
      <w:bookmarkEnd w:id="9"/>
    </w:p>
    <w:p w14:paraId="780FFF45" w14:textId="4702A0FA" w:rsidR="00F92951" w:rsidRDefault="00F92951" w:rsidP="00DC4DF2">
      <w:pPr>
        <w:pStyle w:val="Ttulo6"/>
        <w:spacing w:before="0"/>
      </w:pPr>
      <w:bookmarkStart w:id="10" w:name="_Toc145492487"/>
      <w:r>
        <w:t>Supuestos</w:t>
      </w:r>
      <w:bookmarkEnd w:id="10"/>
    </w:p>
    <w:p w14:paraId="4AE673A8" w14:textId="523EF618" w:rsidR="00E0737D" w:rsidRPr="00E0737D" w:rsidRDefault="00E0737D" w:rsidP="00DC4DF2">
      <w:pPr>
        <w:pStyle w:val="Nivel1SM"/>
        <w:keepNext/>
        <w:spacing w:before="0" w:after="0"/>
      </w:pPr>
      <w:r>
        <w:t xml:space="preserve">El </w:t>
      </w:r>
      <w:r w:rsidRPr="00E0737D">
        <w:t xml:space="preserve">modelo parte de los siguiente </w:t>
      </w:r>
      <w:r w:rsidRPr="00E0737D">
        <w:rPr>
          <w:b/>
          <w:bCs/>
        </w:rPr>
        <w:t>supuestos</w:t>
      </w:r>
      <w:r w:rsidRPr="00E0737D">
        <w:t>:</w:t>
      </w:r>
    </w:p>
    <w:p w14:paraId="23294F41" w14:textId="18FFB302" w:rsidR="00647206" w:rsidRPr="00E0737D" w:rsidRDefault="00647206" w:rsidP="00D82280">
      <w:pPr>
        <w:pStyle w:val="Nmero"/>
        <w:keepNext/>
        <w:ind w:left="567"/>
        <w:contextualSpacing/>
      </w:pPr>
      <w:r w:rsidRPr="00382C18">
        <w:rPr>
          <w:b/>
          <w:bCs/>
        </w:rPr>
        <w:t>Tipo de cambio</w:t>
      </w:r>
      <w:r w:rsidRPr="00E0737D">
        <w:t xml:space="preserve"> </w:t>
      </w:r>
      <w:r w:rsidRPr="00E0737D">
        <w:rPr>
          <w:b/>
          <w:bCs/>
        </w:rPr>
        <w:t>fijo</w:t>
      </w:r>
      <w:r w:rsidR="00382C18" w:rsidRPr="00E0737D">
        <w:rPr>
          <w:rStyle w:val="Refdenotaalpie"/>
        </w:rPr>
        <w:footnoteReference w:id="3"/>
      </w:r>
      <w:r w:rsidRPr="00E0737D">
        <w:t>.</w:t>
      </w:r>
    </w:p>
    <w:p w14:paraId="4C613F52" w14:textId="5ACB251B" w:rsidR="00647206" w:rsidRDefault="00647206" w:rsidP="00D82280">
      <w:pPr>
        <w:pStyle w:val="Nmero"/>
        <w:keepNext/>
        <w:spacing w:after="0"/>
        <w:ind w:left="567"/>
      </w:pPr>
      <w:r w:rsidRPr="00E0737D">
        <w:rPr>
          <w:b/>
          <w:bCs/>
        </w:rPr>
        <w:t>Libre</w:t>
      </w:r>
      <w:r w:rsidRPr="00382C18">
        <w:rPr>
          <w:b/>
          <w:bCs/>
        </w:rPr>
        <w:t xml:space="preserve"> circulación de capitales</w:t>
      </w:r>
      <w:r w:rsidR="006C2C78">
        <w:rPr>
          <w:rStyle w:val="Refdenotaalpie"/>
        </w:rPr>
        <w:footnoteReference w:id="4"/>
      </w:r>
      <w:r w:rsidRPr="00E0737D">
        <w:t>.</w:t>
      </w:r>
    </w:p>
    <w:p w14:paraId="32306E5F" w14:textId="67B27566" w:rsidR="00957CF8" w:rsidRPr="00E0737D" w:rsidRDefault="00957CF8" w:rsidP="00957CF8">
      <w:pPr>
        <w:pStyle w:val="Nivel3SM"/>
      </w:pPr>
      <w:r>
        <w:t xml:space="preserve">Los 2 supuestos anteriores implican la pérdida de la autonomía de la política monetaria por la </w:t>
      </w:r>
      <w:r>
        <w:rPr>
          <w:i/>
          <w:iCs/>
        </w:rPr>
        <w:t>“trinidad imposible”</w:t>
      </w:r>
      <w:r w:rsidR="001755A1">
        <w:t xml:space="preserve"> propuesta por </w:t>
      </w:r>
      <w:r w:rsidR="001755A1">
        <w:rPr>
          <w:smallCaps/>
        </w:rPr>
        <w:t>Mundell</w:t>
      </w:r>
      <w:r w:rsidR="001755A1">
        <w:t>.</w:t>
      </w:r>
    </w:p>
    <w:p w14:paraId="69934B7C" w14:textId="2C1828C2" w:rsidR="00647206" w:rsidRPr="00E0737D" w:rsidRDefault="00647206" w:rsidP="00D82280">
      <w:pPr>
        <w:pStyle w:val="Nmero"/>
        <w:ind w:left="567"/>
        <w:contextualSpacing/>
      </w:pPr>
      <w:r w:rsidRPr="00E0737D">
        <w:t xml:space="preserve">Economía </w:t>
      </w:r>
      <w:r w:rsidRPr="00E0737D">
        <w:rPr>
          <w:b/>
          <w:bCs/>
        </w:rPr>
        <w:t>pequeña y abierta</w:t>
      </w:r>
      <w:r w:rsidRPr="00E0737D">
        <w:t>.</w:t>
      </w:r>
    </w:p>
    <w:p w14:paraId="35E05BD1" w14:textId="4C406D1B" w:rsidR="00647206" w:rsidRPr="00E0737D" w:rsidRDefault="00647206" w:rsidP="00D82280">
      <w:pPr>
        <w:pStyle w:val="Nmero"/>
        <w:ind w:left="567"/>
        <w:contextualSpacing/>
      </w:pPr>
      <w:r w:rsidRPr="00E0737D">
        <w:rPr>
          <w:b/>
          <w:bCs/>
        </w:rPr>
        <w:t>Dos monedas sustitutivas</w:t>
      </w:r>
      <w:r w:rsidRPr="00E0737D">
        <w:t>: la nacional y la divisa extranjera.</w:t>
      </w:r>
    </w:p>
    <w:p w14:paraId="1220EAC0" w14:textId="56E86E38" w:rsidR="0018277B" w:rsidRPr="00E0737D" w:rsidRDefault="0018277B" w:rsidP="00D82280">
      <w:pPr>
        <w:pStyle w:val="Nmero"/>
        <w:ind w:left="567"/>
        <w:contextualSpacing/>
      </w:pPr>
      <w:r w:rsidRPr="00E0737D">
        <w:t>Se cumple la</w:t>
      </w:r>
      <w:r w:rsidRPr="00E0737D">
        <w:rPr>
          <w:b/>
          <w:bCs/>
        </w:rPr>
        <w:t xml:space="preserve"> versión relativa de la paridad del poder adquisitivo</w:t>
      </w:r>
      <w:r w:rsidRPr="00E0737D">
        <w:t xml:space="preserve">, y, además, asumimos que el precio de los bienes internacionales, </w:t>
      </w:r>
      <m:oMath>
        <m:r>
          <m:rPr>
            <m:nor/>
          </m:rPr>
          <w:rPr>
            <w:i/>
            <w:iCs/>
          </w:rPr>
          <m:t>P*</m:t>
        </m:r>
      </m:oMath>
      <w:r w:rsidRPr="00E0737D">
        <w:t>, es constante:</w:t>
      </w:r>
      <m:oMath>
        <m:r>
          <w:rPr>
            <w:rFonts w:ascii="Cambria Math" w:hAnsi="Cambria Math"/>
          </w:rPr>
          <m:t xml:space="preserve"> </m:t>
        </m:r>
        <m:r>
          <m:rPr>
            <m:nor/>
          </m:rPr>
          <w:rPr>
            <w:i/>
            <w:iCs/>
          </w:rPr>
          <m:t>γE</m:t>
        </m:r>
        <m:r>
          <w:rPr>
            <w:rFonts w:ascii="Cambria Math" w:eastAsiaTheme="minorEastAsia" w:hAnsi="Cambria Math"/>
          </w:rPr>
          <m:t>=</m:t>
        </m:r>
        <m:r>
          <m:rPr>
            <m:nor/>
          </m:rPr>
          <w:rPr>
            <w:i/>
          </w:rPr>
          <m:t>π</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π</m:t>
                </m:r>
                <m:r>
                  <m:rPr>
                    <m:nor/>
                  </m:rPr>
                  <w:rPr>
                    <w:i/>
                    <w:iCs/>
                  </w:rPr>
                  <m:t>*</m:t>
                </m:r>
              </m:e>
            </m:groupChr>
          </m:e>
          <m:lim>
            <m:r>
              <w:rPr>
                <w:rFonts w:ascii="Cambria Math" w:hAnsi="Cambria Math"/>
              </w:rPr>
              <m:t>=</m:t>
            </m:r>
            <m:r>
              <m:rPr>
                <m:nor/>
              </m:rPr>
              <w:rPr>
                <w:i/>
                <w:iCs/>
              </w:rPr>
              <m:t>0</m:t>
            </m:r>
          </m:lim>
        </m:limLow>
        <m:r>
          <w:rPr>
            <w:rFonts w:ascii="Cambria Math" w:eastAsiaTheme="minorEastAsia" w:hAnsi="Cambria Math"/>
          </w:rPr>
          <m:t>=</m:t>
        </m:r>
        <m:r>
          <m:rPr>
            <m:nor/>
          </m:rPr>
          <w:rPr>
            <w:i/>
          </w:rPr>
          <m:t>π</m:t>
        </m:r>
      </m:oMath>
      <w:r w:rsidRPr="00E0737D">
        <w:rPr>
          <w:rFonts w:eastAsiaTheme="minorEastAsia"/>
        </w:rPr>
        <w:t>.</w:t>
      </w:r>
    </w:p>
    <w:p w14:paraId="5D4913E5" w14:textId="77777777" w:rsidR="006C2C78" w:rsidRDefault="006C2C78" w:rsidP="00D82280">
      <w:pPr>
        <w:pStyle w:val="Nmero"/>
        <w:ind w:left="567"/>
        <w:contextualSpacing/>
      </w:pPr>
      <w:r w:rsidRPr="00E0737D">
        <w:rPr>
          <w:b/>
          <w:bCs/>
        </w:rPr>
        <w:t>Hipótesis de las expectativas racionales</w:t>
      </w:r>
      <w:r w:rsidRPr="00E0737D">
        <w:t xml:space="preserve"> (i.e. los agentes son capaces de calcular elementos como el tipo de cambio sombra y la inflación esperada).</w:t>
      </w:r>
    </w:p>
    <w:p w14:paraId="2434E7AF" w14:textId="77777777" w:rsidR="006C2C78" w:rsidRPr="006C2C78" w:rsidRDefault="006C2C78" w:rsidP="00D82280">
      <w:pPr>
        <w:pStyle w:val="Nmero"/>
        <w:ind w:left="567"/>
        <w:contextualSpacing/>
      </w:pPr>
      <w:r w:rsidRPr="00E0737D">
        <w:rPr>
          <w:rFonts w:eastAsiaTheme="minorEastAsia"/>
        </w:rPr>
        <w:t xml:space="preserve">El </w:t>
      </w:r>
      <w:r w:rsidRPr="00E0737D">
        <w:rPr>
          <w:rFonts w:eastAsiaTheme="minorEastAsia"/>
          <w:b/>
          <w:bCs/>
        </w:rPr>
        <w:t>déficit público</w:t>
      </w:r>
      <w:r w:rsidRPr="00E0737D">
        <w:rPr>
          <w:rFonts w:eastAsiaTheme="minorEastAsia"/>
        </w:rPr>
        <w:t xml:space="preserve"> es </w:t>
      </w:r>
      <w:r w:rsidRPr="00E0737D">
        <w:rPr>
          <w:rFonts w:eastAsiaTheme="minorEastAsia"/>
          <w:b/>
          <w:bCs/>
        </w:rPr>
        <w:t>exógeno</w:t>
      </w:r>
      <w:r w:rsidRPr="00E0737D">
        <w:rPr>
          <w:rFonts w:eastAsiaTheme="minorEastAsia"/>
        </w:rPr>
        <w:t xml:space="preserve">, y lo </w:t>
      </w:r>
      <w:r w:rsidRPr="00E0737D">
        <w:rPr>
          <w:rFonts w:eastAsiaTheme="minorEastAsia"/>
          <w:b/>
          <w:bCs/>
        </w:rPr>
        <w:t>financia el banco central</w:t>
      </w:r>
      <w:r w:rsidRPr="00E0737D">
        <w:rPr>
          <w:rFonts w:eastAsiaTheme="minorEastAsia"/>
        </w:rPr>
        <w:t>.</w:t>
      </w:r>
    </w:p>
    <w:p w14:paraId="2F9509FF" w14:textId="77777777" w:rsidR="00872420" w:rsidRPr="00E0737D" w:rsidRDefault="00872420" w:rsidP="00D82280">
      <w:pPr>
        <w:pStyle w:val="Nmero"/>
        <w:keepNext/>
        <w:ind w:left="567"/>
        <w:contextualSpacing/>
      </w:pPr>
      <w:r w:rsidRPr="00E0737D">
        <w:t xml:space="preserve">El </w:t>
      </w:r>
      <w:r w:rsidRPr="00E0737D">
        <w:rPr>
          <w:b/>
          <w:bCs/>
        </w:rPr>
        <w:t>balance</w:t>
      </w:r>
      <w:r w:rsidRPr="00E0737D">
        <w:t xml:space="preserve"> simplificado del </w:t>
      </w:r>
      <w:r w:rsidRPr="00E0737D">
        <w:rPr>
          <w:b/>
          <w:bCs/>
        </w:rPr>
        <w:t>banco central</w:t>
      </w:r>
      <w:r w:rsidRPr="00E0737D">
        <w:t xml:space="preserve"> es:</w:t>
      </w:r>
    </w:p>
    <w:p w14:paraId="0434E9A0" w14:textId="77F5E256" w:rsidR="00872420" w:rsidRDefault="00000000" w:rsidP="00D82280">
      <w:pPr>
        <w:pStyle w:val="Nmero"/>
        <w:keepNext/>
        <w:numPr>
          <w:ilvl w:val="0"/>
          <w:numId w:val="0"/>
        </w:numPr>
        <w:spacing w:after="0"/>
        <w:ind w:left="567"/>
        <w:contextualSpacing/>
      </w:pPr>
      <m:oMathPara>
        <m:oMath>
          <m:sSub>
            <m:sSubPr>
              <m:ctrlPr>
                <w:rPr>
                  <w:rFonts w:ascii="Cambria Math" w:hAnsi="Cambria Math"/>
                  <w:i/>
                </w:rPr>
              </m:ctrlPr>
            </m:sSubPr>
            <m:e>
              <m:r>
                <m:rPr>
                  <m:nor/>
                </m:rPr>
                <w:rPr>
                  <w:i/>
                </w:rPr>
                <m:t>M</m:t>
              </m:r>
            </m:e>
            <m:sub>
              <m:r>
                <m:rPr>
                  <m:nor/>
                </m:rPr>
                <w:rPr>
                  <w:i/>
                </w:rPr>
                <m:t>0</m:t>
              </m:r>
            </m:sub>
          </m:sSub>
          <m:r>
            <w:rPr>
              <w:rFonts w:ascii="Cambria Math" w:hAnsi="Cambria Math"/>
            </w:rPr>
            <m:t>=</m:t>
          </m:r>
          <m:r>
            <m:rPr>
              <m:nor/>
            </m:rPr>
            <w:rPr>
              <w:i/>
            </w:rPr>
            <m:t>Credito Interno</m:t>
          </m:r>
          <m:r>
            <w:rPr>
              <w:rFonts w:ascii="Cambria Math" w:hAnsi="Cambria Math"/>
            </w:rPr>
            <m:t>+</m:t>
          </m:r>
          <m:r>
            <m:rPr>
              <m:nor/>
            </m:rPr>
            <w:rPr>
              <w:i/>
            </w:rPr>
            <m:t>Reservas Internacionales</m:t>
          </m:r>
          <m:r>
            <m:rPr>
              <m:sty m:val="p"/>
            </m:rPr>
            <w:rPr>
              <w:rFonts w:eastAsiaTheme="minorEastAsia"/>
            </w:rPr>
            <w:br/>
          </m:r>
        </m:oMath>
      </m:oMathPara>
      <w:r w:rsidR="00872420" w:rsidRPr="00E0737D">
        <w:t xml:space="preserve">donde el crédito interno consiste en la compra de bonos al gobierno, y </w:t>
      </w:r>
      <m:oMath>
        <m:sSub>
          <m:sSubPr>
            <m:ctrlPr>
              <w:rPr>
                <w:rFonts w:ascii="Cambria Math" w:hAnsi="Cambria Math"/>
                <w:i/>
              </w:rPr>
            </m:ctrlPr>
          </m:sSubPr>
          <m:e>
            <m:r>
              <m:rPr>
                <m:nor/>
              </m:rPr>
              <w:rPr>
                <w:i/>
              </w:rPr>
              <m:t>M</m:t>
            </m:r>
          </m:e>
          <m:sub>
            <m:r>
              <m:rPr>
                <m:nor/>
              </m:rPr>
              <w:rPr>
                <w:i/>
              </w:rPr>
              <m:t>0</m:t>
            </m:r>
          </m:sub>
        </m:sSub>
      </m:oMath>
      <w:r w:rsidR="00872420" w:rsidRPr="00E0737D">
        <w:t xml:space="preserve"> es la base monetaria.</w:t>
      </w:r>
    </w:p>
    <w:p w14:paraId="2EF8EC4A" w14:textId="4F726D49" w:rsidR="008E5F4D" w:rsidRDefault="008E5F4D" w:rsidP="008E5F4D">
      <w:pPr>
        <w:pStyle w:val="Nivel3SM"/>
        <w:keepNext/>
      </w:pPr>
      <w:r>
        <w:t xml:space="preserve">Además, suponemos que el multiplicador monetario es igual a uno, por lo que la base monetaria se iguala a la oferta monetaria </w:t>
      </w:r>
      <w:r w:rsidRPr="008E5F4D">
        <w:rPr>
          <w:color w:val="767171" w:themeColor="background2" w:themeShade="80"/>
          <w:sz w:val="19"/>
          <w:szCs w:val="19"/>
        </w:rPr>
        <w:t>[ver tema 3.A.3</w:t>
      </w:r>
      <w:r w:rsidR="005015D1">
        <w:rPr>
          <w:color w:val="767171" w:themeColor="background2" w:themeShade="80"/>
          <w:sz w:val="19"/>
          <w:szCs w:val="19"/>
        </w:rPr>
        <w:t>6</w:t>
      </w:r>
      <w:r w:rsidRPr="008E5F4D">
        <w:rPr>
          <w:color w:val="767171" w:themeColor="background2" w:themeShade="80"/>
          <w:sz w:val="19"/>
          <w:szCs w:val="19"/>
        </w:rPr>
        <w:t>]</w:t>
      </w:r>
      <w:r>
        <w:t>:</w:t>
      </w:r>
    </w:p>
    <w:p w14:paraId="704766C4" w14:textId="2D242C66" w:rsidR="008E5F4D" w:rsidRPr="00647206" w:rsidRDefault="00000000" w:rsidP="008E5F4D">
      <w:pPr>
        <w:pStyle w:val="Nivel3SM"/>
        <w:numPr>
          <w:ilvl w:val="0"/>
          <w:numId w:val="0"/>
        </w:numPr>
        <w:ind w:left="963"/>
      </w:pPr>
      <m:oMathPara>
        <m:oMath>
          <m:sSup>
            <m:sSupPr>
              <m:ctrlPr>
                <w:rPr>
                  <w:rFonts w:ascii="Cambria Math" w:hAnsi="Cambria Math"/>
                  <w:i/>
                </w:rPr>
              </m:ctrlPr>
            </m:sSupPr>
            <m:e>
              <m:r>
                <m:rPr>
                  <m:nor/>
                </m:rPr>
                <w:rPr>
                  <w:i/>
                </w:rPr>
                <m:t>M</m:t>
              </m:r>
            </m:e>
            <m:sup>
              <m:r>
                <m:rPr>
                  <m:nor/>
                </m:rPr>
                <w:rPr>
                  <w:i/>
                </w:rPr>
                <m:t>S</m:t>
              </m:r>
            </m:sup>
          </m:sSup>
          <m:r>
            <w:rPr>
              <w:rFonts w:ascii="Cambria Math" w:hAnsi="Cambria Math"/>
            </w:rPr>
            <m:t>=</m:t>
          </m:r>
          <m:sSub>
            <m:sSubPr>
              <m:ctrlPr>
                <w:rPr>
                  <w:rFonts w:ascii="Cambria Math" w:hAnsi="Cambria Math"/>
                  <w:i/>
                </w:rPr>
              </m:ctrlPr>
            </m:sSubPr>
            <m:e>
              <m:r>
                <m:rPr>
                  <m:nor/>
                </m:rPr>
                <w:rPr>
                  <w:i/>
                </w:rPr>
                <m:t>M</m:t>
              </m:r>
            </m:e>
            <m:sub>
              <m:r>
                <m:rPr>
                  <m:nor/>
                </m:rPr>
                <w:rPr>
                  <w:i/>
                </w:rPr>
                <m:t>0</m:t>
              </m:r>
            </m:sub>
          </m:sSub>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multiplicador monetario</m:t>
                  </m:r>
                </m:e>
              </m:groupChr>
            </m:e>
            <m:lim>
              <m:f>
                <m:fPr>
                  <m:ctrlPr>
                    <w:rPr>
                      <w:rFonts w:ascii="Cambria Math" w:hAnsi="Cambria Math"/>
                      <w:i/>
                    </w:rPr>
                  </m:ctrlPr>
                </m:fPr>
                <m:num>
                  <m:r>
                    <m:rPr>
                      <m:nor/>
                    </m:rPr>
                    <w:rPr>
                      <w:i/>
                    </w:rPr>
                    <m:t>e</m:t>
                  </m:r>
                  <m:r>
                    <w:rPr>
                      <w:rFonts w:ascii="Cambria Math"/>
                    </w:rPr>
                    <m:t>+</m:t>
                  </m:r>
                  <m:r>
                    <m:rPr>
                      <m:nor/>
                    </m:rPr>
                    <w:rPr>
                      <w:i/>
                    </w:rPr>
                    <m:t>1</m:t>
                  </m:r>
                </m:num>
                <m:den>
                  <m:r>
                    <m:rPr>
                      <m:nor/>
                    </m:rPr>
                    <w:rPr>
                      <w:i/>
                    </w:rPr>
                    <m:t>e</m:t>
                  </m:r>
                  <m:r>
                    <w:rPr>
                      <w:rFonts w:ascii="Cambria Math"/>
                    </w:rPr>
                    <m:t>+</m:t>
                  </m:r>
                  <m:r>
                    <m:rPr>
                      <m:nor/>
                    </m:rPr>
                    <w:rPr>
                      <w:i/>
                    </w:rPr>
                    <m:t>q</m:t>
                  </m:r>
                </m:den>
              </m:f>
              <m:r>
                <w:rPr>
                  <w:rFonts w:ascii="Cambria Math"/>
                </w:rPr>
                <m:t>=</m:t>
              </m:r>
              <m:r>
                <m:rPr>
                  <m:nor/>
                </m:rPr>
                <w:rPr>
                  <w:i/>
                </w:rPr>
                <m:t>1</m:t>
              </m:r>
            </m:lim>
          </m:limUpp>
          <m:r>
            <w:rPr>
              <w:rFonts w:ascii="Cambria Math" w:hAnsi="Cambria Math"/>
            </w:rPr>
            <m:t>=</m:t>
          </m:r>
          <m:r>
            <m:rPr>
              <m:nor/>
            </m:rPr>
            <w:rPr>
              <w:i/>
            </w:rPr>
            <m:t>Credito Interno</m:t>
          </m:r>
          <m:r>
            <w:rPr>
              <w:rFonts w:ascii="Cambria Math" w:hAnsi="Cambria Math"/>
            </w:rPr>
            <m:t>+</m:t>
          </m:r>
          <m:r>
            <m:rPr>
              <m:nor/>
            </m:rPr>
            <w:rPr>
              <w:i/>
            </w:rPr>
            <m:t>Reservas Internacionales</m:t>
          </m:r>
        </m:oMath>
      </m:oMathPara>
    </w:p>
    <w:p w14:paraId="15828F96" w14:textId="5527AA2C" w:rsidR="00F92951" w:rsidRDefault="00F92951" w:rsidP="005A0870">
      <w:pPr>
        <w:pStyle w:val="Ttulo6"/>
      </w:pPr>
      <w:bookmarkStart w:id="11" w:name="_Toc145492488"/>
      <w:r>
        <w:t>Desarrollo</w:t>
      </w:r>
      <w:r w:rsidRPr="005A0870">
        <w:rPr>
          <w:sz w:val="19"/>
          <w:szCs w:val="19"/>
          <w:u w:val="none"/>
        </w:rPr>
        <w:t xml:space="preserve"> (origen, transmisión y consecuencias de la crisis)</w:t>
      </w:r>
      <w:bookmarkEnd w:id="11"/>
    </w:p>
    <w:p w14:paraId="0E3F79A8" w14:textId="098EA6B2" w:rsidR="00C45D83" w:rsidRDefault="00C45D83" w:rsidP="00661708">
      <w:pPr>
        <w:pStyle w:val="Nivel1SM"/>
        <w:keepNext/>
        <w:spacing w:before="0" w:after="0"/>
      </w:pPr>
      <w:r>
        <w:t xml:space="preserve">La política monetaria tiene por objetivo principal </w:t>
      </w:r>
      <w:r w:rsidRPr="005A49EE">
        <w:rPr>
          <w:b/>
          <w:bCs/>
        </w:rPr>
        <w:t>financiar el déficit</w:t>
      </w:r>
      <w:r w:rsidR="005A49EE">
        <w:t xml:space="preserve"> (e</w:t>
      </w:r>
      <w:r w:rsidR="005A49EE" w:rsidRPr="005A49EE">
        <w:t>l banco central financia el déficit público a una tasa exógena positiva y constante, de forma que el crédito interno crece a esa misma tasa</w:t>
      </w:r>
      <w:r w:rsidR="005A49EE">
        <w:t xml:space="preserve">, </w:t>
      </w:r>
      <m:oMath>
        <m:r>
          <m:rPr>
            <m:nor/>
          </m:rPr>
          <w:rPr>
            <w:i/>
          </w:rPr>
          <m:t>μ</m:t>
        </m:r>
      </m:oMath>
      <w:r w:rsidR="005A49EE">
        <w:t>)</w:t>
      </w:r>
      <w:r>
        <w:t xml:space="preserve">, para lo cual el banco central tiene </w:t>
      </w:r>
      <w:r w:rsidRPr="005A49EE">
        <w:rPr>
          <w:b/>
          <w:bCs/>
        </w:rPr>
        <w:t>2 opciones</w:t>
      </w:r>
      <w:r>
        <w:t>:</w:t>
      </w:r>
    </w:p>
    <w:p w14:paraId="342ACD91" w14:textId="66E152F8" w:rsidR="00C45D83" w:rsidRDefault="00C45D83" w:rsidP="00C45D83">
      <w:pPr>
        <w:pStyle w:val="Nivel2SM"/>
      </w:pPr>
      <w:r w:rsidRPr="00C45D83">
        <w:rPr>
          <w:i/>
          <w:iCs/>
        </w:rPr>
        <w:t>No esterilizar la financiación del déficit</w:t>
      </w:r>
      <w:r>
        <w:t xml:space="preserve"> (</w:t>
      </w:r>
      <m:oMath>
        <m:limUpp>
          <m:limUppPr>
            <m:ctrlPr>
              <w:rPr>
                <w:rFonts w:ascii="Cambria Math" w:hAnsi="Cambria Math"/>
                <w:i/>
              </w:rPr>
            </m:ctrlPr>
          </m:limUppPr>
          <m:e>
            <m:sSub>
              <m:sSubPr>
                <m:ctrlPr>
                  <w:rPr>
                    <w:rFonts w:ascii="Cambria Math" w:hAnsi="Cambria Math"/>
                    <w:i/>
                  </w:rPr>
                </m:ctrlPr>
              </m:sSubPr>
              <m:e>
                <m:r>
                  <m:rPr>
                    <m:nor/>
                  </m:rPr>
                  <w:rPr>
                    <w:i/>
                  </w:rPr>
                  <m:t>M</m:t>
                </m:r>
              </m:e>
              <m:sub>
                <m:r>
                  <m:rPr>
                    <m:nor/>
                  </m:rPr>
                  <w:rPr>
                    <w:i/>
                  </w:rPr>
                  <m:t>0</m:t>
                </m:r>
              </m:sub>
            </m:sSub>
          </m:e>
          <m:lim>
            <m:r>
              <m:rPr>
                <m:nor/>
              </m:rPr>
              <w:rPr>
                <w:rFonts w:ascii="Times New Roman" w:hAnsi="Times New Roman" w:cs="Times New Roman"/>
                <w:i/>
              </w:rPr>
              <m:t>↑</m:t>
            </m:r>
          </m:lim>
        </m:limUpp>
        <m:r>
          <w:rPr>
            <w:rFonts w:ascii="Cambria Math" w:hAnsi="Cambria Math"/>
          </w:rPr>
          <m:t>=</m:t>
        </m:r>
        <m:limUpp>
          <m:limUppPr>
            <m:ctrlPr>
              <w:rPr>
                <w:rFonts w:ascii="Cambria Math" w:hAnsi="Cambria Math"/>
                <w:i/>
              </w:rPr>
            </m:ctrlPr>
          </m:limUppPr>
          <m:e>
            <m:r>
              <m:rPr>
                <m:nor/>
              </m:rPr>
              <w:rPr>
                <w:i/>
              </w:rPr>
              <m:t>CI</m:t>
            </m:r>
          </m:e>
          <m:lim>
            <m:r>
              <m:rPr>
                <m:nor/>
              </m:rPr>
              <w:rPr>
                <w:rFonts w:ascii="Times New Roman" w:hAnsi="Times New Roman" w:cs="Times New Roman"/>
                <w:i/>
              </w:rPr>
              <m:t>↑</m:t>
            </m:r>
          </m:lim>
        </m:limUpp>
        <m:r>
          <w:rPr>
            <w:rFonts w:ascii="Cambria Math" w:hAnsi="Cambria Math"/>
          </w:rPr>
          <m:t>+</m:t>
        </m:r>
        <m:r>
          <m:rPr>
            <m:nor/>
          </m:rPr>
          <w:rPr>
            <w:i/>
          </w:rPr>
          <m:t>R</m:t>
        </m:r>
      </m:oMath>
      <w:r>
        <w:t>), y entonces aumentaría la base monetaria, y, con ello, la oferta monetaria.</w:t>
      </w:r>
    </w:p>
    <w:p w14:paraId="691CFB9B" w14:textId="0B1F5B35" w:rsidR="00C45D83" w:rsidRDefault="00C45D83" w:rsidP="00C45D83">
      <w:pPr>
        <w:pStyle w:val="Nivel2SM"/>
        <w:keepNext/>
        <w:spacing w:after="0"/>
      </w:pPr>
      <w:r w:rsidRPr="00C45D83">
        <w:rPr>
          <w:i/>
          <w:iCs/>
        </w:rPr>
        <w:t>Sí esterilizar la financiación del déficit</w:t>
      </w:r>
      <w:r>
        <w:t xml:space="preserve"> (</w:t>
      </w:r>
      <m:oMath>
        <m:limUpp>
          <m:limUppPr>
            <m:ctrlPr>
              <w:rPr>
                <w:rFonts w:ascii="Cambria Math" w:hAnsi="Cambria Math"/>
                <w:i/>
              </w:rPr>
            </m:ctrlPr>
          </m:limUppPr>
          <m:e>
            <m:sSub>
              <m:sSubPr>
                <m:ctrlPr>
                  <w:rPr>
                    <w:rFonts w:ascii="Cambria Math" w:hAnsi="Cambria Math"/>
                    <w:i/>
                  </w:rPr>
                </m:ctrlPr>
              </m:sSubPr>
              <m:e>
                <m:r>
                  <m:rPr>
                    <m:nor/>
                  </m:rPr>
                  <w:rPr>
                    <w:i/>
                  </w:rPr>
                  <m:t>M</m:t>
                </m:r>
              </m:e>
              <m:sub>
                <m:r>
                  <m:rPr>
                    <m:nor/>
                  </m:rPr>
                  <w:rPr>
                    <w:i/>
                  </w:rPr>
                  <m:t>0</m:t>
                </m:r>
              </m:sub>
            </m:sSub>
          </m:e>
          <m:lim>
            <m:r>
              <m:rPr>
                <m:nor/>
              </m:rPr>
              <w:rPr>
                <w:i/>
              </w:rPr>
              <m:t>cte.</m:t>
            </m:r>
          </m:lim>
        </m:limUpp>
        <m:r>
          <w:rPr>
            <w:rFonts w:ascii="Cambria Math" w:hAnsi="Cambria Math"/>
          </w:rPr>
          <m:t>=</m:t>
        </m:r>
        <m:limUpp>
          <m:limUppPr>
            <m:ctrlPr>
              <w:rPr>
                <w:rFonts w:ascii="Cambria Math" w:hAnsi="Cambria Math"/>
                <w:i/>
              </w:rPr>
            </m:ctrlPr>
          </m:limUppPr>
          <m:e>
            <m:r>
              <m:rPr>
                <m:nor/>
              </m:rPr>
              <w:rPr>
                <w:i/>
              </w:rPr>
              <m:t>CI</m:t>
            </m:r>
          </m:e>
          <m:lim>
            <m:r>
              <m:rPr>
                <m:nor/>
              </m:rPr>
              <w:rPr>
                <w:rFonts w:ascii="Times New Roman" w:hAnsi="Times New Roman" w:cs="Times New Roman"/>
                <w:i/>
              </w:rPr>
              <m:t>↑</m:t>
            </m:r>
          </m:lim>
        </m:limUpp>
        <m:r>
          <w:rPr>
            <w:rFonts w:ascii="Cambria Math" w:hAnsi="Cambria Math"/>
          </w:rPr>
          <m:t>+</m:t>
        </m:r>
        <m:limUpp>
          <m:limUppPr>
            <m:ctrlPr>
              <w:rPr>
                <w:rFonts w:ascii="Cambria Math" w:hAnsi="Cambria Math"/>
                <w:i/>
              </w:rPr>
            </m:ctrlPr>
          </m:limUppPr>
          <m:e>
            <m:r>
              <m:rPr>
                <m:nor/>
              </m:rPr>
              <w:rPr>
                <w:i/>
              </w:rPr>
              <m:t>R</m:t>
            </m:r>
          </m:e>
          <m:lim>
            <m:r>
              <m:rPr>
                <m:nor/>
              </m:rPr>
              <w:rPr>
                <w:rFonts w:ascii="Times New Roman" w:hAnsi="Times New Roman" w:cs="Times New Roman"/>
                <w:i/>
                <w:iCs/>
              </w:rPr>
              <m:t>↓</m:t>
            </m:r>
          </m:lim>
        </m:limUpp>
      </m:oMath>
      <w:r>
        <w:t>), comprando moneda nacional a cambio de divisas en la misma cantidad en que se le ha prestado al Gobierno, por lo que la base monetaria se mantendría constante.</w:t>
      </w:r>
    </w:p>
    <w:p w14:paraId="17ED5189" w14:textId="5E99BF77" w:rsidR="00C45D83" w:rsidRDefault="00C45D83" w:rsidP="00C45D83">
      <w:pPr>
        <w:pStyle w:val="Nivel3SM"/>
      </w:pPr>
      <w:r>
        <w:t xml:space="preserve">Si, al mismo tiempo, se quiere mantener constante el tipo de cambio, es necesario que la oferta monetaria no varíe (porque si </w:t>
      </w:r>
      <m:oMath>
        <m:r>
          <m:rPr>
            <m:nor/>
          </m:rPr>
          <w:rPr>
            <w:rFonts w:cs="Times New Roman"/>
            <w:i/>
            <w:iCs/>
          </w:rPr>
          <m:t>π</m:t>
        </m:r>
        <m:r>
          <w:rPr>
            <w:rFonts w:ascii="Cambria Math" w:eastAsiaTheme="minorEastAsia" w:hAnsi="Cambria Math"/>
          </w:rPr>
          <m:t>&gt;</m:t>
        </m:r>
        <m:r>
          <m:rPr>
            <m:nor/>
          </m:rPr>
          <w:rPr>
            <w:rFonts w:cs="Times New Roman"/>
            <w:i/>
            <w:iCs/>
          </w:rPr>
          <m:t>0</m:t>
        </m:r>
      </m:oMath>
      <w:r>
        <w:t xml:space="preserve">, entonces </w:t>
      </w:r>
      <m:oMath>
        <m:r>
          <m:rPr>
            <m:nor/>
          </m:rPr>
          <w:rPr>
            <w:rFonts w:ascii="Times New Roman" w:hAnsi="Times New Roman" w:cs="Times New Roman"/>
            <w:i/>
          </w:rPr>
          <m:t>↑</m:t>
        </m:r>
        <m:r>
          <m:rPr>
            <m:nor/>
          </m:rPr>
          <w:rPr>
            <w:i/>
          </w:rPr>
          <m:t>E</m:t>
        </m:r>
      </m:oMath>
      <w:r>
        <w:t xml:space="preserve"> por la PPA), por lo que el banco central recurrir</w:t>
      </w:r>
      <w:r>
        <w:rPr>
          <w:rFonts w:cs="Palatino Linotype"/>
        </w:rPr>
        <w:t>á</w:t>
      </w:r>
      <w:r>
        <w:t xml:space="preserve"> a la </w:t>
      </w:r>
      <w:r w:rsidRPr="00C45D83">
        <w:rPr>
          <w:b/>
          <w:bCs/>
        </w:rPr>
        <w:t>segunda opci</w:t>
      </w:r>
      <w:r w:rsidRPr="00C45D83">
        <w:rPr>
          <w:rFonts w:cs="Palatino Linotype"/>
          <w:b/>
          <w:bCs/>
        </w:rPr>
        <w:t>ó</w:t>
      </w:r>
      <w:r w:rsidRPr="00C45D83">
        <w:rPr>
          <w:b/>
          <w:bCs/>
        </w:rPr>
        <w:t>n</w:t>
      </w:r>
      <w:r>
        <w:t>.</w:t>
      </w:r>
    </w:p>
    <w:p w14:paraId="7804C548" w14:textId="6B9BCED3" w:rsidR="00C45D83" w:rsidRDefault="00C45D83" w:rsidP="00C45D83">
      <w:pPr>
        <w:pStyle w:val="Nivel3SM"/>
        <w:keepNext/>
      </w:pPr>
      <w:r w:rsidRPr="00C45D83">
        <w:t xml:space="preserve">Este proceso, sin embargo, irá dando lugar a una </w:t>
      </w:r>
      <w:r w:rsidRPr="00C45D83">
        <w:rPr>
          <w:b/>
          <w:bCs/>
        </w:rPr>
        <w:t>pérdida paulatina de reservas</w:t>
      </w:r>
      <w:r w:rsidRPr="00C45D83">
        <w:t xml:space="preserve"> (i.e. deterioro de los fundamentales), hasta que al final éstas se agotarán y la política monetaria no podrá financiar el déficit y mantener simultáneamente la paridad del tipo de cambio. Como el objetivo principal del banco central es la financiación del déficit </w:t>
      </w:r>
      <w:r>
        <w:t xml:space="preserve">público, agotadas </w:t>
      </w:r>
      <w:r>
        <w:lastRenderedPageBreak/>
        <w:t>las reservas la oferta monetaria empezará a aumentar, y el país se verá obligado a abandonar el tipo de cambio fijo porque la moneda se depreciará.</w:t>
      </w:r>
    </w:p>
    <w:p w14:paraId="6A11512B" w14:textId="65BB67ED" w:rsidR="00C45D83" w:rsidRPr="008A2746" w:rsidRDefault="00C45D83" w:rsidP="00C45D83">
      <w:pPr>
        <w:pStyle w:val="Nivel4"/>
        <w:ind w:left="1474"/>
      </w:pPr>
      <w:r>
        <w:t xml:space="preserve">Y es que el aumento de la oferta monetaria se trasladará a la inflación, y, como se cumple la paridad del poder adquisitivo, la inflación se trasladará por completo al </w:t>
      </w:r>
      <w:r w:rsidRPr="008A2746">
        <w:t>tipo de cambio.</w:t>
      </w:r>
    </w:p>
    <w:p w14:paraId="7AA0D4D1" w14:textId="59B272B3" w:rsidR="00133F6D" w:rsidRPr="008A2746" w:rsidRDefault="00133F6D" w:rsidP="00133F6D">
      <w:pPr>
        <w:pStyle w:val="Nivel1SM"/>
        <w:keepNext/>
        <w:spacing w:after="0"/>
      </w:pPr>
      <w:r w:rsidRPr="008A2746">
        <w:t>El problema es que con una tasa</w:t>
      </w:r>
      <w:r w:rsidR="00572176">
        <w:t> </w:t>
      </w:r>
      <m:oMath>
        <m:r>
          <m:rPr>
            <m:nor/>
          </m:rPr>
          <w:rPr>
            <w:i/>
          </w:rPr>
          <m:t>μ</m:t>
        </m:r>
      </m:oMath>
      <w:r w:rsidRPr="008A2746">
        <w:t xml:space="preserve"> exógena y constante, y unas reservas internacionales finitas, el sistema de tipos de cambio fijos no podrá sobrevivir </w:t>
      </w:r>
      <w:r w:rsidRPr="008A2746">
        <w:rPr>
          <w:i/>
          <w:iCs/>
        </w:rPr>
        <w:t>sine die</w:t>
      </w:r>
      <w:r w:rsidRPr="008A2746">
        <w:t>. El stock de reservas internacionales se agotará en un momento finito de tiempo. En ese momento, el régimen cambiario de tipo de cambio fijo colapsará y el país deberá dejar flotar la moneda.</w:t>
      </w:r>
    </w:p>
    <w:p w14:paraId="0711590E" w14:textId="26C8DB8E" w:rsidR="00133F6D" w:rsidRPr="008A2746" w:rsidRDefault="00133F6D" w:rsidP="00133F6D">
      <w:pPr>
        <w:pStyle w:val="Nivel2SM"/>
        <w:keepNext/>
        <w:spacing w:after="0"/>
      </w:pPr>
      <w:r w:rsidRPr="008A2746">
        <w:t xml:space="preserve">Por tanto, el problema eventualmente reside en la existencia de un </w:t>
      </w:r>
      <w:r w:rsidRPr="008A2746">
        <w:rPr>
          <w:i/>
          <w:iCs/>
        </w:rPr>
        <w:t>policy mix</w:t>
      </w:r>
      <w:r w:rsidRPr="008A2746">
        <w:t xml:space="preserve"> inconsistente que muestra que es imposible que en un régimen con movilidad de capitales es imposible que un solo instrumento (política monetaria) logre </w:t>
      </w:r>
      <w:r w:rsidR="00572176">
        <w:t>2 </w:t>
      </w:r>
      <w:r w:rsidRPr="008A2746">
        <w:t>objetivos de política económica (defensa del tipo de cambio fijo y financiación del déficit público, i.e. un objetivo externo y otro interno).</w:t>
      </w:r>
    </w:p>
    <w:p w14:paraId="3F921CC4" w14:textId="23706279" w:rsidR="00133F6D" w:rsidRPr="008A2746" w:rsidRDefault="00133F6D" w:rsidP="00133F6D">
      <w:pPr>
        <w:pStyle w:val="Nivel3SM"/>
      </w:pPr>
      <w:r w:rsidRPr="008A2746">
        <w:t xml:space="preserve">Esto no es otra cosa que tener en cuenta el trilema de la economía abierta: </w:t>
      </w:r>
      <w:r w:rsidRPr="0094305D">
        <w:rPr>
          <w:i/>
          <w:iCs/>
        </w:rPr>
        <w:t>“cuando un país decide adoptar un régimen de tipo de cambio fijo en un contexto de libre movilidad de capitales, pierde la autonomía de la política monetaria”</w:t>
      </w:r>
      <w:r w:rsidRPr="008A2746">
        <w:t>.</w:t>
      </w:r>
    </w:p>
    <w:p w14:paraId="27965BE8" w14:textId="77777777" w:rsidR="00133F6D" w:rsidRDefault="00133F6D" w:rsidP="00133F6D">
      <w:pPr>
        <w:pStyle w:val="Nivel1SM"/>
        <w:keepNext/>
        <w:spacing w:after="0"/>
      </w:pPr>
      <w:r>
        <w:t xml:space="preserve">Sin embargo, en este modelo, </w:t>
      </w:r>
      <w:r w:rsidRPr="00133F6D">
        <w:rPr>
          <w:b/>
          <w:bCs/>
        </w:rPr>
        <w:t>el tipo de cambio colapsa antes del agotamiento de las reservas</w:t>
      </w:r>
      <w:r>
        <w:t>.</w:t>
      </w:r>
    </w:p>
    <w:p w14:paraId="4E50A939" w14:textId="77777777" w:rsidR="00133F6D" w:rsidRDefault="00133F6D" w:rsidP="00133F6D">
      <w:pPr>
        <w:pStyle w:val="Nivel2SM"/>
        <w:keepNext/>
        <w:spacing w:after="0"/>
      </w:pPr>
      <w:r>
        <w:t xml:space="preserve">Los agentes racionales son conscientes de que la política monetaria que persigue monetizar el déficit al tipo que se mantiene la paridad de tipo de cambio </w:t>
      </w:r>
      <w:r w:rsidRPr="000F7C84">
        <w:rPr>
          <w:i/>
          <w:iCs/>
        </w:rPr>
        <w:t>no es creíble</w:t>
      </w:r>
      <w:r>
        <w:t>.</w:t>
      </w:r>
    </w:p>
    <w:p w14:paraId="0778D6AA" w14:textId="77777777" w:rsidR="00133F6D" w:rsidRDefault="00133F6D" w:rsidP="00133F6D">
      <w:pPr>
        <w:pStyle w:val="Nivel3SM"/>
        <w:keepNext/>
      </w:pPr>
      <w:r>
        <w:t xml:space="preserve">Por tanto, son </w:t>
      </w:r>
      <w:r w:rsidRPr="00384A28">
        <w:rPr>
          <w:u w:val="single"/>
        </w:rPr>
        <w:t>capaces de prever de forma perfecta que las políticas de las autoridades conducirán inexorablemente al agotamiento de las reservas internacionales, acometerán de forma racional un ataque especulativo en un momento previo</w:t>
      </w:r>
      <w:r>
        <w:t xml:space="preserve"> mediante la compra masiva de bonos extranjeros a cambio de moneda nacional (i.e. se producirá una salida de capitales). La salida de capitales llevará a grandes pérdidas de reservas y eventualmente a una devaluación.</w:t>
      </w:r>
    </w:p>
    <w:p w14:paraId="41CFDAE6" w14:textId="77777777" w:rsidR="00133F6D" w:rsidRDefault="00133F6D" w:rsidP="00133F6D">
      <w:pPr>
        <w:pStyle w:val="Nivel4"/>
        <w:ind w:left="1474"/>
      </w:pPr>
      <w:r>
        <w:t>En otras palabras, los agentes, al anticipar que el tipo de cambio finalmente tendrá que ser alterado precipitan la crisis cambiaria inexorable con su actuación.</w:t>
      </w:r>
    </w:p>
    <w:p w14:paraId="5618F60E" w14:textId="77777777" w:rsidR="00133F6D" w:rsidRDefault="00133F6D" w:rsidP="0094305D">
      <w:pPr>
        <w:pStyle w:val="Nivel2SM"/>
        <w:keepNext/>
        <w:spacing w:after="0"/>
      </w:pPr>
      <w:r>
        <w:t>A partir de este razonamiento el modelo se centra en determinar el momento del colapso del régimen cambiario.</w:t>
      </w:r>
    </w:p>
    <w:p w14:paraId="71045C86" w14:textId="41E7BDD0" w:rsidR="00133F6D" w:rsidRDefault="00133F6D" w:rsidP="0094305D">
      <w:pPr>
        <w:pStyle w:val="Nivel3SM"/>
      </w:pPr>
      <w:r>
        <w:t xml:space="preserve">Para ello, se define el </w:t>
      </w:r>
      <w:r w:rsidRPr="00133F6D">
        <w:rPr>
          <w:b/>
          <w:bCs/>
        </w:rPr>
        <w:t>tipo de cambio sombra</w:t>
      </w:r>
      <w:r>
        <w:t xml:space="preserve">, </w:t>
      </w:r>
      <m:oMath>
        <m:acc>
          <m:accPr>
            <m:chr m:val="̃"/>
            <m:ctrlPr>
              <w:rPr>
                <w:rFonts w:ascii="Cambria Math" w:hAnsi="Cambria Math"/>
                <w:i/>
              </w:rPr>
            </m:ctrlPr>
          </m:accPr>
          <m:e>
            <m:r>
              <m:rPr>
                <m:nor/>
              </m:rPr>
              <w:rPr>
                <w:i/>
                <w:iCs/>
              </w:rPr>
              <m:t>e</m:t>
            </m:r>
          </m:e>
        </m:acc>
      </m:oMath>
      <w:r>
        <w:t>, como el tipo de cambio que estaría vigente si el tipo fuera flexible –el determinado por los fundamentos</w:t>
      </w:r>
      <w:r w:rsidR="00384A28">
        <w:t>–</w:t>
      </w:r>
      <w:r>
        <w:t>.</w:t>
      </w:r>
    </w:p>
    <w:p w14:paraId="41E80880" w14:textId="77777777" w:rsidR="00133F6D" w:rsidRDefault="00133F6D" w:rsidP="0094305D">
      <w:pPr>
        <w:pStyle w:val="Nivel3SM"/>
      </w:pPr>
      <w:r>
        <w:t xml:space="preserve">A medida que aumentan las </w:t>
      </w:r>
      <w:r w:rsidRPr="00133F6D">
        <w:rPr>
          <w:b/>
          <w:bCs/>
        </w:rPr>
        <w:t>expectativas de devaluación</w:t>
      </w:r>
      <w:r>
        <w:t xml:space="preserve">, aumenta el </w:t>
      </w:r>
      <w:r w:rsidRPr="00133F6D">
        <w:t>tipo de cambio sombra</w:t>
      </w:r>
      <w:r>
        <w:t xml:space="preserve">, </w:t>
      </w:r>
      <m:oMath>
        <m:acc>
          <m:accPr>
            <m:chr m:val="̃"/>
            <m:ctrlPr>
              <w:rPr>
                <w:rFonts w:ascii="Cambria Math" w:hAnsi="Cambria Math"/>
                <w:i/>
              </w:rPr>
            </m:ctrlPr>
          </m:accPr>
          <m:e>
            <m:r>
              <m:rPr>
                <m:nor/>
              </m:rPr>
              <w:rPr>
                <w:i/>
              </w:rPr>
              <m:t>e</m:t>
            </m:r>
          </m:e>
        </m:acc>
      </m:oMath>
      <w:r>
        <w:t>.</w:t>
      </w:r>
    </w:p>
    <w:p w14:paraId="26D1D01F" w14:textId="76A8B9AD" w:rsidR="00133F6D" w:rsidRDefault="00133F6D" w:rsidP="0094305D">
      <w:pPr>
        <w:pStyle w:val="Nivel3SM"/>
        <w:keepNext/>
      </w:pPr>
      <w:r>
        <w:t xml:space="preserve">Llegará un momento, </w:t>
      </w:r>
      <w:r w:rsidRPr="00C45D83">
        <w:rPr>
          <w:i/>
          <w:iCs/>
        </w:rPr>
        <w:t>T</w:t>
      </w:r>
      <w:r>
        <w:t xml:space="preserve">, en que el tipo de cambio sombra estará más depreciado (i.e. será más alto) que el tipo de cambio fijo oficial, </w:t>
      </w:r>
      <m:oMath>
        <m:acc>
          <m:accPr>
            <m:chr m:val="̅"/>
            <m:ctrlPr>
              <w:rPr>
                <w:rFonts w:ascii="Cambria Math" w:hAnsi="Cambria Math"/>
                <w:i/>
              </w:rPr>
            </m:ctrlPr>
          </m:accPr>
          <m:e>
            <m:r>
              <m:rPr>
                <m:nor/>
              </m:rPr>
              <w:rPr>
                <w:i/>
              </w:rPr>
              <m:t>e</m:t>
            </m:r>
          </m:e>
        </m:acc>
      </m:oMath>
      <w:r>
        <w:t xml:space="preserve">, por lo que a partir de ese momento </w:t>
      </w:r>
      <w:r w:rsidRPr="00133F6D">
        <w:rPr>
          <w:i/>
          <w:iCs/>
        </w:rPr>
        <w:t>los especuladores tratarán de obtener beneficios comprando divisas al banco central al tipo oficial para venderlas más caras cuando el país abandone el tipo de cambio fijo</w:t>
      </w:r>
      <w:r>
        <w:t xml:space="preserve"> y la moneda fluctúe libremente al tipo de cambio sombra.</w:t>
      </w:r>
    </w:p>
    <w:p w14:paraId="5A29F2C7" w14:textId="3F104C95" w:rsidR="00133F6D" w:rsidRDefault="00133F6D" w:rsidP="0094305D">
      <w:pPr>
        <w:pStyle w:val="Nivel4"/>
        <w:ind w:left="1474"/>
      </w:pPr>
      <w:r>
        <w:t xml:space="preserve">La </w:t>
      </w:r>
      <w:r w:rsidRPr="00133F6D">
        <w:rPr>
          <w:i/>
          <w:iCs/>
        </w:rPr>
        <w:t>competencia entre los especuladores</w:t>
      </w:r>
      <w:r>
        <w:t xml:space="preserve"> por adelantarse al resto para capturar el beneficio hará que dicho ataque acabe produciéndose en </w:t>
      </w:r>
      <w:r w:rsidRPr="00C45D83">
        <w:rPr>
          <w:i/>
          <w:iCs/>
        </w:rPr>
        <w:t>T</w:t>
      </w:r>
      <w:r>
        <w:t>.</w:t>
      </w:r>
    </w:p>
    <w:p w14:paraId="1DD1FCAB" w14:textId="098548AF" w:rsidR="00C45D83" w:rsidRDefault="00C45D83" w:rsidP="0094305D">
      <w:pPr>
        <w:pStyle w:val="Nivel2SM"/>
        <w:keepNext/>
        <w:spacing w:after="0"/>
      </w:pPr>
      <w:r>
        <w:t xml:space="preserve">El </w:t>
      </w:r>
      <w:r w:rsidRPr="00133F6D">
        <w:rPr>
          <w:b/>
          <w:bCs/>
        </w:rPr>
        <w:t>ataque</w:t>
      </w:r>
      <w:r>
        <w:t xml:space="preserve"> se producirá </w:t>
      </w:r>
      <w:r w:rsidRPr="00133F6D">
        <w:rPr>
          <w:b/>
          <w:bCs/>
        </w:rPr>
        <w:t>antes</w:t>
      </w:r>
      <w:r>
        <w:t xml:space="preserve"> cuanto</w:t>
      </w:r>
      <w:r w:rsidR="00342DC4">
        <w:rPr>
          <w:rStyle w:val="Refdenotaalpie"/>
        </w:rPr>
        <w:footnoteReference w:id="5"/>
      </w:r>
      <w:r>
        <w:t>:</w:t>
      </w:r>
    </w:p>
    <w:p w14:paraId="1FADB8DB" w14:textId="3AF85003" w:rsidR="00133F6D" w:rsidRPr="00133F6D" w:rsidRDefault="00133F6D" w:rsidP="0094305D">
      <w:pPr>
        <w:pStyle w:val="Nivel3SM"/>
      </w:pPr>
      <w:r w:rsidRPr="0094305D">
        <w:rPr>
          <w:i/>
          <w:iCs/>
        </w:rPr>
        <w:t>Menor sea el nivel inicial de reservas</w:t>
      </w:r>
      <w:r>
        <w:t>.</w:t>
      </w:r>
    </w:p>
    <w:p w14:paraId="1BD6FBD9" w14:textId="040DC791" w:rsidR="00C45D83" w:rsidRDefault="00C45D83" w:rsidP="0094305D">
      <w:pPr>
        <w:pStyle w:val="Nivel3SM"/>
      </w:pPr>
      <w:r w:rsidRPr="0094305D">
        <w:rPr>
          <w:i/>
          <w:iCs/>
        </w:rPr>
        <w:lastRenderedPageBreak/>
        <w:t>Mayor sea el crecimiento del crédito interno</w:t>
      </w:r>
      <w:r w:rsidR="00133F6D" w:rsidRPr="0094305D">
        <w:rPr>
          <w:i/>
          <w:iCs/>
        </w:rPr>
        <w:t xml:space="preserve">, </w:t>
      </w:r>
      <m:oMath>
        <m:r>
          <m:rPr>
            <m:nor/>
          </m:rPr>
          <w:rPr>
            <w:i/>
            <w:iCs/>
          </w:rPr>
          <m:t>μ</m:t>
        </m:r>
      </m:oMath>
      <w:r w:rsidR="00133F6D" w:rsidRPr="0094305D">
        <w:rPr>
          <w:iCs/>
        </w:rPr>
        <w:t xml:space="preserve"> </w:t>
      </w:r>
      <w:r>
        <w:t xml:space="preserve">(curva de </w:t>
      </w:r>
      <m:oMath>
        <m:acc>
          <m:accPr>
            <m:chr m:val="̃"/>
            <m:ctrlPr>
              <w:rPr>
                <w:rFonts w:ascii="Cambria Math" w:hAnsi="Cambria Math"/>
              </w:rPr>
            </m:ctrlPr>
          </m:accPr>
          <m:e>
            <m:r>
              <m:rPr>
                <m:nor/>
              </m:rPr>
              <w:rPr>
                <w:i/>
                <w:iCs/>
              </w:rPr>
              <m:t>e</m:t>
            </m:r>
          </m:e>
        </m:acc>
      </m:oMath>
      <w:r>
        <w:t xml:space="preserve"> con más pendiente).</w:t>
      </w:r>
    </w:p>
    <w:p w14:paraId="21887180" w14:textId="4D0146D3" w:rsidR="00C45D83" w:rsidRDefault="00C45D83" w:rsidP="004503F7">
      <w:pPr>
        <w:pStyle w:val="Nivel3SM"/>
        <w:keepNext/>
      </w:pPr>
      <w:r w:rsidRPr="0094305D">
        <w:rPr>
          <w:i/>
          <w:iCs/>
        </w:rPr>
        <w:t>Más apreciado</w:t>
      </w:r>
      <w:r>
        <w:t xml:space="preserve"> (i.e. más alejado de sus fundamentales) </w:t>
      </w:r>
      <w:r w:rsidRPr="00133F6D">
        <w:t>esté el tipo de cambio fijo</w:t>
      </w:r>
      <w:r>
        <w:t xml:space="preserve"> (curva </w:t>
      </w:r>
      <m:oMath>
        <m:acc>
          <m:accPr>
            <m:chr m:val="̅"/>
            <m:ctrlPr>
              <w:rPr>
                <w:rFonts w:ascii="Cambria Math" w:hAnsi="Cambria Math"/>
                <w:i/>
                <w:iCs/>
              </w:rPr>
            </m:ctrlPr>
          </m:accPr>
          <m:e>
            <m:r>
              <m:rPr>
                <m:nor/>
              </m:rPr>
              <w:rPr>
                <w:i/>
                <w:iCs/>
              </w:rPr>
              <m:t>e</m:t>
            </m:r>
          </m:e>
        </m:acc>
      </m:oMath>
      <w:r>
        <w:t xml:space="preserve"> más hacia abajo).</w:t>
      </w:r>
    </w:p>
    <w:p w14:paraId="171CBFF2" w14:textId="119C064D" w:rsidR="004503F7" w:rsidRDefault="004503F7" w:rsidP="004503F7">
      <w:pPr>
        <w:pStyle w:val="Nivel4"/>
        <w:keepLines/>
        <w:ind w:left="1474"/>
      </w:pPr>
      <w:r>
        <w:t xml:space="preserve">Nótese que en </w:t>
      </w:r>
      <w:r>
        <w:rPr>
          <w:i/>
          <w:iCs/>
        </w:rPr>
        <w:t>T</w:t>
      </w:r>
      <w:r w:rsidRPr="004503F7">
        <w:t xml:space="preserve"> </w:t>
      </w:r>
      <w:r>
        <w:t>l</w:t>
      </w:r>
      <w:r w:rsidRPr="004503F7">
        <w:t xml:space="preserve">os especuladores comprarán divisas de forma masiva al </w:t>
      </w:r>
      <w:r>
        <w:t>tipo de cambio</w:t>
      </w:r>
      <w:r w:rsidRPr="004503F7">
        <w:t xml:space="preserve"> fijo vigente tal que aumentan las presiones depreciatorias y el </w:t>
      </w:r>
      <w:r>
        <w:t>banco central</w:t>
      </w:r>
      <w:r w:rsidRPr="004503F7">
        <w:t xml:space="preserve"> se verá forzado a vender las reservas. Posteriormente venderán esas divisas cuyo precio en términos de moneda nacional esperarán que sea mayor.</w:t>
      </w:r>
    </w:p>
    <w:p w14:paraId="0A7701C9" w14:textId="5812FCC6" w:rsidR="00C45D83" w:rsidRDefault="004503F7" w:rsidP="004503F7">
      <w:pPr>
        <w:pStyle w:val="Nivel4"/>
        <w:keepNext/>
        <w:keepLines/>
        <w:ind w:left="1474"/>
      </w:pPr>
      <w:r>
        <w:t xml:space="preserve">Por tanto, a </w:t>
      </w:r>
      <w:r w:rsidR="00C45D83">
        <w:t>medida que se esteriliza la financiación del déficit, las reservas van disminuyendo, y en el momento en que el tipo de cambio sombra supera al tipo de cambio oficial (</w:t>
      </w:r>
      <w:r w:rsidR="00C45D83" w:rsidRPr="001841D7">
        <w:rPr>
          <w:i/>
          <w:iCs/>
        </w:rPr>
        <w:t>T</w:t>
      </w:r>
      <w:r w:rsidR="00C45D83">
        <w:t xml:space="preserve">), se produce el </w:t>
      </w:r>
      <w:r w:rsidR="00C45D83" w:rsidRPr="00133F6D">
        <w:rPr>
          <w:b/>
          <w:bCs/>
        </w:rPr>
        <w:t>ataque especulativo</w:t>
      </w:r>
      <w:r w:rsidR="00C45D83">
        <w:t xml:space="preserve"> por el que se compran las reservas restantes, agotándose éstas de forma inmediata.</w:t>
      </w:r>
    </w:p>
    <w:p w14:paraId="128C3E09" w14:textId="77777777" w:rsidR="00C45D83" w:rsidRDefault="00C45D83" w:rsidP="0094305D">
      <w:pPr>
        <w:pStyle w:val="Nivel5"/>
        <w:ind w:left="1871"/>
      </w:pPr>
      <w:r>
        <w:t xml:space="preserve">NOTA: En </w:t>
      </w:r>
      <w:r w:rsidRPr="001841D7">
        <w:rPr>
          <w:i/>
          <w:iCs/>
        </w:rPr>
        <w:t>T</w:t>
      </w:r>
      <w:r>
        <w:t xml:space="preserve"> se reduce la oferta monetaria porque se produce la caída brusca de las reservas.</w:t>
      </w:r>
    </w:p>
    <w:p w14:paraId="340222C4" w14:textId="5CA5B921" w:rsidR="00910A70" w:rsidRPr="00B556E5" w:rsidRDefault="00910A70" w:rsidP="00910A70">
      <w:pPr>
        <w:pStyle w:val="Ttuloimagen"/>
        <w:rPr>
          <w:i/>
          <w:iCs/>
          <w:smallCaps w:val="0"/>
        </w:rPr>
      </w:pPr>
      <w:r>
        <w:t>Imagen </w:t>
      </w:r>
      <w:r>
        <w:fldChar w:fldCharType="begin"/>
      </w:r>
      <w:r>
        <w:instrText xml:space="preserve"> SEQ Ilustración \* ARABIC </w:instrText>
      </w:r>
      <w:r>
        <w:fldChar w:fldCharType="separate"/>
      </w:r>
      <w:r w:rsidR="009A4A5C">
        <w:t>1</w:t>
      </w:r>
      <w:r>
        <w:fldChar w:fldCharType="end"/>
      </w:r>
      <w:r w:rsidRPr="00B556E5">
        <w:rPr>
          <w:smallCaps w:val="0"/>
        </w:rPr>
        <w:t xml:space="preserve">.– </w:t>
      </w:r>
      <w:r>
        <w:rPr>
          <w:i/>
          <w:iCs/>
          <w:smallCaps w:val="0"/>
        </w:rPr>
        <w:t xml:space="preserve">Modelo de </w:t>
      </w:r>
      <w:r>
        <w:rPr>
          <w:i/>
          <w:iCs/>
        </w:rPr>
        <w:t>Flood</w:t>
      </w:r>
      <w:r>
        <w:rPr>
          <w:i/>
          <w:iCs/>
          <w:smallCaps w:val="0"/>
        </w:rPr>
        <w:t xml:space="preserve"> y </w:t>
      </w:r>
      <w:r>
        <w:rPr>
          <w:i/>
          <w:iCs/>
        </w:rPr>
        <w:t>Garber</w:t>
      </w:r>
      <w:r>
        <w:rPr>
          <w:i/>
          <w:iCs/>
          <w:smallCaps w:val="0"/>
        </w:rPr>
        <w:t xml:space="preserve"> (1984)</w:t>
      </w:r>
    </w:p>
    <w:p w14:paraId="50FC8840" w14:textId="77777777" w:rsidR="00910A70" w:rsidRDefault="00910A70" w:rsidP="00910A70">
      <w:pPr>
        <w:pStyle w:val="Imagen"/>
      </w:pPr>
      <w:r>
        <w:drawing>
          <wp:inline distT="0" distB="0" distL="0" distR="0" wp14:anchorId="494C8F41" wp14:editId="7BCA5349">
            <wp:extent cx="868134" cy="2520000"/>
            <wp:effectExtent l="0" t="0" r="8255"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8134" cy="2520000"/>
                    </a:xfrm>
                    <a:prstGeom prst="rect">
                      <a:avLst/>
                    </a:prstGeom>
                    <a:noFill/>
                  </pic:spPr>
                </pic:pic>
              </a:graphicData>
            </a:graphic>
          </wp:inline>
        </w:drawing>
      </w:r>
    </w:p>
    <w:p w14:paraId="0303F14B" w14:textId="2C0DAF48" w:rsidR="00910A70" w:rsidRDefault="00910A70" w:rsidP="00910A70">
      <w:pPr>
        <w:pStyle w:val="PiedeImagen"/>
        <w:rPr>
          <w:i w:val="0"/>
          <w:iCs/>
        </w:rPr>
      </w:pPr>
      <w:r>
        <w:t>Fuente</w:t>
      </w:r>
      <w:r>
        <w:rPr>
          <w:i w:val="0"/>
          <w:iCs/>
        </w:rPr>
        <w:t>: Sahuquillo</w:t>
      </w:r>
    </w:p>
    <w:p w14:paraId="5BD23A59" w14:textId="48C6B442" w:rsidR="00F92951" w:rsidRDefault="00F92951" w:rsidP="005A0870">
      <w:pPr>
        <w:pStyle w:val="Ttulo6"/>
      </w:pPr>
      <w:bookmarkStart w:id="12" w:name="_Toc145492489"/>
      <w:r>
        <w:t>Implicaciones</w:t>
      </w:r>
      <w:r w:rsidRPr="005A0870">
        <w:rPr>
          <w:sz w:val="19"/>
          <w:szCs w:val="19"/>
          <w:u w:val="none"/>
        </w:rPr>
        <w:t xml:space="preserve"> (solución a la crisis)</w:t>
      </w:r>
      <w:bookmarkEnd w:id="12"/>
    </w:p>
    <w:p w14:paraId="4551FD9D" w14:textId="6D7CCC99" w:rsidR="00EB4361" w:rsidRDefault="00EB4361" w:rsidP="00EB4361">
      <w:pPr>
        <w:pStyle w:val="Nivel1SM"/>
        <w:keepNext/>
        <w:spacing w:before="0" w:after="0"/>
      </w:pPr>
      <w:r>
        <w:t xml:space="preserve">Las principales </w:t>
      </w:r>
      <w:r>
        <w:rPr>
          <w:b/>
          <w:bCs/>
        </w:rPr>
        <w:t>conclusiones</w:t>
      </w:r>
      <w:r>
        <w:t xml:space="preserve"> del modelo son:</w:t>
      </w:r>
    </w:p>
    <w:p w14:paraId="757B51D0" w14:textId="77777777" w:rsidR="00EB4361" w:rsidRDefault="00EB4361" w:rsidP="00EB4361">
      <w:pPr>
        <w:pStyle w:val="Nivel2SM"/>
      </w:pPr>
      <w:r>
        <w:t xml:space="preserve">La crisis se debe a la </w:t>
      </w:r>
      <w:r w:rsidRPr="00133F6D">
        <w:rPr>
          <w:i/>
          <w:iCs/>
          <w:u w:val="single"/>
        </w:rPr>
        <w:t>inconsistencia de los objetivos de la política monetaria y cambiaria</w:t>
      </w:r>
      <w:r>
        <w:t xml:space="preserve"> que deteriora los fundamentales y que da lugar, por tanto, a un aumento progresivo del tipo de cambio sombra hasta que se produce una crisis cambiaria. Las expectativas de depreciación sólo adelantan el comienzo de la crisis.</w:t>
      </w:r>
    </w:p>
    <w:p w14:paraId="16FE9A57" w14:textId="77777777" w:rsidR="00EB4361" w:rsidRDefault="00EB4361" w:rsidP="00EB4361">
      <w:pPr>
        <w:pStyle w:val="Nivel2SM"/>
      </w:pPr>
      <w:r>
        <w:t xml:space="preserve">Las </w:t>
      </w:r>
      <w:r w:rsidRPr="00133F6D">
        <w:rPr>
          <w:i/>
          <w:iCs/>
          <w:u w:val="single"/>
        </w:rPr>
        <w:t>crisis cambiarias son totalmente predecibles, pero inevitables</w:t>
      </w:r>
      <w:r>
        <w:t xml:space="preserve"> (las reservas se agotan).</w:t>
      </w:r>
    </w:p>
    <w:p w14:paraId="4073C629" w14:textId="77777777" w:rsidR="00EB4361" w:rsidRDefault="00EB4361" w:rsidP="00EB4361">
      <w:pPr>
        <w:pStyle w:val="Nivel2SM"/>
      </w:pPr>
      <w:r>
        <w:t xml:space="preserve">En estos modelos, la crisis tiene, por construcción teórica, </w:t>
      </w:r>
      <w:r w:rsidRPr="00133F6D">
        <w:rPr>
          <w:i/>
          <w:iCs/>
          <w:u w:val="single"/>
        </w:rPr>
        <w:t>efectos monetarios pero no</w:t>
      </w:r>
      <w:r>
        <w:rPr>
          <w:i/>
          <w:iCs/>
          <w:u w:val="single"/>
        </w:rPr>
        <w:t> </w:t>
      </w:r>
      <w:r w:rsidRPr="00133F6D">
        <w:rPr>
          <w:i/>
          <w:iCs/>
          <w:u w:val="single"/>
        </w:rPr>
        <w:t>reales</w:t>
      </w:r>
      <w:r>
        <w:t>. Esto se ajusta relativamente bien al caso que querían explicar los primeros modelos (ruptura del sistema de Bretton Woods).</w:t>
      </w:r>
    </w:p>
    <w:p w14:paraId="08526863" w14:textId="5CDA48F8" w:rsidR="00876F59" w:rsidRPr="00872420" w:rsidRDefault="00876F59" w:rsidP="00EB4361">
      <w:pPr>
        <w:pStyle w:val="Nivel1SM"/>
      </w:pPr>
      <w:r>
        <w:t xml:space="preserve">Los modelos de </w:t>
      </w:r>
      <w:r w:rsidR="00FE5AE6">
        <w:t>1ª </w:t>
      </w:r>
      <w:r>
        <w:t>generación muestran c</w:t>
      </w:r>
      <w:r w:rsidR="00342DC4">
        <w:t>ó</w:t>
      </w:r>
      <w:r>
        <w:t>mo la mera fijación del tipo de cambio no basta para proporcionar disciplina monetaria y fiscal, sino que las políticas internas tienen que ser consistentes con el objetivo de mantenimiento de la paridad cambiaria.</w:t>
      </w:r>
    </w:p>
    <w:p w14:paraId="09FE227E" w14:textId="3A84DF0D" w:rsidR="00841146" w:rsidRDefault="00841146" w:rsidP="00E0737D">
      <w:pPr>
        <w:pStyle w:val="Nivel1SM"/>
        <w:keepNext/>
        <w:spacing w:after="0"/>
      </w:pPr>
      <w:r>
        <w:lastRenderedPageBreak/>
        <w:t xml:space="preserve">La solución pasa por </w:t>
      </w:r>
      <w:r>
        <w:rPr>
          <w:b/>
          <w:bCs/>
        </w:rPr>
        <w:t>renunciar</w:t>
      </w:r>
      <w:r>
        <w:t xml:space="preserve"> a alguno de los 3</w:t>
      </w:r>
      <w:r w:rsidR="008A2746">
        <w:t> </w:t>
      </w:r>
      <w:r>
        <w:t xml:space="preserve">elementos de la </w:t>
      </w:r>
      <w:r>
        <w:rPr>
          <w:b/>
          <w:bCs/>
        </w:rPr>
        <w:t>“trinidad imposible”</w:t>
      </w:r>
      <w:r>
        <w:t>:</w:t>
      </w:r>
    </w:p>
    <w:p w14:paraId="792F0758" w14:textId="34938B03" w:rsidR="00841146" w:rsidRDefault="00841146" w:rsidP="00C6481B">
      <w:pPr>
        <w:pStyle w:val="Nmeroromano"/>
      </w:pPr>
      <w:r>
        <w:t>Abandonar el tipo de cambio fijo, dejando fluctuarla moneda libremente;</w:t>
      </w:r>
    </w:p>
    <w:p w14:paraId="1B48D11A" w14:textId="09208260" w:rsidR="00841146" w:rsidRDefault="00841146" w:rsidP="00C6481B">
      <w:pPr>
        <w:pStyle w:val="Nmeroromano"/>
      </w:pPr>
      <w:r>
        <w:t>Limitar la movilidad de capitales, imponiendo controles de cambios; o</w:t>
      </w:r>
    </w:p>
    <w:p w14:paraId="571A8EAD" w14:textId="2C80C3D6" w:rsidR="00841146" w:rsidRDefault="00841146" w:rsidP="00C6481B">
      <w:pPr>
        <w:pStyle w:val="Nmeroromano"/>
      </w:pPr>
      <w:r>
        <w:t>Renunciar a una política monetaria autónoma, subordinándola a la cambiaria.</w:t>
      </w:r>
    </w:p>
    <w:p w14:paraId="75AFFB7F" w14:textId="77118787" w:rsidR="00F92951" w:rsidRDefault="00F92951" w:rsidP="005A0870">
      <w:pPr>
        <w:pStyle w:val="Ttulo2"/>
      </w:pPr>
      <w:bookmarkStart w:id="13" w:name="_Toc145492490"/>
      <w:r>
        <w:t>Evidencia empírica y ejemplos prácticos</w:t>
      </w:r>
      <w:bookmarkEnd w:id="13"/>
    </w:p>
    <w:p w14:paraId="76892AD2" w14:textId="74A148F4" w:rsidR="00841146" w:rsidRDefault="00841146" w:rsidP="00DC4DF2">
      <w:pPr>
        <w:pStyle w:val="Nivel1SM"/>
        <w:keepNext/>
        <w:spacing w:before="0" w:after="0"/>
      </w:pPr>
      <w:r>
        <w:t xml:space="preserve">Podemos considerar </w:t>
      </w:r>
      <w:r w:rsidRPr="009F421F">
        <w:rPr>
          <w:b/>
          <w:bCs/>
        </w:rPr>
        <w:t>ejemplos prácticos</w:t>
      </w:r>
      <w:r>
        <w:t xml:space="preserve"> de este tipo de crisis:</w:t>
      </w:r>
    </w:p>
    <w:p w14:paraId="656E656B" w14:textId="1BB768A7" w:rsidR="0083122C" w:rsidRDefault="0083122C" w:rsidP="00C6481B">
      <w:pPr>
        <w:pStyle w:val="Nivel2SM"/>
        <w:keepNext/>
        <w:spacing w:after="0"/>
      </w:pPr>
      <w:r>
        <w:t>Estos modelos permiten explicar las crisis experimentadas por los países latinoamericanos durante la década de los años</w:t>
      </w:r>
      <w:r w:rsidR="00DC4DF2">
        <w:t> </w:t>
      </w:r>
      <w:r>
        <w:t>80. Demuestran que la</w:t>
      </w:r>
      <w:r w:rsidR="008A2746">
        <w:t>s</w:t>
      </w:r>
      <w:r>
        <w:t xml:space="preserve"> crisis que sufrieron estos países no</w:t>
      </w:r>
      <w:r w:rsidR="00715BA8">
        <w:t> </w:t>
      </w:r>
      <w:r>
        <w:t>fueron señal de un mal funcionamiento de los mercados sino de la inconsistencia de sus políticas monetarias y fiscales, encaminadas a la consecución de sus planes de estabilización internos, con el objetivo cambiario anunciado.</w:t>
      </w:r>
    </w:p>
    <w:p w14:paraId="413E68F8" w14:textId="248EB807" w:rsidR="0083122C" w:rsidRDefault="0083122C" w:rsidP="00C6481B">
      <w:pPr>
        <w:pStyle w:val="Nivel3SM"/>
      </w:pPr>
      <w:r>
        <w:t xml:space="preserve">El ejemplo paradigmático </w:t>
      </w:r>
      <w:r w:rsidRPr="0083122C">
        <w:t>es México</w:t>
      </w:r>
      <w:r w:rsidR="00E74F82">
        <w:t xml:space="preserve"> (1973-1982)</w:t>
      </w:r>
      <w:r w:rsidRPr="0083122C">
        <w:t xml:space="preserve"> donde el país monetizó su déficit al mismo tiempo que intentaba mantener el </w:t>
      </w:r>
      <w:r w:rsidR="003739CC">
        <w:t>tipo de cambio</w:t>
      </w:r>
      <w:r w:rsidRPr="0083122C">
        <w:t xml:space="preserve"> fijado con respecto al dólar.</w:t>
      </w:r>
    </w:p>
    <w:p w14:paraId="50BF1828" w14:textId="5A2142FC" w:rsidR="00B77C0F" w:rsidRPr="00DC4DF2" w:rsidRDefault="00F92951" w:rsidP="005A0870">
      <w:pPr>
        <w:pStyle w:val="Ttulo2"/>
      </w:pPr>
      <w:bookmarkStart w:id="14" w:name="_Toc145492491"/>
      <w:r>
        <w:t>Valoración</w:t>
      </w:r>
      <w:r w:rsidR="008A7E8A" w:rsidRPr="0082171E">
        <w:t xml:space="preserve"> </w:t>
      </w:r>
      <w:r w:rsidR="008A7E8A" w:rsidRPr="005A0870">
        <w:rPr>
          <w:sz w:val="19"/>
          <w:szCs w:val="19"/>
        </w:rPr>
        <w:t>(limitaciones del modelo que dan lugar al desarrollo de modelos posterio</w:t>
      </w:r>
      <w:r w:rsidR="00BC6713" w:rsidRPr="005A0870">
        <w:rPr>
          <w:sz w:val="19"/>
          <w:szCs w:val="19"/>
        </w:rPr>
        <w:t>r</w:t>
      </w:r>
      <w:r w:rsidR="008A7E8A" w:rsidRPr="005A0870">
        <w:rPr>
          <w:sz w:val="19"/>
          <w:szCs w:val="19"/>
        </w:rPr>
        <w:t>es)</w:t>
      </w:r>
      <w:bookmarkEnd w:id="14"/>
    </w:p>
    <w:p w14:paraId="5BECE9E8" w14:textId="77777777" w:rsidR="00AF5C69" w:rsidRDefault="00AF5C69" w:rsidP="00DC4DF2">
      <w:pPr>
        <w:pStyle w:val="Nivel1SM"/>
        <w:keepNext/>
        <w:spacing w:before="0" w:after="0"/>
      </w:pPr>
      <w:r>
        <w:t xml:space="preserve">Este modelo cuenta con numerosas </w:t>
      </w:r>
      <w:r w:rsidRPr="00AF5C69">
        <w:rPr>
          <w:b/>
          <w:bCs/>
        </w:rPr>
        <w:t>limitaciones</w:t>
      </w:r>
      <w:r>
        <w:t>:</w:t>
      </w:r>
    </w:p>
    <w:p w14:paraId="2AD64811" w14:textId="0FD470A3" w:rsidR="00AF5C69" w:rsidRPr="000E447B" w:rsidRDefault="00AF5C69" w:rsidP="00C6481B">
      <w:pPr>
        <w:pStyle w:val="Nivel2SM"/>
        <w:rPr>
          <w:spacing w:val="-1"/>
        </w:rPr>
      </w:pPr>
      <w:r w:rsidRPr="000E447B">
        <w:rPr>
          <w:i/>
          <w:iCs/>
          <w:spacing w:val="-1"/>
          <w:u w:val="single"/>
        </w:rPr>
        <w:t>A nivel empírico</w:t>
      </w:r>
      <w:r w:rsidRPr="000E447B">
        <w:rPr>
          <w:spacing w:val="-1"/>
        </w:rPr>
        <w:t>, los estudios empíricos durante los años</w:t>
      </w:r>
      <w:r w:rsidR="00DC4DF2">
        <w:rPr>
          <w:spacing w:val="-1"/>
        </w:rPr>
        <w:t> </w:t>
      </w:r>
      <w:r w:rsidRPr="000E447B">
        <w:rPr>
          <w:spacing w:val="-1"/>
        </w:rPr>
        <w:t xml:space="preserve">90 son escépticos sobre la capacidad predictiva de estos modelos, principalmente respecto a la capacidad de determinar el momento </w:t>
      </w:r>
      <w:r w:rsidR="00C453C9">
        <w:rPr>
          <w:spacing w:val="-1"/>
        </w:rPr>
        <w:t>en el que se produce el ataque especulativo</w:t>
      </w:r>
      <w:r w:rsidRPr="000E447B">
        <w:rPr>
          <w:spacing w:val="-1"/>
        </w:rPr>
        <w:t>.</w:t>
      </w:r>
    </w:p>
    <w:p w14:paraId="48C5007F" w14:textId="77777777" w:rsidR="003D6D6B" w:rsidRDefault="00AF5C69" w:rsidP="00C6481B">
      <w:pPr>
        <w:pStyle w:val="Nivel2SM"/>
        <w:keepNext/>
        <w:spacing w:after="0"/>
      </w:pPr>
      <w:r w:rsidRPr="00C6481B">
        <w:rPr>
          <w:i/>
          <w:iCs/>
          <w:u w:val="single"/>
        </w:rPr>
        <w:t>A nivel teórico</w:t>
      </w:r>
      <w:r>
        <w:t>,</w:t>
      </w:r>
    </w:p>
    <w:p w14:paraId="6933617D" w14:textId="53B89C49" w:rsidR="003D6D6B" w:rsidRPr="0033554E" w:rsidRDefault="003D6D6B" w:rsidP="00C6481B">
      <w:pPr>
        <w:pStyle w:val="Nivel3SM"/>
        <w:rPr>
          <w:spacing w:val="-3"/>
        </w:rPr>
      </w:pPr>
      <w:r w:rsidRPr="0033554E">
        <w:rPr>
          <w:spacing w:val="-3"/>
        </w:rPr>
        <w:t xml:space="preserve">El supuesto implícito sobre </w:t>
      </w:r>
      <w:r w:rsidRPr="0033554E">
        <w:rPr>
          <w:b/>
          <w:bCs/>
          <w:spacing w:val="-3"/>
        </w:rPr>
        <w:t>información perfecta y simétrica entre agentes resulta exigente</w:t>
      </w:r>
      <w:r w:rsidR="00715BA8" w:rsidRPr="0033554E">
        <w:rPr>
          <w:spacing w:val="-3"/>
        </w:rPr>
        <w:t>.</w:t>
      </w:r>
    </w:p>
    <w:p w14:paraId="715E0452" w14:textId="677D2636" w:rsidR="003D6D6B" w:rsidRDefault="003D6D6B" w:rsidP="00C6481B">
      <w:pPr>
        <w:pStyle w:val="Nivel3SM"/>
      </w:pPr>
      <w:r>
        <w:t>S</w:t>
      </w:r>
      <w:r w:rsidR="00AF5C69">
        <w:t xml:space="preserve">e trata de </w:t>
      </w:r>
      <w:r w:rsidR="00AF5C69" w:rsidRPr="003D6D6B">
        <w:rPr>
          <w:b/>
          <w:bCs/>
        </w:rPr>
        <w:t>modelos que suponen una</w:t>
      </w:r>
      <w:r w:rsidR="00AF5C69">
        <w:t xml:space="preserve"> </w:t>
      </w:r>
      <w:r w:rsidR="00AF5C69" w:rsidRPr="00AF5C69">
        <w:rPr>
          <w:b/>
          <w:bCs/>
        </w:rPr>
        <w:t>asimetría en el comportamiento de los agentes</w:t>
      </w:r>
      <w:r w:rsidR="006653AB">
        <w:t>.</w:t>
      </w:r>
      <w:r w:rsidR="00AF5C69">
        <w:t xml:space="preserve"> </w:t>
      </w:r>
      <w:r w:rsidR="006653AB">
        <w:t>M</w:t>
      </w:r>
      <w:r w:rsidR="00AF5C69">
        <w:t xml:space="preserve">ientras que los </w:t>
      </w:r>
      <w:r w:rsidR="00AF5C69" w:rsidRPr="006653AB">
        <w:rPr>
          <w:i/>
          <w:iCs/>
        </w:rPr>
        <w:t>agentes privados</w:t>
      </w:r>
      <w:r w:rsidR="00AF5C69">
        <w:t xml:space="preserve"> son capaces de utilizar toda la información de forma racional y hasta de calcular precios sombra, las </w:t>
      </w:r>
      <w:r w:rsidR="00AF5C69" w:rsidRPr="006653AB">
        <w:rPr>
          <w:i/>
          <w:iCs/>
        </w:rPr>
        <w:t>autoridades</w:t>
      </w:r>
      <w:r w:rsidR="00AF5C69">
        <w:t xml:space="preserve"> se perfilan como un agente estático con un comportamiento lineal, cuyas malas políticas conducen mecánicamente al agotamiento de las reservas internacionales</w:t>
      </w:r>
      <w:r w:rsidR="00715BA8">
        <w:t>.</w:t>
      </w:r>
    </w:p>
    <w:p w14:paraId="79978565" w14:textId="0F912901" w:rsidR="00AF5C69" w:rsidRDefault="00AF5C69" w:rsidP="009F421F">
      <w:pPr>
        <w:pStyle w:val="Nivel3SM"/>
        <w:spacing w:after="100"/>
      </w:pPr>
      <w:r>
        <w:t xml:space="preserve">El modelo no considera que </w:t>
      </w:r>
      <w:r w:rsidRPr="003D6D6B">
        <w:rPr>
          <w:b/>
          <w:bCs/>
        </w:rPr>
        <w:t>podría financiarse el déficit de forma alternativa sin reducir las reservas internacionales</w:t>
      </w:r>
      <w:r w:rsidR="003D6D6B" w:rsidRPr="003D6D6B">
        <w:t xml:space="preserve"> </w:t>
      </w:r>
      <w:r w:rsidR="003D6D6B">
        <w:t xml:space="preserve">(e.g. </w:t>
      </w:r>
      <w:r>
        <w:t xml:space="preserve">reorientando </w:t>
      </w:r>
      <w:r w:rsidR="003D6D6B">
        <w:t>la</w:t>
      </w:r>
      <w:r>
        <w:t xml:space="preserve"> política fiscal, devaluando antes del ataque especulativo, estableciendo controles de capital, acudiendo a los mercados financieros internacionales o aumentando el tipo de interés</w:t>
      </w:r>
      <w:r w:rsidR="003D6D6B">
        <w:t>)</w:t>
      </w:r>
      <w:r w:rsidR="00715BA8">
        <w:t>.</w:t>
      </w:r>
    </w:p>
    <w:p w14:paraId="241DBAEB" w14:textId="2D76CBAF" w:rsidR="00876F59" w:rsidRDefault="00876F59" w:rsidP="009F421F">
      <w:pPr>
        <w:pStyle w:val="Nivel3SM"/>
        <w:spacing w:after="100"/>
      </w:pPr>
      <w:r>
        <w:t xml:space="preserve">Finalmente, </w:t>
      </w:r>
      <w:r>
        <w:rPr>
          <w:smallCaps/>
        </w:rPr>
        <w:t>Hélène Rey</w:t>
      </w:r>
      <w:r>
        <w:t xml:space="preserve"> </w:t>
      </w:r>
      <w:r w:rsidRPr="00876F59">
        <w:rPr>
          <w:b/>
          <w:bCs/>
        </w:rPr>
        <w:t xml:space="preserve">critica </w:t>
      </w:r>
      <w:r>
        <w:rPr>
          <w:b/>
          <w:bCs/>
        </w:rPr>
        <w:t>la trinidad imposible</w:t>
      </w:r>
      <w:r>
        <w:t>. La tesis principal de la economista francesa es que un país abierto a los flujos de capital y con tipo de cambio flexible no</w:t>
      </w:r>
      <w:r w:rsidR="0003540D">
        <w:t> </w:t>
      </w:r>
      <w:r>
        <w:t xml:space="preserve">disfruta necesariamente de una autonomía monetaria plena. Ello lleva a que no exista un trilema sino un dilema: siempre que haya libertad de capitales, un país renuncia a la autonomía de la política monetaria. La clave es la existencia de un </w:t>
      </w:r>
      <w:r w:rsidRPr="00876F59">
        <w:rPr>
          <w:i/>
          <w:iCs/>
        </w:rPr>
        <w:t>ciclo financiero global</w:t>
      </w:r>
      <w:r>
        <w:t xml:space="preserve"> en el que es clave la influencia que ejerce la política monetaria de la Reserva Federal.</w:t>
      </w:r>
    </w:p>
    <w:p w14:paraId="44E56FFF" w14:textId="51CE2638" w:rsidR="00AF5C69" w:rsidRPr="003739CC" w:rsidRDefault="00AF5C69" w:rsidP="00C6481B">
      <w:pPr>
        <w:pStyle w:val="Nivel1SM"/>
      </w:pPr>
      <w:r>
        <w:t>Estos factores, junto con la evidencia de crisis posteriores sin que se observen tendencias permanentes en los fundamentos como la crisis del Sistema Monetario Europeo (SME) de 1992, conducirían a la aparición de los modelos de 2ª</w:t>
      </w:r>
      <w:r w:rsidR="00DC4DF2">
        <w:t> </w:t>
      </w:r>
      <w:r>
        <w:t>generación.</w:t>
      </w:r>
    </w:p>
    <w:p w14:paraId="20E1F162" w14:textId="1B05DAEC" w:rsidR="002E0C48" w:rsidRPr="00041E59" w:rsidRDefault="00740AF6" w:rsidP="00E778E4">
      <w:pPr>
        <w:pStyle w:val="Ttulo1"/>
        <w:rPr>
          <w:sz w:val="19"/>
          <w:szCs w:val="19"/>
        </w:rPr>
      </w:pPr>
      <w:bookmarkStart w:id="15" w:name="_Toc55381922"/>
      <w:bookmarkStart w:id="16" w:name="_Toc55382057"/>
      <w:bookmarkStart w:id="17" w:name="_Toc55382092"/>
      <w:bookmarkStart w:id="18" w:name="_Toc55381923"/>
      <w:bookmarkStart w:id="19" w:name="_Toc55382058"/>
      <w:bookmarkStart w:id="20" w:name="_Toc55382093"/>
      <w:bookmarkStart w:id="21" w:name="_Toc55382521"/>
      <w:bookmarkStart w:id="22" w:name="_Toc55381924"/>
      <w:bookmarkStart w:id="23" w:name="_Toc55382059"/>
      <w:bookmarkStart w:id="24" w:name="_Toc55382094"/>
      <w:bookmarkStart w:id="25" w:name="_Toc55382522"/>
      <w:bookmarkStart w:id="26" w:name="_Toc145492492"/>
      <w:bookmarkEnd w:id="15"/>
      <w:bookmarkEnd w:id="16"/>
      <w:bookmarkEnd w:id="17"/>
      <w:bookmarkEnd w:id="18"/>
      <w:bookmarkEnd w:id="19"/>
      <w:bookmarkEnd w:id="20"/>
      <w:bookmarkEnd w:id="21"/>
      <w:bookmarkEnd w:id="22"/>
      <w:bookmarkEnd w:id="23"/>
      <w:bookmarkEnd w:id="24"/>
      <w:bookmarkEnd w:id="25"/>
      <w:r>
        <w:t>MODELOS DE SEGUNDA GENERACIÓN</w:t>
      </w:r>
      <w:r w:rsidR="00113C8E">
        <w:t xml:space="preserve"> (</w:t>
      </w:r>
      <w:r w:rsidR="00113C8E">
        <w:rPr>
          <w:caps w:val="0"/>
          <w:smallCaps/>
        </w:rPr>
        <w:t>Obstfeld</w:t>
      </w:r>
      <w:r w:rsidR="00113C8E">
        <w:rPr>
          <w:caps w:val="0"/>
        </w:rPr>
        <w:t xml:space="preserve">, </w:t>
      </w:r>
      <w:r w:rsidR="00113C8E">
        <w:rPr>
          <w:caps w:val="0"/>
          <w:smallCaps/>
        </w:rPr>
        <w:t>Calvo</w:t>
      </w:r>
      <w:r w:rsidR="00113C8E">
        <w:rPr>
          <w:caps w:val="0"/>
        </w:rPr>
        <w:t xml:space="preserve"> y </w:t>
      </w:r>
      <w:r w:rsidR="00113C8E">
        <w:rPr>
          <w:caps w:val="0"/>
          <w:smallCaps/>
        </w:rPr>
        <w:t>Jeanne</w:t>
      </w:r>
      <w:r w:rsidR="00113C8E">
        <w:rPr>
          <w:caps w:val="0"/>
        </w:rPr>
        <w:t>, 1990s</w:t>
      </w:r>
      <w:r w:rsidR="00113C8E">
        <w:t>)</w:t>
      </w:r>
      <w:r w:rsidR="00411A26">
        <w:t>:</w:t>
      </w:r>
      <w:r w:rsidR="00E778E4">
        <w:br/>
      </w:r>
      <w:r w:rsidR="00E778E4" w:rsidRPr="00041E59">
        <w:rPr>
          <w:sz w:val="19"/>
          <w:szCs w:val="19"/>
        </w:rPr>
        <w:t>CRISIS MONETARIAS DE EXPECTATIVAS AUTOCUMPLIDAS</w:t>
      </w:r>
      <w:bookmarkEnd w:id="26"/>
    </w:p>
    <w:p w14:paraId="21D5789E" w14:textId="0CDABD2A" w:rsidR="0082171E" w:rsidRDefault="0082171E" w:rsidP="005A0870">
      <w:pPr>
        <w:pStyle w:val="Ttulo2"/>
      </w:pPr>
      <w:bookmarkStart w:id="27" w:name="_Toc145492493"/>
      <w:r>
        <w:t>Idea</w:t>
      </w:r>
      <w:bookmarkEnd w:id="27"/>
    </w:p>
    <w:p w14:paraId="68E186F2" w14:textId="25A0CA4E" w:rsidR="00252466" w:rsidRDefault="00252466" w:rsidP="00DC4DF2">
      <w:pPr>
        <w:pStyle w:val="Nivel1SM"/>
        <w:spacing w:before="0"/>
      </w:pPr>
      <w:r>
        <w:t xml:space="preserve">Los modelos de </w:t>
      </w:r>
      <w:r w:rsidR="00FE5AE6">
        <w:t>2ª </w:t>
      </w:r>
      <w:r>
        <w:t xml:space="preserve">generación surgieron a raíz de la </w:t>
      </w:r>
      <w:r>
        <w:rPr>
          <w:b/>
          <w:bCs/>
        </w:rPr>
        <w:t>crisis del SME de 1992</w:t>
      </w:r>
      <w:r>
        <w:t>, que los modelos de 1ª</w:t>
      </w:r>
      <w:r w:rsidR="00DC4DF2">
        <w:t> </w:t>
      </w:r>
      <w:r>
        <w:t>generación no eran capaces de explicar, ya que, por ejemplo Reino Unido sufrió ataques especulativos pese a no tener problemas en sus fun</w:t>
      </w:r>
      <w:r w:rsidR="00E74F82">
        <w:t>d</w:t>
      </w:r>
      <w:r>
        <w:t>amentales.</w:t>
      </w:r>
    </w:p>
    <w:p w14:paraId="2493292A" w14:textId="6EE1AF57" w:rsidR="00CB2F85" w:rsidRPr="00CB2F85" w:rsidRDefault="00CB2F85" w:rsidP="00CB2F85">
      <w:pPr>
        <w:pStyle w:val="Nivel1SM"/>
        <w:keepNext/>
        <w:spacing w:after="0"/>
      </w:pPr>
      <w:r>
        <w:lastRenderedPageBreak/>
        <w:t xml:space="preserve">Estos modelos, desarrollados por autores como </w:t>
      </w:r>
      <w:r>
        <w:rPr>
          <w:smallCaps/>
        </w:rPr>
        <w:t>Obstfeld</w:t>
      </w:r>
      <w:r>
        <w:t xml:space="preserve">, </w:t>
      </w:r>
      <w:r>
        <w:rPr>
          <w:smallCaps/>
        </w:rPr>
        <w:t>Calvo</w:t>
      </w:r>
      <w:r>
        <w:t xml:space="preserve"> y </w:t>
      </w:r>
      <w:r>
        <w:rPr>
          <w:smallCaps/>
        </w:rPr>
        <w:t>Jeanne</w:t>
      </w:r>
      <w:r w:rsidRPr="00CB2F85">
        <w:rPr>
          <w:iCs/>
        </w:rPr>
        <w:t>, persi</w:t>
      </w:r>
      <w:r>
        <w:rPr>
          <w:iCs/>
        </w:rPr>
        <w:t xml:space="preserve">guen explicar la crisis del SME, donde sobresalen </w:t>
      </w:r>
      <w:r w:rsidR="001024FE">
        <w:rPr>
          <w:iCs/>
        </w:rPr>
        <w:t>3 </w:t>
      </w:r>
      <w:r>
        <w:rPr>
          <w:iCs/>
        </w:rPr>
        <w:t>elementos fundamentales:</w:t>
      </w:r>
    </w:p>
    <w:p w14:paraId="537D7D8F" w14:textId="0B0B73C9" w:rsidR="00CB2F85" w:rsidRDefault="00CB2F85">
      <w:pPr>
        <w:pStyle w:val="Prrafodelista"/>
        <w:numPr>
          <w:ilvl w:val="0"/>
          <w:numId w:val="10"/>
        </w:numPr>
        <w:spacing w:after="100"/>
        <w:ind w:left="568" w:hanging="284"/>
      </w:pPr>
      <w:r>
        <w:rPr>
          <w:i/>
          <w:iCs/>
        </w:rPr>
        <w:t>Pérdida de la credibilidad en el tipo de cambio fijo</w:t>
      </w:r>
      <w:r>
        <w:t xml:space="preserve"> (al igual que en los modelos de 1ª</w:t>
      </w:r>
      <w:r w:rsidR="00DC4DF2">
        <w:t> </w:t>
      </w:r>
      <w:r>
        <w:t>generación): Sin embarg</w:t>
      </w:r>
      <w:r w:rsidR="001024FE">
        <w:t>o</w:t>
      </w:r>
      <w:r>
        <w:t>, el origen de la crisis no viene provocad</w:t>
      </w:r>
      <w:r w:rsidR="001024FE">
        <w:t>o</w:t>
      </w:r>
      <w:r>
        <w:t xml:space="preserve"> por un paulatino agotamiento de las reservas que condujese inexorablemente al abandono del tipo de cambio fijo, es decir, el origen no está inexorablemente ligado a un deterioro de los fundamentos económicos (no hay una relación unívoca entre fundamentos y crisis).</w:t>
      </w:r>
    </w:p>
    <w:p w14:paraId="1F0479B1" w14:textId="3B40AAD9" w:rsidR="00CB2F85" w:rsidRPr="0003540D" w:rsidRDefault="00CB2F85">
      <w:pPr>
        <w:pStyle w:val="Prrafodelista"/>
        <w:numPr>
          <w:ilvl w:val="0"/>
          <w:numId w:val="10"/>
        </w:numPr>
        <w:spacing w:after="100"/>
        <w:ind w:left="568" w:hanging="284"/>
        <w:rPr>
          <w:spacing w:val="-4"/>
        </w:rPr>
      </w:pPr>
      <w:r w:rsidRPr="0003540D">
        <w:rPr>
          <w:i/>
          <w:iCs/>
          <w:spacing w:val="-4"/>
        </w:rPr>
        <w:t>Posibilidad de equilibrios múltiples</w:t>
      </w:r>
      <w:r w:rsidRPr="0003540D">
        <w:rPr>
          <w:spacing w:val="-4"/>
        </w:rPr>
        <w:t>: En estos modelos, los agentes pueden tener distintas expectativas que conduzcan a resultados distintos (mantenimiento de un sistema de tipo de cambio fijo o crisis).</w:t>
      </w:r>
    </w:p>
    <w:p w14:paraId="4DB199B5" w14:textId="4FE26989" w:rsidR="00CB2F85" w:rsidRPr="00FD115D" w:rsidRDefault="00CB2F85">
      <w:pPr>
        <w:pStyle w:val="Prrafodelista"/>
        <w:keepNext/>
        <w:numPr>
          <w:ilvl w:val="0"/>
          <w:numId w:val="10"/>
        </w:numPr>
        <w:spacing w:after="0"/>
        <w:ind w:left="568" w:hanging="284"/>
      </w:pPr>
      <w:r w:rsidRPr="00FD115D">
        <w:rPr>
          <w:i/>
          <w:iCs/>
        </w:rPr>
        <w:t>El comportamiento de las autoridades será estado-dependiente</w:t>
      </w:r>
      <w:r w:rsidR="00FD115D" w:rsidRPr="00FD115D">
        <w:rPr>
          <w:i/>
          <w:iCs/>
        </w:rPr>
        <w:t xml:space="preserve"> (optimizador)</w:t>
      </w:r>
      <w:r w:rsidRPr="00FD115D">
        <w:t xml:space="preserve">: A diferencia de los modelos de </w:t>
      </w:r>
      <w:r w:rsidR="00FE5AE6" w:rsidRPr="00FD115D">
        <w:t>1ª </w:t>
      </w:r>
      <w:r w:rsidRPr="00FD115D">
        <w:t>generación, estos modelos no</w:t>
      </w:r>
      <w:r w:rsidR="00391AAE" w:rsidRPr="00FD115D">
        <w:t> </w:t>
      </w:r>
      <w:r w:rsidRPr="00FD115D">
        <w:t>asumen que las autoridades adopten un comportamiento l</w:t>
      </w:r>
      <w:r w:rsidR="001024FE" w:rsidRPr="00FD115D">
        <w:t>i</w:t>
      </w:r>
      <w:r w:rsidRPr="00FD115D">
        <w:t>nea</w:t>
      </w:r>
      <w:r w:rsidR="001024FE" w:rsidRPr="00FD115D">
        <w:t>l</w:t>
      </w:r>
      <w:r w:rsidRPr="00FD115D">
        <w:t>, sino que su compromiso cambiario es ahora estado-dependiente. Las autoridades pasan a tener un comportamiento optimizador y evalúan de forma continua la idoneidad de mantener el tipo de cambio fijo.</w:t>
      </w:r>
    </w:p>
    <w:p w14:paraId="3AE72D7C" w14:textId="76A7EE5C" w:rsidR="00CB2F85" w:rsidRDefault="00CB2F85" w:rsidP="00CB2F85">
      <w:pPr>
        <w:pStyle w:val="Nivel3SM"/>
        <w:spacing w:after="100"/>
      </w:pPr>
      <w:r>
        <w:t>De esta forma, la devaluación deja de ser función del nivel de reservas internacionales para pasar a serlo de los incentivos a los que se enfrenta el gobierno en la decisión, con lo que la decisión de las autoridades se endogeneiza.</w:t>
      </w:r>
    </w:p>
    <w:p w14:paraId="237024F4" w14:textId="535FE67B" w:rsidR="00CB2F85" w:rsidRDefault="00CB2F85" w:rsidP="00EE05DE">
      <w:pPr>
        <w:pStyle w:val="Nivel3SM"/>
        <w:keepNext/>
      </w:pPr>
      <w:r>
        <w:t>Es decir, el abandono del tipo de cambio no es inevitable sino que es una decisión racional del gobierno dada una serie de parámetros.</w:t>
      </w:r>
    </w:p>
    <w:p w14:paraId="32100531" w14:textId="25CBC38E" w:rsidR="00E778E4" w:rsidRDefault="00E778E4" w:rsidP="00EE05DE">
      <w:pPr>
        <w:pStyle w:val="Nivel4"/>
        <w:spacing w:after="100"/>
        <w:ind w:left="1474"/>
      </w:pPr>
      <w:r>
        <w:t xml:space="preserve">En efecto, en estos modelos el Gobierno </w:t>
      </w:r>
      <w:r w:rsidR="00252466">
        <w:t xml:space="preserve">dispone de más herramientas para </w:t>
      </w:r>
      <w:r w:rsidR="00252466" w:rsidRPr="00252466">
        <w:rPr>
          <w:i/>
          <w:iCs/>
        </w:rPr>
        <w:t>defender el tipo de cambio indefinidamente</w:t>
      </w:r>
      <w:r w:rsidR="00252466">
        <w:t xml:space="preserve"> (controles de cambios, tipos de cambio múltiples, etc.), por lo que no se van a agotar las reservas.</w:t>
      </w:r>
    </w:p>
    <w:p w14:paraId="7A802412" w14:textId="1E16FAE4" w:rsidR="00252466" w:rsidRPr="00E74F82" w:rsidRDefault="00252466" w:rsidP="008B36FE">
      <w:pPr>
        <w:pStyle w:val="Nivel4"/>
        <w:spacing w:after="100"/>
        <w:ind w:left="1474"/>
      </w:pPr>
      <w:r>
        <w:t>Si abandona el tipo de cambio fijo, es porque los costes</w:t>
      </w:r>
      <w:r w:rsidRPr="00252466">
        <w:t xml:space="preserve"> de </w:t>
      </w:r>
      <w:r>
        <w:t>mantenerlo son mayores que los de dejarlo flotar</w:t>
      </w:r>
      <w:r w:rsidR="00E74F82">
        <w:t xml:space="preserve"> (i.e. abandonar el tipo de cambio es una decisión racional y por lo tanto, se endogeniza la decisión del gobierno)</w:t>
      </w:r>
      <w:r w:rsidR="00EE05DE">
        <w:t>, y</w:t>
      </w:r>
      <w:r>
        <w:t xml:space="preserve"> en esos costes tienen una gran influencia las expectativas autocumplidas</w:t>
      </w:r>
      <w:r w:rsidRPr="00252466">
        <w:t xml:space="preserve"> de los agentes</w:t>
      </w:r>
      <w:r>
        <w:t>.</w:t>
      </w:r>
    </w:p>
    <w:p w14:paraId="34F05A6C" w14:textId="77777777" w:rsidR="00C42D86" w:rsidRDefault="00C42D86" w:rsidP="00C42D86">
      <w:pPr>
        <w:pStyle w:val="Nivel1SM"/>
        <w:keepNext/>
        <w:spacing w:after="0"/>
      </w:pPr>
      <w:r>
        <w:t xml:space="preserve">La crisis puede </w:t>
      </w:r>
      <w:r w:rsidRPr="00C42D86">
        <w:rPr>
          <w:b/>
          <w:bCs/>
        </w:rPr>
        <w:t>justificarse</w:t>
      </w:r>
      <w:r>
        <w:t xml:space="preserve"> mediante los siguientes </w:t>
      </w:r>
      <w:r w:rsidRPr="00C42D86">
        <w:rPr>
          <w:b/>
          <w:bCs/>
        </w:rPr>
        <w:t>pasos</w:t>
      </w:r>
      <w:r>
        <w:t>:</w:t>
      </w:r>
    </w:p>
    <w:p w14:paraId="03C9ACC4" w14:textId="21E806F2" w:rsidR="00C42D86" w:rsidRDefault="00C42D86" w:rsidP="00A15354">
      <w:pPr>
        <w:pStyle w:val="Nivel2SM"/>
        <w:keepNext/>
        <w:spacing w:after="0"/>
      </w:pPr>
      <w:r w:rsidRPr="00C42D86">
        <w:rPr>
          <w:i/>
          <w:iCs/>
        </w:rPr>
        <w:t>Paso</w:t>
      </w:r>
      <w:r w:rsidR="00DC4DF2">
        <w:rPr>
          <w:i/>
          <w:iCs/>
        </w:rPr>
        <w:t> </w:t>
      </w:r>
      <w:r w:rsidRPr="00C42D86">
        <w:rPr>
          <w:i/>
          <w:iCs/>
        </w:rPr>
        <w:t>1</w:t>
      </w:r>
      <w:r w:rsidR="006D58C4">
        <w:t xml:space="preserve"> </w:t>
      </w:r>
      <w:r w:rsidR="006D58C4" w:rsidRPr="00A15354">
        <w:rPr>
          <w:sz w:val="19"/>
          <w:szCs w:val="19"/>
        </w:rPr>
        <w:t>(situación inicial y shock)</w:t>
      </w:r>
      <w:r>
        <w:t>:</w:t>
      </w:r>
    </w:p>
    <w:p w14:paraId="6AF59246" w14:textId="4CE5BE67" w:rsidR="00C42D86" w:rsidRDefault="00C42D86" w:rsidP="00A15354">
      <w:pPr>
        <w:pStyle w:val="Nivel3SM"/>
      </w:pPr>
      <w:r>
        <w:t xml:space="preserve">Partimos de una economía con </w:t>
      </w:r>
      <w:r w:rsidRPr="00C42D86">
        <w:rPr>
          <w:b/>
          <w:bCs/>
        </w:rPr>
        <w:t>sólidos fundamentos</w:t>
      </w:r>
      <w:r>
        <w:t>. Por ejemplo tienen capacidad suficiente para defender el tipo de cambio fijo y llevaban una política económica correcta y compatible.</w:t>
      </w:r>
    </w:p>
    <w:p w14:paraId="69F974AC" w14:textId="022BD14D" w:rsidR="00C42D86" w:rsidRDefault="00C42D86" w:rsidP="00A15354">
      <w:pPr>
        <w:pStyle w:val="Nivel3SM"/>
      </w:pPr>
      <w:r>
        <w:t xml:space="preserve">No obstante, dicha economía recibe un </w:t>
      </w:r>
      <w:r w:rsidRPr="00C42D86">
        <w:rPr>
          <w:b/>
          <w:bCs/>
        </w:rPr>
        <w:t>shock</w:t>
      </w:r>
      <w:r>
        <w:t xml:space="preserve"> que pone en jaque el régimen cambiario en el que se encuentra.</w:t>
      </w:r>
    </w:p>
    <w:p w14:paraId="21FDE465" w14:textId="2AE19430" w:rsidR="00C42D86" w:rsidRDefault="00C42D86" w:rsidP="00A15354">
      <w:pPr>
        <w:pStyle w:val="Nivel2SM"/>
        <w:keepNext/>
        <w:spacing w:after="0"/>
      </w:pPr>
      <w:r w:rsidRPr="006D58C4">
        <w:rPr>
          <w:i/>
          <w:iCs/>
        </w:rPr>
        <w:t>Paso</w:t>
      </w:r>
      <w:r w:rsidR="00DC4DF2">
        <w:rPr>
          <w:i/>
          <w:iCs/>
        </w:rPr>
        <w:t> </w:t>
      </w:r>
      <w:r w:rsidRPr="006D58C4">
        <w:rPr>
          <w:i/>
          <w:iCs/>
        </w:rPr>
        <w:t>2</w:t>
      </w:r>
      <w:r w:rsidR="006D58C4">
        <w:t xml:space="preserve"> </w:t>
      </w:r>
      <w:r w:rsidR="006D58C4" w:rsidRPr="00A15354">
        <w:rPr>
          <w:sz w:val="19"/>
          <w:szCs w:val="19"/>
        </w:rPr>
        <w:t>(análisis coste-beneficio)</w:t>
      </w:r>
      <w:r>
        <w:t>:</w:t>
      </w:r>
    </w:p>
    <w:p w14:paraId="242FBE7A" w14:textId="0B146236" w:rsidR="00C42D86" w:rsidRDefault="00C42D86" w:rsidP="00A15354">
      <w:pPr>
        <w:pStyle w:val="Nivel3SM"/>
      </w:pPr>
      <w:r>
        <w:t>A partir de ahí</w:t>
      </w:r>
      <w:r w:rsidR="001024FE">
        <w:t>,</w:t>
      </w:r>
      <w:r>
        <w:t xml:space="preserve"> el gobierno realiza un </w:t>
      </w:r>
      <w:r w:rsidRPr="00C42D86">
        <w:rPr>
          <w:b/>
          <w:bCs/>
        </w:rPr>
        <w:t>análisis coste-beneficio</w:t>
      </w:r>
      <w:r>
        <w:t xml:space="preserve"> de un posible abandono del régimen cambiario</w:t>
      </w:r>
      <w:r w:rsidR="006D58C4">
        <w:t>:</w:t>
      </w:r>
    </w:p>
    <w:p w14:paraId="56AB023F" w14:textId="22A1C135" w:rsidR="00C42D86" w:rsidRDefault="00C42D86" w:rsidP="00A15354">
      <w:pPr>
        <w:pStyle w:val="Nivel4"/>
        <w:keepNext/>
        <w:ind w:left="1474"/>
      </w:pPr>
      <w:r>
        <w:t>Beneficios de mantenimiento del tipo de cambio</w:t>
      </w:r>
      <w:r w:rsidR="00E74F82">
        <w:t xml:space="preserve"> fijo</w:t>
      </w:r>
      <w:r>
        <w:t>:</w:t>
      </w:r>
    </w:p>
    <w:p w14:paraId="79820001" w14:textId="6F6572B9" w:rsidR="00C42D86" w:rsidRDefault="00C42D86" w:rsidP="00A15354">
      <w:pPr>
        <w:pStyle w:val="Nivel5"/>
        <w:ind w:left="1871"/>
      </w:pPr>
      <w:r>
        <w:t>Reputación, inflación controlada, estabilidad cambiaria…</w:t>
      </w:r>
    </w:p>
    <w:p w14:paraId="0B470D65" w14:textId="46CA0B1C" w:rsidR="00C42D86" w:rsidRDefault="00C42D86" w:rsidP="00A15354">
      <w:pPr>
        <w:pStyle w:val="Nivel4"/>
        <w:keepNext/>
        <w:ind w:left="1474"/>
      </w:pPr>
      <w:r>
        <w:t>Costes de mantenimiento del tipo de cambio</w:t>
      </w:r>
      <w:r w:rsidR="00E74F82">
        <w:t xml:space="preserve"> fijo</w:t>
      </w:r>
      <w:r>
        <w:t>:</w:t>
      </w:r>
    </w:p>
    <w:p w14:paraId="3FD985E0" w14:textId="137B0EB7" w:rsidR="00C42D86" w:rsidRDefault="00C42D86" w:rsidP="00A15354">
      <w:pPr>
        <w:pStyle w:val="Nivel5"/>
        <w:ind w:left="1871"/>
      </w:pPr>
      <w:r>
        <w:t>Coste de oportunidad de devaluación</w:t>
      </w:r>
      <w:r w:rsidR="006A55AC">
        <w:t>:</w:t>
      </w:r>
      <w:r w:rsidRPr="006A55AC">
        <w:rPr>
          <w:sz w:val="19"/>
          <w:szCs w:val="19"/>
        </w:rPr>
        <w:t xml:space="preserve"> aumento de las exportaciones, fin de las presiones cambiarias…</w:t>
      </w:r>
    </w:p>
    <w:p w14:paraId="54526A31" w14:textId="5FA88DB9" w:rsidR="00C42D86" w:rsidRPr="006D58C4" w:rsidRDefault="00C42D86" w:rsidP="00A15354">
      <w:pPr>
        <w:pStyle w:val="Nivel5"/>
        <w:keepNext/>
        <w:ind w:left="1871"/>
        <w:rPr>
          <w:sz w:val="19"/>
          <w:szCs w:val="19"/>
        </w:rPr>
      </w:pPr>
      <w:r>
        <w:t>Coste de expectativas de los agentes:</w:t>
      </w:r>
      <w:r w:rsidR="006D58C4" w:rsidRPr="006D58C4">
        <w:rPr>
          <w:sz w:val="19"/>
          <w:szCs w:val="19"/>
        </w:rPr>
        <w:t xml:space="preserve"> S</w:t>
      </w:r>
      <w:r w:rsidRPr="006D58C4">
        <w:rPr>
          <w:sz w:val="19"/>
          <w:szCs w:val="19"/>
        </w:rPr>
        <w:t xml:space="preserve">i </w:t>
      </w:r>
      <w:r w:rsidR="006D58C4" w:rsidRPr="006D58C4">
        <w:rPr>
          <w:sz w:val="19"/>
          <w:szCs w:val="19"/>
        </w:rPr>
        <w:t xml:space="preserve">los agentes </w:t>
      </w:r>
      <w:r w:rsidRPr="006D58C4">
        <w:rPr>
          <w:sz w:val="19"/>
          <w:szCs w:val="19"/>
        </w:rPr>
        <w:t>esperan que el gobierno devalúe o abandone el régimen cambiario llevarán a cabo presiones adicionales</w:t>
      </w:r>
      <w:r w:rsidR="006D58C4" w:rsidRPr="006D58C4">
        <w:rPr>
          <w:sz w:val="19"/>
          <w:szCs w:val="19"/>
        </w:rPr>
        <w:t>:</w:t>
      </w:r>
    </w:p>
    <w:p w14:paraId="78C0C64B" w14:textId="60705B18" w:rsidR="00C42D86" w:rsidRPr="006D58C4" w:rsidRDefault="00C42D86" w:rsidP="00A15354">
      <w:pPr>
        <w:pStyle w:val="Nivel7"/>
        <w:ind w:left="2268"/>
        <w:rPr>
          <w:sz w:val="19"/>
          <w:szCs w:val="19"/>
        </w:rPr>
      </w:pPr>
      <w:r w:rsidRPr="006D58C4">
        <w:rPr>
          <w:sz w:val="19"/>
          <w:szCs w:val="19"/>
        </w:rPr>
        <w:t>Inversores comenzarán a apostar en contra de la moneda.</w:t>
      </w:r>
    </w:p>
    <w:p w14:paraId="16842C0D" w14:textId="6F02FB52" w:rsidR="00C42D86" w:rsidRPr="006D58C4" w:rsidRDefault="00C42D86" w:rsidP="00A15354">
      <w:pPr>
        <w:pStyle w:val="Nivel7"/>
        <w:ind w:left="2268"/>
        <w:rPr>
          <w:sz w:val="19"/>
          <w:szCs w:val="19"/>
        </w:rPr>
      </w:pPr>
      <w:r w:rsidRPr="006D58C4">
        <w:rPr>
          <w:sz w:val="19"/>
          <w:szCs w:val="19"/>
        </w:rPr>
        <w:t>Trabajadores comenzarán a exigir aumentos en los salarios de cara a cubrirse de la futura esperada inflación.</w:t>
      </w:r>
    </w:p>
    <w:p w14:paraId="679AAB7D" w14:textId="0815BA00" w:rsidR="00C42D86" w:rsidRDefault="00C42D86" w:rsidP="00A15354">
      <w:pPr>
        <w:pStyle w:val="Nivel2SM"/>
        <w:keepNext/>
        <w:spacing w:after="0"/>
      </w:pPr>
      <w:r w:rsidRPr="006D58C4">
        <w:rPr>
          <w:i/>
          <w:iCs/>
        </w:rPr>
        <w:lastRenderedPageBreak/>
        <w:t>Paso</w:t>
      </w:r>
      <w:r w:rsidR="00DC4DF2">
        <w:rPr>
          <w:i/>
          <w:iCs/>
        </w:rPr>
        <w:t> </w:t>
      </w:r>
      <w:r w:rsidRPr="006D58C4">
        <w:rPr>
          <w:i/>
          <w:iCs/>
        </w:rPr>
        <w:t>3</w:t>
      </w:r>
      <w:r w:rsidR="006D58C4">
        <w:t xml:space="preserve"> </w:t>
      </w:r>
      <w:r w:rsidR="006D58C4" w:rsidRPr="00A15354">
        <w:rPr>
          <w:sz w:val="19"/>
          <w:szCs w:val="19"/>
        </w:rPr>
        <w:t>(equilibrios múltiples y expectativas autocumplidas)</w:t>
      </w:r>
      <w:r>
        <w:t>:</w:t>
      </w:r>
    </w:p>
    <w:p w14:paraId="4525D85C" w14:textId="10AD23F2" w:rsidR="00C42D86" w:rsidRDefault="00C42D86" w:rsidP="00A15354">
      <w:pPr>
        <w:pStyle w:val="Nivel3SM"/>
      </w:pPr>
      <w:r>
        <w:t xml:space="preserve">Por </w:t>
      </w:r>
      <w:r w:rsidR="006D58C4">
        <w:t>lo tanto,</w:t>
      </w:r>
      <w:r>
        <w:t xml:space="preserve"> estamos en una situación de </w:t>
      </w:r>
      <w:r w:rsidRPr="00C42D86">
        <w:rPr>
          <w:i/>
          <w:iCs/>
        </w:rPr>
        <w:t>equilibrios múltiples</w:t>
      </w:r>
      <w:r>
        <w:t xml:space="preserve"> y </w:t>
      </w:r>
      <w:r w:rsidRPr="00C42D86">
        <w:rPr>
          <w:i/>
          <w:iCs/>
        </w:rPr>
        <w:t>expectativas autocumplidas</w:t>
      </w:r>
      <w:r>
        <w:t>. El equilibrio final (abandono o no) dependerá de las expectativas de los agentes, y lo que ellos crean acabará sucediendo.</w:t>
      </w:r>
    </w:p>
    <w:p w14:paraId="468F46F6" w14:textId="083B6DB8" w:rsidR="0082171E" w:rsidRDefault="0082171E" w:rsidP="005A0870">
      <w:pPr>
        <w:pStyle w:val="Ttulo2"/>
      </w:pPr>
      <w:bookmarkStart w:id="28" w:name="_Toc145492494"/>
      <w:r>
        <w:t>Modelo</w:t>
      </w:r>
      <w:r w:rsidR="00CB2F85">
        <w:t xml:space="preserve"> (</w:t>
      </w:r>
      <w:r w:rsidR="00CB2F85">
        <w:rPr>
          <w:smallCaps/>
        </w:rPr>
        <w:t>Jeanne</w:t>
      </w:r>
      <w:r w:rsidR="00CB2F85">
        <w:t xml:space="preserve">, </w:t>
      </w:r>
      <w:r w:rsidR="00113C8E">
        <w:t>2000</w:t>
      </w:r>
      <w:r w:rsidR="00CB2F85">
        <w:t>)</w:t>
      </w:r>
      <w:bookmarkEnd w:id="28"/>
    </w:p>
    <w:p w14:paraId="358A4CB0" w14:textId="60E370CB" w:rsidR="0082171E" w:rsidRDefault="0082171E" w:rsidP="00DC4DF2">
      <w:pPr>
        <w:pStyle w:val="Ttulo6"/>
        <w:spacing w:before="0"/>
      </w:pPr>
      <w:bookmarkStart w:id="29" w:name="_Toc145492495"/>
      <w:r>
        <w:t>Supuestos</w:t>
      </w:r>
      <w:bookmarkEnd w:id="29"/>
    </w:p>
    <w:p w14:paraId="106AFCB5" w14:textId="3DD1A35C" w:rsidR="0011648E" w:rsidRDefault="0011648E" w:rsidP="00DC4DF2">
      <w:pPr>
        <w:pStyle w:val="Nivel1SM"/>
        <w:keepNext/>
        <w:spacing w:before="0" w:after="0"/>
      </w:pPr>
      <w:r>
        <w:t xml:space="preserve">Similares a los del modelo anterior, sólo que ahora el Gobierno no trata de monetizar el déficit, sino que intenta </w:t>
      </w:r>
      <w:r>
        <w:rPr>
          <w:b/>
          <w:bCs/>
        </w:rPr>
        <w:t>minimizar una función de pérdida</w:t>
      </w:r>
      <w:r w:rsidR="00192908">
        <w:rPr>
          <w:b/>
          <w:bCs/>
        </w:rPr>
        <w:t xml:space="preserve"> social</w:t>
      </w:r>
      <w:r>
        <w:t>, que se compone de:</w:t>
      </w:r>
    </w:p>
    <w:p w14:paraId="6985A306" w14:textId="726D83CF" w:rsidR="00B901B8" w:rsidRDefault="00000000" w:rsidP="00B901B8">
      <w:pPr>
        <w:keepNext/>
        <w:spacing w:after="0"/>
        <w:rPr>
          <w:rFonts w:eastAsiaTheme="minorEastAsia"/>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r>
                      <m:rPr>
                        <m:nor/>
                      </m:rPr>
                      <w:rPr>
                        <w:i/>
                        <w:iCs/>
                      </w:rPr>
                      <m:t>min</m:t>
                    </m:r>
                    <m:r>
                      <w:rPr>
                        <w:rFonts w:ascii="Cambria Math" w:eastAsiaTheme="minorEastAsia" w:hAnsi="Cambria Math"/>
                      </w:rPr>
                      <m:t xml:space="preserve">   </m:t>
                    </m:r>
                  </m:fName>
                  <m:e>
                    <m:r>
                      <m:rPr>
                        <m:nor/>
                      </m:rPr>
                      <w:rPr>
                        <w:rFonts w:ascii="Cambria Math"/>
                        <w:i/>
                        <w:iCs/>
                      </w:rPr>
                      <m:t xml:space="preserve">  </m:t>
                    </m:r>
                    <m:r>
                      <m:rPr>
                        <m:nor/>
                      </m:rPr>
                      <w:rPr>
                        <w:i/>
                        <w:iCs/>
                      </w:rPr>
                      <m:t>L</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p>
                              <m:sSupPr>
                                <m:ctrlPr>
                                  <w:rPr>
                                    <w:rFonts w:ascii="Cambria Math" w:hAnsi="Cambria Math"/>
                                    <w:i/>
                                    <w:iCs/>
                                  </w:rPr>
                                </m:ctrlPr>
                              </m:sSupPr>
                              <m:e>
                                <m:d>
                                  <m:dPr>
                                    <m:ctrlPr>
                                      <w:rPr>
                                        <w:rFonts w:ascii="Cambria Math" w:hAnsi="Cambria Math"/>
                                        <w:i/>
                                        <w:iCs/>
                                      </w:rPr>
                                    </m:ctrlPr>
                                  </m:dPr>
                                  <m:e>
                                    <m:r>
                                      <m:rPr>
                                        <m:nor/>
                                      </m:rPr>
                                      <w:rPr>
                                        <w:i/>
                                        <w:iCs/>
                                      </w:rPr>
                                      <m:t>Y*</m:t>
                                    </m:r>
                                    <m:r>
                                      <w:rPr>
                                        <w:rFonts w:ascii="Cambria Math" w:hAnsi="Cambria Math"/>
                                      </w:rPr>
                                      <m:t>-</m:t>
                                    </m:r>
                                    <m:r>
                                      <m:rPr>
                                        <m:nor/>
                                      </m:rPr>
                                      <w:rPr>
                                        <w:i/>
                                        <w:iCs/>
                                      </w:rPr>
                                      <m:t>Y</m:t>
                                    </m:r>
                                  </m:e>
                                </m:d>
                              </m:e>
                              <m:sup>
                                <m:r>
                                  <m:rPr>
                                    <m:nor/>
                                  </m:rPr>
                                  <w:rPr>
                                    <w:i/>
                                    <w:iCs/>
                                  </w:rPr>
                                  <m:t>2</m:t>
                                </m:r>
                              </m:sup>
                            </m:sSup>
                          </m:e>
                        </m:groupChr>
                      </m:e>
                      <m:lim>
                        <m:eqArr>
                          <m:eqArrPr>
                            <m:ctrlPr>
                              <w:rPr>
                                <w:rFonts w:ascii="Cambria Math" w:hAnsi="Cambria Math"/>
                                <w:i/>
                                <w:iCs/>
                              </w:rPr>
                            </m:ctrlPr>
                          </m:eqArrPr>
                          <m:e>
                            <m:r>
                              <m:rPr>
                                <m:nor/>
                              </m:rPr>
                              <w:rPr>
                                <w:i/>
                                <w:iCs/>
                              </w:rPr>
                              <m:t>Coste de mantener</m:t>
                            </m:r>
                          </m:e>
                          <m:e>
                            <m:r>
                              <m:rPr>
                                <m:nor/>
                              </m:rPr>
                              <w:rPr>
                                <w:i/>
                                <w:iCs/>
                              </w:rPr>
                              <m:t>tipo de cambio fijo</m:t>
                            </m:r>
                          </m:e>
                        </m:eqArr>
                      </m:lim>
                    </m:limUpp>
                    <m:r>
                      <w:rPr>
                        <w:rFonts w:ascii="Cambria Math" w:hAnsi="Cambria Math"/>
                      </w:rPr>
                      <m:t>+</m:t>
                    </m:r>
                    <m:limUpp>
                      <m:limUppPr>
                        <m:ctrlPr>
                          <w:rPr>
                            <w:rFonts w:ascii="Cambria Math" w:hAnsi="Cambria Math"/>
                            <w:i/>
                            <w:iCs/>
                            <w:lang w:val="en-US"/>
                          </w:rPr>
                        </m:ctrlPr>
                      </m:limUppPr>
                      <m:e>
                        <m:groupChr>
                          <m:groupChrPr>
                            <m:chr m:val="⏞"/>
                            <m:pos m:val="top"/>
                            <m:vertJc m:val="bot"/>
                            <m:ctrlPr>
                              <w:rPr>
                                <w:rFonts w:ascii="Cambria Math" w:hAnsi="Cambria Math"/>
                                <w:i/>
                                <w:iCs/>
                                <w:lang w:val="en-US"/>
                              </w:rPr>
                            </m:ctrlPr>
                          </m:groupChrPr>
                          <m:e>
                            <m:r>
                              <m:rPr>
                                <m:nor/>
                              </m:rPr>
                              <w:rPr>
                                <w:i/>
                                <w:iCs/>
                                <w:lang w:val="en-US"/>
                              </w:rPr>
                              <m:t>α</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2</m:t>
                                </m:r>
                              </m:sup>
                            </m:sSup>
                          </m:e>
                        </m:groupChr>
                      </m:e>
                      <m:lim>
                        <m:eqArr>
                          <m:eqArrPr>
                            <m:ctrlPr>
                              <w:rPr>
                                <w:rFonts w:ascii="Cambria Math" w:hAnsi="Cambria Math"/>
                                <w:i/>
                                <w:iCs/>
                              </w:rPr>
                            </m:ctrlPr>
                          </m:eqArrPr>
                          <m:e>
                            <m:r>
                              <m:rPr>
                                <m:nor/>
                              </m:rPr>
                              <w:rPr>
                                <w:i/>
                                <w:iCs/>
                              </w:rPr>
                              <m:t>Coste de tener</m:t>
                            </m:r>
                          </m:e>
                          <m:e>
                            <m:r>
                              <m:rPr>
                                <m:nor/>
                              </m:rPr>
                              <w:rPr>
                                <w:i/>
                                <w:iCs/>
                              </w:rPr>
                              <m:t>tipo de cambio flexible</m:t>
                            </m:r>
                            <m:ctrlPr>
                              <w:rPr>
                                <w:rFonts w:ascii="Cambria Math" w:eastAsia="Cambria Math" w:hAnsi="Cambria Math" w:cs="Cambria Math"/>
                                <w:i/>
                                <w:iCs/>
                              </w:rPr>
                            </m:ctrlPr>
                          </m:e>
                          <m:e>
                            <m:r>
                              <m:rPr>
                                <m:nor/>
                              </m:rPr>
                              <w:rPr>
                                <w:i/>
                                <w:iCs/>
                              </w:rPr>
                              <m:t xml:space="preserve"> (inflación)</m:t>
                            </m:r>
                          </m:e>
                        </m:eqArr>
                      </m:lim>
                    </m:limUpp>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C</m:t>
                            </m:r>
                            <m:d>
                              <m:dPr>
                                <m:ctrlPr>
                                  <w:rPr>
                                    <w:rFonts w:ascii="Cambria Math" w:hAnsi="Cambria Math"/>
                                    <w:i/>
                                    <w:iCs/>
                                  </w:rPr>
                                </m:ctrlPr>
                              </m:dPr>
                              <m:e>
                                <m:r>
                                  <m:rPr>
                                    <m:nor/>
                                  </m:rPr>
                                  <w:rPr>
                                    <w:i/>
                                    <w:iCs/>
                                    <w:spacing w:val="-1"/>
                                    <w:lang w:val="en-US"/>
                                  </w:rPr>
                                  <m:t>ϕ</m:t>
                                </m:r>
                              </m:e>
                            </m:d>
                          </m:e>
                        </m:groupChr>
                      </m:e>
                      <m:lim>
                        <m:eqArr>
                          <m:eqArrPr>
                            <m:ctrlPr>
                              <w:rPr>
                                <w:rFonts w:ascii="Cambria Math" w:hAnsi="Cambria Math"/>
                                <w:i/>
                                <w:iCs/>
                              </w:rPr>
                            </m:ctrlPr>
                          </m:eqArrPr>
                          <m:e>
                            <m:r>
                              <m:rPr>
                                <m:nor/>
                              </m:rPr>
                              <w:rPr>
                                <w:i/>
                                <w:iCs/>
                              </w:rPr>
                              <m:t>Coste de abandonar</m:t>
                            </m:r>
                          </m:e>
                          <m:e>
                            <m:r>
                              <m:rPr>
                                <m:nor/>
                              </m:rPr>
                              <w:rPr>
                                <w:i/>
                                <w:iCs/>
                              </w:rPr>
                              <m:t>tipo de cambio fijo</m:t>
                            </m:r>
                            <m:ctrlPr>
                              <w:rPr>
                                <w:rFonts w:ascii="Cambria Math" w:eastAsia="Cambria Math" w:hAnsi="Cambria Math" w:cs="Cambria Math"/>
                                <w:i/>
                                <w:iCs/>
                              </w:rPr>
                            </m:ctrlPr>
                          </m:e>
                          <m:e>
                            <m:r>
                              <m:rPr>
                                <m:nor/>
                              </m:rPr>
                              <w:rPr>
                                <w:i/>
                                <w:iCs/>
                              </w:rPr>
                              <m:t xml:space="preserve"> (realineamiento)</m:t>
                            </m:r>
                          </m:e>
                        </m:eqArr>
                      </m:lim>
                    </m:limUpp>
                    <m:r>
                      <w:rPr>
                        <w:rFonts w:ascii="Cambria Math" w:hAnsi="Cambria Math"/>
                      </w:rPr>
                      <m:t xml:space="preserve">   </m:t>
                    </m:r>
                  </m:e>
                </m:func>
                <m:r>
                  <w:rPr>
                    <w:rFonts w:ascii="Cambria Math" w:eastAsiaTheme="minorEastAsia" w:hAnsi="Cambria Math"/>
                  </w:rPr>
                  <m:t xml:space="preserve">         </m:t>
                </m:r>
              </m:e>
            </m:mr>
            <m:mr>
              <m:e>
                <m:m>
                  <m:mPr>
                    <m:mcs>
                      <m:mc>
                        <m:mcPr>
                          <m:count m:val="2"/>
                          <m:mcJc m:val="center"/>
                        </m:mcPr>
                      </m:mc>
                    </m:mcs>
                    <m:ctrlPr>
                      <w:rPr>
                        <w:rFonts w:ascii="Cambria Math" w:eastAsiaTheme="minorEastAsia" w:hAnsi="Cambria Math"/>
                        <w:i/>
                      </w:rPr>
                    </m:ctrlPr>
                  </m:mPr>
                  <m:mr>
                    <m:e>
                      <m:r>
                        <m:rPr>
                          <m:nor/>
                        </m:rPr>
                        <w:rPr>
                          <w:i/>
                        </w:rPr>
                        <m:t>s.a</m:t>
                      </m:r>
                    </m:e>
                    <m:e>
                      <m:d>
                        <m:dPr>
                          <m:begChr m:val="{"/>
                          <m:endChr m:val=""/>
                          <m:ctrlPr>
                            <w:rPr>
                              <w:rFonts w:ascii="Cambria Math" w:hAnsi="Cambria Math"/>
                              <w:i/>
                            </w:rPr>
                          </m:ctrlPr>
                        </m:dPr>
                        <m:e>
                          <m:m>
                            <m:mPr>
                              <m:mcs>
                                <m:mc>
                                  <m:mcPr>
                                    <m:count m:val="1"/>
                                    <m:mcJc m:val="center"/>
                                  </m:mcPr>
                                </m:mc>
                              </m:mcs>
                              <m:ctrlPr>
                                <w:rPr>
                                  <w:rFonts w:ascii="Cambria Math" w:hAnsi="Cambria Math"/>
                                  <w:i/>
                                  <w:iCs/>
                                </w:rPr>
                              </m:ctrlPr>
                            </m:mPr>
                            <m:mr>
                              <m:e>
                                <m:r>
                                  <m:rPr>
                                    <m:nor/>
                                  </m:rPr>
                                  <w:rPr>
                                    <w:i/>
                                    <w:iCs/>
                                  </w:rPr>
                                  <m:t>Y</m:t>
                                </m:r>
                                <m:r>
                                  <w:rPr>
                                    <w:rFonts w:ascii="Cambria Math" w:hAnsi="Cambria Math"/>
                                  </w:rPr>
                                  <m:t>=</m:t>
                                </m:r>
                                <m:sSub>
                                  <m:sSubPr>
                                    <m:ctrlPr>
                                      <w:rPr>
                                        <w:rFonts w:ascii="Cambria Math" w:hAnsi="Cambria Math"/>
                                        <w:i/>
                                        <w:iCs/>
                                      </w:rPr>
                                    </m:ctrlPr>
                                  </m:sSubPr>
                                  <m:e>
                                    <m:r>
                                      <m:rPr>
                                        <m:nor/>
                                      </m:rPr>
                                      <w:rPr>
                                        <w:i/>
                                        <w:iCs/>
                                      </w:rPr>
                                      <m:t>Y</m:t>
                                    </m:r>
                                  </m:e>
                                  <m:sub>
                                    <m:r>
                                      <m:rPr>
                                        <m:nor/>
                                      </m:rPr>
                                      <w:rPr>
                                        <w:i/>
                                        <w:iCs/>
                                      </w:rPr>
                                      <m:t>TNP</m:t>
                                    </m:r>
                                  </m:sub>
                                </m:sSub>
                                <m:r>
                                  <w:rPr>
                                    <w:rFonts w:ascii="Cambria Math" w:hAnsi="Cambria Math"/>
                                  </w:rPr>
                                  <m:t>+</m:t>
                                </m:r>
                                <m:d>
                                  <m:dPr>
                                    <m:ctrlPr>
                                      <w:rPr>
                                        <w:rFonts w:ascii="Cambria Math" w:hAnsi="Cambria Math"/>
                                        <w:i/>
                                        <w:iCs/>
                                      </w:rPr>
                                    </m:ctrlPr>
                                  </m:dPr>
                                  <m:e>
                                    <m:r>
                                      <m:rPr>
                                        <m:nor/>
                                      </m:rPr>
                                      <w:rPr>
                                        <w:i/>
                                        <w:lang w:val="en-US"/>
                                      </w:rPr>
                                      <m:t>π</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e>
                                </m:d>
                                <m:r>
                                  <w:rPr>
                                    <w:rFonts w:ascii="Cambria Math" w:hAnsi="Cambria Math"/>
                                  </w:rPr>
                                  <m:t>+</m:t>
                                </m:r>
                                <m:r>
                                  <m:rPr>
                                    <m:nor/>
                                  </m:rPr>
                                  <w:rPr>
                                    <w:i/>
                                    <w:iCs/>
                                  </w:rPr>
                                  <m:t>z</m:t>
                                </m:r>
                              </m:e>
                            </m:mr>
                            <m:mr>
                              <m:e>
                                <m:r>
                                  <m:rPr>
                                    <m:nor/>
                                  </m:rPr>
                                  <w:rPr>
                                    <w:i/>
                                    <w:iCs/>
                                  </w:rPr>
                                  <m:t>Y*</m:t>
                                </m:r>
                                <m:r>
                                  <w:rPr>
                                    <w:rFonts w:ascii="Cambria Math" w:hAnsi="Cambria Math"/>
                                  </w:rPr>
                                  <m:t>-</m:t>
                                </m:r>
                                <m:sSub>
                                  <m:sSubPr>
                                    <m:ctrlPr>
                                      <w:rPr>
                                        <w:rFonts w:ascii="Cambria Math" w:hAnsi="Cambria Math"/>
                                        <w:i/>
                                        <w:iCs/>
                                      </w:rPr>
                                    </m:ctrlPr>
                                  </m:sSubPr>
                                  <m:e>
                                    <m:r>
                                      <m:rPr>
                                        <m:nor/>
                                      </m:rPr>
                                      <w:rPr>
                                        <w:i/>
                                        <w:iCs/>
                                      </w:rPr>
                                      <m:t>Y</m:t>
                                    </m:r>
                                  </m:e>
                                  <m:sub>
                                    <m:r>
                                      <m:rPr>
                                        <m:nor/>
                                      </m:rPr>
                                      <w:rPr>
                                        <w:i/>
                                        <w:iCs/>
                                      </w:rPr>
                                      <m:t>TNP</m:t>
                                    </m:r>
                                  </m:sub>
                                </m:sSub>
                                <m:r>
                                  <w:rPr>
                                    <w:rFonts w:ascii="Cambria Math" w:hAnsi="Cambria Math"/>
                                  </w:rPr>
                                  <m:t>=</m:t>
                                </m:r>
                                <m:r>
                                  <m:rPr>
                                    <m:nor/>
                                  </m:rPr>
                                  <w:rPr>
                                    <w:i/>
                                    <w:iCs/>
                                  </w:rPr>
                                  <m:t>K</m:t>
                                </m:r>
                                <m:r>
                                  <w:rPr>
                                    <w:rFonts w:ascii="Cambria Math" w:hAnsi="Cambria Math"/>
                                  </w:rPr>
                                  <m:t>&gt;</m:t>
                                </m:r>
                                <m:r>
                                  <m:rPr>
                                    <m:nor/>
                                  </m:rPr>
                                  <w:rPr>
                                    <w:i/>
                                    <w:iCs/>
                                  </w:rPr>
                                  <m:t xml:space="preserve">0           </m:t>
                                </m:r>
                              </m:e>
                            </m:mr>
                          </m:m>
                          <m:r>
                            <w:rPr>
                              <w:rFonts w:ascii="Cambria Math" w:hAnsi="Cambria Math"/>
                              <w:color w:val="AEAAAA" w:themeColor="background2" w:themeShade="BF"/>
                            </w:rPr>
                            <m:t>⟹</m:t>
                          </m:r>
                          <m:r>
                            <m:rPr>
                              <m:nor/>
                            </m:rPr>
                            <w:rPr>
                              <w:i/>
                              <w:iCs/>
                              <w:color w:val="AEAAAA" w:themeColor="background2" w:themeShade="BF"/>
                            </w:rPr>
                            <m:t>Y*</m:t>
                          </m:r>
                          <m:r>
                            <w:rPr>
                              <w:rFonts w:ascii="Cambria Math" w:hAnsi="Cambria Math"/>
                              <w:color w:val="AEAAAA" w:themeColor="background2" w:themeShade="BF"/>
                            </w:rPr>
                            <m:t>-</m:t>
                          </m:r>
                          <m:r>
                            <m:rPr>
                              <m:nor/>
                            </m:rPr>
                            <w:rPr>
                              <w:i/>
                              <w:iCs/>
                              <w:color w:val="AEAAAA" w:themeColor="background2" w:themeShade="BF"/>
                            </w:rPr>
                            <m:t>Y</m:t>
                          </m:r>
                          <m:r>
                            <w:rPr>
                              <w:rFonts w:ascii="Cambria Math" w:hAnsi="Cambria Math"/>
                              <w:color w:val="AEAAAA" w:themeColor="background2" w:themeShade="BF"/>
                            </w:rPr>
                            <m:t>=</m:t>
                          </m:r>
                          <m:r>
                            <m:rPr>
                              <m:nor/>
                            </m:rPr>
                            <w:rPr>
                              <w:i/>
                              <w:iCs/>
                              <w:color w:val="AEAAAA" w:themeColor="background2" w:themeShade="BF"/>
                            </w:rPr>
                            <m:t>K</m:t>
                          </m:r>
                          <m:r>
                            <w:rPr>
                              <w:rFonts w:ascii="Cambria Math" w:hAnsi="Cambria Math"/>
                              <w:color w:val="AEAAAA" w:themeColor="background2" w:themeShade="BF"/>
                            </w:rPr>
                            <m:t>-</m:t>
                          </m:r>
                          <m:d>
                            <m:dPr>
                              <m:ctrlPr>
                                <w:rPr>
                                  <w:rFonts w:ascii="Cambria Math" w:hAnsi="Cambria Math"/>
                                  <w:i/>
                                  <w:iCs/>
                                  <w:color w:val="AEAAAA" w:themeColor="background2" w:themeShade="BF"/>
                                </w:rPr>
                              </m:ctrlPr>
                            </m:dPr>
                            <m:e>
                              <m:r>
                                <m:rPr>
                                  <m:nor/>
                                </m:rPr>
                                <w:rPr>
                                  <w:i/>
                                  <w:color w:val="AEAAAA" w:themeColor="background2" w:themeShade="BF"/>
                                  <w:lang w:val="en-US"/>
                                </w:rPr>
                                <m:t>π</m:t>
                              </m:r>
                              <m:r>
                                <w:rPr>
                                  <w:rFonts w:ascii="Cambria Math" w:hAnsi="Cambria Math"/>
                                  <w:color w:val="AEAAAA" w:themeColor="background2" w:themeShade="BF"/>
                                </w:rPr>
                                <m:t>-</m:t>
                              </m:r>
                              <m:sSup>
                                <m:sSupPr>
                                  <m:ctrlPr>
                                    <w:rPr>
                                      <w:rFonts w:ascii="Cambria Math" w:hAnsi="Cambria Math"/>
                                      <w:i/>
                                      <w:color w:val="AEAAAA" w:themeColor="background2" w:themeShade="BF"/>
                                      <w:lang w:val="en-US"/>
                                    </w:rPr>
                                  </m:ctrlPr>
                                </m:sSupPr>
                                <m:e>
                                  <m:r>
                                    <m:rPr>
                                      <m:nor/>
                                    </m:rPr>
                                    <w:rPr>
                                      <w:i/>
                                      <w:color w:val="AEAAAA" w:themeColor="background2" w:themeShade="BF"/>
                                      <w:lang w:val="en-US"/>
                                    </w:rPr>
                                    <m:t>π</m:t>
                                  </m:r>
                                </m:e>
                                <m:sup>
                                  <m:r>
                                    <m:rPr>
                                      <m:nor/>
                                    </m:rPr>
                                    <w:rPr>
                                      <w:i/>
                                      <w:color w:val="AEAAAA" w:themeColor="background2" w:themeShade="BF"/>
                                    </w:rPr>
                                    <m:t>e</m:t>
                                  </m:r>
                                </m:sup>
                              </m:sSup>
                            </m:e>
                          </m:d>
                          <m:r>
                            <w:rPr>
                              <w:rFonts w:ascii="Cambria Math" w:hAnsi="Cambria Math"/>
                              <w:color w:val="AEAAAA" w:themeColor="background2" w:themeShade="BF"/>
                            </w:rPr>
                            <m:t>-</m:t>
                          </m:r>
                          <m:r>
                            <m:rPr>
                              <m:nor/>
                            </m:rPr>
                            <w:rPr>
                              <w:i/>
                              <w:iCs/>
                              <w:color w:val="AEAAAA" w:themeColor="background2" w:themeShade="BF"/>
                            </w:rPr>
                            <m:t>z</m:t>
                          </m:r>
                        </m:e>
                      </m:d>
                    </m:e>
                  </m:mr>
                </m:m>
                <m:r>
                  <w:rPr>
                    <w:rFonts w:ascii="Cambria Math" w:eastAsiaTheme="minorEastAsia" w:hAnsi="Cambria Math"/>
                  </w:rPr>
                  <m:t xml:space="preserve">  </m:t>
                </m:r>
              </m:e>
            </m:mr>
          </m:m>
          <m:r>
            <m:rPr>
              <m:sty m:val="p"/>
            </m:rPr>
            <w:rPr>
              <w:rFonts w:eastAsiaTheme="minorEastAsia"/>
            </w:rPr>
            <w:br/>
          </m:r>
        </m:oMath>
      </m:oMathPara>
      <w:r w:rsidR="00B901B8">
        <w:rPr>
          <w:rFonts w:eastAsiaTheme="minorEastAsia"/>
        </w:rPr>
        <w:t>donde,</w:t>
      </w:r>
    </w:p>
    <w:p w14:paraId="6213ED27" w14:textId="461749EA" w:rsidR="00C42D86" w:rsidRPr="006877B7" w:rsidRDefault="00B901B8" w:rsidP="00B901B8">
      <w:pPr>
        <w:pStyle w:val="Nivel2SM"/>
      </w:pPr>
      <w:r w:rsidRPr="00B901B8">
        <w:rPr>
          <w:i/>
          <w:iCs/>
        </w:rPr>
        <w:t>El coste de mantener el tipo de cambio fijo</w:t>
      </w:r>
      <w:r>
        <w:t xml:space="preserve">, </w:t>
      </w:r>
      <m:oMath>
        <m:sSup>
          <m:sSupPr>
            <m:ctrlPr>
              <w:rPr>
                <w:rFonts w:ascii="Cambria Math" w:hAnsi="Cambria Math"/>
                <w:i/>
                <w:iCs/>
              </w:rPr>
            </m:ctrlPr>
          </m:sSupPr>
          <m:e>
            <m:d>
              <m:dPr>
                <m:ctrlPr>
                  <w:rPr>
                    <w:rFonts w:ascii="Cambria Math" w:hAnsi="Cambria Math"/>
                    <w:i/>
                    <w:iCs/>
                  </w:rPr>
                </m:ctrlPr>
              </m:dPr>
              <m:e>
                <m:r>
                  <m:rPr>
                    <m:nor/>
                  </m:rPr>
                  <w:rPr>
                    <w:i/>
                    <w:iCs/>
                  </w:rPr>
                  <m:t>Y</m:t>
                </m:r>
                <m:r>
                  <w:rPr>
                    <w:rFonts w:ascii="Cambria Math" w:hAnsi="Cambria Math"/>
                  </w:rPr>
                  <m:t>-</m:t>
                </m:r>
                <m:r>
                  <m:rPr>
                    <m:nor/>
                  </m:rPr>
                  <w:rPr>
                    <w:i/>
                    <w:iCs/>
                  </w:rPr>
                  <m:t>Y*</m:t>
                </m:r>
              </m:e>
            </m:d>
          </m:e>
          <m:sup>
            <m:r>
              <m:rPr>
                <m:nor/>
              </m:rPr>
              <w:rPr>
                <w:i/>
                <w:iCs/>
              </w:rPr>
              <m:t>2</m:t>
            </m:r>
          </m:sup>
        </m:sSup>
      </m:oMath>
      <w:r>
        <w:rPr>
          <w:rFonts w:eastAsiaTheme="minorEastAsia"/>
          <w:iCs/>
        </w:rPr>
        <w:t xml:space="preserve">, es la diferencia entre el PIB deseado por el Gobierno, </w:t>
      </w:r>
      <m:oMath>
        <m:r>
          <m:rPr>
            <m:nor/>
          </m:rPr>
          <w:rPr>
            <w:i/>
            <w:iCs/>
          </w:rPr>
          <m:t>Y*</m:t>
        </m:r>
      </m:oMath>
      <w:r>
        <w:rPr>
          <w:rFonts w:eastAsiaTheme="minorEastAsia"/>
          <w:iCs/>
        </w:rPr>
        <w:t xml:space="preserve">, y el PIB que se da, </w:t>
      </w:r>
      <m:oMath>
        <m:r>
          <m:rPr>
            <m:nor/>
          </m:rPr>
          <w:rPr>
            <w:i/>
            <w:iCs/>
          </w:rPr>
          <m:t>Y</m:t>
        </m:r>
      </m:oMath>
      <w:r>
        <w:rPr>
          <w:rFonts w:eastAsiaTheme="minorEastAsia"/>
          <w:iCs/>
        </w:rPr>
        <w:t>, elevado al cuadrado (i.e. el output gap (cambiado de signo) elevado al cuadrado). Este coste tiene lugar con un tipo de cambio fijo y no con un</w:t>
      </w:r>
      <w:r w:rsidR="00FD115D">
        <w:rPr>
          <w:rFonts w:eastAsiaTheme="minorEastAsia"/>
          <w:iCs/>
        </w:rPr>
        <w:t>o</w:t>
      </w:r>
      <w:r>
        <w:rPr>
          <w:rFonts w:eastAsiaTheme="minorEastAsia"/>
          <w:iCs/>
        </w:rPr>
        <w:t xml:space="preserve"> flexible, porque con el flexible el tipo de cambio se ajustaría de modo que el empleo y la producción se ajusten al nivel </w:t>
      </w:r>
      <m:oMath>
        <m:r>
          <m:rPr>
            <m:nor/>
          </m:rPr>
          <w:rPr>
            <w:i/>
            <w:iCs/>
          </w:rPr>
          <m:t>Y*</m:t>
        </m:r>
      </m:oMath>
      <w:r>
        <w:rPr>
          <w:rFonts w:eastAsiaTheme="minorEastAsia"/>
          <w:iCs/>
        </w:rPr>
        <w:t>. Nótese que este coste es cuadrático, de forma que los costes de mantener la paridad aumentan proporcionalmente más que los aumentos del gap.</w:t>
      </w:r>
    </w:p>
    <w:p w14:paraId="63A76A1E" w14:textId="77777777" w:rsidR="006877B7" w:rsidRDefault="006877B7" w:rsidP="006877B7">
      <w:pPr>
        <w:pStyle w:val="Nivel2SM"/>
        <w:spacing w:after="0"/>
      </w:pPr>
      <w:r>
        <w:rPr>
          <w:i/>
          <w:iCs/>
        </w:rPr>
        <w:t>El coste de tener un tipo de cambio flexible</w:t>
      </w:r>
      <w:r>
        <w:t xml:space="preserve">, </w:t>
      </w:r>
      <m:oMath>
        <m:r>
          <m:rPr>
            <m:nor/>
          </m:rPr>
          <w:rPr>
            <w:i/>
            <w:iCs/>
            <w:lang w:val="en-US"/>
          </w:rPr>
          <m:t>α</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2</m:t>
            </m:r>
          </m:sup>
        </m:sSup>
      </m:oMath>
      <w:r>
        <w:t>, es decir, la mayor inflación que suele estar asociada a los regímenes flexibles.</w:t>
      </w:r>
    </w:p>
    <w:p w14:paraId="3E9133A4" w14:textId="0029C449" w:rsidR="00B901B8" w:rsidRPr="00032AD4" w:rsidRDefault="00B901B8" w:rsidP="00B901B8">
      <w:pPr>
        <w:pStyle w:val="Nivel2SM"/>
        <w:rPr>
          <w:spacing w:val="-2"/>
        </w:rPr>
      </w:pPr>
      <w:r w:rsidRPr="00032AD4">
        <w:rPr>
          <w:i/>
          <w:iCs/>
          <w:spacing w:val="-2"/>
        </w:rPr>
        <w:t>El coste de abandonar el tipo de cambio fijo</w:t>
      </w:r>
      <w:r w:rsidRPr="00032AD4">
        <w:rPr>
          <w:spacing w:val="-2"/>
        </w:rPr>
        <w:t>,</w:t>
      </w:r>
      <m:oMath>
        <m:r>
          <w:rPr>
            <w:rFonts w:ascii="Cambria Math" w:hAnsi="Cambria Math"/>
            <w:spacing w:val="-2"/>
          </w:rPr>
          <m:t xml:space="preserve"> </m:t>
        </m:r>
        <m:r>
          <m:rPr>
            <m:nor/>
          </m:rPr>
          <w:rPr>
            <w:i/>
            <w:iCs/>
            <w:spacing w:val="-2"/>
          </w:rPr>
          <m:t>C</m:t>
        </m:r>
        <m:d>
          <m:dPr>
            <m:ctrlPr>
              <w:rPr>
                <w:rFonts w:ascii="Cambria Math" w:hAnsi="Cambria Math"/>
                <w:i/>
                <w:iCs/>
                <w:spacing w:val="-2"/>
              </w:rPr>
            </m:ctrlPr>
          </m:dPr>
          <m:e>
            <m:r>
              <m:rPr>
                <m:nor/>
              </m:rPr>
              <w:rPr>
                <w:i/>
                <w:iCs/>
                <w:spacing w:val="-2"/>
                <w:lang w:val="en-US"/>
              </w:rPr>
              <m:t>ϕ</m:t>
            </m:r>
          </m:e>
        </m:d>
      </m:oMath>
      <w:r w:rsidRPr="00032AD4">
        <w:rPr>
          <w:rFonts w:eastAsiaTheme="minorEastAsia"/>
          <w:iCs/>
          <w:spacing w:val="-2"/>
        </w:rPr>
        <w:t>, en términos de desprestigio político por incumplir el compromiso cambiario, desventajas asociadas a las políticas cambiarias no</w:t>
      </w:r>
      <w:r w:rsidR="000872F7" w:rsidRPr="00032AD4">
        <w:rPr>
          <w:rFonts w:eastAsiaTheme="minorEastAsia"/>
          <w:iCs/>
          <w:spacing w:val="-2"/>
        </w:rPr>
        <w:t> </w:t>
      </w:r>
      <w:r w:rsidRPr="00032AD4">
        <w:rPr>
          <w:rFonts w:eastAsiaTheme="minorEastAsia"/>
          <w:iCs/>
          <w:spacing w:val="-2"/>
        </w:rPr>
        <w:t>cooperativas, aumentos de la incertidumbre que reducen el comercio internacional y la inversión, etc.</w:t>
      </w:r>
    </w:p>
    <w:p w14:paraId="734AC2E3" w14:textId="2E62E52F" w:rsidR="00B901B8" w:rsidRDefault="00B901B8" w:rsidP="00B901B8">
      <w:pPr>
        <w:pStyle w:val="Nivel1SM"/>
        <w:keepNext/>
        <w:numPr>
          <w:ilvl w:val="0"/>
          <w:numId w:val="0"/>
        </w:numPr>
        <w:spacing w:after="0"/>
      </w:pPr>
      <w:r>
        <w:t>En cuanto a las restricciones,</w:t>
      </w:r>
    </w:p>
    <w:p w14:paraId="22FF0B33" w14:textId="59DA4F3A" w:rsidR="00B901B8" w:rsidRPr="00366248" w:rsidRDefault="00B901B8" w:rsidP="00B901B8">
      <w:pPr>
        <w:pStyle w:val="Nivel2SM"/>
      </w:pPr>
      <w:r>
        <w:t>La primera,</w:t>
      </w:r>
      <m:oMath>
        <m:r>
          <w:rPr>
            <w:rFonts w:ascii="Cambria Math" w:hAnsi="Cambria Math"/>
          </w:rPr>
          <m:t xml:space="preserve"> </m:t>
        </m:r>
        <m:r>
          <m:rPr>
            <m:nor/>
          </m:rPr>
          <w:rPr>
            <w:i/>
            <w:iCs/>
          </w:rPr>
          <m:t>Y</m:t>
        </m:r>
        <m:r>
          <w:rPr>
            <w:rFonts w:ascii="Cambria Math" w:hAnsi="Cambria Math"/>
          </w:rPr>
          <m:t>=</m:t>
        </m:r>
        <m:sSub>
          <m:sSubPr>
            <m:ctrlPr>
              <w:rPr>
                <w:rFonts w:ascii="Cambria Math" w:hAnsi="Cambria Math"/>
                <w:i/>
                <w:iCs/>
              </w:rPr>
            </m:ctrlPr>
          </m:sSubPr>
          <m:e>
            <m:r>
              <m:rPr>
                <m:nor/>
              </m:rPr>
              <w:rPr>
                <w:i/>
                <w:iCs/>
              </w:rPr>
              <m:t>Y</m:t>
            </m:r>
          </m:e>
          <m:sub>
            <m:r>
              <m:rPr>
                <m:nor/>
              </m:rPr>
              <w:rPr>
                <w:i/>
                <w:iCs/>
              </w:rPr>
              <m:t>TNP</m:t>
            </m:r>
          </m:sub>
        </m:sSub>
        <m:r>
          <w:rPr>
            <w:rFonts w:ascii="Cambria Math" w:hAnsi="Cambria Math"/>
          </w:rPr>
          <m:t>+</m:t>
        </m:r>
        <m:d>
          <m:dPr>
            <m:ctrlPr>
              <w:rPr>
                <w:rFonts w:ascii="Cambria Math" w:hAnsi="Cambria Math"/>
                <w:i/>
                <w:iCs/>
              </w:rPr>
            </m:ctrlPr>
          </m:dPr>
          <m:e>
            <m:r>
              <m:rPr>
                <m:nor/>
              </m:rPr>
              <w:rPr>
                <w:i/>
                <w:lang w:val="en-US"/>
              </w:rPr>
              <m:t>π</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e>
        </m:d>
        <m:r>
          <w:rPr>
            <w:rFonts w:ascii="Cambria Math" w:hAnsi="Cambria Math"/>
          </w:rPr>
          <m:t>+</m:t>
        </m:r>
        <m:r>
          <m:rPr>
            <m:nor/>
          </m:rPr>
          <w:rPr>
            <w:i/>
            <w:iCs/>
          </w:rPr>
          <m:t>z</m:t>
        </m:r>
      </m:oMath>
      <w:r>
        <w:t xml:space="preserve">, es la </w:t>
      </w:r>
      <w:r>
        <w:rPr>
          <w:i/>
          <w:iCs/>
        </w:rPr>
        <w:t>curva de oferta de Lucas</w:t>
      </w:r>
      <w:r>
        <w:t xml:space="preserve"> </w:t>
      </w:r>
      <w:r w:rsidRPr="00B901B8">
        <w:rPr>
          <w:color w:val="767171" w:themeColor="background2" w:themeShade="80"/>
          <w:sz w:val="19"/>
          <w:szCs w:val="19"/>
        </w:rPr>
        <w:t>[ver tema 3.A.</w:t>
      </w:r>
      <w:r w:rsidR="005015D1">
        <w:rPr>
          <w:color w:val="767171" w:themeColor="background2" w:themeShade="80"/>
          <w:sz w:val="19"/>
          <w:szCs w:val="19"/>
        </w:rPr>
        <w:t>6</w:t>
      </w:r>
      <w:r w:rsidRPr="00B901B8">
        <w:rPr>
          <w:color w:val="767171" w:themeColor="background2" w:themeShade="80"/>
          <w:sz w:val="19"/>
          <w:szCs w:val="19"/>
        </w:rPr>
        <w:t>]</w:t>
      </w:r>
      <w:r>
        <w:t>,</w:t>
      </w:r>
      <w:r w:rsidR="00366248">
        <w:t xml:space="preserve"> que confirma el trade-off entre inflación no esperada y desempleo y donde </w:t>
      </w:r>
      <m:oMath>
        <m:r>
          <m:rPr>
            <m:nor/>
          </m:rPr>
          <w:rPr>
            <w:i/>
            <w:iCs/>
          </w:rPr>
          <m:t>z</m:t>
        </m:r>
      </m:oMath>
      <w:r w:rsidR="00366248">
        <w:rPr>
          <w:rFonts w:eastAsiaTheme="minorEastAsia"/>
          <w:iCs/>
        </w:rPr>
        <w:t xml:space="preserve"> es un shock de oferta aleatorio.</w:t>
      </w:r>
    </w:p>
    <w:p w14:paraId="6B2A9321" w14:textId="3161FD8B" w:rsidR="00366248" w:rsidRPr="009F6615" w:rsidRDefault="00366248" w:rsidP="00B901B8">
      <w:pPr>
        <w:pStyle w:val="Nivel2SM"/>
      </w:pPr>
      <w:r>
        <w:rPr>
          <w:rFonts w:eastAsiaTheme="minorEastAsia"/>
          <w:iCs/>
        </w:rPr>
        <w:t xml:space="preserve">La segunda, </w:t>
      </w:r>
      <m:oMath>
        <m:r>
          <m:rPr>
            <m:nor/>
          </m:rPr>
          <w:rPr>
            <w:i/>
            <w:iCs/>
          </w:rPr>
          <m:t>Y*</m:t>
        </m:r>
        <m:r>
          <w:rPr>
            <w:rFonts w:ascii="Cambria Math" w:hAnsi="Cambria Math"/>
          </w:rPr>
          <m:t>-</m:t>
        </m:r>
        <m:sSub>
          <m:sSubPr>
            <m:ctrlPr>
              <w:rPr>
                <w:rFonts w:ascii="Cambria Math" w:hAnsi="Cambria Math"/>
                <w:i/>
                <w:iCs/>
              </w:rPr>
            </m:ctrlPr>
          </m:sSubPr>
          <m:e>
            <m:r>
              <m:rPr>
                <m:nor/>
              </m:rPr>
              <w:rPr>
                <w:i/>
                <w:iCs/>
              </w:rPr>
              <m:t>Y</m:t>
            </m:r>
          </m:e>
          <m:sub>
            <m:r>
              <m:rPr>
                <m:nor/>
              </m:rPr>
              <w:rPr>
                <w:i/>
                <w:iCs/>
              </w:rPr>
              <m:t>TNP</m:t>
            </m:r>
          </m:sub>
        </m:sSub>
        <m:r>
          <w:rPr>
            <w:rFonts w:ascii="Cambria Math" w:hAnsi="Cambria Math"/>
          </w:rPr>
          <m:t>=</m:t>
        </m:r>
        <m:r>
          <m:rPr>
            <m:nor/>
          </m:rPr>
          <w:rPr>
            <w:i/>
            <w:iCs/>
          </w:rPr>
          <m:t>K</m:t>
        </m:r>
        <m:r>
          <w:rPr>
            <w:rFonts w:ascii="Cambria Math" w:hAnsi="Cambria Math"/>
          </w:rPr>
          <m:t>&gt;</m:t>
        </m:r>
        <m:r>
          <m:rPr>
            <m:nor/>
          </m:rPr>
          <w:rPr>
            <w:i/>
            <w:iCs/>
          </w:rPr>
          <m:t>0</m:t>
        </m:r>
      </m:oMath>
      <w:r>
        <w:rPr>
          <w:rFonts w:eastAsiaTheme="minorEastAsia"/>
          <w:iCs/>
        </w:rPr>
        <w:t xml:space="preserve">, refleja la </w:t>
      </w:r>
      <w:r w:rsidRPr="00366248">
        <w:rPr>
          <w:rFonts w:eastAsiaTheme="minorEastAsia"/>
          <w:i/>
        </w:rPr>
        <w:t xml:space="preserve">diferencia entre el nivel de producción deseado por el Gobierno, </w:t>
      </w:r>
      <m:oMath>
        <m:r>
          <m:rPr>
            <m:nor/>
          </m:rPr>
          <w:rPr>
            <w:i/>
          </w:rPr>
          <m:t>Y*</m:t>
        </m:r>
      </m:oMath>
      <w:r w:rsidRPr="00366248">
        <w:rPr>
          <w:rFonts w:eastAsiaTheme="minorEastAsia"/>
          <w:i/>
        </w:rPr>
        <w:t xml:space="preserve">, y el nivel de producción asociado a la tasa natural de paro, </w:t>
      </w:r>
      <m:oMath>
        <m:sSub>
          <m:sSubPr>
            <m:ctrlPr>
              <w:rPr>
                <w:rFonts w:ascii="Cambria Math" w:hAnsi="Cambria Math"/>
                <w:i/>
              </w:rPr>
            </m:ctrlPr>
          </m:sSubPr>
          <m:e>
            <m:r>
              <m:rPr>
                <m:nor/>
              </m:rPr>
              <w:rPr>
                <w:i/>
              </w:rPr>
              <m:t>Y</m:t>
            </m:r>
          </m:e>
          <m:sub>
            <m:r>
              <m:rPr>
                <m:nor/>
              </m:rPr>
              <w:rPr>
                <w:i/>
              </w:rPr>
              <m:t>TNP</m:t>
            </m:r>
          </m:sub>
        </m:sSub>
      </m:oMath>
      <w:r>
        <w:rPr>
          <w:rFonts w:eastAsiaTheme="minorEastAsia"/>
          <w:iCs/>
        </w:rPr>
        <w:t xml:space="preserve"> (porque el gobierno considera que existe un </w:t>
      </w:r>
      <w:r w:rsidRPr="00366248">
        <w:rPr>
          <w:rFonts w:eastAsiaTheme="minorEastAsia"/>
          <w:iCs/>
        </w:rPr>
        <w:t>trade-off</w:t>
      </w:r>
      <w:r>
        <w:rPr>
          <w:rFonts w:eastAsiaTheme="minorEastAsia"/>
          <w:iCs/>
        </w:rPr>
        <w:t xml:space="preserve"> entre inflación y desempleo en el corto plazo –lo que se refleja en la curva de oferta de Lucas–).</w:t>
      </w:r>
    </w:p>
    <w:p w14:paraId="17488C2C" w14:textId="5D5B1CF6" w:rsidR="009F6615" w:rsidRDefault="009F6615" w:rsidP="009F6615">
      <w:pPr>
        <w:pStyle w:val="Nivel1SM"/>
        <w:keepNext/>
        <w:spacing w:after="0"/>
      </w:pPr>
      <w:r>
        <w:t>Por lo tanto, podemos escribir el problema de la siguiente manera:</w:t>
      </w:r>
    </w:p>
    <w:p w14:paraId="0B72EF33" w14:textId="0D516866" w:rsidR="009F6615" w:rsidRPr="009F6615" w:rsidRDefault="00000000" w:rsidP="00DC4DF2">
      <w:pPr>
        <w:pStyle w:val="Nivel1"/>
        <w:numPr>
          <w:ilvl w:val="0"/>
          <w:numId w:val="0"/>
        </w:numPr>
        <w:spacing w:before="0"/>
        <w:ind w:hanging="198"/>
        <w:rPr>
          <w:i/>
          <w:iCs/>
        </w:rPr>
      </w:pPr>
      <m:oMathPara>
        <m:oMath>
          <m:func>
            <m:funcPr>
              <m:ctrlPr>
                <w:rPr>
                  <w:rFonts w:ascii="Cambria Math" w:eastAsiaTheme="minorEastAsia" w:hAnsi="Cambria Math"/>
                  <w:i/>
                  <w:iCs/>
                </w:rPr>
              </m:ctrlPr>
            </m:funcPr>
            <m:fName>
              <m:r>
                <m:rPr>
                  <m:nor/>
                </m:rPr>
                <w:rPr>
                  <w:i/>
                  <w:iCs/>
                </w:rPr>
                <m:t>min</m:t>
              </m:r>
              <m:r>
                <w:rPr>
                  <w:rFonts w:ascii="Cambria Math" w:eastAsiaTheme="minorEastAsia" w:hAnsi="Cambria Math"/>
                </w:rPr>
                <m:t xml:space="preserve">    </m:t>
              </m:r>
            </m:fName>
            <m:e>
              <m:r>
                <m:rPr>
                  <m:nor/>
                </m:rPr>
                <w:rPr>
                  <w:i/>
                  <w:iCs/>
                </w:rPr>
                <m:t>L</m:t>
              </m:r>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K</m:t>
                      </m:r>
                      <m:r>
                        <w:rPr>
                          <w:rFonts w:ascii="Cambria Math" w:hAnsi="Cambria Math"/>
                        </w:rPr>
                        <m:t>-</m:t>
                      </m:r>
                      <m:d>
                        <m:dPr>
                          <m:ctrlPr>
                            <w:rPr>
                              <w:rFonts w:ascii="Cambria Math" w:hAnsi="Cambria Math"/>
                              <w:i/>
                              <w:iCs/>
                            </w:rPr>
                          </m:ctrlPr>
                        </m:dPr>
                        <m:e>
                          <m:r>
                            <m:rPr>
                              <m:nor/>
                            </m:rPr>
                            <w:rPr>
                              <w:i/>
                              <w:iCs/>
                              <w:lang w:val="en-US"/>
                            </w:rPr>
                            <m:t>π</m:t>
                          </m:r>
                          <m:r>
                            <w:rPr>
                              <w:rFonts w:ascii="Cambria Math" w:hAnsi="Cambria Math"/>
                            </w:rPr>
                            <m:t>-</m:t>
                          </m:r>
                          <m:sSup>
                            <m:sSupPr>
                              <m:ctrlPr>
                                <w:rPr>
                                  <w:rFonts w:ascii="Cambria Math" w:hAnsi="Cambria Math"/>
                                  <w:i/>
                                  <w:iCs/>
                                  <w:lang w:val="en-US"/>
                                </w:rPr>
                              </m:ctrlPr>
                            </m:sSupPr>
                            <m:e>
                              <m:r>
                                <m:rPr>
                                  <m:nor/>
                                </m:rPr>
                                <w:rPr>
                                  <w:i/>
                                  <w:iCs/>
                                  <w:lang w:val="en-US"/>
                                </w:rPr>
                                <m:t>π</m:t>
                              </m:r>
                            </m:e>
                            <m:sup>
                              <m:r>
                                <m:rPr>
                                  <m:nor/>
                                </m:rPr>
                                <w:rPr>
                                  <w:i/>
                                  <w:iCs/>
                                </w:rPr>
                                <m:t>e</m:t>
                              </m:r>
                            </m:sup>
                          </m:sSup>
                        </m:e>
                      </m:d>
                      <m:r>
                        <w:rPr>
                          <w:rFonts w:ascii="Cambria Math" w:hAnsi="Cambria Math"/>
                        </w:rPr>
                        <m:t>-</m:t>
                      </m:r>
                      <m:r>
                        <m:rPr>
                          <m:nor/>
                        </m:rPr>
                        <w:rPr>
                          <w:i/>
                          <w:iCs/>
                        </w:rPr>
                        <m:t>z</m:t>
                      </m:r>
                    </m:e>
                  </m:d>
                </m:e>
                <m:sup>
                  <m:r>
                    <m:rPr>
                      <m:nor/>
                    </m:rPr>
                    <w:rPr>
                      <w:i/>
                      <w:iCs/>
                    </w:rPr>
                    <m:t>2</m:t>
                  </m:r>
                </m:sup>
              </m:sSup>
              <m:r>
                <w:rPr>
                  <w:rFonts w:ascii="Cambria Math" w:hAnsi="Cambria Math"/>
                </w:rPr>
                <m:t>+</m:t>
              </m:r>
              <m:r>
                <m:rPr>
                  <m:nor/>
                </m:rPr>
                <w:rPr>
                  <w:i/>
                  <w:iCs/>
                  <w:lang w:val="en-US"/>
                </w:rPr>
                <m:t>α</m:t>
              </m:r>
              <m:r>
                <w:rPr>
                  <w:rFonts w:ascii="Cambria Math" w:hAnsi="Cambria Math"/>
                </w:rPr>
                <m:t>∙</m:t>
              </m:r>
              <m:sSup>
                <m:sSupPr>
                  <m:ctrlPr>
                    <w:rPr>
                      <w:rFonts w:ascii="Cambria Math" w:hAnsi="Cambria Math"/>
                      <w:i/>
                      <w:iCs/>
                      <w:lang w:val="en-US"/>
                    </w:rPr>
                  </m:ctrlPr>
                </m:sSupPr>
                <m:e>
                  <m:r>
                    <m:rPr>
                      <m:nor/>
                    </m:rPr>
                    <w:rPr>
                      <w:i/>
                      <w:iCs/>
                      <w:lang w:val="en-US"/>
                    </w:rPr>
                    <m:t>π</m:t>
                  </m:r>
                </m:e>
                <m:sup>
                  <m:r>
                    <m:rPr>
                      <m:nor/>
                    </m:rPr>
                    <w:rPr>
                      <w:i/>
                      <w:iCs/>
                    </w:rPr>
                    <m:t>2</m:t>
                  </m:r>
                </m:sup>
              </m:sSup>
              <m:r>
                <w:rPr>
                  <w:rFonts w:ascii="Cambria Math" w:hAnsi="Cambria Math"/>
                </w:rPr>
                <m:t>+</m:t>
              </m:r>
              <m:r>
                <m:rPr>
                  <m:nor/>
                </m:rPr>
                <w:rPr>
                  <w:i/>
                  <w:iCs/>
                </w:rPr>
                <m:t>C</m:t>
              </m:r>
              <m:d>
                <m:dPr>
                  <m:ctrlPr>
                    <w:rPr>
                      <w:rFonts w:ascii="Cambria Math" w:hAnsi="Cambria Math"/>
                      <w:i/>
                      <w:iCs/>
                    </w:rPr>
                  </m:ctrlPr>
                </m:dPr>
                <m:e>
                  <m:r>
                    <m:rPr>
                      <m:nor/>
                    </m:rPr>
                    <w:rPr>
                      <w:i/>
                      <w:iCs/>
                      <w:spacing w:val="-1"/>
                      <w:lang w:val="en-US"/>
                    </w:rPr>
                    <m:t>ϕ</m:t>
                  </m:r>
                </m:e>
              </m:d>
            </m:e>
          </m:func>
        </m:oMath>
      </m:oMathPara>
    </w:p>
    <w:p w14:paraId="7FFC2EA8" w14:textId="7A780639" w:rsidR="0082171E" w:rsidRDefault="0082171E" w:rsidP="005A0870">
      <w:pPr>
        <w:pStyle w:val="Ttulo6"/>
        <w:rPr>
          <w:sz w:val="19"/>
          <w:szCs w:val="19"/>
          <w:u w:val="none"/>
        </w:rPr>
      </w:pPr>
      <w:bookmarkStart w:id="30" w:name="_Toc145492496"/>
      <w:r>
        <w:t>Desarrollo</w:t>
      </w:r>
      <w:r w:rsidRPr="005A0870">
        <w:rPr>
          <w:sz w:val="19"/>
          <w:szCs w:val="19"/>
          <w:u w:val="none"/>
        </w:rPr>
        <w:t xml:space="preserve"> (origen, transmisión y consecuencias de la crisis)</w:t>
      </w:r>
      <w:bookmarkEnd w:id="30"/>
    </w:p>
    <w:p w14:paraId="331387C0" w14:textId="77777777" w:rsidR="00553DC7" w:rsidRDefault="00553DC7" w:rsidP="00DC4DF2">
      <w:pPr>
        <w:pStyle w:val="Nivel1SM"/>
        <w:keepNext/>
        <w:spacing w:before="0" w:after="0"/>
      </w:pPr>
      <w:r>
        <w:t>El proceso es el siguiente:</w:t>
      </w:r>
    </w:p>
    <w:p w14:paraId="6993A041" w14:textId="358076F8" w:rsidR="00553DC7" w:rsidRPr="00553DC7" w:rsidRDefault="00553DC7">
      <w:pPr>
        <w:pStyle w:val="Prrafodelista"/>
        <w:numPr>
          <w:ilvl w:val="0"/>
          <w:numId w:val="11"/>
        </w:numPr>
        <w:spacing w:after="100"/>
        <w:ind w:left="568" w:hanging="284"/>
      </w:pPr>
      <w:r>
        <w:t xml:space="preserve">En primer lugar, el </w:t>
      </w:r>
      <w:r w:rsidRPr="00553DC7">
        <w:rPr>
          <w:b/>
          <w:bCs/>
        </w:rPr>
        <w:t>sector privado</w:t>
      </w:r>
      <w:r>
        <w:t xml:space="preserve"> forma sus expectativas (</w:t>
      </w:r>
      <m:oMath>
        <m:sSup>
          <m:sSupPr>
            <m:ctrlPr>
              <w:rPr>
                <w:rFonts w:ascii="Cambria Math" w:hAnsi="Cambria Math"/>
                <w:i/>
                <w:lang w:val="en-US"/>
              </w:rPr>
            </m:ctrlPr>
          </m:sSupPr>
          <m:e>
            <m:r>
              <m:rPr>
                <m:nor/>
              </m:rPr>
              <w:rPr>
                <w:i/>
                <w:lang w:val="en-US"/>
              </w:rPr>
              <m:t>π</m:t>
            </m:r>
          </m:e>
          <m:sup>
            <m:r>
              <m:rPr>
                <m:nor/>
              </m:rPr>
              <w:rPr>
                <w:i/>
              </w:rPr>
              <m:t>e</m:t>
            </m:r>
          </m:sup>
        </m:sSup>
      </m:oMath>
      <w:r>
        <w:t xml:space="preserve">) antes de conocer </w:t>
      </w:r>
      <m:oMath>
        <m:r>
          <m:rPr>
            <m:nor/>
          </m:rPr>
          <w:rPr>
            <w:i/>
            <w:lang w:val="en-US"/>
          </w:rPr>
          <m:t>π</m:t>
        </m:r>
      </m:oMath>
      <w:r w:rsidRPr="00553DC7">
        <w:rPr>
          <w:rFonts w:eastAsiaTheme="minorEastAsia"/>
        </w:rPr>
        <w:t>.</w:t>
      </w:r>
    </w:p>
    <w:p w14:paraId="1C60C709" w14:textId="223829FC" w:rsidR="00553DC7" w:rsidRPr="00553DC7" w:rsidRDefault="00553DC7">
      <w:pPr>
        <w:pStyle w:val="Prrafodelista"/>
        <w:keepNext/>
        <w:numPr>
          <w:ilvl w:val="0"/>
          <w:numId w:val="11"/>
        </w:numPr>
        <w:spacing w:after="0"/>
        <w:ind w:left="568" w:hanging="284"/>
      </w:pPr>
      <w:r>
        <w:rPr>
          <w:rFonts w:eastAsiaTheme="minorEastAsia"/>
        </w:rPr>
        <w:t xml:space="preserve">A continuación, el </w:t>
      </w:r>
      <w:r>
        <w:rPr>
          <w:rFonts w:eastAsiaTheme="minorEastAsia"/>
          <w:b/>
          <w:bCs/>
        </w:rPr>
        <w:t>Gobierno</w:t>
      </w:r>
      <w:r>
        <w:rPr>
          <w:rFonts w:eastAsiaTheme="minorEastAsia"/>
        </w:rPr>
        <w:t xml:space="preserve"> decide </w:t>
      </w:r>
      <m:oMath>
        <m:r>
          <m:rPr>
            <m:nor/>
          </m:rPr>
          <w:rPr>
            <w:i/>
            <w:lang w:val="en-US"/>
          </w:rPr>
          <m:t>π</m:t>
        </m:r>
      </m:oMath>
      <w:r w:rsidRPr="00553DC7">
        <w:rPr>
          <w:rFonts w:eastAsiaTheme="minorEastAsia"/>
        </w:rPr>
        <w:t xml:space="preserve"> </w:t>
      </w:r>
      <w:r>
        <w:rPr>
          <w:rFonts w:eastAsiaTheme="minorEastAsia"/>
        </w:rPr>
        <w:t xml:space="preserve">(o, lo que es lo mismo, decide si abandona el tipo de cambio y deprecia la moneda, ya que se cumple la versión relativa de la paridad de poder adquisitivo, por lo que: </w:t>
      </w:r>
      <w:proofErr w:type="spellStart"/>
      <m:oMath>
        <m:r>
          <m:rPr>
            <m:nor/>
          </m:rPr>
          <w:rPr>
            <w:rFonts w:cs="Cambria"/>
            <w:i/>
            <w:iCs/>
          </w:rPr>
          <m:t>γ</m:t>
        </m:r>
        <m:r>
          <m:rPr>
            <m:nor/>
          </m:rPr>
          <w:rPr>
            <w:i/>
            <w:iCs/>
          </w:rPr>
          <m:t>E</m:t>
        </m:r>
        <w:proofErr w:type="spellEnd"/>
        <m:r>
          <w:rPr>
            <w:rFonts w:ascii="Cambria Math" w:hAnsi="Cambria Math"/>
          </w:rPr>
          <m:t>=</m:t>
        </m:r>
        <m:r>
          <m:rPr>
            <m:nor/>
          </m:rPr>
          <w:rPr>
            <w:i/>
          </w:rPr>
          <m:t>π</m:t>
        </m:r>
        <m:r>
          <w:rPr>
            <w:rFonts w:ascii="Cambria Math" w:hAnsi="Cambria Math"/>
          </w:rPr>
          <m:t>-</m:t>
        </m:r>
        <m:r>
          <m:rPr>
            <m:nor/>
          </m:rPr>
          <w:rPr>
            <w:i/>
          </w:rPr>
          <m:t>π</m:t>
        </m:r>
        <m:r>
          <m:rPr>
            <m:nor/>
          </m:rPr>
          <w:rPr>
            <w:i/>
            <w:iCs/>
          </w:rPr>
          <m:t>*</m:t>
        </m:r>
      </m:oMath>
      <w:r>
        <w:rPr>
          <w:rFonts w:eastAsiaTheme="minorEastAsia"/>
          <w:iCs/>
        </w:rPr>
        <w:t>,</w:t>
      </w:r>
      <w:r>
        <w:rPr>
          <w:rFonts w:eastAsiaTheme="minorEastAsia"/>
        </w:rPr>
        <w:t xml:space="preserve"> y </w:t>
      </w:r>
      <m:oMath>
        <m:r>
          <m:rPr>
            <m:nor/>
          </m:rPr>
          <w:rPr>
            <w:i/>
            <w:lang w:val="en-US"/>
          </w:rPr>
          <m:t>π</m:t>
        </m:r>
        <m:r>
          <m:rPr>
            <m:nor/>
          </m:rPr>
          <w:rPr>
            <w:i/>
          </w:rPr>
          <m:t>*</m:t>
        </m:r>
      </m:oMath>
      <w:r w:rsidRPr="00553DC7">
        <w:rPr>
          <w:rFonts w:eastAsiaTheme="minorEastAsia"/>
        </w:rPr>
        <w:t xml:space="preserve"> </w:t>
      </w:r>
      <w:r>
        <w:rPr>
          <w:rFonts w:eastAsiaTheme="minorEastAsia"/>
        </w:rPr>
        <w:t>es exógeno).</w:t>
      </w:r>
    </w:p>
    <w:p w14:paraId="5FAF5F78" w14:textId="20FA5E6B" w:rsidR="00553DC7" w:rsidRDefault="00E6026A" w:rsidP="001C55A0">
      <w:pPr>
        <w:pStyle w:val="Nivel3SM"/>
        <w:spacing w:after="100"/>
      </w:pPr>
      <w:r>
        <w:t>E</w:t>
      </w:r>
      <w:r w:rsidR="00553DC7">
        <w:t>l Gobierno comparar</w:t>
      </w:r>
      <w:r>
        <w:t>á</w:t>
      </w:r>
      <w:r w:rsidR="00553DC7">
        <w:t xml:space="preserve"> los beneficios y costes de abandonar el tipo de cambio fijo.</w:t>
      </w:r>
    </w:p>
    <w:p w14:paraId="60B773D9" w14:textId="0DFB1C78" w:rsidR="004F1508" w:rsidRPr="00553DC7" w:rsidRDefault="004F1508" w:rsidP="004F1508">
      <w:pPr>
        <w:pStyle w:val="Nivel1SM"/>
      </w:pPr>
      <w:r>
        <w:t xml:space="preserve">En este contexto hemos de </w:t>
      </w:r>
      <w:r w:rsidR="009F6615">
        <w:t>comparar</w:t>
      </w:r>
      <w:r>
        <w:t xml:space="preserve"> la función de pérdidas si se mantiene el régimen de tipo de cambio fijo y la función de pérdidas </w:t>
      </w:r>
      <w:r w:rsidR="009F6615">
        <w:t>bajo un régimen de tipo de cambio flexible.</w:t>
      </w:r>
    </w:p>
    <w:p w14:paraId="069B0BC5" w14:textId="77777777" w:rsidR="00192908" w:rsidRDefault="00192908" w:rsidP="005A0870">
      <w:pPr>
        <w:pStyle w:val="Ttulo7"/>
      </w:pPr>
      <w:r>
        <w:t>Función de pérdidas bajo un régimen de tipo de cambio fijo</w:t>
      </w:r>
    </w:p>
    <w:p w14:paraId="051F47A2" w14:textId="491CE3D8" w:rsidR="00192908" w:rsidRPr="00D65219" w:rsidRDefault="00192908" w:rsidP="00DC4DF2">
      <w:pPr>
        <w:pStyle w:val="Nivel1SM"/>
        <w:keepNext/>
        <w:spacing w:before="0" w:after="0"/>
      </w:pPr>
      <w:r>
        <w:t xml:space="preserve">Bajo el régimen de tipo de cambio fijo </w:t>
      </w:r>
      <w:r w:rsidR="004F1508">
        <w:t>(</w:t>
      </w:r>
      <w:r>
        <w:t>en el cual se encuentra el gobierno</w:t>
      </w:r>
      <w:r w:rsidR="004F1508">
        <w:t>)</w:t>
      </w:r>
      <w:r>
        <w:t xml:space="preserve">, las autoridades no tienen una política monetaria autónoma y eficaz (está supeditada al mantenimiento del tipo de cambio fijo </w:t>
      </w:r>
      <w:r>
        <w:lastRenderedPageBreak/>
        <w:t xml:space="preserve">y además es ineficaz </w:t>
      </w:r>
      <w:r w:rsidR="004F1508">
        <w:t>debido a la trinidad imposible</w:t>
      </w:r>
      <w:r>
        <w:t>), por lo que no podrán elegir un nivel de inflación teniendo que ser el aumento del nivel general de precios nulo en el tiempo [</w:t>
      </w:r>
      <w:r w:rsidR="004F1508">
        <w:t>s</w:t>
      </w:r>
      <w:r>
        <w:t>uponemos que se cumple la PPA en su versión relativa y que los precios en el extranjero permanecen constantes, por lo que para que se mantenga el tipo de cambio fijo, la inflación ha de ser nula].</w:t>
      </w:r>
    </w:p>
    <w:p w14:paraId="12196E53" w14:textId="5F4595A7" w:rsidR="00263DDA" w:rsidRPr="00263DDA" w:rsidRDefault="00000000" w:rsidP="00192908">
      <w:pPr>
        <w:rPr>
          <w:rFonts w:eastAsiaTheme="minorEastAsia"/>
          <w:iCs/>
        </w:rPr>
      </w:pPr>
      <m:oMathPara>
        <m:oMath>
          <m:func>
            <m:funcPr>
              <m:ctrlPr>
                <w:rPr>
                  <w:rFonts w:ascii="Cambria Math" w:eastAsiaTheme="minorEastAsia" w:hAnsi="Cambria Math"/>
                  <w:i/>
                </w:rPr>
              </m:ctrlPr>
            </m:funcPr>
            <m:fName>
              <m:r>
                <m:rPr>
                  <m:nor/>
                </m:rPr>
                <w:rPr>
                  <w:i/>
                  <w:iCs/>
                </w:rPr>
                <m:t>min</m:t>
              </m:r>
              <m:r>
                <w:rPr>
                  <w:rFonts w:ascii="Cambria Math" w:eastAsiaTheme="minorEastAsia" w:hAnsi="Cambria Math"/>
                </w:rPr>
                <m:t xml:space="preserve">    </m:t>
              </m:r>
            </m:fName>
            <m:e>
              <m:sSub>
                <m:sSubPr>
                  <m:ctrlPr>
                    <w:rPr>
                      <w:rFonts w:ascii="Cambria Math" w:hAnsi="Cambria Math"/>
                      <w:i/>
                      <w:iCs/>
                    </w:rPr>
                  </m:ctrlPr>
                </m:sSubPr>
                <m:e>
                  <m:r>
                    <m:rPr>
                      <m:nor/>
                    </m:rPr>
                    <w:rPr>
                      <w:i/>
                      <w:iCs/>
                    </w:rPr>
                    <m:t>L</m:t>
                  </m:r>
                </m:e>
                <m:sub>
                  <m:r>
                    <m:rPr>
                      <m:nor/>
                    </m:rPr>
                    <w:rPr>
                      <w:i/>
                      <w:sz w:val="18"/>
                      <w:szCs w:val="18"/>
                    </w:rPr>
                    <m:t>TC fijo</m:t>
                  </m:r>
                </m:sub>
              </m:sSub>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p>
                        <m:sSupPr>
                          <m:ctrlPr>
                            <w:rPr>
                              <w:rFonts w:ascii="Cambria Math" w:hAnsi="Cambria Math"/>
                              <w:i/>
                              <w:iCs/>
                            </w:rPr>
                          </m:ctrlPr>
                        </m:sSupPr>
                        <m:e>
                          <m:d>
                            <m:dPr>
                              <m:ctrlPr>
                                <w:rPr>
                                  <w:rFonts w:ascii="Cambria Math" w:hAnsi="Cambria Math"/>
                                  <w:i/>
                                  <w:iCs/>
                                </w:rPr>
                              </m:ctrlPr>
                            </m:dPr>
                            <m:e>
                              <m:r>
                                <m:rPr>
                                  <m:nor/>
                                </m:rPr>
                                <w:rPr>
                                  <w:i/>
                                  <w:iCs/>
                                </w:rPr>
                                <m:t>K</m:t>
                              </m:r>
                              <m:r>
                                <w:rPr>
                                  <w:rFonts w:ascii="Cambria Math" w:hAnsi="Cambria Math"/>
                                </w:rPr>
                                <m:t>-</m:t>
                              </m:r>
                              <m:d>
                                <m:dPr>
                                  <m:ctrlPr>
                                    <w:rPr>
                                      <w:rFonts w:ascii="Cambria Math" w:hAnsi="Cambria Math"/>
                                      <w:i/>
                                      <w:iCs/>
                                    </w:rPr>
                                  </m:ctrlPr>
                                </m:dPr>
                                <m:e>
                                  <m:limLow>
                                    <m:limLowPr>
                                      <m:ctrlPr>
                                        <w:rPr>
                                          <w:rFonts w:ascii="Cambria Math" w:hAnsi="Cambria Math"/>
                                          <w:i/>
                                          <w:iCs/>
                                        </w:rPr>
                                      </m:ctrlPr>
                                    </m:limLowPr>
                                    <m:e>
                                      <m:groupChr>
                                        <m:groupChrPr>
                                          <m:ctrlPr>
                                            <w:rPr>
                                              <w:rFonts w:ascii="Cambria Math" w:hAnsi="Cambria Math"/>
                                              <w:i/>
                                              <w:iCs/>
                                            </w:rPr>
                                          </m:ctrlPr>
                                        </m:groupChrPr>
                                        <m:e>
                                          <m:r>
                                            <m:rPr>
                                              <m:nor/>
                                            </m:rPr>
                                            <w:rPr>
                                              <w:i/>
                                              <w:lang w:val="en-US"/>
                                            </w:rPr>
                                            <m:t>π</m:t>
                                          </m:r>
                                        </m:e>
                                      </m:groupChr>
                                    </m:e>
                                    <m:lim>
                                      <m:r>
                                        <w:rPr>
                                          <w:rFonts w:ascii="Cambria Math"/>
                                        </w:rPr>
                                        <m:t>=</m:t>
                                      </m:r>
                                      <m:r>
                                        <m:rPr>
                                          <m:nor/>
                                        </m:rPr>
                                        <w:rPr>
                                          <w:i/>
                                        </w:rPr>
                                        <m:t>0</m:t>
                                      </m:r>
                                    </m:lim>
                                  </m:limLow>
                                  <m:r>
                                    <w:rPr>
                                      <w:rFonts w:ascii="Cambria Math" w:hAnsi="Cambria Math"/>
                                    </w:rPr>
                                    <m:t>-</m:t>
                                  </m:r>
                                  <m:sSup>
                                    <m:sSupPr>
                                      <m:ctrlPr>
                                        <w:rPr>
                                          <w:rFonts w:ascii="Cambria Math" w:hAnsi="Cambria Math"/>
                                          <w:i/>
                                          <w:iCs/>
                                          <w:lang w:val="en-US"/>
                                        </w:rPr>
                                      </m:ctrlPr>
                                    </m:sSupPr>
                                    <m:e>
                                      <m:r>
                                        <m:rPr>
                                          <m:nor/>
                                        </m:rPr>
                                        <w:rPr>
                                          <w:i/>
                                          <w:iCs/>
                                          <w:lang w:val="en-US"/>
                                        </w:rPr>
                                        <m:t>π</m:t>
                                      </m:r>
                                    </m:e>
                                    <m:sup>
                                      <m:r>
                                        <m:rPr>
                                          <m:nor/>
                                        </m:rPr>
                                        <w:rPr>
                                          <w:i/>
                                          <w:iCs/>
                                        </w:rPr>
                                        <m:t>e</m:t>
                                      </m:r>
                                    </m:sup>
                                  </m:sSup>
                                </m:e>
                              </m:d>
                              <m:r>
                                <w:rPr>
                                  <w:rFonts w:ascii="Cambria Math" w:hAnsi="Cambria Math"/>
                                </w:rPr>
                                <m:t>-</m:t>
                              </m:r>
                              <m:r>
                                <m:rPr>
                                  <m:nor/>
                                </m:rPr>
                                <w:rPr>
                                  <w:i/>
                                  <w:iCs/>
                                </w:rPr>
                                <m:t>z</m:t>
                              </m:r>
                            </m:e>
                          </m:d>
                        </m:e>
                        <m:sup>
                          <m:r>
                            <m:rPr>
                              <m:nor/>
                            </m:rPr>
                            <w:rPr>
                              <w:i/>
                              <w:iCs/>
                            </w:rPr>
                            <m:t>2</m:t>
                          </m:r>
                        </m:sup>
                      </m:sSup>
                    </m:e>
                  </m:groupChr>
                </m:e>
                <m:lim>
                  <m:eqArr>
                    <m:eqArrPr>
                      <m:ctrlPr>
                        <w:rPr>
                          <w:rFonts w:ascii="Cambria Math" w:hAnsi="Cambria Math"/>
                          <w:i/>
                          <w:iCs/>
                        </w:rPr>
                      </m:ctrlPr>
                    </m:eqArrPr>
                    <m:e>
                      <m:r>
                        <m:rPr>
                          <m:nor/>
                        </m:rPr>
                        <w:rPr>
                          <w:i/>
                          <w:iCs/>
                        </w:rPr>
                        <m:t>Coste de mantener</m:t>
                      </m:r>
                    </m:e>
                    <m:e>
                      <m:r>
                        <m:rPr>
                          <m:nor/>
                        </m:rPr>
                        <w:rPr>
                          <w:i/>
                          <w:iCs/>
                        </w:rPr>
                        <m:t>tipo de cambio fijo</m:t>
                      </m:r>
                    </m:e>
                  </m:eqArr>
                </m:lim>
              </m:limUpp>
              <m:r>
                <w:rPr>
                  <w:rFonts w:ascii="Cambria Math"/>
                  <w:color w:val="AEAAAA" w:themeColor="background2" w:themeShade="BF"/>
                </w:rPr>
                <m:t>+</m:t>
              </m:r>
              <m:limUpp>
                <m:limUppPr>
                  <m:ctrlPr>
                    <w:rPr>
                      <w:rFonts w:ascii="Cambria Math" w:hAnsi="Cambria Math"/>
                      <w:i/>
                      <w:iCs/>
                      <w:color w:val="AEAAAA" w:themeColor="background2" w:themeShade="BF"/>
                      <w:lang w:val="en-US"/>
                    </w:rPr>
                  </m:ctrlPr>
                </m:limUppPr>
                <m:e>
                  <m:groupChr>
                    <m:groupChrPr>
                      <m:chr m:val="⏞"/>
                      <m:pos m:val="top"/>
                      <m:vertJc m:val="bot"/>
                      <m:ctrlPr>
                        <w:rPr>
                          <w:rFonts w:ascii="Cambria Math" w:hAnsi="Cambria Math"/>
                          <w:i/>
                          <w:iCs/>
                          <w:color w:val="AEAAAA" w:themeColor="background2" w:themeShade="BF"/>
                          <w:lang w:val="en-US"/>
                        </w:rPr>
                      </m:ctrlPr>
                    </m:groupChrPr>
                    <m:e>
                      <m:limLow>
                        <m:limLowPr>
                          <m:ctrlPr>
                            <w:rPr>
                              <w:rFonts w:ascii="Cambria Math" w:hAnsi="Cambria Math"/>
                              <w:i/>
                              <w:iCs/>
                              <w:color w:val="AEAAAA" w:themeColor="background2" w:themeShade="BF"/>
                              <w:lang w:val="en-US"/>
                            </w:rPr>
                          </m:ctrlPr>
                        </m:limLowPr>
                        <m:e>
                          <m:groupChr>
                            <m:groupChrPr>
                              <m:ctrlPr>
                                <w:rPr>
                                  <w:rFonts w:ascii="Cambria Math" w:hAnsi="Cambria Math"/>
                                  <w:i/>
                                  <w:iCs/>
                                  <w:color w:val="AEAAAA" w:themeColor="background2" w:themeShade="BF"/>
                                  <w:lang w:val="en-US"/>
                                </w:rPr>
                              </m:ctrlPr>
                            </m:groupChrPr>
                            <m:e>
                              <m:r>
                                <m:rPr>
                                  <m:nor/>
                                </m:rPr>
                                <w:rPr>
                                  <w:i/>
                                  <w:iCs/>
                                  <w:color w:val="AEAAAA" w:themeColor="background2" w:themeShade="BF"/>
                                  <w:lang w:val="en-US"/>
                                </w:rPr>
                                <m:t>α</m:t>
                              </m:r>
                              <m:r>
                                <w:rPr>
                                  <w:rFonts w:ascii="Cambria Math" w:hAnsi="Cambria Math"/>
                                  <w:color w:val="AEAAAA" w:themeColor="background2" w:themeShade="BF"/>
                                </w:rPr>
                                <m:t>∙</m:t>
                              </m:r>
                              <m:sSup>
                                <m:sSupPr>
                                  <m:ctrlPr>
                                    <w:rPr>
                                      <w:rFonts w:ascii="Cambria Math" w:hAnsi="Cambria Math"/>
                                      <w:i/>
                                      <w:color w:val="AEAAAA" w:themeColor="background2" w:themeShade="BF"/>
                                      <w:lang w:val="en-US"/>
                                    </w:rPr>
                                  </m:ctrlPr>
                                </m:sSupPr>
                                <m:e>
                                  <m:r>
                                    <m:rPr>
                                      <m:nor/>
                                    </m:rPr>
                                    <w:rPr>
                                      <w:i/>
                                      <w:color w:val="AEAAAA" w:themeColor="background2" w:themeShade="BF"/>
                                      <w:lang w:val="en-US"/>
                                    </w:rPr>
                                    <m:t>π</m:t>
                                  </m:r>
                                </m:e>
                                <m:sup>
                                  <m:r>
                                    <m:rPr>
                                      <m:nor/>
                                    </m:rPr>
                                    <w:rPr>
                                      <w:i/>
                                      <w:color w:val="AEAAAA" w:themeColor="background2" w:themeShade="BF"/>
                                    </w:rPr>
                                    <m:t>2</m:t>
                                  </m:r>
                                </m:sup>
                              </m:sSup>
                            </m:e>
                          </m:groupChr>
                        </m:e>
                        <m:lim>
                          <m:r>
                            <w:rPr>
                              <w:rFonts w:ascii="Cambria Math"/>
                              <w:color w:val="AEAAAA" w:themeColor="background2" w:themeShade="BF"/>
                            </w:rPr>
                            <m:t>=</m:t>
                          </m:r>
                          <m:r>
                            <m:rPr>
                              <m:nor/>
                            </m:rPr>
                            <w:rPr>
                              <w:i/>
                              <w:color w:val="AEAAAA" w:themeColor="background2" w:themeShade="BF"/>
                            </w:rPr>
                            <m:t>0</m:t>
                          </m:r>
                        </m:lim>
                      </m:limLow>
                    </m:e>
                  </m:groupChr>
                </m:e>
                <m:lim>
                  <m:eqArr>
                    <m:eqArrPr>
                      <m:ctrlPr>
                        <w:rPr>
                          <w:rFonts w:ascii="Cambria Math" w:hAnsi="Cambria Math"/>
                          <w:i/>
                          <w:iCs/>
                          <w:color w:val="AEAAAA" w:themeColor="background2" w:themeShade="BF"/>
                        </w:rPr>
                      </m:ctrlPr>
                    </m:eqArrPr>
                    <m:e>
                      <m:r>
                        <m:rPr>
                          <m:nor/>
                        </m:rPr>
                        <w:rPr>
                          <w:i/>
                          <w:iCs/>
                          <w:color w:val="AEAAAA" w:themeColor="background2" w:themeShade="BF"/>
                        </w:rPr>
                        <m:t>Coste de tener</m:t>
                      </m:r>
                    </m:e>
                    <m:e>
                      <m:r>
                        <m:rPr>
                          <m:nor/>
                        </m:rPr>
                        <w:rPr>
                          <w:i/>
                          <w:iCs/>
                          <w:color w:val="AEAAAA" w:themeColor="background2" w:themeShade="BF"/>
                        </w:rPr>
                        <m:t>tipo de cambio flexible</m:t>
                      </m:r>
                      <m:ctrlPr>
                        <w:rPr>
                          <w:rFonts w:ascii="Cambria Math" w:eastAsia="Cambria Math" w:hAnsi="Cambria Math" w:cs="Cambria Math"/>
                          <w:i/>
                          <w:iCs/>
                          <w:color w:val="AEAAAA" w:themeColor="background2" w:themeShade="BF"/>
                        </w:rPr>
                      </m:ctrlPr>
                    </m:e>
                    <m:e>
                      <m:r>
                        <m:rPr>
                          <m:nor/>
                        </m:rPr>
                        <w:rPr>
                          <w:i/>
                          <w:iCs/>
                          <w:color w:val="AEAAAA" w:themeColor="background2" w:themeShade="BF"/>
                        </w:rPr>
                        <m:t xml:space="preserve"> (inflación)</m:t>
                      </m:r>
                    </m:e>
                  </m:eqArr>
                </m:lim>
              </m:limUpp>
              <m:r>
                <w:rPr>
                  <w:rFonts w:ascii="Cambria Math" w:hAnsi="Cambria Math"/>
                  <w:color w:val="AEAAAA" w:themeColor="background2" w:themeShade="BF"/>
                </w:rPr>
                <m:t>+</m:t>
              </m:r>
              <m:limUpp>
                <m:limUppPr>
                  <m:ctrlPr>
                    <w:rPr>
                      <w:rFonts w:ascii="Cambria Math" w:hAnsi="Cambria Math"/>
                      <w:i/>
                      <w:iCs/>
                      <w:color w:val="AEAAAA" w:themeColor="background2" w:themeShade="BF"/>
                    </w:rPr>
                  </m:ctrlPr>
                </m:limUppPr>
                <m:e>
                  <m:groupChr>
                    <m:groupChrPr>
                      <m:chr m:val="⏞"/>
                      <m:pos m:val="top"/>
                      <m:vertJc m:val="bot"/>
                      <m:ctrlPr>
                        <w:rPr>
                          <w:rFonts w:ascii="Cambria Math" w:hAnsi="Cambria Math"/>
                          <w:i/>
                          <w:iCs/>
                          <w:color w:val="AEAAAA" w:themeColor="background2" w:themeShade="BF"/>
                        </w:rPr>
                      </m:ctrlPr>
                    </m:groupChrPr>
                    <m:e>
                      <m:limLow>
                        <m:limLowPr>
                          <m:ctrlPr>
                            <w:rPr>
                              <w:rFonts w:ascii="Cambria Math" w:hAnsi="Cambria Math"/>
                              <w:i/>
                              <w:iCs/>
                              <w:color w:val="AEAAAA" w:themeColor="background2" w:themeShade="BF"/>
                            </w:rPr>
                          </m:ctrlPr>
                        </m:limLowPr>
                        <m:e>
                          <m:groupChr>
                            <m:groupChrPr>
                              <m:ctrlPr>
                                <w:rPr>
                                  <w:rFonts w:ascii="Cambria Math" w:hAnsi="Cambria Math"/>
                                  <w:i/>
                                  <w:iCs/>
                                  <w:color w:val="AEAAAA" w:themeColor="background2" w:themeShade="BF"/>
                                </w:rPr>
                              </m:ctrlPr>
                            </m:groupChrPr>
                            <m:e>
                              <m:r>
                                <m:rPr>
                                  <m:nor/>
                                </m:rPr>
                                <w:rPr>
                                  <w:i/>
                                  <w:iCs/>
                                  <w:color w:val="AEAAAA" w:themeColor="background2" w:themeShade="BF"/>
                                </w:rPr>
                                <m:t>C</m:t>
                              </m:r>
                              <m:d>
                                <m:dPr>
                                  <m:ctrlPr>
                                    <w:rPr>
                                      <w:rFonts w:ascii="Cambria Math" w:hAnsi="Cambria Math"/>
                                      <w:i/>
                                      <w:iCs/>
                                      <w:color w:val="AEAAAA" w:themeColor="background2" w:themeShade="BF"/>
                                    </w:rPr>
                                  </m:ctrlPr>
                                </m:dPr>
                                <m:e>
                                  <m:r>
                                    <m:rPr>
                                      <m:nor/>
                                    </m:rPr>
                                    <w:rPr>
                                      <w:i/>
                                      <w:iCs/>
                                      <w:color w:val="AEAAAA" w:themeColor="background2" w:themeShade="BF"/>
                                      <w:spacing w:val="-1"/>
                                      <w:lang w:val="en-US"/>
                                    </w:rPr>
                                    <m:t>ϕ</m:t>
                                  </m:r>
                                </m:e>
                              </m:d>
                            </m:e>
                          </m:groupChr>
                        </m:e>
                        <m:lim>
                          <m:r>
                            <w:rPr>
                              <w:rFonts w:ascii="Cambria Math"/>
                              <w:color w:val="AEAAAA" w:themeColor="background2" w:themeShade="BF"/>
                            </w:rPr>
                            <m:t>=</m:t>
                          </m:r>
                          <m:r>
                            <m:rPr>
                              <m:nor/>
                            </m:rPr>
                            <w:rPr>
                              <w:i/>
                              <w:color w:val="AEAAAA" w:themeColor="background2" w:themeShade="BF"/>
                            </w:rPr>
                            <m:t>0</m:t>
                          </m:r>
                        </m:lim>
                      </m:limLow>
                    </m:e>
                  </m:groupChr>
                </m:e>
                <m:lim>
                  <m:eqArr>
                    <m:eqArrPr>
                      <m:ctrlPr>
                        <w:rPr>
                          <w:rFonts w:ascii="Cambria Math" w:hAnsi="Cambria Math"/>
                          <w:i/>
                          <w:iCs/>
                          <w:color w:val="AEAAAA" w:themeColor="background2" w:themeShade="BF"/>
                        </w:rPr>
                      </m:ctrlPr>
                    </m:eqArrPr>
                    <m:e>
                      <m:r>
                        <m:rPr>
                          <m:nor/>
                        </m:rPr>
                        <w:rPr>
                          <w:i/>
                          <w:iCs/>
                          <w:color w:val="AEAAAA" w:themeColor="background2" w:themeShade="BF"/>
                        </w:rPr>
                        <m:t>Coste de abandonar</m:t>
                      </m:r>
                    </m:e>
                    <m:e>
                      <m:r>
                        <m:rPr>
                          <m:nor/>
                        </m:rPr>
                        <w:rPr>
                          <w:i/>
                          <w:iCs/>
                          <w:color w:val="AEAAAA" w:themeColor="background2" w:themeShade="BF"/>
                        </w:rPr>
                        <m:t>tipo de cambio fijo</m:t>
                      </m:r>
                      <m:ctrlPr>
                        <w:rPr>
                          <w:rFonts w:ascii="Cambria Math" w:eastAsia="Cambria Math" w:hAnsi="Cambria Math" w:cs="Cambria Math"/>
                          <w:i/>
                          <w:iCs/>
                          <w:color w:val="AEAAAA" w:themeColor="background2" w:themeShade="BF"/>
                        </w:rPr>
                      </m:ctrlPr>
                    </m:e>
                    <m:e>
                      <m:r>
                        <m:rPr>
                          <m:nor/>
                        </m:rPr>
                        <w:rPr>
                          <w:i/>
                          <w:iCs/>
                          <w:color w:val="AEAAAA" w:themeColor="background2" w:themeShade="BF"/>
                        </w:rPr>
                        <m:t xml:space="preserve"> (realineamiento)</m:t>
                      </m:r>
                    </m:e>
                  </m:eqArr>
                </m:lim>
              </m:limUpp>
            </m:e>
          </m:func>
          <m:r>
            <m:rPr>
              <m:sty m:val="p"/>
            </m:rPr>
            <w:rPr>
              <w:rFonts w:ascii="Cambria Math" w:eastAsiaTheme="minorEastAsia" w:hAnsi="Cambria Math"/>
            </w:rPr>
            <w:br/>
          </m:r>
        </m:oMath>
        <m:oMath>
          <m:r>
            <w:rPr>
              <w:rFonts w:ascii="Cambria Math" w:eastAsiaTheme="majorEastAsia" w:hAnsi="Cambria Math" w:cstheme="majorBidi"/>
            </w:rPr>
            <m:t xml:space="preserve"> </m:t>
          </m:r>
          <m:borderBox>
            <m:borderBoxPr>
              <m:ctrlPr>
                <w:rPr>
                  <w:rFonts w:ascii="Cambria Math" w:hAnsi="Cambria Math"/>
                  <w:i/>
                  <w:iCs/>
                </w:rPr>
              </m:ctrlPr>
            </m:borderBoxPr>
            <m:e>
              <w:bookmarkStart w:id="31" w:name="_Hlk98344291"/>
              <m:sSub>
                <m:sSubPr>
                  <m:ctrlPr>
                    <w:rPr>
                      <w:rFonts w:ascii="Cambria Math" w:hAnsi="Cambria Math"/>
                      <w:i/>
                      <w:iCs/>
                    </w:rPr>
                  </m:ctrlPr>
                </m:sSubPr>
                <m:e>
                  <m:r>
                    <m:rPr>
                      <m:nor/>
                    </m:rPr>
                    <w:rPr>
                      <w:i/>
                      <w:iCs/>
                    </w:rPr>
                    <m:t>L</m:t>
                  </m:r>
                </m:e>
                <m:sub>
                  <m:r>
                    <m:rPr>
                      <m:nor/>
                    </m:rPr>
                    <w:rPr>
                      <w:i/>
                      <w:sz w:val="18"/>
                      <w:szCs w:val="18"/>
                    </w:rPr>
                    <m:t>TC fijo</m:t>
                  </m:r>
                </m:sub>
              </m:sSub>
              <w:bookmarkEnd w:id="31"/>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e>
                <m:sup>
                  <m:r>
                    <m:rPr>
                      <m:nor/>
                    </m:rPr>
                    <w:rPr>
                      <w:i/>
                      <w:iCs/>
                    </w:rPr>
                    <m:t>2</m:t>
                  </m:r>
                </m:sup>
              </m:sSup>
            </m:e>
          </m:borderBox>
        </m:oMath>
      </m:oMathPara>
    </w:p>
    <w:p w14:paraId="0822B5C6" w14:textId="77777777" w:rsidR="00192908" w:rsidRDefault="00192908" w:rsidP="005A0870">
      <w:pPr>
        <w:pStyle w:val="Ttulo7"/>
      </w:pPr>
      <w:r>
        <w:t>Función de pérdidas bajo un régimen de tipo de cambio flexible</w:t>
      </w:r>
    </w:p>
    <w:p w14:paraId="36A415FE" w14:textId="4CE3D4E1" w:rsidR="00192908" w:rsidRDefault="00192908" w:rsidP="001024FE">
      <w:pPr>
        <w:pStyle w:val="Nivel1SM"/>
        <w:keepNext/>
        <w:spacing w:before="0" w:after="0"/>
      </w:pPr>
      <w:r>
        <w:t>Si el tipo de cambio es flexible, el gobierno podrá llevar a cabo una política monetaria autónoma, por lo que podrá elegir el nivel de inflación que permita minimizar dicha función de pérdidas:</w:t>
      </w:r>
    </w:p>
    <w:p w14:paraId="4FEC796E" w14:textId="715A5EA8" w:rsidR="00192908" w:rsidRPr="00BC749E" w:rsidRDefault="00192908" w:rsidP="009F6615">
      <w:pPr>
        <w:keepNext/>
        <w:spacing w:after="0"/>
      </w:pPr>
      <m:oMathPara>
        <m:oMath>
          <m:r>
            <m:rPr>
              <m:nor/>
            </m:rPr>
            <w:rPr>
              <w:rFonts w:ascii="Cambria Math"/>
              <w:iCs/>
            </w:rPr>
            <m:t xml:space="preserve"> </m:t>
          </m:r>
          <m:r>
            <m:rPr>
              <m:nor/>
            </m:rPr>
            <w:rPr>
              <w:i/>
              <w:lang w:val="en-US"/>
            </w:rPr>
            <m:t>π</m:t>
          </m:r>
          <m:r>
            <m:rPr>
              <m:nor/>
            </m:rPr>
            <w:rPr>
              <w:i/>
            </w:rPr>
            <m:t>*</m:t>
          </m:r>
          <m:r>
            <w:rPr>
              <w:rFonts w:ascii="Cambria Math" w:hAnsi="Cambria Math"/>
            </w:rPr>
            <m:t>=</m:t>
          </m:r>
          <m:f>
            <m:fPr>
              <m:ctrlPr>
                <w:rPr>
                  <w:rFonts w:ascii="Cambria Math" w:hAnsi="Cambria Math"/>
                  <w:i/>
                  <w:lang w:val="en-US"/>
                </w:rPr>
              </m:ctrlPr>
            </m:fPr>
            <m:num>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num>
            <m:den>
              <m:r>
                <m:rPr>
                  <m:nor/>
                </m:rPr>
                <w:rPr>
                  <w:i/>
                  <w:iCs/>
                </w:rPr>
                <m:t>1</m:t>
              </m:r>
              <m:r>
                <w:rPr>
                  <w:rFonts w:ascii="Cambria Math" w:hAnsi="Cambria Math"/>
                </w:rPr>
                <m:t>+</m:t>
              </m:r>
              <m:r>
                <m:rPr>
                  <m:nor/>
                </m:rPr>
                <w:rPr>
                  <w:i/>
                  <w:iCs/>
                  <w:lang w:val="en-US"/>
                </w:rPr>
                <m:t>α</m:t>
              </m:r>
            </m:den>
          </m:f>
        </m:oMath>
      </m:oMathPara>
    </w:p>
    <w:p w14:paraId="3DFB47BA" w14:textId="546009A4" w:rsidR="00192908" w:rsidRPr="00BC749E" w:rsidRDefault="00192908" w:rsidP="009F6615">
      <w:pPr>
        <w:pStyle w:val="Nivel2SM"/>
        <w:keepNext/>
        <w:spacing w:after="0"/>
      </w:pPr>
      <w:r>
        <w:t>Por lo que la función de pérdida se podrá simplificar y nos quedará</w:t>
      </w:r>
      <w:r w:rsidR="00525F77">
        <w:t>:</w:t>
      </w:r>
    </w:p>
    <w:p w14:paraId="6BFB9172" w14:textId="483698DA" w:rsidR="00192908" w:rsidRPr="00D65219" w:rsidRDefault="00000000" w:rsidP="00192908">
      <w:pPr>
        <w:rPr>
          <w:rFonts w:eastAsiaTheme="minorEastAsia"/>
          <w:iCs/>
        </w:rPr>
      </w:pPr>
      <m:oMathPara>
        <m:oMath>
          <m:func>
            <m:funcPr>
              <m:ctrlPr>
                <w:rPr>
                  <w:rFonts w:ascii="Cambria Math" w:eastAsiaTheme="minorEastAsia" w:hAnsi="Cambria Math"/>
                  <w:i/>
                </w:rPr>
              </m:ctrlPr>
            </m:funcPr>
            <m:fName>
              <m:r>
                <m:rPr>
                  <m:nor/>
                </m:rPr>
                <w:rPr>
                  <w:i/>
                  <w:iCs/>
                </w:rPr>
                <m:t>min</m:t>
              </m:r>
              <m:r>
                <w:rPr>
                  <w:rFonts w:ascii="Cambria Math" w:eastAsiaTheme="minorEastAsia" w:hAnsi="Cambria Math"/>
                </w:rPr>
                <m:t xml:space="preserve">    </m:t>
              </m:r>
            </m:fName>
            <m:e>
              <m:sSub>
                <m:sSubPr>
                  <m:ctrlPr>
                    <w:rPr>
                      <w:rFonts w:ascii="Cambria Math" w:hAnsi="Cambria Math"/>
                      <w:i/>
                      <w:iCs/>
                    </w:rPr>
                  </m:ctrlPr>
                </m:sSubPr>
                <m:e>
                  <m:r>
                    <m:rPr>
                      <m:nor/>
                    </m:rPr>
                    <w:rPr>
                      <w:i/>
                      <w:iCs/>
                    </w:rPr>
                    <m:t>L</m:t>
                  </m:r>
                </m:e>
                <m:sub>
                  <m:r>
                    <m:rPr>
                      <m:nor/>
                    </m:rPr>
                    <w:rPr>
                      <w:i/>
                      <w:sz w:val="18"/>
                      <w:szCs w:val="18"/>
                    </w:rPr>
                    <m:t>TC flexible</m:t>
                  </m:r>
                </m:sub>
              </m:sSub>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p>
                        <m:sSupPr>
                          <m:ctrlPr>
                            <w:rPr>
                              <w:rFonts w:ascii="Cambria Math" w:hAnsi="Cambria Math"/>
                              <w:i/>
                              <w:iCs/>
                            </w:rPr>
                          </m:ctrlPr>
                        </m:sSupPr>
                        <m:e>
                          <m:d>
                            <m:dPr>
                              <m:ctrlPr>
                                <w:rPr>
                                  <w:rFonts w:ascii="Cambria Math" w:hAnsi="Cambria Math"/>
                                  <w:i/>
                                  <w:iCs/>
                                </w:rPr>
                              </m:ctrlPr>
                            </m:dPr>
                            <m:e>
                              <m:r>
                                <m:rPr>
                                  <m:nor/>
                                </m:rPr>
                                <w:rPr>
                                  <w:i/>
                                  <w:iCs/>
                                </w:rPr>
                                <m:t>K</m:t>
                              </m:r>
                              <m:r>
                                <w:rPr>
                                  <w:rFonts w:ascii="Cambria Math" w:hAnsi="Cambria Math"/>
                                </w:rPr>
                                <m:t>-</m:t>
                              </m:r>
                              <m:d>
                                <m:dPr>
                                  <m:ctrlPr>
                                    <w:rPr>
                                      <w:rFonts w:ascii="Cambria Math" w:hAnsi="Cambria Math"/>
                                      <w:i/>
                                      <w:iCs/>
                                    </w:rPr>
                                  </m:ctrlPr>
                                </m:dPr>
                                <m:e>
                                  <m:f>
                                    <m:fPr>
                                      <m:ctrlPr>
                                        <w:rPr>
                                          <w:rFonts w:ascii="Cambria Math" w:hAnsi="Cambria Math"/>
                                          <w:i/>
                                          <w:lang w:val="en-US"/>
                                        </w:rPr>
                                      </m:ctrlPr>
                                    </m:fPr>
                                    <m:num>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num>
                                    <m:den>
                                      <m:r>
                                        <m:rPr>
                                          <m:nor/>
                                        </m:rPr>
                                        <w:rPr>
                                          <w:i/>
                                          <w:iCs/>
                                        </w:rPr>
                                        <m:t>1</m:t>
                                      </m:r>
                                      <m:r>
                                        <w:rPr>
                                          <w:rFonts w:ascii="Cambria Math" w:hAnsi="Cambria Math"/>
                                        </w:rPr>
                                        <m:t>+</m:t>
                                      </m:r>
                                      <m:r>
                                        <m:rPr>
                                          <m:nor/>
                                        </m:rPr>
                                        <w:rPr>
                                          <w:i/>
                                          <w:iCs/>
                                          <w:lang w:val="en-US"/>
                                        </w:rPr>
                                        <m:t>α</m:t>
                                      </m:r>
                                    </m:den>
                                  </m:f>
                                  <m:r>
                                    <w:rPr>
                                      <w:rFonts w:ascii="Cambria Math" w:hAnsi="Cambria Math"/>
                                    </w:rPr>
                                    <m:t>-</m:t>
                                  </m:r>
                                  <m:sSup>
                                    <m:sSupPr>
                                      <m:ctrlPr>
                                        <w:rPr>
                                          <w:rFonts w:ascii="Cambria Math" w:hAnsi="Cambria Math"/>
                                          <w:i/>
                                          <w:iCs/>
                                          <w:lang w:val="en-US"/>
                                        </w:rPr>
                                      </m:ctrlPr>
                                    </m:sSupPr>
                                    <m:e>
                                      <m:r>
                                        <m:rPr>
                                          <m:nor/>
                                        </m:rPr>
                                        <w:rPr>
                                          <w:i/>
                                          <w:iCs/>
                                          <w:lang w:val="en-US"/>
                                        </w:rPr>
                                        <m:t>π</m:t>
                                      </m:r>
                                    </m:e>
                                    <m:sup>
                                      <m:r>
                                        <m:rPr>
                                          <m:nor/>
                                        </m:rPr>
                                        <w:rPr>
                                          <w:i/>
                                          <w:iCs/>
                                        </w:rPr>
                                        <m:t>e</m:t>
                                      </m:r>
                                    </m:sup>
                                  </m:sSup>
                                </m:e>
                              </m:d>
                              <m:r>
                                <w:rPr>
                                  <w:rFonts w:ascii="Cambria Math" w:hAnsi="Cambria Math"/>
                                </w:rPr>
                                <m:t>-</m:t>
                              </m:r>
                              <m:r>
                                <m:rPr>
                                  <m:nor/>
                                </m:rPr>
                                <w:rPr>
                                  <w:i/>
                                  <w:iCs/>
                                </w:rPr>
                                <m:t>z</m:t>
                              </m:r>
                            </m:e>
                          </m:d>
                        </m:e>
                        <m:sup>
                          <m:r>
                            <m:rPr>
                              <m:nor/>
                            </m:rPr>
                            <w:rPr>
                              <w:i/>
                              <w:iCs/>
                            </w:rPr>
                            <m:t>2</m:t>
                          </m:r>
                        </m:sup>
                      </m:sSup>
                    </m:e>
                  </m:groupChr>
                </m:e>
                <m:lim>
                  <m:eqArr>
                    <m:eqArrPr>
                      <m:ctrlPr>
                        <w:rPr>
                          <w:rFonts w:ascii="Cambria Math" w:hAnsi="Cambria Math"/>
                          <w:i/>
                          <w:iCs/>
                        </w:rPr>
                      </m:ctrlPr>
                    </m:eqArrPr>
                    <m:e>
                      <m:r>
                        <m:rPr>
                          <m:nor/>
                        </m:rPr>
                        <w:rPr>
                          <w:i/>
                          <w:iCs/>
                        </w:rPr>
                        <m:t>Coste de mantener</m:t>
                      </m:r>
                    </m:e>
                    <m:e>
                      <m:r>
                        <m:rPr>
                          <m:nor/>
                        </m:rPr>
                        <w:rPr>
                          <w:i/>
                          <w:iCs/>
                        </w:rPr>
                        <m:t>tipo de cambio fijo</m:t>
                      </m:r>
                    </m:e>
                  </m:eqArr>
                </m:lim>
              </m:limUpp>
              <m:r>
                <w:rPr>
                  <w:rFonts w:ascii="Cambria Math"/>
                </w:rPr>
                <m:t>+</m:t>
              </m:r>
              <m:limUpp>
                <m:limUppPr>
                  <m:ctrlPr>
                    <w:rPr>
                      <w:rFonts w:ascii="Cambria Math" w:hAnsi="Cambria Math"/>
                      <w:i/>
                      <w:iCs/>
                      <w:lang w:val="en-US"/>
                    </w:rPr>
                  </m:ctrlPr>
                </m:limUppPr>
                <m:e>
                  <m:groupChr>
                    <m:groupChrPr>
                      <m:chr m:val="⏞"/>
                      <m:pos m:val="top"/>
                      <m:vertJc m:val="bot"/>
                      <m:ctrlPr>
                        <w:rPr>
                          <w:rFonts w:ascii="Cambria Math" w:hAnsi="Cambria Math"/>
                          <w:i/>
                          <w:iCs/>
                          <w:lang w:val="en-US"/>
                        </w:rPr>
                      </m:ctrlPr>
                    </m:groupChrPr>
                    <m:e>
                      <m:r>
                        <m:rPr>
                          <m:nor/>
                        </m:rPr>
                        <w:rPr>
                          <w:i/>
                          <w:iCs/>
                          <w:lang w:val="en-US"/>
                        </w:rPr>
                        <m:t>α</m:t>
                      </m:r>
                      <m:r>
                        <w:rPr>
                          <w:rFonts w:ascii="Cambria Math" w:hAnsi="Cambria Math"/>
                        </w:rPr>
                        <m:t>∙</m:t>
                      </m:r>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num>
                                <m:den>
                                  <m:r>
                                    <m:rPr>
                                      <m:nor/>
                                    </m:rPr>
                                    <w:rPr>
                                      <w:i/>
                                      <w:iCs/>
                                    </w:rPr>
                                    <m:t>1</m:t>
                                  </m:r>
                                  <m:r>
                                    <w:rPr>
                                      <w:rFonts w:ascii="Cambria Math" w:hAnsi="Cambria Math"/>
                                    </w:rPr>
                                    <m:t>+</m:t>
                                  </m:r>
                                  <m:r>
                                    <m:rPr>
                                      <m:nor/>
                                    </m:rPr>
                                    <w:rPr>
                                      <w:i/>
                                      <w:iCs/>
                                      <w:lang w:val="en-US"/>
                                    </w:rPr>
                                    <m:t>α</m:t>
                                  </m:r>
                                </m:den>
                              </m:f>
                            </m:e>
                          </m:d>
                        </m:e>
                        <m:sup>
                          <m:r>
                            <m:rPr>
                              <m:nor/>
                            </m:rPr>
                            <w:rPr>
                              <w:i/>
                            </w:rPr>
                            <m:t>2</m:t>
                          </m:r>
                        </m:sup>
                      </m:sSup>
                    </m:e>
                  </m:groupChr>
                </m:e>
                <m:lim>
                  <m:eqArr>
                    <m:eqArrPr>
                      <m:ctrlPr>
                        <w:rPr>
                          <w:rFonts w:ascii="Cambria Math" w:hAnsi="Cambria Math"/>
                          <w:i/>
                          <w:iCs/>
                        </w:rPr>
                      </m:ctrlPr>
                    </m:eqArrPr>
                    <m:e>
                      <m:r>
                        <m:rPr>
                          <m:nor/>
                        </m:rPr>
                        <w:rPr>
                          <w:i/>
                          <w:iCs/>
                        </w:rPr>
                        <m:t>Coste de tener</m:t>
                      </m:r>
                    </m:e>
                    <m:e>
                      <m:r>
                        <m:rPr>
                          <m:nor/>
                        </m:rPr>
                        <w:rPr>
                          <w:i/>
                          <w:iCs/>
                        </w:rPr>
                        <m:t>tipo de cambio flexible</m:t>
                      </m:r>
                      <m:ctrlPr>
                        <w:rPr>
                          <w:rFonts w:ascii="Cambria Math" w:eastAsia="Cambria Math" w:hAnsi="Cambria Math" w:cs="Cambria Math"/>
                          <w:i/>
                          <w:iCs/>
                        </w:rPr>
                      </m:ctrlPr>
                    </m:e>
                    <m:e>
                      <m:r>
                        <m:rPr>
                          <m:nor/>
                        </m:rPr>
                        <w:rPr>
                          <w:i/>
                          <w:iCs/>
                        </w:rPr>
                        <m:t xml:space="preserve"> (inflación)</m:t>
                      </m:r>
                    </m:e>
                  </m:eqArr>
                </m:lim>
              </m:limUpp>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C</m:t>
                      </m:r>
                      <m:d>
                        <m:dPr>
                          <m:ctrlPr>
                            <w:rPr>
                              <w:rFonts w:ascii="Cambria Math" w:hAnsi="Cambria Math"/>
                              <w:i/>
                              <w:iCs/>
                            </w:rPr>
                          </m:ctrlPr>
                        </m:dPr>
                        <m:e>
                          <m:r>
                            <m:rPr>
                              <m:nor/>
                            </m:rPr>
                            <w:rPr>
                              <w:i/>
                              <w:iCs/>
                              <w:spacing w:val="-1"/>
                              <w:lang w:val="en-US"/>
                            </w:rPr>
                            <m:t>ϕ</m:t>
                          </m:r>
                        </m:e>
                      </m:d>
                    </m:e>
                  </m:groupChr>
                </m:e>
                <m:lim>
                  <m:eqArr>
                    <m:eqArrPr>
                      <m:ctrlPr>
                        <w:rPr>
                          <w:rFonts w:ascii="Cambria Math" w:hAnsi="Cambria Math"/>
                          <w:i/>
                          <w:iCs/>
                        </w:rPr>
                      </m:ctrlPr>
                    </m:eqArrPr>
                    <m:e>
                      <m:r>
                        <m:rPr>
                          <m:nor/>
                        </m:rPr>
                        <w:rPr>
                          <w:i/>
                          <w:iCs/>
                        </w:rPr>
                        <m:t>Coste de abandonar</m:t>
                      </m:r>
                    </m:e>
                    <m:e>
                      <m:r>
                        <m:rPr>
                          <m:nor/>
                        </m:rPr>
                        <w:rPr>
                          <w:i/>
                          <w:iCs/>
                        </w:rPr>
                        <m:t>tipo de cambio fijo</m:t>
                      </m:r>
                      <m:ctrlPr>
                        <w:rPr>
                          <w:rFonts w:ascii="Cambria Math" w:eastAsia="Cambria Math" w:hAnsi="Cambria Math" w:cs="Cambria Math"/>
                          <w:i/>
                          <w:iCs/>
                        </w:rPr>
                      </m:ctrlPr>
                    </m:e>
                    <m:e>
                      <m:r>
                        <m:rPr>
                          <m:nor/>
                        </m:rPr>
                        <w:rPr>
                          <w:i/>
                          <w:iCs/>
                        </w:rPr>
                        <m:t xml:space="preserve"> (realineamiento)</m:t>
                      </m:r>
                    </m:e>
                  </m:eqArr>
                </m:lim>
              </m:limUpp>
            </m:e>
          </m:func>
          <m:r>
            <m:rPr>
              <m:sty m:val="p"/>
            </m:rPr>
            <w:rPr>
              <w:rFonts w:ascii="Cambria Math" w:eastAsiaTheme="minorEastAsia" w:hAnsi="Cambria Math"/>
            </w:rPr>
            <w:br/>
          </m:r>
        </m:oMath>
        <m:oMath>
          <m:r>
            <w:rPr>
              <w:rFonts w:ascii="Cambria Math" w:eastAsiaTheme="minorEastAsia" w:hAnsi="Cambria Math"/>
            </w:rPr>
            <m:t xml:space="preserve"> </m:t>
          </m:r>
          <m:sSub>
            <m:sSubPr>
              <m:ctrlPr>
                <w:rPr>
                  <w:rFonts w:ascii="Cambria Math" w:hAnsi="Cambria Math"/>
                  <w:i/>
                  <w:iCs/>
                </w:rPr>
              </m:ctrlPr>
            </m:sSubPr>
            <m:e>
              <m:r>
                <m:rPr>
                  <m:nor/>
                </m:rPr>
                <w:rPr>
                  <w:i/>
                  <w:iCs/>
                </w:rPr>
                <m:t>L</m:t>
              </m:r>
            </m:e>
            <m:sub>
              <m:r>
                <m:rPr>
                  <m:nor/>
                </m:rPr>
                <w:rPr>
                  <w:i/>
                  <w:sz w:val="18"/>
                  <w:szCs w:val="18"/>
                </w:rPr>
                <m:t>TC flexible</m:t>
              </m:r>
            </m:sub>
          </m:sSub>
          <m:r>
            <w:rPr>
              <w:rFonts w:ascii="Cambria Math" w:hAnsi="Cambria Math"/>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lang w:val="en-US"/>
                        </w:rPr>
                      </m:ctrlPr>
                    </m:fPr>
                    <m:num>
                      <m:r>
                        <m:rPr>
                          <m:nor/>
                        </m:rPr>
                        <w:rPr>
                          <w:i/>
                          <w:iCs/>
                          <w:lang w:val="en-US"/>
                        </w:rPr>
                        <m:t>α</m:t>
                      </m:r>
                      <m:r>
                        <w:rPr>
                          <w:rFonts w:ascii="Cambria Math" w:hAnsi="Cambria Math"/>
                        </w:rPr>
                        <m:t>∙</m:t>
                      </m:r>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num>
                    <m:den>
                      <m:r>
                        <m:rPr>
                          <m:nor/>
                        </m:rPr>
                        <w:rPr>
                          <w:i/>
                          <w:iCs/>
                        </w:rPr>
                        <m:t>1</m:t>
                      </m:r>
                      <m:r>
                        <w:rPr>
                          <w:rFonts w:ascii="Cambria Math" w:hAnsi="Cambria Math"/>
                        </w:rPr>
                        <m:t>+</m:t>
                      </m:r>
                      <m:r>
                        <m:rPr>
                          <m:nor/>
                        </m:rPr>
                        <w:rPr>
                          <w:i/>
                          <w:iCs/>
                          <w:lang w:val="en-US"/>
                        </w:rPr>
                        <m:t>α</m:t>
                      </m:r>
                    </m:den>
                  </m:f>
                </m:e>
              </m:d>
            </m:e>
            <m:sup>
              <m:r>
                <m:rPr>
                  <m:nor/>
                </m:rPr>
                <w:rPr>
                  <w:i/>
                  <w:iCs/>
                </w:rPr>
                <m:t>2</m:t>
              </m:r>
            </m:sup>
          </m:sSup>
          <m:r>
            <w:rPr>
              <w:rFonts w:ascii="Cambria Math"/>
            </w:rPr>
            <m:t>+</m:t>
          </m:r>
          <m:r>
            <m:rPr>
              <m:nor/>
            </m:rPr>
            <w:rPr>
              <w:i/>
              <w:iCs/>
              <w:lang w:val="en-US"/>
            </w:rPr>
            <m:t>α</m:t>
          </m:r>
          <m:r>
            <w:rPr>
              <w:rFonts w:ascii="Cambria Math" w:hAnsi="Cambria Math"/>
            </w:rPr>
            <m:t>∙</m:t>
          </m:r>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num>
                    <m:den>
                      <m:r>
                        <m:rPr>
                          <m:nor/>
                        </m:rPr>
                        <w:rPr>
                          <w:i/>
                          <w:iCs/>
                        </w:rPr>
                        <m:t>1</m:t>
                      </m:r>
                      <m:r>
                        <w:rPr>
                          <w:rFonts w:ascii="Cambria Math" w:hAnsi="Cambria Math"/>
                        </w:rPr>
                        <m:t>+</m:t>
                      </m:r>
                      <m:r>
                        <m:rPr>
                          <m:nor/>
                        </m:rPr>
                        <w:rPr>
                          <w:i/>
                          <w:iCs/>
                          <w:lang w:val="en-US"/>
                        </w:rPr>
                        <m:t>α</m:t>
                      </m:r>
                    </m:den>
                  </m:f>
                </m:e>
              </m:d>
            </m:e>
            <m:sup>
              <m:r>
                <m:rPr>
                  <m:nor/>
                </m:rPr>
                <w:rPr>
                  <w:i/>
                </w:rPr>
                <m:t>2</m:t>
              </m:r>
            </m:sup>
          </m:sSup>
          <m:r>
            <w:rPr>
              <w:rFonts w:ascii="Cambria Math" w:hAnsi="Cambria Math"/>
            </w:rPr>
            <m:t>+</m:t>
          </m:r>
          <m:r>
            <m:rPr>
              <m:nor/>
            </m:rPr>
            <w:rPr>
              <w:i/>
              <w:iCs/>
            </w:rPr>
            <m:t>C</m:t>
          </m:r>
          <m:d>
            <m:dPr>
              <m:ctrlPr>
                <w:rPr>
                  <w:rFonts w:ascii="Cambria Math" w:hAnsi="Cambria Math"/>
                  <w:i/>
                  <w:iCs/>
                </w:rPr>
              </m:ctrlPr>
            </m:dPr>
            <m:e>
              <m:r>
                <m:rPr>
                  <m:nor/>
                </m:rPr>
                <w:rPr>
                  <w:i/>
                  <w:iCs/>
                  <w:spacing w:val="-1"/>
                  <w:lang w:val="en-US"/>
                </w:rPr>
                <m:t>ϕ</m:t>
              </m:r>
            </m:e>
          </m:d>
          <m:r>
            <m:rPr>
              <m:sty m:val="p"/>
            </m:rPr>
            <w:rPr>
              <w:rFonts w:ascii="Cambria Math" w:hAnsi="Cambria Math"/>
            </w:rPr>
            <w:br/>
          </m:r>
        </m:oMath>
        <m:oMath>
          <m:r>
            <w:rPr>
              <w:rFonts w:ascii="Cambria Math" w:eastAsiaTheme="minorEastAsia" w:hAnsi="Cambria Math"/>
            </w:rPr>
            <m:t xml:space="preserve"> </m:t>
          </m:r>
          <m:sSub>
            <m:sSubPr>
              <m:ctrlPr>
                <w:rPr>
                  <w:rFonts w:ascii="Cambria Math" w:hAnsi="Cambria Math"/>
                  <w:i/>
                  <w:iCs/>
                </w:rPr>
              </m:ctrlPr>
            </m:sSubPr>
            <m:e>
              <m:r>
                <m:rPr>
                  <m:nor/>
                </m:rPr>
                <w:rPr>
                  <w:i/>
                  <w:iCs/>
                </w:rPr>
                <m:t>L</m:t>
              </m:r>
            </m:e>
            <m:sub>
              <m:r>
                <m:rPr>
                  <m:nor/>
                </m:rPr>
                <w:rPr>
                  <w:i/>
                  <w:sz w:val="18"/>
                  <w:szCs w:val="18"/>
                </w:rPr>
                <m:t>TC flexible</m:t>
              </m:r>
            </m:sub>
          </m:sSub>
          <m:r>
            <w:rPr>
              <w:rFonts w:ascii="Cambria Math" w:hAnsi="Cambria Math"/>
            </w:rPr>
            <m:t>=</m:t>
          </m:r>
          <m:sSup>
            <m:sSupPr>
              <m:ctrlPr>
                <w:rPr>
                  <w:rFonts w:ascii="Cambria Math" w:hAnsi="Cambria Math"/>
                  <w:i/>
                  <w:lang w:val="en-US"/>
                </w:rPr>
              </m:ctrlPr>
            </m:sSupPr>
            <m:e>
              <m:r>
                <m:rPr>
                  <m:nor/>
                </m:rPr>
                <w:rPr>
                  <w:i/>
                  <w:iCs/>
                  <w:lang w:val="en-US"/>
                </w:rPr>
                <m:t>α</m:t>
              </m:r>
            </m:e>
            <m:sup>
              <m:r>
                <m:rPr>
                  <m:nor/>
                </m:rPr>
                <w:rPr>
                  <w:i/>
                </w:rPr>
                <m:t>2</m:t>
              </m:r>
            </m:sup>
          </m:sSup>
          <m:r>
            <w:rPr>
              <w:rFonts w:ascii="Cambria Math" w:hAnsi="Cambria Math"/>
            </w:rPr>
            <m:t>∙</m:t>
          </m:r>
          <m:f>
            <m:fPr>
              <m:ctrlPr>
                <w:rPr>
                  <w:rFonts w:ascii="Cambria Math" w:hAnsi="Cambria Math"/>
                  <w:i/>
                  <w:lang w:val="en-US"/>
                </w:rPr>
              </m:ctrlPr>
            </m:fPr>
            <m:num>
              <m:sSup>
                <m:sSupPr>
                  <m:ctrlPr>
                    <w:rPr>
                      <w:rFonts w:ascii="Cambria Math" w:hAnsi="Cambria Math"/>
                      <w:i/>
                      <w:lang w:val="en-US"/>
                    </w:rPr>
                  </m:ctrlPr>
                </m:sSupPr>
                <m:e>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e>
                <m:sup>
                  <m:r>
                    <m:rPr>
                      <m:nor/>
                    </m:rPr>
                    <w:rPr>
                      <w:i/>
                    </w:rPr>
                    <m:t>2</m:t>
                  </m:r>
                </m:sup>
              </m:sSup>
            </m:num>
            <m:den>
              <m:sSup>
                <m:sSupPr>
                  <m:ctrlPr>
                    <w:rPr>
                      <w:rFonts w:ascii="Cambria Math" w:hAnsi="Cambria Math"/>
                      <w:i/>
                      <w:lang w:val="en-US"/>
                    </w:rPr>
                  </m:ctrlPr>
                </m:sSupPr>
                <m:e>
                  <m:d>
                    <m:dPr>
                      <m:ctrlPr>
                        <w:rPr>
                          <w:rFonts w:ascii="Cambria Math" w:hAnsi="Cambria Math"/>
                          <w:i/>
                          <w:lang w:val="en-US"/>
                        </w:rPr>
                      </m:ctrlPr>
                    </m:dPr>
                    <m:e>
                      <m:r>
                        <m:rPr>
                          <m:nor/>
                        </m:rPr>
                        <w:rPr>
                          <w:i/>
                          <w:iCs/>
                        </w:rPr>
                        <m:t>1</m:t>
                      </m:r>
                      <m:r>
                        <w:rPr>
                          <w:rFonts w:ascii="Cambria Math" w:hAnsi="Cambria Math"/>
                        </w:rPr>
                        <m:t>+</m:t>
                      </m:r>
                      <m:r>
                        <m:rPr>
                          <m:nor/>
                        </m:rPr>
                        <w:rPr>
                          <w:i/>
                          <w:iCs/>
                          <w:lang w:val="en-US"/>
                        </w:rPr>
                        <m:t>α</m:t>
                      </m:r>
                    </m:e>
                  </m:d>
                </m:e>
                <m:sup>
                  <m:r>
                    <m:rPr>
                      <m:nor/>
                    </m:rPr>
                    <w:rPr>
                      <w:i/>
                    </w:rPr>
                    <m:t>2</m:t>
                  </m:r>
                </m:sup>
              </m:sSup>
            </m:den>
          </m:f>
          <m:r>
            <w:rPr>
              <w:rFonts w:ascii="Cambria Math"/>
            </w:rPr>
            <m:t>+</m:t>
          </m:r>
          <m:r>
            <m:rPr>
              <m:nor/>
            </m:rPr>
            <w:rPr>
              <w:i/>
              <w:iCs/>
              <w:lang w:val="en-US"/>
            </w:rPr>
            <m:t>α</m:t>
          </m:r>
          <m:r>
            <w:rPr>
              <w:rFonts w:ascii="Cambria Math" w:hAnsi="Cambria Math"/>
            </w:rPr>
            <m:t>∙</m:t>
          </m:r>
          <m:f>
            <m:fPr>
              <m:ctrlPr>
                <w:rPr>
                  <w:rFonts w:ascii="Cambria Math" w:hAnsi="Cambria Math"/>
                  <w:i/>
                  <w:lang w:val="en-US"/>
                </w:rPr>
              </m:ctrlPr>
            </m:fPr>
            <m:num>
              <m:sSup>
                <m:sSupPr>
                  <m:ctrlPr>
                    <w:rPr>
                      <w:rFonts w:ascii="Cambria Math" w:hAnsi="Cambria Math"/>
                      <w:i/>
                      <w:lang w:val="en-US"/>
                    </w:rPr>
                  </m:ctrlPr>
                </m:sSupPr>
                <m:e>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e>
                <m:sup>
                  <m:r>
                    <m:rPr>
                      <m:nor/>
                    </m:rPr>
                    <w:rPr>
                      <w:i/>
                    </w:rPr>
                    <m:t>2</m:t>
                  </m:r>
                </m:sup>
              </m:sSup>
            </m:num>
            <m:den>
              <m:sSup>
                <m:sSupPr>
                  <m:ctrlPr>
                    <w:rPr>
                      <w:rFonts w:ascii="Cambria Math" w:hAnsi="Cambria Math"/>
                      <w:i/>
                      <w:lang w:val="en-US"/>
                    </w:rPr>
                  </m:ctrlPr>
                </m:sSupPr>
                <m:e>
                  <m:d>
                    <m:dPr>
                      <m:ctrlPr>
                        <w:rPr>
                          <w:rFonts w:ascii="Cambria Math" w:hAnsi="Cambria Math"/>
                          <w:i/>
                          <w:lang w:val="en-US"/>
                        </w:rPr>
                      </m:ctrlPr>
                    </m:dPr>
                    <m:e>
                      <m:r>
                        <m:rPr>
                          <m:nor/>
                        </m:rPr>
                        <w:rPr>
                          <w:i/>
                          <w:iCs/>
                        </w:rPr>
                        <m:t>1</m:t>
                      </m:r>
                      <m:r>
                        <w:rPr>
                          <w:rFonts w:ascii="Cambria Math" w:hAnsi="Cambria Math"/>
                        </w:rPr>
                        <m:t>+</m:t>
                      </m:r>
                      <m:r>
                        <m:rPr>
                          <m:nor/>
                        </m:rPr>
                        <w:rPr>
                          <w:i/>
                          <w:iCs/>
                          <w:lang w:val="en-US"/>
                        </w:rPr>
                        <m:t>α</m:t>
                      </m:r>
                    </m:e>
                  </m:d>
                </m:e>
                <m:sup>
                  <m:r>
                    <m:rPr>
                      <m:nor/>
                    </m:rPr>
                    <w:rPr>
                      <w:i/>
                    </w:rPr>
                    <m:t>2</m:t>
                  </m:r>
                </m:sup>
              </m:sSup>
            </m:den>
          </m:f>
          <m:r>
            <w:rPr>
              <w:rFonts w:ascii="Cambria Math" w:hAnsi="Cambria Math"/>
            </w:rPr>
            <m:t>+</m:t>
          </m:r>
          <m:r>
            <m:rPr>
              <m:nor/>
            </m:rPr>
            <w:rPr>
              <w:i/>
              <w:iCs/>
            </w:rPr>
            <m:t>C</m:t>
          </m:r>
          <m:d>
            <m:dPr>
              <m:ctrlPr>
                <w:rPr>
                  <w:rFonts w:ascii="Cambria Math" w:hAnsi="Cambria Math"/>
                  <w:i/>
                  <w:iCs/>
                </w:rPr>
              </m:ctrlPr>
            </m:dPr>
            <m:e>
              <m:r>
                <m:rPr>
                  <m:nor/>
                </m:rPr>
                <w:rPr>
                  <w:i/>
                  <w:iCs/>
                  <w:spacing w:val="-1"/>
                  <w:lang w:val="en-US"/>
                </w:rPr>
                <m:t>ϕ</m:t>
              </m:r>
            </m:e>
          </m:d>
          <m:r>
            <m:rPr>
              <m:sty m:val="p"/>
            </m:rPr>
            <w:rPr>
              <w:rFonts w:ascii="Cambria Math" w:hAnsi="Cambria Math"/>
            </w:rPr>
            <w:br/>
          </m:r>
        </m:oMath>
        <m:oMath>
          <m:sSub>
            <m:sSubPr>
              <m:ctrlPr>
                <w:rPr>
                  <w:rFonts w:ascii="Cambria Math" w:hAnsi="Cambria Math"/>
                  <w:i/>
                  <w:iCs/>
                </w:rPr>
              </m:ctrlPr>
            </m:sSubPr>
            <m:e>
              <m:r>
                <m:rPr>
                  <m:nor/>
                </m:rPr>
                <w:rPr>
                  <w:i/>
                  <w:iCs/>
                </w:rPr>
                <m:t>L</m:t>
              </m:r>
            </m:e>
            <m:sub>
              <m:r>
                <m:rPr>
                  <m:nor/>
                </m:rPr>
                <w:rPr>
                  <w:i/>
                  <w:sz w:val="18"/>
                  <w:szCs w:val="18"/>
                </w:rPr>
                <m:t>TC flexible</m:t>
              </m:r>
            </m:sub>
          </m:sSub>
          <m:r>
            <w:rPr>
              <w:rFonts w:ascii="Cambria Math" w:hAnsi="Cambria Math"/>
            </w:rPr>
            <m:t>=</m:t>
          </m:r>
          <m:d>
            <m:dPr>
              <m:ctrlPr>
                <w:rPr>
                  <w:rFonts w:ascii="Cambria Math" w:hAnsi="Cambria Math"/>
                  <w:i/>
                </w:rPr>
              </m:ctrlPr>
            </m:dPr>
            <m:e>
              <m:r>
                <m:rPr>
                  <m:nor/>
                </m:rPr>
                <w:rPr>
                  <w:i/>
                  <w:iCs/>
                  <w:lang w:val="en-US"/>
                </w:rPr>
                <m:t>α</m:t>
              </m:r>
              <m:r>
                <w:rPr>
                  <w:rFonts w:ascii="Cambria Math" w:hAnsi="Cambria Math"/>
                </w:rPr>
                <m:t>+</m:t>
              </m:r>
              <m:sSup>
                <m:sSupPr>
                  <m:ctrlPr>
                    <w:rPr>
                      <w:rFonts w:ascii="Cambria Math" w:hAnsi="Cambria Math"/>
                      <w:i/>
                      <w:lang w:val="en-US"/>
                    </w:rPr>
                  </m:ctrlPr>
                </m:sSupPr>
                <m:e>
                  <m:r>
                    <m:rPr>
                      <m:nor/>
                    </m:rPr>
                    <w:rPr>
                      <w:i/>
                      <w:iCs/>
                      <w:lang w:val="en-US"/>
                    </w:rPr>
                    <m:t>α</m:t>
                  </m:r>
                </m:e>
                <m:sup>
                  <m:r>
                    <m:rPr>
                      <m:nor/>
                    </m:rPr>
                    <w:rPr>
                      <w:i/>
                    </w:rPr>
                    <m:t>2</m:t>
                  </m:r>
                </m:sup>
              </m:sSup>
            </m:e>
          </m:d>
          <m:r>
            <w:rPr>
              <w:rFonts w:ascii="Cambria Math" w:hAnsi="Cambria Math"/>
            </w:rPr>
            <m:t>∙</m:t>
          </m:r>
          <m:f>
            <m:fPr>
              <m:ctrlPr>
                <w:rPr>
                  <w:rFonts w:ascii="Cambria Math" w:hAnsi="Cambria Math"/>
                  <w:i/>
                  <w:lang w:val="en-US"/>
                </w:rPr>
              </m:ctrlPr>
            </m:fPr>
            <m:num>
              <m:sSup>
                <m:sSupPr>
                  <m:ctrlPr>
                    <w:rPr>
                      <w:rFonts w:ascii="Cambria Math" w:hAnsi="Cambria Math"/>
                      <w:i/>
                      <w:lang w:val="en-US"/>
                    </w:rPr>
                  </m:ctrlPr>
                </m:sSupPr>
                <m:e>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e>
                <m:sup>
                  <m:r>
                    <m:rPr>
                      <m:nor/>
                    </m:rPr>
                    <w:rPr>
                      <w:i/>
                    </w:rPr>
                    <m:t>2</m:t>
                  </m:r>
                </m:sup>
              </m:sSup>
            </m:num>
            <m:den>
              <m:sSup>
                <m:sSupPr>
                  <m:ctrlPr>
                    <w:rPr>
                      <w:rFonts w:ascii="Cambria Math" w:hAnsi="Cambria Math"/>
                      <w:i/>
                      <w:lang w:val="en-US"/>
                    </w:rPr>
                  </m:ctrlPr>
                </m:sSupPr>
                <m:e>
                  <m:d>
                    <m:dPr>
                      <m:ctrlPr>
                        <w:rPr>
                          <w:rFonts w:ascii="Cambria Math" w:hAnsi="Cambria Math"/>
                          <w:i/>
                          <w:lang w:val="en-US"/>
                        </w:rPr>
                      </m:ctrlPr>
                    </m:dPr>
                    <m:e>
                      <m:r>
                        <m:rPr>
                          <m:nor/>
                        </m:rPr>
                        <w:rPr>
                          <w:i/>
                          <w:iCs/>
                        </w:rPr>
                        <m:t>1</m:t>
                      </m:r>
                      <m:r>
                        <w:rPr>
                          <w:rFonts w:ascii="Cambria Math" w:hAnsi="Cambria Math"/>
                        </w:rPr>
                        <m:t>+</m:t>
                      </m:r>
                      <m:r>
                        <m:rPr>
                          <m:nor/>
                        </m:rPr>
                        <w:rPr>
                          <w:i/>
                          <w:iCs/>
                          <w:lang w:val="en-US"/>
                        </w:rPr>
                        <m:t>α</m:t>
                      </m:r>
                    </m:e>
                  </m:d>
                </m:e>
                <m:sup>
                  <m:r>
                    <m:rPr>
                      <m:nor/>
                    </m:rPr>
                    <w:rPr>
                      <w:i/>
                    </w:rPr>
                    <m:t>2</m:t>
                  </m:r>
                </m:sup>
              </m:sSup>
            </m:den>
          </m:f>
          <m:r>
            <w:rPr>
              <w:rFonts w:ascii="Cambria Math"/>
            </w:rPr>
            <m:t>+</m:t>
          </m:r>
          <m:r>
            <m:rPr>
              <m:nor/>
            </m:rPr>
            <w:rPr>
              <w:i/>
              <w:iCs/>
            </w:rPr>
            <m:t>C</m:t>
          </m:r>
          <m:d>
            <m:dPr>
              <m:ctrlPr>
                <w:rPr>
                  <w:rFonts w:ascii="Cambria Math" w:hAnsi="Cambria Math"/>
                  <w:i/>
                  <w:iCs/>
                </w:rPr>
              </m:ctrlPr>
            </m:dPr>
            <m:e>
              <m:r>
                <m:rPr>
                  <m:nor/>
                </m:rPr>
                <w:rPr>
                  <w:i/>
                  <w:iCs/>
                  <w:spacing w:val="-1"/>
                  <w:lang w:val="en-US"/>
                </w:rPr>
                <m:t>ϕ</m:t>
              </m:r>
            </m:e>
          </m:d>
          <m:r>
            <m:rPr>
              <m:sty m:val="p"/>
            </m:rPr>
            <w:rPr>
              <w:rFonts w:ascii="Cambria Math" w:hAnsi="Cambria Math"/>
            </w:rPr>
            <w:br/>
          </m:r>
        </m:oMath>
        <m:oMath>
          <m:borderBox>
            <m:borderBoxPr>
              <m:ctrlPr>
                <w:rPr>
                  <w:rFonts w:ascii="Cambria Math" w:hAnsi="Cambria Math"/>
                  <w:i/>
                  <w:iCs/>
                </w:rPr>
              </m:ctrlPr>
            </m:borderBoxPr>
            <m:e>
              <m:r>
                <w:rPr>
                  <w:rFonts w:ascii="Cambria Math" w:eastAsiaTheme="minorEastAsia" w:hAnsi="Cambria Math"/>
                </w:rPr>
                <m:t xml:space="preserve"> </m:t>
              </m:r>
              <m:sSub>
                <m:sSubPr>
                  <m:ctrlPr>
                    <w:rPr>
                      <w:rFonts w:ascii="Cambria Math" w:hAnsi="Cambria Math"/>
                      <w:i/>
                      <w:iCs/>
                    </w:rPr>
                  </m:ctrlPr>
                </m:sSubPr>
                <m:e>
                  <m:r>
                    <m:rPr>
                      <m:nor/>
                    </m:rPr>
                    <w:rPr>
                      <w:i/>
                      <w:iCs/>
                    </w:rPr>
                    <m:t>L</m:t>
                  </m:r>
                </m:e>
                <m:sub>
                  <m:r>
                    <m:rPr>
                      <m:nor/>
                    </m:rPr>
                    <w:rPr>
                      <w:i/>
                      <w:sz w:val="18"/>
                      <w:szCs w:val="18"/>
                    </w:rPr>
                    <m:t>TC flexible</m:t>
                  </m:r>
                </m:sub>
              </m:sSub>
              <m:r>
                <w:rPr>
                  <w:rFonts w:ascii="Cambria Math" w:hAnsi="Cambria Math"/>
                </w:rPr>
                <m:t>=</m:t>
              </m:r>
              <m:f>
                <m:fPr>
                  <m:ctrlPr>
                    <w:rPr>
                      <w:rFonts w:ascii="Cambria Math" w:hAnsi="Cambria Math"/>
                      <w:i/>
                      <w:lang w:val="en-US"/>
                    </w:rPr>
                  </m:ctrlPr>
                </m:fPr>
                <m:num>
                  <m:d>
                    <m:dPr>
                      <m:ctrlPr>
                        <w:rPr>
                          <w:rFonts w:ascii="Cambria Math" w:hAnsi="Cambria Math"/>
                          <w:i/>
                        </w:rPr>
                      </m:ctrlPr>
                    </m:dPr>
                    <m:e>
                      <m:r>
                        <m:rPr>
                          <m:nor/>
                        </m:rPr>
                        <w:rPr>
                          <w:i/>
                          <w:iCs/>
                          <w:lang w:val="en-US"/>
                        </w:rPr>
                        <m:t>α</m:t>
                      </m:r>
                      <m:r>
                        <w:rPr>
                          <w:rFonts w:ascii="Cambria Math" w:hAnsi="Cambria Math"/>
                        </w:rPr>
                        <m:t>+</m:t>
                      </m:r>
                      <m:sSup>
                        <m:sSupPr>
                          <m:ctrlPr>
                            <w:rPr>
                              <w:rFonts w:ascii="Cambria Math" w:hAnsi="Cambria Math"/>
                              <w:i/>
                              <w:lang w:val="en-US"/>
                            </w:rPr>
                          </m:ctrlPr>
                        </m:sSupPr>
                        <m:e>
                          <m:r>
                            <m:rPr>
                              <m:nor/>
                            </m:rPr>
                            <w:rPr>
                              <w:i/>
                              <w:iCs/>
                              <w:lang w:val="en-US"/>
                            </w:rPr>
                            <m:t>α</m:t>
                          </m:r>
                        </m:e>
                        <m:sup>
                          <m:r>
                            <m:rPr>
                              <m:nor/>
                            </m:rPr>
                            <w:rPr>
                              <w:i/>
                            </w:rPr>
                            <m:t>2</m:t>
                          </m:r>
                        </m:sup>
                      </m:sSup>
                    </m:e>
                  </m:d>
                </m:num>
                <m:den>
                  <m:sSup>
                    <m:sSupPr>
                      <m:ctrlPr>
                        <w:rPr>
                          <w:rFonts w:ascii="Cambria Math" w:hAnsi="Cambria Math"/>
                          <w:i/>
                          <w:lang w:val="en-US"/>
                        </w:rPr>
                      </m:ctrlPr>
                    </m:sSupPr>
                    <m:e>
                      <m:d>
                        <m:dPr>
                          <m:ctrlPr>
                            <w:rPr>
                              <w:rFonts w:ascii="Cambria Math" w:hAnsi="Cambria Math"/>
                              <w:i/>
                              <w:lang w:val="en-US"/>
                            </w:rPr>
                          </m:ctrlPr>
                        </m:dPr>
                        <m:e>
                          <m:r>
                            <m:rPr>
                              <m:nor/>
                            </m:rPr>
                            <w:rPr>
                              <w:i/>
                              <w:iCs/>
                            </w:rPr>
                            <m:t>1</m:t>
                          </m:r>
                          <m:r>
                            <w:rPr>
                              <w:rFonts w:ascii="Cambria Math" w:hAnsi="Cambria Math"/>
                            </w:rPr>
                            <m:t>+</m:t>
                          </m:r>
                          <m:r>
                            <m:rPr>
                              <m:nor/>
                            </m:rPr>
                            <w:rPr>
                              <w:i/>
                              <w:iCs/>
                              <w:lang w:val="en-US"/>
                            </w:rPr>
                            <m:t>α</m:t>
                          </m:r>
                        </m:e>
                      </m:d>
                    </m:e>
                    <m:sup>
                      <m:r>
                        <m:rPr>
                          <m:nor/>
                        </m:rPr>
                        <w:rPr>
                          <w:i/>
                        </w:rPr>
                        <m:t>2</m:t>
                      </m:r>
                    </m:sup>
                  </m:sSup>
                </m:den>
              </m:f>
              <m:r>
                <w:rPr>
                  <w:rFonts w:ascii="Cambria Math" w:hAnsi="Cambria Math"/>
                </w:rPr>
                <m:t>∙</m:t>
              </m:r>
              <m:sSup>
                <m:sSupPr>
                  <m:ctrlPr>
                    <w:rPr>
                      <w:rFonts w:ascii="Cambria Math" w:hAnsi="Cambria Math"/>
                      <w:i/>
                      <w:lang w:val="en-US"/>
                    </w:rPr>
                  </m:ctrlPr>
                </m:sSupPr>
                <m:e>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e>
                <m:sup>
                  <m:r>
                    <m:rPr>
                      <m:nor/>
                    </m:rPr>
                    <w:rPr>
                      <w:i/>
                    </w:rPr>
                    <m:t>2</m:t>
                  </m:r>
                </m:sup>
              </m:sSup>
              <m:r>
                <w:rPr>
                  <w:rFonts w:ascii="Cambria Math"/>
                </w:rPr>
                <m:t>+</m:t>
              </m:r>
              <m:r>
                <m:rPr>
                  <m:nor/>
                </m:rPr>
                <w:rPr>
                  <w:i/>
                  <w:iCs/>
                </w:rPr>
                <m:t>C</m:t>
              </m:r>
              <m:d>
                <m:dPr>
                  <m:ctrlPr>
                    <w:rPr>
                      <w:rFonts w:ascii="Cambria Math" w:hAnsi="Cambria Math"/>
                      <w:i/>
                      <w:iCs/>
                    </w:rPr>
                  </m:ctrlPr>
                </m:dPr>
                <m:e>
                  <m:r>
                    <m:rPr>
                      <m:nor/>
                    </m:rPr>
                    <w:rPr>
                      <w:i/>
                      <w:iCs/>
                      <w:spacing w:val="-1"/>
                      <w:lang w:val="en-US"/>
                    </w:rPr>
                    <m:t>ϕ</m:t>
                  </m:r>
                </m:e>
              </m:d>
            </m:e>
          </m:borderBox>
        </m:oMath>
      </m:oMathPara>
    </w:p>
    <w:p w14:paraId="2D07AB51" w14:textId="77777777" w:rsidR="00192908" w:rsidRDefault="00192908" w:rsidP="005A0870">
      <w:pPr>
        <w:pStyle w:val="Ttulo7"/>
      </w:pPr>
      <w:r>
        <w:t>Comparación</w:t>
      </w:r>
    </w:p>
    <w:tbl>
      <w:tblPr>
        <w:tblStyle w:val="Tablaconcuadrcula"/>
        <w:tblW w:w="0" w:type="auto"/>
        <w:tblLook w:val="04A0" w:firstRow="1" w:lastRow="0" w:firstColumn="1" w:lastColumn="0" w:noHBand="0" w:noVBand="1"/>
      </w:tblPr>
      <w:tblGrid>
        <w:gridCol w:w="4644"/>
        <w:gridCol w:w="4644"/>
      </w:tblGrid>
      <w:tr w:rsidR="00192908" w14:paraId="15E409A1" w14:textId="77777777" w:rsidTr="00934C3B">
        <w:tc>
          <w:tcPr>
            <w:tcW w:w="4644" w:type="dxa"/>
            <w:vAlign w:val="center"/>
          </w:tcPr>
          <w:p w14:paraId="1A44014B" w14:textId="10F4073F" w:rsidR="00192908" w:rsidRDefault="00000000" w:rsidP="00934C3B">
            <w:pPr>
              <w:spacing w:after="0"/>
              <w:jc w:val="center"/>
            </w:pPr>
            <m:oMathPara>
              <m:oMath>
                <m:sSub>
                  <m:sSubPr>
                    <m:ctrlPr>
                      <w:rPr>
                        <w:rFonts w:ascii="Cambria Math" w:hAnsi="Cambria Math"/>
                        <w:i/>
                        <w:iCs/>
                      </w:rPr>
                    </m:ctrlPr>
                  </m:sSubPr>
                  <m:e>
                    <m:r>
                      <m:rPr>
                        <m:nor/>
                      </m:rPr>
                      <w:rPr>
                        <w:i/>
                        <w:iCs/>
                      </w:rPr>
                      <m:t>L</m:t>
                    </m:r>
                  </m:e>
                  <m:sub>
                    <m:r>
                      <m:rPr>
                        <m:nor/>
                      </m:rPr>
                      <w:rPr>
                        <w:i/>
                        <w:sz w:val="18"/>
                        <w:szCs w:val="18"/>
                      </w:rPr>
                      <m:t>TC fijo</m:t>
                    </m:r>
                  </m:sub>
                </m:sSub>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e>
                  <m:sup>
                    <m:r>
                      <m:rPr>
                        <m:nor/>
                      </m:rPr>
                      <w:rPr>
                        <w:i/>
                        <w:iCs/>
                      </w:rPr>
                      <m:t>2</m:t>
                    </m:r>
                  </m:sup>
                </m:sSup>
              </m:oMath>
            </m:oMathPara>
          </w:p>
        </w:tc>
        <w:tc>
          <w:tcPr>
            <w:tcW w:w="4644" w:type="dxa"/>
            <w:vAlign w:val="center"/>
          </w:tcPr>
          <w:p w14:paraId="3DF25CEF" w14:textId="04FF7973" w:rsidR="00192908" w:rsidRDefault="00000000" w:rsidP="00934C3B">
            <w:pPr>
              <w:spacing w:after="0"/>
              <w:jc w:val="center"/>
            </w:pPr>
            <m:oMathPara>
              <m:oMath>
                <m:sSub>
                  <m:sSubPr>
                    <m:ctrlPr>
                      <w:rPr>
                        <w:rFonts w:ascii="Cambria Math" w:hAnsi="Cambria Math"/>
                        <w:i/>
                        <w:iCs/>
                      </w:rPr>
                    </m:ctrlPr>
                  </m:sSubPr>
                  <m:e>
                    <m:r>
                      <m:rPr>
                        <m:nor/>
                      </m:rPr>
                      <w:rPr>
                        <w:i/>
                        <w:iCs/>
                      </w:rPr>
                      <m:t>L</m:t>
                    </m:r>
                  </m:e>
                  <m:sub>
                    <m:r>
                      <m:rPr>
                        <m:nor/>
                      </m:rPr>
                      <w:rPr>
                        <w:i/>
                        <w:sz w:val="18"/>
                        <w:szCs w:val="18"/>
                      </w:rPr>
                      <m:t>TC flexible</m:t>
                    </m:r>
                  </m:sub>
                </m:sSub>
                <m:r>
                  <w:rPr>
                    <w:rFonts w:ascii="Cambria Math" w:hAnsi="Cambria Math"/>
                  </w:rPr>
                  <m:t>=</m:t>
                </m:r>
                <m:f>
                  <m:fPr>
                    <m:ctrlPr>
                      <w:rPr>
                        <w:rFonts w:ascii="Cambria Math" w:hAnsi="Cambria Math"/>
                        <w:i/>
                        <w:lang w:val="en-US"/>
                      </w:rPr>
                    </m:ctrlPr>
                  </m:fPr>
                  <m:num>
                    <m:d>
                      <m:dPr>
                        <m:ctrlPr>
                          <w:rPr>
                            <w:rFonts w:ascii="Cambria Math" w:hAnsi="Cambria Math"/>
                            <w:i/>
                          </w:rPr>
                        </m:ctrlPr>
                      </m:dPr>
                      <m:e>
                        <m:r>
                          <m:rPr>
                            <m:nor/>
                          </m:rPr>
                          <w:rPr>
                            <w:i/>
                            <w:iCs/>
                            <w:lang w:val="en-US"/>
                          </w:rPr>
                          <m:t>α</m:t>
                        </m:r>
                        <m:r>
                          <w:rPr>
                            <w:rFonts w:ascii="Cambria Math" w:hAnsi="Cambria Math"/>
                          </w:rPr>
                          <m:t>+</m:t>
                        </m:r>
                        <m:sSup>
                          <m:sSupPr>
                            <m:ctrlPr>
                              <w:rPr>
                                <w:rFonts w:ascii="Cambria Math" w:hAnsi="Cambria Math"/>
                                <w:i/>
                                <w:lang w:val="en-US"/>
                              </w:rPr>
                            </m:ctrlPr>
                          </m:sSupPr>
                          <m:e>
                            <m:r>
                              <m:rPr>
                                <m:nor/>
                              </m:rPr>
                              <w:rPr>
                                <w:i/>
                                <w:iCs/>
                                <w:lang w:val="en-US"/>
                              </w:rPr>
                              <m:t>α</m:t>
                            </m:r>
                          </m:e>
                          <m:sup>
                            <m:r>
                              <m:rPr>
                                <m:nor/>
                              </m:rPr>
                              <w:rPr>
                                <w:i/>
                              </w:rPr>
                              <m:t>2</m:t>
                            </m:r>
                          </m:sup>
                        </m:sSup>
                      </m:e>
                    </m:d>
                  </m:num>
                  <m:den>
                    <m:sSup>
                      <m:sSupPr>
                        <m:ctrlPr>
                          <w:rPr>
                            <w:rFonts w:ascii="Cambria Math" w:hAnsi="Cambria Math"/>
                            <w:i/>
                            <w:lang w:val="en-US"/>
                          </w:rPr>
                        </m:ctrlPr>
                      </m:sSupPr>
                      <m:e>
                        <m:d>
                          <m:dPr>
                            <m:ctrlPr>
                              <w:rPr>
                                <w:rFonts w:ascii="Cambria Math" w:hAnsi="Cambria Math"/>
                                <w:i/>
                                <w:lang w:val="en-US"/>
                              </w:rPr>
                            </m:ctrlPr>
                          </m:dPr>
                          <m:e>
                            <m:r>
                              <m:rPr>
                                <m:nor/>
                              </m:rPr>
                              <w:rPr>
                                <w:i/>
                                <w:iCs/>
                              </w:rPr>
                              <m:t>1</m:t>
                            </m:r>
                            <m:r>
                              <w:rPr>
                                <w:rFonts w:ascii="Cambria Math" w:hAnsi="Cambria Math"/>
                              </w:rPr>
                              <m:t>+</m:t>
                            </m:r>
                            <m:r>
                              <m:rPr>
                                <m:nor/>
                              </m:rPr>
                              <w:rPr>
                                <w:i/>
                                <w:iCs/>
                                <w:lang w:val="en-US"/>
                              </w:rPr>
                              <m:t>α</m:t>
                            </m:r>
                          </m:e>
                        </m:d>
                      </m:e>
                      <m:sup>
                        <m:r>
                          <m:rPr>
                            <m:nor/>
                          </m:rPr>
                          <w:rPr>
                            <w:i/>
                          </w:rPr>
                          <m:t>2</m:t>
                        </m:r>
                      </m:sup>
                    </m:sSup>
                  </m:den>
                </m:f>
                <m:r>
                  <w:rPr>
                    <w:rFonts w:ascii="Cambria Math" w:hAnsi="Cambria Math"/>
                  </w:rPr>
                  <m:t>∙</m:t>
                </m:r>
                <m:sSup>
                  <m:sSupPr>
                    <m:ctrlPr>
                      <w:rPr>
                        <w:rFonts w:ascii="Cambria Math" w:hAnsi="Cambria Math"/>
                        <w:i/>
                        <w:lang w:val="en-US"/>
                      </w:rPr>
                    </m:ctrlPr>
                  </m:sSupPr>
                  <m:e>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e>
                  <m:sup>
                    <m:r>
                      <m:rPr>
                        <m:nor/>
                      </m:rPr>
                      <w:rPr>
                        <w:i/>
                      </w:rPr>
                      <m:t>2</m:t>
                    </m:r>
                  </m:sup>
                </m:sSup>
                <m:r>
                  <w:rPr>
                    <w:rFonts w:ascii="Cambria Math"/>
                  </w:rPr>
                  <m:t>+</m:t>
                </m:r>
                <m:r>
                  <m:rPr>
                    <m:nor/>
                  </m:rPr>
                  <w:rPr>
                    <w:i/>
                    <w:iCs/>
                  </w:rPr>
                  <m:t>C</m:t>
                </m:r>
                <m:d>
                  <m:dPr>
                    <m:ctrlPr>
                      <w:rPr>
                        <w:rFonts w:ascii="Cambria Math" w:hAnsi="Cambria Math"/>
                        <w:i/>
                        <w:iCs/>
                      </w:rPr>
                    </m:ctrlPr>
                  </m:dPr>
                  <m:e>
                    <m:r>
                      <m:rPr>
                        <m:nor/>
                      </m:rPr>
                      <w:rPr>
                        <w:i/>
                        <w:iCs/>
                        <w:spacing w:val="-1"/>
                        <w:lang w:val="en-US"/>
                      </w:rPr>
                      <m:t>ϕ</m:t>
                    </m:r>
                  </m:e>
                </m:d>
              </m:oMath>
            </m:oMathPara>
          </w:p>
        </w:tc>
      </w:tr>
    </w:tbl>
    <w:p w14:paraId="68521FEE" w14:textId="0DD84B0D" w:rsidR="00192908" w:rsidRDefault="00192908" w:rsidP="006912C0">
      <w:pPr>
        <w:pStyle w:val="Nivel1SM"/>
        <w:keepNext/>
        <w:spacing w:before="0" w:after="0"/>
      </w:pPr>
      <w:r>
        <w:t>V</w:t>
      </w:r>
      <w:r w:rsidRPr="00D65219">
        <w:t>emos que en caso de que los costes de abandono del tipo de cambio dados por</w:t>
      </w:r>
      <m:oMath>
        <m:r>
          <w:rPr>
            <w:rFonts w:ascii="Cambria Math" w:hAnsi="Cambria Math"/>
          </w:rPr>
          <m:t xml:space="preserve"> </m:t>
        </m:r>
        <m:r>
          <m:rPr>
            <m:nor/>
          </m:rPr>
          <w:rPr>
            <w:i/>
            <w:iCs/>
          </w:rPr>
          <m:t>C</m:t>
        </m:r>
        <m:d>
          <m:dPr>
            <m:ctrlPr>
              <w:rPr>
                <w:rFonts w:ascii="Cambria Math" w:hAnsi="Cambria Math"/>
                <w:i/>
                <w:iCs/>
              </w:rPr>
            </m:ctrlPr>
          </m:dPr>
          <m:e>
            <m:r>
              <m:rPr>
                <m:nor/>
              </m:rPr>
              <w:rPr>
                <w:i/>
                <w:iCs/>
                <w:spacing w:val="-1"/>
                <w:lang w:val="en-US"/>
              </w:rPr>
              <m:t>ϕ</m:t>
            </m:r>
          </m:e>
        </m:d>
      </m:oMath>
      <w:r w:rsidRPr="00D65219">
        <w:t xml:space="preserve"> fuesen cero, el coste del mantenimiento del </w:t>
      </w:r>
      <w:r>
        <w:t>tipo de cambio</w:t>
      </w:r>
      <w:r w:rsidRPr="00D65219">
        <w:t xml:space="preserve"> fijo es mayor que el coste del mantenimiento del </w:t>
      </w:r>
      <w:r>
        <w:t>tipo de cambio</w:t>
      </w:r>
      <w:r w:rsidRPr="00D65219">
        <w:t xml:space="preserve"> flexible</w:t>
      </w:r>
      <w:r>
        <w:t xml:space="preserve"> [ya que </w:t>
      </w:r>
      <m:oMath>
        <m:f>
          <m:fPr>
            <m:type m:val="lin"/>
            <m:ctrlPr>
              <w:rPr>
                <w:rFonts w:ascii="Cambria Math" w:hAnsi="Cambria Math"/>
                <w:i/>
              </w:rPr>
            </m:ctrlPr>
          </m:fPr>
          <m:num>
            <m:d>
              <m:dPr>
                <m:ctrlPr>
                  <w:rPr>
                    <w:rFonts w:ascii="Cambria Math" w:hAnsi="Cambria Math"/>
                    <w:i/>
                  </w:rPr>
                </m:ctrlPr>
              </m:dPr>
              <m:e>
                <m:r>
                  <m:rPr>
                    <m:nor/>
                  </m:rPr>
                  <w:rPr>
                    <w:i/>
                    <w:iCs/>
                    <w:lang w:val="en-US"/>
                  </w:rPr>
                  <m:t>α</m:t>
                </m:r>
                <m:r>
                  <w:rPr>
                    <w:rFonts w:ascii="Cambria Math" w:hAnsi="Cambria Math"/>
                  </w:rPr>
                  <m:t>+</m:t>
                </m:r>
                <m:sSup>
                  <m:sSupPr>
                    <m:ctrlPr>
                      <w:rPr>
                        <w:rFonts w:ascii="Cambria Math" w:hAnsi="Cambria Math"/>
                        <w:i/>
                        <w:lang w:val="en-US"/>
                      </w:rPr>
                    </m:ctrlPr>
                  </m:sSupPr>
                  <m:e>
                    <m:r>
                      <m:rPr>
                        <m:nor/>
                      </m:rPr>
                      <w:rPr>
                        <w:i/>
                        <w:iCs/>
                        <w:lang w:val="en-US"/>
                      </w:rPr>
                      <m:t>α</m:t>
                    </m:r>
                  </m:e>
                  <m:sup>
                    <m:r>
                      <m:rPr>
                        <m:nor/>
                      </m:rPr>
                      <w:rPr>
                        <w:i/>
                      </w:rPr>
                      <m:t>2</m:t>
                    </m:r>
                  </m:sup>
                </m:sSup>
              </m:e>
            </m:d>
          </m:num>
          <m:den>
            <m:sSup>
              <m:sSupPr>
                <m:ctrlPr>
                  <w:rPr>
                    <w:rFonts w:ascii="Cambria Math" w:hAnsi="Cambria Math"/>
                    <w:i/>
                    <w:lang w:val="en-US"/>
                  </w:rPr>
                </m:ctrlPr>
              </m:sSupPr>
              <m:e>
                <m:d>
                  <m:dPr>
                    <m:ctrlPr>
                      <w:rPr>
                        <w:rFonts w:ascii="Cambria Math" w:hAnsi="Cambria Math"/>
                        <w:i/>
                        <w:lang w:val="en-US"/>
                      </w:rPr>
                    </m:ctrlPr>
                  </m:dPr>
                  <m:e>
                    <m:r>
                      <m:rPr>
                        <m:nor/>
                      </m:rPr>
                      <w:rPr>
                        <w:i/>
                        <w:iCs/>
                      </w:rPr>
                      <m:t>1</m:t>
                    </m:r>
                    <m:r>
                      <w:rPr>
                        <w:rFonts w:ascii="Cambria Math" w:hAnsi="Cambria Math"/>
                      </w:rPr>
                      <m:t>+</m:t>
                    </m:r>
                    <m:r>
                      <m:rPr>
                        <m:nor/>
                      </m:rPr>
                      <w:rPr>
                        <w:i/>
                        <w:iCs/>
                        <w:lang w:val="en-US"/>
                      </w:rPr>
                      <m:t>α</m:t>
                    </m:r>
                  </m:e>
                </m:d>
              </m:e>
              <m:sup>
                <m:r>
                  <m:rPr>
                    <m:nor/>
                  </m:rPr>
                  <w:rPr>
                    <w:i/>
                  </w:rPr>
                  <m:t>2</m:t>
                </m:r>
              </m:sup>
            </m:sSup>
          </m:den>
        </m:f>
        <m:r>
          <w:rPr>
            <w:rFonts w:ascii="Cambria Math" w:hAnsi="Cambria Math"/>
          </w:rPr>
          <m:t>&lt;</m:t>
        </m:r>
        <m:r>
          <m:rPr>
            <m:nor/>
          </m:rPr>
          <w:rPr>
            <w:i/>
            <w:iCs/>
          </w:rPr>
          <m:t>1</m:t>
        </m:r>
      </m:oMath>
      <w:r>
        <w:t>]</w:t>
      </w:r>
      <w:r w:rsidRPr="00D65219">
        <w:t>.</w:t>
      </w:r>
    </w:p>
    <w:p w14:paraId="319FE160" w14:textId="77777777" w:rsidR="00192908" w:rsidRDefault="00192908" w:rsidP="000872F7">
      <w:pPr>
        <w:pStyle w:val="Nivel2SM"/>
      </w:pPr>
      <w:r>
        <w:t>En caso de no existir costes asociados al abandono del tipo de cambio fijo, los gobiernos abandonarían el tipo de cambio fijo.</w:t>
      </w:r>
    </w:p>
    <w:p w14:paraId="5D95F9A3" w14:textId="7782455C" w:rsidR="00192908" w:rsidRPr="00BB5EBA" w:rsidRDefault="00192908" w:rsidP="004F1508">
      <w:pPr>
        <w:pStyle w:val="Nivel1SM"/>
        <w:keepNext/>
        <w:spacing w:after="0"/>
      </w:pPr>
      <w:r>
        <w:t>Sin embargo, en presencia de estos costes,</w:t>
      </w:r>
      <m:oMath>
        <m:r>
          <w:rPr>
            <w:rFonts w:ascii="Cambria Math" w:hAnsi="Cambria Math"/>
          </w:rPr>
          <m:t xml:space="preserve"> </m:t>
        </m:r>
        <m:r>
          <m:rPr>
            <m:nor/>
          </m:rPr>
          <w:rPr>
            <w:i/>
            <w:iCs/>
          </w:rPr>
          <m:t>C</m:t>
        </m:r>
        <m:d>
          <m:dPr>
            <m:ctrlPr>
              <w:rPr>
                <w:rFonts w:ascii="Cambria Math" w:hAnsi="Cambria Math"/>
                <w:i/>
                <w:iCs/>
              </w:rPr>
            </m:ctrlPr>
          </m:dPr>
          <m:e>
            <m:r>
              <m:rPr>
                <m:nor/>
              </m:rPr>
              <w:rPr>
                <w:i/>
                <w:iCs/>
                <w:spacing w:val="-1"/>
                <w:lang w:val="en-US"/>
              </w:rPr>
              <m:t>ϕ</m:t>
            </m:r>
          </m:e>
        </m:d>
      </m:oMath>
      <w:r>
        <w:rPr>
          <w:rFonts w:eastAsiaTheme="minorEastAsia"/>
          <w:iCs/>
        </w:rPr>
        <w:t>, el gobierno estudiará como minimizar la función de pérdida, (i.e. si abandona el tipo de cambio fijo o lo mantiene):</w:t>
      </w:r>
    </w:p>
    <w:p w14:paraId="5D96D348" w14:textId="77777777" w:rsidR="00192908" w:rsidRPr="00BB5EBA" w:rsidRDefault="00192908" w:rsidP="006912C0">
      <w:pPr>
        <w:pStyle w:val="Nivel2SM"/>
      </w:pPr>
      <w:r>
        <w:t xml:space="preserve">Si </w:t>
      </w:r>
      <m:oMath>
        <m:sSub>
          <m:sSubPr>
            <m:ctrlPr>
              <w:rPr>
                <w:rFonts w:ascii="Cambria Math" w:hAnsi="Cambria Math"/>
                <w:i/>
                <w:iCs/>
              </w:rPr>
            </m:ctrlPr>
          </m:sSubPr>
          <m:e>
            <m:r>
              <m:rPr>
                <m:nor/>
              </m:rPr>
              <w:rPr>
                <w:i/>
                <w:iCs/>
              </w:rPr>
              <m:t>L</m:t>
            </m:r>
          </m:e>
          <m:sub>
            <m:r>
              <m:rPr>
                <m:nor/>
              </m:rPr>
              <w:rPr>
                <w:i/>
                <w:sz w:val="18"/>
                <w:szCs w:val="18"/>
              </w:rPr>
              <m:t>TC fijo</m:t>
            </m:r>
          </m:sub>
        </m:sSub>
        <m:r>
          <w:rPr>
            <w:rFonts w:ascii="Cambria Math" w:hAnsi="Cambria Math"/>
          </w:rPr>
          <m:t>&lt;</m:t>
        </m:r>
        <m:sSub>
          <m:sSubPr>
            <m:ctrlPr>
              <w:rPr>
                <w:rFonts w:ascii="Cambria Math" w:hAnsi="Cambria Math"/>
                <w:i/>
                <w:iCs/>
              </w:rPr>
            </m:ctrlPr>
          </m:sSubPr>
          <m:e>
            <m:r>
              <m:rPr>
                <m:nor/>
              </m:rPr>
              <w:rPr>
                <w:i/>
                <w:iCs/>
              </w:rPr>
              <m:t>L</m:t>
            </m:r>
          </m:e>
          <m:sub>
            <m:r>
              <m:rPr>
                <m:nor/>
              </m:rPr>
              <w:rPr>
                <w:i/>
                <w:sz w:val="18"/>
                <w:szCs w:val="18"/>
              </w:rPr>
              <m:t>TC flexible</m:t>
            </m:r>
          </m:sub>
        </m:sSub>
      </m:oMath>
      <w:r>
        <w:t>, mantendrá el tipo de cambio fijo.</w:t>
      </w:r>
    </w:p>
    <w:p w14:paraId="7E344EAA" w14:textId="77777777" w:rsidR="00192908" w:rsidRPr="00BB5EBA" w:rsidRDefault="00192908" w:rsidP="006912C0">
      <w:pPr>
        <w:pStyle w:val="Nivel2SM"/>
        <w:keepNext/>
        <w:spacing w:after="0"/>
      </w:pPr>
      <w:r>
        <w:t xml:space="preserve">Si </w:t>
      </w:r>
      <m:oMath>
        <m:sSub>
          <m:sSubPr>
            <m:ctrlPr>
              <w:rPr>
                <w:rFonts w:ascii="Cambria Math" w:hAnsi="Cambria Math"/>
                <w:i/>
                <w:iCs/>
              </w:rPr>
            </m:ctrlPr>
          </m:sSubPr>
          <m:e>
            <m:r>
              <m:rPr>
                <m:nor/>
              </m:rPr>
              <w:rPr>
                <w:i/>
                <w:iCs/>
              </w:rPr>
              <m:t>L</m:t>
            </m:r>
          </m:e>
          <m:sub>
            <m:r>
              <m:rPr>
                <m:nor/>
              </m:rPr>
              <w:rPr>
                <w:i/>
                <w:sz w:val="18"/>
                <w:szCs w:val="18"/>
              </w:rPr>
              <m:t>TC fijo</m:t>
            </m:r>
          </m:sub>
        </m:sSub>
        <m:r>
          <w:rPr>
            <w:rFonts w:ascii="Cambria Math" w:hAnsi="Cambria Math"/>
          </w:rPr>
          <m:t>&gt;</m:t>
        </m:r>
        <m:sSub>
          <m:sSubPr>
            <m:ctrlPr>
              <w:rPr>
                <w:rFonts w:ascii="Cambria Math" w:hAnsi="Cambria Math"/>
                <w:i/>
                <w:iCs/>
              </w:rPr>
            </m:ctrlPr>
          </m:sSubPr>
          <m:e>
            <m:r>
              <m:rPr>
                <m:nor/>
              </m:rPr>
              <w:rPr>
                <w:i/>
                <w:iCs/>
              </w:rPr>
              <m:t>L</m:t>
            </m:r>
          </m:e>
          <m:sub>
            <m:r>
              <m:rPr>
                <m:nor/>
              </m:rPr>
              <w:rPr>
                <w:i/>
                <w:sz w:val="18"/>
                <w:szCs w:val="18"/>
              </w:rPr>
              <m:t>TC flexible</m:t>
            </m:r>
          </m:sub>
        </m:sSub>
      </m:oMath>
      <w:r>
        <w:t>, romperá el tipo de cambio fijo.</w:t>
      </w:r>
    </w:p>
    <w:p w14:paraId="37BAC3F9" w14:textId="77777777" w:rsidR="00192908" w:rsidRDefault="00192908" w:rsidP="006912C0">
      <w:pPr>
        <w:pStyle w:val="Nivel3SM"/>
        <w:keepNext/>
      </w:pPr>
      <w:r>
        <w:t>Es decir, lo romperá si:</w:t>
      </w:r>
    </w:p>
    <w:p w14:paraId="12FCF6CF" w14:textId="4E78F9FA" w:rsidR="00192908" w:rsidRPr="00D42AD2" w:rsidRDefault="00000000" w:rsidP="00192908">
      <w:pPr>
        <w:pStyle w:val="Nivel3"/>
        <w:numPr>
          <w:ilvl w:val="0"/>
          <w:numId w:val="0"/>
        </w:numPr>
        <w:ind w:left="1463"/>
        <w:rPr>
          <w:rFonts w:eastAsiaTheme="minorEastAsia"/>
          <w:iCs/>
        </w:rPr>
      </w:pPr>
      <m:oMathPara>
        <m:oMath>
          <m:sSub>
            <m:sSubPr>
              <m:ctrlPr>
                <w:rPr>
                  <w:rFonts w:ascii="Cambria Math" w:hAnsi="Cambria Math"/>
                  <w:i/>
                  <w:iCs/>
                </w:rPr>
              </m:ctrlPr>
            </m:sSubPr>
            <m:e>
              <m:r>
                <m:rPr>
                  <m:nor/>
                </m:rPr>
                <w:rPr>
                  <w:i/>
                  <w:iCs/>
                </w:rPr>
                <m:t>L</m:t>
              </m:r>
            </m:e>
            <m:sub>
              <m:r>
                <m:rPr>
                  <m:nor/>
                </m:rPr>
                <w:rPr>
                  <w:i/>
                  <w:sz w:val="18"/>
                  <w:szCs w:val="18"/>
                </w:rPr>
                <m:t>TC fijo</m:t>
              </m:r>
            </m:sub>
          </m:sSub>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e>
            <m:sup>
              <m:r>
                <m:rPr>
                  <m:nor/>
                </m:rPr>
                <w:rPr>
                  <w:i/>
                  <w:iCs/>
                </w:rPr>
                <m:t>2</m:t>
              </m:r>
            </m:sup>
          </m:sSup>
          <m:r>
            <w:rPr>
              <w:rFonts w:ascii="Cambria Math" w:eastAsiaTheme="minorEastAsia" w:hAnsi="Cambria Math"/>
            </w:rPr>
            <m:t>&gt;</m:t>
          </m:r>
          <m:f>
            <m:fPr>
              <m:ctrlPr>
                <w:rPr>
                  <w:rFonts w:ascii="Cambria Math" w:hAnsi="Cambria Math"/>
                  <w:i/>
                  <w:lang w:val="en-US"/>
                </w:rPr>
              </m:ctrlPr>
            </m:fPr>
            <m:num>
              <m:d>
                <m:dPr>
                  <m:ctrlPr>
                    <w:rPr>
                      <w:rFonts w:ascii="Cambria Math" w:hAnsi="Cambria Math"/>
                      <w:i/>
                    </w:rPr>
                  </m:ctrlPr>
                </m:dPr>
                <m:e>
                  <m:r>
                    <m:rPr>
                      <m:nor/>
                    </m:rPr>
                    <w:rPr>
                      <w:i/>
                      <w:iCs/>
                      <w:lang w:val="en-US"/>
                    </w:rPr>
                    <m:t>α</m:t>
                  </m:r>
                  <m:r>
                    <w:rPr>
                      <w:rFonts w:ascii="Cambria Math" w:hAnsi="Cambria Math"/>
                    </w:rPr>
                    <m:t>+</m:t>
                  </m:r>
                  <m:sSup>
                    <m:sSupPr>
                      <m:ctrlPr>
                        <w:rPr>
                          <w:rFonts w:ascii="Cambria Math" w:hAnsi="Cambria Math"/>
                          <w:i/>
                          <w:lang w:val="en-US"/>
                        </w:rPr>
                      </m:ctrlPr>
                    </m:sSupPr>
                    <m:e>
                      <m:r>
                        <m:rPr>
                          <m:nor/>
                        </m:rPr>
                        <w:rPr>
                          <w:i/>
                          <w:iCs/>
                          <w:lang w:val="en-US"/>
                        </w:rPr>
                        <m:t>α</m:t>
                      </m:r>
                    </m:e>
                    <m:sup>
                      <m:r>
                        <m:rPr>
                          <m:nor/>
                        </m:rPr>
                        <w:rPr>
                          <w:i/>
                        </w:rPr>
                        <m:t>2</m:t>
                      </m:r>
                    </m:sup>
                  </m:sSup>
                </m:e>
              </m:d>
            </m:num>
            <m:den>
              <m:sSup>
                <m:sSupPr>
                  <m:ctrlPr>
                    <w:rPr>
                      <w:rFonts w:ascii="Cambria Math" w:hAnsi="Cambria Math"/>
                      <w:i/>
                      <w:lang w:val="en-US"/>
                    </w:rPr>
                  </m:ctrlPr>
                </m:sSupPr>
                <m:e>
                  <m:d>
                    <m:dPr>
                      <m:ctrlPr>
                        <w:rPr>
                          <w:rFonts w:ascii="Cambria Math" w:hAnsi="Cambria Math"/>
                          <w:i/>
                          <w:lang w:val="en-US"/>
                        </w:rPr>
                      </m:ctrlPr>
                    </m:dPr>
                    <m:e>
                      <m:r>
                        <m:rPr>
                          <m:nor/>
                        </m:rPr>
                        <w:rPr>
                          <w:i/>
                          <w:iCs/>
                        </w:rPr>
                        <m:t>1</m:t>
                      </m:r>
                      <m:r>
                        <w:rPr>
                          <w:rFonts w:ascii="Cambria Math" w:hAnsi="Cambria Math"/>
                        </w:rPr>
                        <m:t>+</m:t>
                      </m:r>
                      <m:r>
                        <m:rPr>
                          <m:nor/>
                        </m:rPr>
                        <w:rPr>
                          <w:i/>
                          <w:iCs/>
                          <w:lang w:val="en-US"/>
                        </w:rPr>
                        <m:t>α</m:t>
                      </m:r>
                    </m:e>
                  </m:d>
                </m:e>
                <m:sup>
                  <m:r>
                    <m:rPr>
                      <m:nor/>
                    </m:rPr>
                    <w:rPr>
                      <w:i/>
                    </w:rPr>
                    <m:t>2</m:t>
                  </m:r>
                </m:sup>
              </m:sSup>
            </m:den>
          </m:f>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e>
            <m:sup>
              <m:r>
                <m:rPr>
                  <m:nor/>
                </m:rPr>
                <w:rPr>
                  <w:i/>
                  <w:iCs/>
                </w:rPr>
                <m:t>2</m:t>
              </m:r>
            </m:sup>
          </m:sSup>
          <m:r>
            <w:rPr>
              <w:rFonts w:ascii="Cambria Math"/>
            </w:rPr>
            <m:t>+</m:t>
          </m:r>
          <m:r>
            <m:rPr>
              <m:nor/>
            </m:rPr>
            <w:rPr>
              <w:i/>
              <w:iCs/>
            </w:rPr>
            <m:t>C</m:t>
          </m:r>
          <m:d>
            <m:dPr>
              <m:ctrlPr>
                <w:rPr>
                  <w:rFonts w:ascii="Cambria Math" w:hAnsi="Cambria Math"/>
                  <w:i/>
                  <w:iCs/>
                </w:rPr>
              </m:ctrlPr>
            </m:dPr>
            <m:e>
              <m:r>
                <m:rPr>
                  <m:nor/>
                </m:rPr>
                <w:rPr>
                  <w:i/>
                  <w:iCs/>
                  <w:spacing w:val="-1"/>
                  <w:lang w:val="en-US"/>
                </w:rPr>
                <m:t>ϕ</m:t>
              </m:r>
            </m:e>
          </m:d>
          <m:r>
            <w:rPr>
              <w:rFonts w:ascii="Cambria Math" w:hAnsi="Cambria Math"/>
            </w:rPr>
            <m:t>=</m:t>
          </m:r>
          <m:sSub>
            <m:sSubPr>
              <m:ctrlPr>
                <w:rPr>
                  <w:rFonts w:ascii="Cambria Math" w:hAnsi="Cambria Math"/>
                  <w:i/>
                  <w:iCs/>
                </w:rPr>
              </m:ctrlPr>
            </m:sSubPr>
            <m:e>
              <m:r>
                <m:rPr>
                  <m:nor/>
                </m:rPr>
                <w:rPr>
                  <w:i/>
                  <w:iCs/>
                </w:rPr>
                <m:t>L</m:t>
              </m:r>
            </m:e>
            <m:sub>
              <m:r>
                <m:rPr>
                  <m:nor/>
                </m:rPr>
                <w:rPr>
                  <w:i/>
                  <w:sz w:val="18"/>
                  <w:szCs w:val="18"/>
                </w:rPr>
                <m:t>TC flexible</m:t>
              </m:r>
            </m:sub>
          </m:sSub>
          <m:r>
            <m:rPr>
              <m:sty m:val="p"/>
            </m:rPr>
            <w:rPr>
              <w:rFonts w:ascii="Cambria Math" w:hAnsi="Cambria Math"/>
            </w:rPr>
            <w:br/>
          </m:r>
        </m:oMath>
        <m:oMath>
          <m:r>
            <w:rPr>
              <w:rFonts w:ascii="Cambria Math" w:eastAsiaTheme="minorEastAsia" w:hAnsi="Cambria Math"/>
            </w:rPr>
            <m:t xml:space="preserve"> </m:t>
          </m:r>
          <m:r>
            <m:rPr>
              <m:nor/>
            </m:rPr>
            <w:rPr>
              <w:i/>
              <w:iCs/>
            </w:rPr>
            <m:t>1</m:t>
          </m:r>
          <m:r>
            <w:rPr>
              <w:rFonts w:ascii="Cambria Math" w:eastAsiaTheme="minorEastAsia" w:hAnsi="Cambria Math"/>
            </w:rPr>
            <m:t>&gt;</m:t>
          </m:r>
          <m:f>
            <m:fPr>
              <m:ctrlPr>
                <w:rPr>
                  <w:rFonts w:ascii="Cambria Math" w:hAnsi="Cambria Math"/>
                  <w:i/>
                  <w:lang w:val="en-US"/>
                </w:rPr>
              </m:ctrlPr>
            </m:fPr>
            <m:num>
              <m:d>
                <m:dPr>
                  <m:ctrlPr>
                    <w:rPr>
                      <w:rFonts w:ascii="Cambria Math" w:hAnsi="Cambria Math"/>
                      <w:i/>
                    </w:rPr>
                  </m:ctrlPr>
                </m:dPr>
                <m:e>
                  <m:r>
                    <m:rPr>
                      <m:nor/>
                    </m:rPr>
                    <w:rPr>
                      <w:i/>
                      <w:iCs/>
                      <w:lang w:val="en-US"/>
                    </w:rPr>
                    <m:t>α</m:t>
                  </m:r>
                  <m:r>
                    <w:rPr>
                      <w:rFonts w:ascii="Cambria Math" w:hAnsi="Cambria Math"/>
                    </w:rPr>
                    <m:t>+</m:t>
                  </m:r>
                  <m:sSup>
                    <m:sSupPr>
                      <m:ctrlPr>
                        <w:rPr>
                          <w:rFonts w:ascii="Cambria Math" w:hAnsi="Cambria Math"/>
                          <w:i/>
                          <w:lang w:val="en-US"/>
                        </w:rPr>
                      </m:ctrlPr>
                    </m:sSupPr>
                    <m:e>
                      <m:r>
                        <m:rPr>
                          <m:nor/>
                        </m:rPr>
                        <w:rPr>
                          <w:i/>
                          <w:iCs/>
                          <w:lang w:val="en-US"/>
                        </w:rPr>
                        <m:t>α</m:t>
                      </m:r>
                    </m:e>
                    <m:sup>
                      <m:r>
                        <m:rPr>
                          <m:nor/>
                        </m:rPr>
                        <w:rPr>
                          <w:i/>
                        </w:rPr>
                        <m:t>2</m:t>
                      </m:r>
                    </m:sup>
                  </m:sSup>
                </m:e>
              </m:d>
            </m:num>
            <m:den>
              <m:sSup>
                <m:sSupPr>
                  <m:ctrlPr>
                    <w:rPr>
                      <w:rFonts w:ascii="Cambria Math" w:hAnsi="Cambria Math"/>
                      <w:i/>
                      <w:lang w:val="en-US"/>
                    </w:rPr>
                  </m:ctrlPr>
                </m:sSupPr>
                <m:e>
                  <m:d>
                    <m:dPr>
                      <m:ctrlPr>
                        <w:rPr>
                          <w:rFonts w:ascii="Cambria Math" w:hAnsi="Cambria Math"/>
                          <w:i/>
                          <w:lang w:val="en-US"/>
                        </w:rPr>
                      </m:ctrlPr>
                    </m:dPr>
                    <m:e>
                      <m:r>
                        <m:rPr>
                          <m:nor/>
                        </m:rPr>
                        <w:rPr>
                          <w:i/>
                          <w:iCs/>
                        </w:rPr>
                        <m:t>1</m:t>
                      </m:r>
                      <m:r>
                        <w:rPr>
                          <w:rFonts w:ascii="Cambria Math" w:hAnsi="Cambria Math"/>
                        </w:rPr>
                        <m:t>+</m:t>
                      </m:r>
                      <m:r>
                        <m:rPr>
                          <m:nor/>
                        </m:rPr>
                        <w:rPr>
                          <w:i/>
                          <w:iCs/>
                          <w:lang w:val="en-US"/>
                        </w:rPr>
                        <m:t>α</m:t>
                      </m:r>
                    </m:e>
                  </m:d>
                </m:e>
                <m:sup>
                  <m:r>
                    <m:rPr>
                      <m:nor/>
                    </m:rPr>
                    <w:rPr>
                      <w:i/>
                    </w:rPr>
                    <m:t>2</m:t>
                  </m:r>
                </m:sup>
              </m:sSup>
            </m:den>
          </m:f>
          <m:r>
            <w:rPr>
              <w:rFonts w:ascii="Cambria Math"/>
            </w:rPr>
            <m:t>+</m:t>
          </m:r>
          <m:f>
            <m:fPr>
              <m:ctrlPr>
                <w:rPr>
                  <w:rFonts w:ascii="Cambria Math" w:hAnsi="Cambria Math"/>
                  <w:i/>
                  <w:iCs/>
                </w:rPr>
              </m:ctrlPr>
            </m:fPr>
            <m:num>
              <m:r>
                <m:rPr>
                  <m:nor/>
                </m:rPr>
                <w:rPr>
                  <w:i/>
                  <w:iCs/>
                </w:rPr>
                <m:t>C</m:t>
              </m:r>
              <m:d>
                <m:dPr>
                  <m:ctrlPr>
                    <w:rPr>
                      <w:rFonts w:ascii="Cambria Math" w:hAnsi="Cambria Math"/>
                      <w:i/>
                      <w:iCs/>
                    </w:rPr>
                  </m:ctrlPr>
                </m:dPr>
                <m:e>
                  <m:r>
                    <m:rPr>
                      <m:nor/>
                    </m:rPr>
                    <w:rPr>
                      <w:i/>
                      <w:iCs/>
                      <w:spacing w:val="-1"/>
                      <w:lang w:val="en-US"/>
                    </w:rPr>
                    <m:t>ϕ</m:t>
                  </m:r>
                </m:e>
              </m:d>
            </m:num>
            <m:den>
              <m:sSup>
                <m:sSupPr>
                  <m:ctrlPr>
                    <w:rPr>
                      <w:rFonts w:ascii="Cambria Math" w:hAnsi="Cambria Math"/>
                      <w:i/>
                      <w:iCs/>
                    </w:rPr>
                  </m:ctrlPr>
                </m:sSupPr>
                <m:e>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e>
                <m:sup>
                  <m:r>
                    <m:rPr>
                      <m:nor/>
                    </m:rPr>
                    <w:rPr>
                      <w:i/>
                      <w:iCs/>
                    </w:rPr>
                    <m:t>2</m:t>
                  </m:r>
                </m:sup>
              </m:sSup>
            </m:den>
          </m:f>
          <m:r>
            <m:rPr>
              <m:sty m:val="p"/>
            </m:rPr>
            <w:rPr>
              <w:rFonts w:ascii="Cambria Math" w:hAnsi="Cambria Math"/>
            </w:rPr>
            <w:br/>
          </m:r>
        </m:oMath>
        <m:oMath>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lang w:val="en-US"/>
                    </w:rPr>
                  </m:ctrlPr>
                </m:fPr>
                <m:num>
                  <m:d>
                    <m:dPr>
                      <m:ctrlPr>
                        <w:rPr>
                          <w:rFonts w:ascii="Cambria Math" w:hAnsi="Cambria Math"/>
                          <w:i/>
                        </w:rPr>
                      </m:ctrlPr>
                    </m:dPr>
                    <m:e>
                      <m:r>
                        <m:rPr>
                          <m:nor/>
                        </m:rPr>
                        <w:rPr>
                          <w:i/>
                          <w:iCs/>
                          <w:lang w:val="en-US"/>
                        </w:rPr>
                        <m:t>α</m:t>
                      </m:r>
                      <m:r>
                        <w:rPr>
                          <w:rFonts w:ascii="Cambria Math" w:hAnsi="Cambria Math"/>
                        </w:rPr>
                        <m:t>+</m:t>
                      </m:r>
                      <m:sSup>
                        <m:sSupPr>
                          <m:ctrlPr>
                            <w:rPr>
                              <w:rFonts w:ascii="Cambria Math" w:hAnsi="Cambria Math"/>
                              <w:i/>
                              <w:lang w:val="en-US"/>
                            </w:rPr>
                          </m:ctrlPr>
                        </m:sSupPr>
                        <m:e>
                          <m:r>
                            <m:rPr>
                              <m:nor/>
                            </m:rPr>
                            <w:rPr>
                              <w:i/>
                              <w:iCs/>
                              <w:lang w:val="en-US"/>
                            </w:rPr>
                            <m:t>α</m:t>
                          </m:r>
                        </m:e>
                        <m:sup>
                          <m:r>
                            <m:rPr>
                              <m:nor/>
                            </m:rPr>
                            <w:rPr>
                              <w:i/>
                            </w:rPr>
                            <m:t>2</m:t>
                          </m:r>
                        </m:sup>
                      </m:sSup>
                    </m:e>
                  </m:d>
                </m:num>
                <m:den>
                  <m:sSup>
                    <m:sSupPr>
                      <m:ctrlPr>
                        <w:rPr>
                          <w:rFonts w:ascii="Cambria Math" w:hAnsi="Cambria Math"/>
                          <w:i/>
                          <w:lang w:val="en-US"/>
                        </w:rPr>
                      </m:ctrlPr>
                    </m:sSupPr>
                    <m:e>
                      <m:d>
                        <m:dPr>
                          <m:ctrlPr>
                            <w:rPr>
                              <w:rFonts w:ascii="Cambria Math" w:hAnsi="Cambria Math"/>
                              <w:i/>
                              <w:lang w:val="en-US"/>
                            </w:rPr>
                          </m:ctrlPr>
                        </m:dPr>
                        <m:e>
                          <m:r>
                            <m:rPr>
                              <m:nor/>
                            </m:rPr>
                            <w:rPr>
                              <w:i/>
                              <w:iCs/>
                            </w:rPr>
                            <m:t>1</m:t>
                          </m:r>
                          <m:r>
                            <w:rPr>
                              <w:rFonts w:ascii="Cambria Math" w:hAnsi="Cambria Math"/>
                            </w:rPr>
                            <m:t>+</m:t>
                          </m:r>
                          <m:r>
                            <m:rPr>
                              <m:nor/>
                            </m:rPr>
                            <w:rPr>
                              <w:i/>
                              <w:iCs/>
                              <w:lang w:val="en-US"/>
                            </w:rPr>
                            <m:t>α</m:t>
                          </m:r>
                        </m:e>
                      </m:d>
                    </m:e>
                    <m:sup>
                      <m:r>
                        <m:rPr>
                          <m:nor/>
                        </m:rPr>
                        <w:rPr>
                          <w:i/>
                        </w:rPr>
                        <m:t>2</m:t>
                      </m:r>
                    </m:sup>
                  </m:sSup>
                </m:den>
              </m:f>
            </m:e>
          </m:d>
          <m:r>
            <w:rPr>
              <w:rFonts w:ascii="Cambria Math" w:eastAsiaTheme="minorEastAsia" w:hAnsi="Cambria Math"/>
            </w:rPr>
            <m:t>∙</m:t>
          </m:r>
          <m:sSup>
            <m:sSupPr>
              <m:ctrlPr>
                <w:rPr>
                  <w:rFonts w:ascii="Cambria Math" w:hAnsi="Cambria Math"/>
                  <w:i/>
                  <w:iCs/>
                </w:rPr>
              </m:ctrlPr>
            </m:sSupPr>
            <m:e>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e>
            <m:sup>
              <m:r>
                <m:rPr>
                  <m:nor/>
                </m:rPr>
                <w:rPr>
                  <w:i/>
                  <w:iCs/>
                </w:rPr>
                <m:t>2</m:t>
              </m:r>
            </m:sup>
          </m:sSup>
          <m:r>
            <w:rPr>
              <w:rFonts w:ascii="Cambria Math" w:eastAsiaTheme="minorEastAsia" w:hAnsi="Cambria Math"/>
            </w:rPr>
            <m:t>&gt;</m:t>
          </m:r>
          <m:r>
            <m:rPr>
              <m:nor/>
            </m:rPr>
            <w:rPr>
              <w:i/>
              <w:iCs/>
            </w:rPr>
            <m:t>C</m:t>
          </m:r>
          <m:d>
            <m:dPr>
              <m:ctrlPr>
                <w:rPr>
                  <w:rFonts w:ascii="Cambria Math" w:hAnsi="Cambria Math"/>
                  <w:i/>
                  <w:iCs/>
                </w:rPr>
              </m:ctrlPr>
            </m:dPr>
            <m:e>
              <m:r>
                <m:rPr>
                  <m:nor/>
                </m:rPr>
                <w:rPr>
                  <w:i/>
                  <w:iCs/>
                  <w:spacing w:val="-1"/>
                  <w:lang w:val="en-US"/>
                </w:rPr>
                <m:t>ϕ</m:t>
              </m:r>
            </m:e>
          </m:d>
        </m:oMath>
      </m:oMathPara>
    </w:p>
    <w:p w14:paraId="736BB8BC" w14:textId="3333CC1D" w:rsidR="00192908" w:rsidRDefault="00192908" w:rsidP="006912C0">
      <w:pPr>
        <w:pStyle w:val="Nivel3SM"/>
      </w:pPr>
      <w:r>
        <w:t xml:space="preserve">Esto es lo que se conoce como </w:t>
      </w:r>
      <w:r>
        <w:rPr>
          <w:i/>
        </w:rPr>
        <w:t>condición de escape</w:t>
      </w:r>
      <w:r>
        <w:t xml:space="preserve"> (</w:t>
      </w:r>
      <w:r>
        <w:rPr>
          <w:i/>
        </w:rPr>
        <w:t xml:space="preserve">escape </w:t>
      </w:r>
      <w:proofErr w:type="spellStart"/>
      <w:r>
        <w:rPr>
          <w:i/>
        </w:rPr>
        <w:t>clause</w:t>
      </w:r>
      <w:proofErr w:type="spellEnd"/>
      <w:r>
        <w:t>).</w:t>
      </w:r>
    </w:p>
    <w:p w14:paraId="652A4B60" w14:textId="70F4AE29" w:rsidR="00263DDA" w:rsidRDefault="00263DDA" w:rsidP="005A0870">
      <w:pPr>
        <w:pStyle w:val="Ttulo7"/>
      </w:pPr>
      <w:r>
        <w:lastRenderedPageBreak/>
        <w:t>Posibles escenarios</w:t>
      </w:r>
    </w:p>
    <w:p w14:paraId="6BC49E2A" w14:textId="6E9748AC" w:rsidR="00263DDA" w:rsidRDefault="00263DDA" w:rsidP="00DC4DF2">
      <w:pPr>
        <w:pStyle w:val="Nivel1SM"/>
        <w:keepNext/>
        <w:spacing w:before="0" w:after="0"/>
      </w:pPr>
      <w:r>
        <w:t xml:space="preserve">Esto puede dar lugar a distintos escenarios en función de los </w:t>
      </w:r>
      <w:r>
        <w:rPr>
          <w:i/>
          <w:iCs/>
        </w:rPr>
        <w:t>fundamentales de la economía</w:t>
      </w:r>
      <w:r>
        <w:t xml:space="preserve"> y de las </w:t>
      </w:r>
      <w:r w:rsidRPr="00263DDA">
        <w:rPr>
          <w:i/>
          <w:iCs/>
        </w:rPr>
        <w:t>expectativas de los agentes</w:t>
      </w:r>
      <w:r>
        <w:t>:</w:t>
      </w:r>
    </w:p>
    <w:p w14:paraId="039572A2" w14:textId="21FDC829" w:rsidR="00263DDA" w:rsidRDefault="00263DDA">
      <w:pPr>
        <w:pStyle w:val="Prrafodelista"/>
        <w:keepNext/>
        <w:numPr>
          <w:ilvl w:val="0"/>
          <w:numId w:val="8"/>
        </w:numPr>
        <w:spacing w:after="0"/>
        <w:ind w:left="567" w:hanging="227"/>
        <w:contextualSpacing w:val="0"/>
      </w:pPr>
      <w:r w:rsidRPr="004F1508">
        <w:rPr>
          <w:i/>
          <w:iCs/>
          <w:u w:val="single"/>
        </w:rPr>
        <w:t>Equilibrio único cielo</w:t>
      </w:r>
      <w:r>
        <w:t xml:space="preserve">: </w:t>
      </w:r>
      <w:r w:rsidR="004F1508">
        <w:rPr>
          <w:i/>
          <w:iCs/>
        </w:rPr>
        <w:t>El tipo de cambio es sostenible incluso cuando los agentes creen que la moneda se va a devaluar</w:t>
      </w:r>
      <w:r>
        <w:t xml:space="preserve"> (</w:t>
      </w:r>
      <m:oMath>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&gt;</m:t>
        </m:r>
        <m:r>
          <m:rPr>
            <m:nor/>
          </m:rPr>
          <w:rPr>
            <w:i/>
          </w:rPr>
          <m:t>0</m:t>
        </m:r>
      </m:oMath>
      <w:r>
        <w:t>), Esta situación se da si los costes de mantener el tipo de cambio fijo son menores que los de abandonarlo:</w:t>
      </w:r>
    </w:p>
    <w:p w14:paraId="0E1A6257" w14:textId="50F91B58" w:rsidR="00263DDA" w:rsidRPr="00263DDA" w:rsidRDefault="00000000" w:rsidP="004F1508">
      <w:pPr>
        <w:pStyle w:val="Prrafodelista"/>
        <w:keepNext/>
        <w:spacing w:after="0"/>
        <w:ind w:left="567"/>
        <w:contextualSpacing w:val="0"/>
        <w:rPr>
          <w:rFonts w:eastAsiaTheme="minorEastAsia"/>
          <w:iCs/>
        </w:rPr>
      </w:pPr>
      <m:oMathPara>
        <m:oMath>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lang w:val="en-US"/>
                    </w:rPr>
                  </m:ctrlPr>
                </m:fPr>
                <m:num>
                  <m:d>
                    <m:dPr>
                      <m:ctrlPr>
                        <w:rPr>
                          <w:rFonts w:ascii="Cambria Math" w:hAnsi="Cambria Math"/>
                          <w:i/>
                        </w:rPr>
                      </m:ctrlPr>
                    </m:dPr>
                    <m:e>
                      <m:r>
                        <m:rPr>
                          <m:nor/>
                        </m:rPr>
                        <w:rPr>
                          <w:i/>
                          <w:iCs/>
                          <w:lang w:val="en-US"/>
                        </w:rPr>
                        <m:t>α</m:t>
                      </m:r>
                      <m:r>
                        <w:rPr>
                          <w:rFonts w:ascii="Cambria Math" w:hAnsi="Cambria Math"/>
                        </w:rPr>
                        <m:t>+</m:t>
                      </m:r>
                      <m:sSup>
                        <m:sSupPr>
                          <m:ctrlPr>
                            <w:rPr>
                              <w:rFonts w:ascii="Cambria Math" w:hAnsi="Cambria Math"/>
                              <w:i/>
                              <w:lang w:val="en-US"/>
                            </w:rPr>
                          </m:ctrlPr>
                        </m:sSupPr>
                        <m:e>
                          <m:r>
                            <m:rPr>
                              <m:nor/>
                            </m:rPr>
                            <w:rPr>
                              <w:i/>
                              <w:iCs/>
                              <w:lang w:val="en-US"/>
                            </w:rPr>
                            <m:t>α</m:t>
                          </m:r>
                        </m:e>
                        <m:sup>
                          <m:r>
                            <m:rPr>
                              <m:nor/>
                            </m:rPr>
                            <w:rPr>
                              <w:i/>
                            </w:rPr>
                            <m:t>2</m:t>
                          </m:r>
                        </m:sup>
                      </m:sSup>
                    </m:e>
                  </m:d>
                </m:num>
                <m:den>
                  <m:sSup>
                    <m:sSupPr>
                      <m:ctrlPr>
                        <w:rPr>
                          <w:rFonts w:ascii="Cambria Math" w:hAnsi="Cambria Math"/>
                          <w:i/>
                          <w:lang w:val="en-US"/>
                        </w:rPr>
                      </m:ctrlPr>
                    </m:sSupPr>
                    <m:e>
                      <m:d>
                        <m:dPr>
                          <m:ctrlPr>
                            <w:rPr>
                              <w:rFonts w:ascii="Cambria Math" w:hAnsi="Cambria Math"/>
                              <w:i/>
                              <w:lang w:val="en-US"/>
                            </w:rPr>
                          </m:ctrlPr>
                        </m:dPr>
                        <m:e>
                          <m:r>
                            <m:rPr>
                              <m:nor/>
                            </m:rPr>
                            <w:rPr>
                              <w:i/>
                              <w:iCs/>
                            </w:rPr>
                            <m:t>1</m:t>
                          </m:r>
                          <m:r>
                            <w:rPr>
                              <w:rFonts w:ascii="Cambria Math" w:hAnsi="Cambria Math"/>
                            </w:rPr>
                            <m:t>+</m:t>
                          </m:r>
                          <m:r>
                            <m:rPr>
                              <m:nor/>
                            </m:rPr>
                            <w:rPr>
                              <w:i/>
                              <w:iCs/>
                              <w:lang w:val="en-US"/>
                            </w:rPr>
                            <m:t>α</m:t>
                          </m:r>
                        </m:e>
                      </m:d>
                    </m:e>
                    <m:sup>
                      <m:r>
                        <m:rPr>
                          <m:nor/>
                        </m:rPr>
                        <w:rPr>
                          <w:i/>
                        </w:rPr>
                        <m:t>2</m:t>
                      </m:r>
                    </m:sup>
                  </m:sSup>
                </m:den>
              </m:f>
            </m:e>
          </m:d>
          <m:r>
            <w:rPr>
              <w:rFonts w:ascii="Cambria Math" w:eastAsiaTheme="minorEastAsia" w:hAnsi="Cambria Math"/>
            </w:rPr>
            <m:t>∙</m:t>
          </m:r>
          <m:sSup>
            <m:sSupPr>
              <m:ctrlPr>
                <w:rPr>
                  <w:rFonts w:ascii="Cambria Math" w:hAnsi="Cambria Math"/>
                  <w:i/>
                  <w:iCs/>
                </w:rPr>
              </m:ctrlPr>
            </m:sSupPr>
            <m:e>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e>
            <m:sup>
              <m:r>
                <m:rPr>
                  <m:nor/>
                </m:rPr>
                <w:rPr>
                  <w:i/>
                  <w:iCs/>
                </w:rPr>
                <m:t>2</m:t>
              </m:r>
            </m:sup>
          </m:sSup>
          <m:r>
            <w:rPr>
              <w:rFonts w:ascii="Cambria Math" w:eastAsiaTheme="minorEastAsia" w:hAnsi="Cambria Math"/>
            </w:rPr>
            <m:t>&lt;</m:t>
          </m:r>
          <m:r>
            <m:rPr>
              <m:nor/>
            </m:rPr>
            <w:rPr>
              <w:i/>
              <w:iCs/>
            </w:rPr>
            <m:t>C</m:t>
          </m:r>
          <m:d>
            <m:dPr>
              <m:ctrlPr>
                <w:rPr>
                  <w:rFonts w:ascii="Cambria Math" w:hAnsi="Cambria Math"/>
                  <w:i/>
                  <w:iCs/>
                </w:rPr>
              </m:ctrlPr>
            </m:dPr>
            <m:e>
              <m:r>
                <m:rPr>
                  <m:nor/>
                </m:rPr>
                <w:rPr>
                  <w:i/>
                  <w:iCs/>
                  <w:spacing w:val="-1"/>
                  <w:lang w:val="en-US"/>
                </w:rPr>
                <m:t>ϕ</m:t>
              </m:r>
            </m:e>
          </m:d>
        </m:oMath>
      </m:oMathPara>
    </w:p>
    <w:p w14:paraId="215D06C8" w14:textId="77777777" w:rsidR="004F1508" w:rsidRDefault="004F1508" w:rsidP="004F1508">
      <w:pPr>
        <w:pStyle w:val="Nivel3SM"/>
      </w:pPr>
      <w:r>
        <w:t xml:space="preserve">En este caso, los fundamentos económicos son lo suficientemente fuertes como para disuadir cualquier ataque especulativo (es decir, </w:t>
      </w:r>
      <m:oMath>
        <m:r>
          <m:rPr>
            <m:nor/>
          </m:rPr>
          <w:rPr>
            <w:i/>
            <w:iCs/>
          </w:rPr>
          <m:t>Y</m:t>
        </m:r>
      </m:oMath>
      <w:r>
        <w:rPr>
          <w:rFonts w:eastAsiaTheme="minorEastAsia"/>
          <w:iCs/>
        </w:rPr>
        <w:t xml:space="preserve"> está muy cerca de </w:t>
      </w:r>
      <m:oMath>
        <m:r>
          <m:rPr>
            <m:nor/>
          </m:rPr>
          <w:rPr>
            <w:i/>
            <w:iCs/>
          </w:rPr>
          <m:t>Y*</m:t>
        </m:r>
      </m:oMath>
      <w:r>
        <w:rPr>
          <w:rFonts w:eastAsiaTheme="minorEastAsia"/>
          <w:iCs/>
        </w:rPr>
        <w:t>).</w:t>
      </w:r>
    </w:p>
    <w:p w14:paraId="283F9D97" w14:textId="3D0A7012" w:rsidR="00263DDA" w:rsidRDefault="00263DDA">
      <w:pPr>
        <w:pStyle w:val="Prrafodelista"/>
        <w:keepNext/>
        <w:numPr>
          <w:ilvl w:val="0"/>
          <w:numId w:val="8"/>
        </w:numPr>
        <w:spacing w:after="0"/>
        <w:ind w:left="567" w:hanging="227"/>
        <w:contextualSpacing w:val="0"/>
      </w:pPr>
      <w:r w:rsidRPr="004F1508">
        <w:rPr>
          <w:i/>
          <w:iCs/>
          <w:u w:val="single"/>
        </w:rPr>
        <w:t>Equilibrio único infierno</w:t>
      </w:r>
      <w:r>
        <w:t xml:space="preserve">: </w:t>
      </w:r>
      <w:r w:rsidRPr="004F1508">
        <w:rPr>
          <w:i/>
          <w:iCs/>
        </w:rPr>
        <w:t>El tipo de cambio es insostenible incluso cuando los agentes creen que la moneda va a mantener su paridad</w:t>
      </w:r>
      <w:r>
        <w:t xml:space="preserve"> (</w:t>
      </w:r>
      <m:oMath>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rPr>
          <m:t>0</m:t>
        </m:r>
      </m:oMath>
      <w:r>
        <w:t>). Esta situación se da si los costes de mantener el tipo de cambio fijo son</w:t>
      </w:r>
      <w:r w:rsidR="004F1508">
        <w:t xml:space="preserve"> mayores que</w:t>
      </w:r>
      <w:r>
        <w:t xml:space="preserve"> los de </w:t>
      </w:r>
      <w:r w:rsidR="004F1508">
        <w:t>abandonarlo</w:t>
      </w:r>
      <w:r>
        <w:t>:</w:t>
      </w:r>
    </w:p>
    <w:p w14:paraId="5B054488" w14:textId="7711B65F" w:rsidR="00263DDA" w:rsidRPr="00263DDA" w:rsidRDefault="00000000" w:rsidP="004F1508">
      <w:pPr>
        <w:pStyle w:val="Prrafodelista"/>
        <w:keepNext/>
        <w:spacing w:after="0"/>
        <w:ind w:left="567"/>
        <w:contextualSpacing w:val="0"/>
        <w:rPr>
          <w:rFonts w:eastAsiaTheme="minorEastAsia"/>
          <w:iCs/>
        </w:rPr>
      </w:pPr>
      <m:oMathPara>
        <m:oMath>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lang w:val="en-US"/>
                    </w:rPr>
                  </m:ctrlPr>
                </m:fPr>
                <m:num>
                  <m:d>
                    <m:dPr>
                      <m:ctrlPr>
                        <w:rPr>
                          <w:rFonts w:ascii="Cambria Math" w:hAnsi="Cambria Math"/>
                          <w:i/>
                        </w:rPr>
                      </m:ctrlPr>
                    </m:dPr>
                    <m:e>
                      <m:r>
                        <m:rPr>
                          <m:nor/>
                        </m:rPr>
                        <w:rPr>
                          <w:i/>
                          <w:iCs/>
                          <w:lang w:val="en-US"/>
                        </w:rPr>
                        <m:t>α</m:t>
                      </m:r>
                      <m:r>
                        <w:rPr>
                          <w:rFonts w:ascii="Cambria Math" w:hAnsi="Cambria Math"/>
                        </w:rPr>
                        <m:t>+</m:t>
                      </m:r>
                      <m:sSup>
                        <m:sSupPr>
                          <m:ctrlPr>
                            <w:rPr>
                              <w:rFonts w:ascii="Cambria Math" w:hAnsi="Cambria Math"/>
                              <w:i/>
                              <w:lang w:val="en-US"/>
                            </w:rPr>
                          </m:ctrlPr>
                        </m:sSupPr>
                        <m:e>
                          <m:r>
                            <m:rPr>
                              <m:nor/>
                            </m:rPr>
                            <w:rPr>
                              <w:i/>
                              <w:iCs/>
                              <w:lang w:val="en-US"/>
                            </w:rPr>
                            <m:t>α</m:t>
                          </m:r>
                        </m:e>
                        <m:sup>
                          <m:r>
                            <m:rPr>
                              <m:nor/>
                            </m:rPr>
                            <w:rPr>
                              <w:i/>
                            </w:rPr>
                            <m:t>2</m:t>
                          </m:r>
                        </m:sup>
                      </m:sSup>
                    </m:e>
                  </m:d>
                </m:num>
                <m:den>
                  <m:sSup>
                    <m:sSupPr>
                      <m:ctrlPr>
                        <w:rPr>
                          <w:rFonts w:ascii="Cambria Math" w:hAnsi="Cambria Math"/>
                          <w:i/>
                          <w:lang w:val="en-US"/>
                        </w:rPr>
                      </m:ctrlPr>
                    </m:sSupPr>
                    <m:e>
                      <m:d>
                        <m:dPr>
                          <m:ctrlPr>
                            <w:rPr>
                              <w:rFonts w:ascii="Cambria Math" w:hAnsi="Cambria Math"/>
                              <w:i/>
                              <w:lang w:val="en-US"/>
                            </w:rPr>
                          </m:ctrlPr>
                        </m:dPr>
                        <m:e>
                          <m:r>
                            <m:rPr>
                              <m:nor/>
                            </m:rPr>
                            <w:rPr>
                              <w:i/>
                              <w:iCs/>
                            </w:rPr>
                            <m:t>1</m:t>
                          </m:r>
                          <m:r>
                            <w:rPr>
                              <w:rFonts w:ascii="Cambria Math" w:hAnsi="Cambria Math"/>
                            </w:rPr>
                            <m:t>+</m:t>
                          </m:r>
                          <m:r>
                            <m:rPr>
                              <m:nor/>
                            </m:rPr>
                            <w:rPr>
                              <w:i/>
                              <w:iCs/>
                              <w:lang w:val="en-US"/>
                            </w:rPr>
                            <m:t>α</m:t>
                          </m:r>
                        </m:e>
                      </m:d>
                    </m:e>
                    <m:sup>
                      <m:r>
                        <m:rPr>
                          <m:nor/>
                        </m:rPr>
                        <w:rPr>
                          <w:i/>
                        </w:rPr>
                        <m:t>2</m:t>
                      </m:r>
                    </m:sup>
                  </m:sSup>
                </m:den>
              </m:f>
            </m:e>
          </m:d>
          <m:r>
            <w:rPr>
              <w:rFonts w:ascii="Cambria Math" w:eastAsiaTheme="minorEastAsia" w:hAnsi="Cambria Math"/>
            </w:rPr>
            <m:t>∙</m:t>
          </m:r>
          <m:sSup>
            <m:sSupPr>
              <m:ctrlPr>
                <w:rPr>
                  <w:rFonts w:ascii="Cambria Math" w:hAnsi="Cambria Math"/>
                  <w:i/>
                  <w:iCs/>
                </w:rPr>
              </m:ctrlPr>
            </m:sSupPr>
            <m:e>
              <m:d>
                <m:dPr>
                  <m:ctrlPr>
                    <w:rPr>
                      <w:rFonts w:ascii="Cambria Math" w:hAnsi="Cambria Math"/>
                      <w:i/>
                      <w:iCs/>
                    </w:rPr>
                  </m:ctrlPr>
                </m:dPr>
                <m:e>
                  <m:r>
                    <m:rPr>
                      <m:nor/>
                    </m:rPr>
                    <w:rPr>
                      <w:i/>
                      <w:iCs/>
                    </w:rPr>
                    <m:t>K</m:t>
                  </m:r>
                  <m:r>
                    <w:rPr>
                      <w:rFonts w:ascii="Cambria Math" w:hAnsi="Cambria Math"/>
                    </w:rPr>
                    <m:t>+</m:t>
                  </m:r>
                  <m:limLow>
                    <m:limLowPr>
                      <m:ctrlPr>
                        <w:rPr>
                          <w:rFonts w:ascii="Cambria Math" w:hAnsi="Cambria Math"/>
                          <w:i/>
                          <w:color w:val="AEAAAA" w:themeColor="background2" w:themeShade="BF"/>
                          <w:lang w:val="en-US"/>
                        </w:rPr>
                      </m:ctrlPr>
                    </m:limLowPr>
                    <m:e>
                      <m:groupChr>
                        <m:groupChrPr>
                          <m:ctrlPr>
                            <w:rPr>
                              <w:rFonts w:ascii="Cambria Math" w:hAnsi="Cambria Math"/>
                              <w:i/>
                              <w:color w:val="AEAAAA" w:themeColor="background2" w:themeShade="BF"/>
                              <w:lang w:val="en-US"/>
                            </w:rPr>
                          </m:ctrlPr>
                        </m:groupChrPr>
                        <m:e>
                          <m:sSup>
                            <m:sSupPr>
                              <m:ctrlPr>
                                <w:rPr>
                                  <w:rFonts w:ascii="Cambria Math" w:hAnsi="Cambria Math"/>
                                  <w:i/>
                                  <w:color w:val="AEAAAA" w:themeColor="background2" w:themeShade="BF"/>
                                  <w:lang w:val="en-US"/>
                                </w:rPr>
                              </m:ctrlPr>
                            </m:sSupPr>
                            <m:e>
                              <m:r>
                                <m:rPr>
                                  <m:nor/>
                                </m:rPr>
                                <w:rPr>
                                  <w:i/>
                                  <w:color w:val="AEAAAA" w:themeColor="background2" w:themeShade="BF"/>
                                  <w:lang w:val="en-US"/>
                                </w:rPr>
                                <m:t>π</m:t>
                              </m:r>
                            </m:e>
                            <m:sup>
                              <m:r>
                                <m:rPr>
                                  <m:nor/>
                                </m:rPr>
                                <w:rPr>
                                  <w:i/>
                                  <w:color w:val="AEAAAA" w:themeColor="background2" w:themeShade="BF"/>
                                </w:rPr>
                                <m:t>e</m:t>
                              </m:r>
                            </m:sup>
                          </m:sSup>
                        </m:e>
                      </m:groupChr>
                    </m:e>
                    <m:lim>
                      <m:r>
                        <m:rPr>
                          <m:nor/>
                        </m:rPr>
                        <w:rPr>
                          <w:color w:val="AEAAAA" w:themeColor="background2" w:themeShade="BF"/>
                        </w:rPr>
                        <m:t>=</m:t>
                      </m:r>
                      <m:r>
                        <m:rPr>
                          <m:nor/>
                        </m:rPr>
                        <w:rPr>
                          <w:i/>
                          <w:color w:val="AEAAAA" w:themeColor="background2" w:themeShade="BF"/>
                        </w:rPr>
                        <m:t>0</m:t>
                      </m:r>
                    </m:lim>
                  </m:limLow>
                  <m:r>
                    <w:rPr>
                      <w:rFonts w:ascii="Cambria Math" w:hAnsi="Cambria Math"/>
                    </w:rPr>
                    <m:t>-</m:t>
                  </m:r>
                  <m:r>
                    <m:rPr>
                      <m:nor/>
                    </m:rPr>
                    <w:rPr>
                      <w:i/>
                      <w:iCs/>
                    </w:rPr>
                    <m:t>z</m:t>
                  </m:r>
                </m:e>
              </m:d>
            </m:e>
            <m:sup>
              <m:r>
                <m:rPr>
                  <m:nor/>
                </m:rPr>
                <w:rPr>
                  <w:i/>
                  <w:iCs/>
                </w:rPr>
                <m:t>2</m:t>
              </m:r>
            </m:sup>
          </m:sSup>
          <m:r>
            <w:rPr>
              <w:rFonts w:ascii="Cambria Math" w:eastAsiaTheme="minorEastAsia" w:hAnsi="Cambria Math"/>
            </w:rPr>
            <m:t>&gt;</m:t>
          </m:r>
          <m:r>
            <m:rPr>
              <m:nor/>
            </m:rPr>
            <w:rPr>
              <w:i/>
              <w:iCs/>
            </w:rPr>
            <m:t>C</m:t>
          </m:r>
          <m:d>
            <m:dPr>
              <m:ctrlPr>
                <w:rPr>
                  <w:rFonts w:ascii="Cambria Math" w:hAnsi="Cambria Math"/>
                  <w:i/>
                  <w:iCs/>
                </w:rPr>
              </m:ctrlPr>
            </m:dPr>
            <m:e>
              <m:r>
                <m:rPr>
                  <m:nor/>
                </m:rPr>
                <w:rPr>
                  <w:i/>
                  <w:iCs/>
                  <w:spacing w:val="-1"/>
                  <w:lang w:val="en-US"/>
                </w:rPr>
                <m:t>ϕ</m:t>
              </m:r>
            </m:e>
          </m:d>
        </m:oMath>
      </m:oMathPara>
    </w:p>
    <w:p w14:paraId="1C1409B0" w14:textId="683D3617" w:rsidR="00263DDA" w:rsidRDefault="00263DDA" w:rsidP="004F1508">
      <w:pPr>
        <w:pStyle w:val="Nivel3SM"/>
      </w:pPr>
      <w:r>
        <w:t>En este caso, los fundamentales están fuertemente deteriorados, por lo que un ataque especulativo sería racional y es previsible.</w:t>
      </w:r>
    </w:p>
    <w:p w14:paraId="19C8AFF3" w14:textId="7353C9DF" w:rsidR="00263DDA" w:rsidRDefault="00263DDA">
      <w:pPr>
        <w:pStyle w:val="Prrafodelista"/>
        <w:keepNext/>
        <w:numPr>
          <w:ilvl w:val="0"/>
          <w:numId w:val="8"/>
        </w:numPr>
        <w:spacing w:after="0"/>
        <w:ind w:left="567" w:hanging="227"/>
      </w:pPr>
      <w:r w:rsidRPr="004F1508">
        <w:rPr>
          <w:i/>
          <w:iCs/>
          <w:u w:val="single"/>
        </w:rPr>
        <w:t>Equilibrios múltiples (purgatorio)</w:t>
      </w:r>
      <w:r>
        <w:t>: La sostenibilidad del tipo el cambio depende de las expectativas de los agentes: si éstos esperan una inflación nula (tipo de cambio constante), entonces lo racional sería mantener el tipo de cambio fijo; si esperan una inflación positiva (depreciación), lo racional sería abandonarlo:</w:t>
      </w:r>
    </w:p>
    <w:p w14:paraId="20305070" w14:textId="364D0906" w:rsidR="00263DDA" w:rsidRPr="007A633D" w:rsidRDefault="00000000" w:rsidP="004F1508">
      <w:pPr>
        <w:pStyle w:val="Prrafodelista"/>
        <w:keepNext/>
        <w:spacing w:after="0"/>
        <w:ind w:left="567"/>
        <w:contextualSpacing w:val="0"/>
        <w:rPr>
          <w:rFonts w:eastAsiaTheme="minorEastAsia"/>
          <w:iCs/>
        </w:rPr>
      </w:pPr>
      <m:oMathPara>
        <m:oMath>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lang w:val="en-US"/>
                            </w:rPr>
                          </m:ctrlPr>
                        </m:fPr>
                        <m:num>
                          <m:d>
                            <m:dPr>
                              <m:ctrlPr>
                                <w:rPr>
                                  <w:rFonts w:ascii="Cambria Math" w:hAnsi="Cambria Math"/>
                                  <w:i/>
                                </w:rPr>
                              </m:ctrlPr>
                            </m:dPr>
                            <m:e>
                              <m:r>
                                <m:rPr>
                                  <m:nor/>
                                </m:rPr>
                                <w:rPr>
                                  <w:i/>
                                  <w:iCs/>
                                  <w:lang w:val="en-US"/>
                                </w:rPr>
                                <m:t>α</m:t>
                              </m:r>
                              <m:r>
                                <w:rPr>
                                  <w:rFonts w:ascii="Cambria Math" w:hAnsi="Cambria Math"/>
                                </w:rPr>
                                <m:t>+</m:t>
                              </m:r>
                              <m:sSup>
                                <m:sSupPr>
                                  <m:ctrlPr>
                                    <w:rPr>
                                      <w:rFonts w:ascii="Cambria Math" w:hAnsi="Cambria Math"/>
                                      <w:i/>
                                      <w:lang w:val="en-US"/>
                                    </w:rPr>
                                  </m:ctrlPr>
                                </m:sSupPr>
                                <m:e>
                                  <m:r>
                                    <m:rPr>
                                      <m:nor/>
                                    </m:rPr>
                                    <w:rPr>
                                      <w:i/>
                                      <w:iCs/>
                                      <w:lang w:val="en-US"/>
                                    </w:rPr>
                                    <m:t>α</m:t>
                                  </m:r>
                                </m:e>
                                <m:sup>
                                  <m:r>
                                    <m:rPr>
                                      <m:nor/>
                                    </m:rPr>
                                    <w:rPr>
                                      <w:i/>
                                    </w:rPr>
                                    <m:t>2</m:t>
                                  </m:r>
                                </m:sup>
                              </m:sSup>
                            </m:e>
                          </m:d>
                        </m:num>
                        <m:den>
                          <m:sSup>
                            <m:sSupPr>
                              <m:ctrlPr>
                                <w:rPr>
                                  <w:rFonts w:ascii="Cambria Math" w:hAnsi="Cambria Math"/>
                                  <w:i/>
                                  <w:lang w:val="en-US"/>
                                </w:rPr>
                              </m:ctrlPr>
                            </m:sSupPr>
                            <m:e>
                              <m:d>
                                <m:dPr>
                                  <m:ctrlPr>
                                    <w:rPr>
                                      <w:rFonts w:ascii="Cambria Math" w:hAnsi="Cambria Math"/>
                                      <w:i/>
                                      <w:lang w:val="en-US"/>
                                    </w:rPr>
                                  </m:ctrlPr>
                                </m:dPr>
                                <m:e>
                                  <m:r>
                                    <m:rPr>
                                      <m:nor/>
                                    </m:rPr>
                                    <w:rPr>
                                      <w:i/>
                                      <w:iCs/>
                                    </w:rPr>
                                    <m:t>1</m:t>
                                  </m:r>
                                  <m:r>
                                    <w:rPr>
                                      <w:rFonts w:ascii="Cambria Math" w:hAnsi="Cambria Math"/>
                                    </w:rPr>
                                    <m:t>+</m:t>
                                  </m:r>
                                  <m:r>
                                    <m:rPr>
                                      <m:nor/>
                                    </m:rPr>
                                    <w:rPr>
                                      <w:i/>
                                      <w:iCs/>
                                      <w:lang w:val="en-US"/>
                                    </w:rPr>
                                    <m:t>α</m:t>
                                  </m:r>
                                </m:e>
                              </m:d>
                            </m:e>
                            <m:sup>
                              <m:r>
                                <m:rPr>
                                  <m:nor/>
                                </m:rPr>
                                <w:rPr>
                                  <w:i/>
                                </w:rPr>
                                <m:t>2</m:t>
                              </m:r>
                            </m:sup>
                          </m:sSup>
                        </m:den>
                      </m:f>
                    </m:e>
                  </m:d>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K</m:t>
                          </m:r>
                          <m:r>
                            <w:rPr>
                              <w:rFonts w:ascii="Cambria Math" w:hAnsi="Cambria Math"/>
                            </w:rPr>
                            <m:t>+</m:t>
                          </m:r>
                          <m:limLow>
                            <m:limLowPr>
                              <m:ctrlPr>
                                <w:rPr>
                                  <w:rFonts w:ascii="Cambria Math" w:hAnsi="Cambria Math"/>
                                  <w:i/>
                                  <w:color w:val="AEAAAA" w:themeColor="background2" w:themeShade="BF"/>
                                  <w:lang w:val="en-US"/>
                                </w:rPr>
                              </m:ctrlPr>
                            </m:limLowPr>
                            <m:e>
                              <m:groupChr>
                                <m:groupChrPr>
                                  <m:ctrlPr>
                                    <w:rPr>
                                      <w:rFonts w:ascii="Cambria Math" w:hAnsi="Cambria Math"/>
                                      <w:i/>
                                      <w:color w:val="AEAAAA" w:themeColor="background2" w:themeShade="BF"/>
                                      <w:lang w:val="en-US"/>
                                    </w:rPr>
                                  </m:ctrlPr>
                                </m:groupChrPr>
                                <m:e>
                                  <m:sSup>
                                    <m:sSupPr>
                                      <m:ctrlPr>
                                        <w:rPr>
                                          <w:rFonts w:ascii="Cambria Math" w:hAnsi="Cambria Math"/>
                                          <w:i/>
                                          <w:color w:val="AEAAAA" w:themeColor="background2" w:themeShade="BF"/>
                                          <w:lang w:val="en-US"/>
                                        </w:rPr>
                                      </m:ctrlPr>
                                    </m:sSupPr>
                                    <m:e>
                                      <m:r>
                                        <m:rPr>
                                          <m:nor/>
                                        </m:rPr>
                                        <w:rPr>
                                          <w:i/>
                                          <w:color w:val="AEAAAA" w:themeColor="background2" w:themeShade="BF"/>
                                          <w:lang w:val="en-US"/>
                                        </w:rPr>
                                        <m:t>π</m:t>
                                      </m:r>
                                    </m:e>
                                    <m:sup>
                                      <m:r>
                                        <m:rPr>
                                          <m:nor/>
                                        </m:rPr>
                                        <w:rPr>
                                          <w:i/>
                                          <w:color w:val="AEAAAA" w:themeColor="background2" w:themeShade="BF"/>
                                        </w:rPr>
                                        <m:t>e</m:t>
                                      </m:r>
                                    </m:sup>
                                  </m:sSup>
                                </m:e>
                              </m:groupChr>
                            </m:e>
                            <m:lim>
                              <m:r>
                                <m:rPr>
                                  <m:nor/>
                                </m:rPr>
                                <w:rPr>
                                  <w:color w:val="AEAAAA" w:themeColor="background2" w:themeShade="BF"/>
                                </w:rPr>
                                <m:t>=</m:t>
                              </m:r>
                              <m:r>
                                <m:rPr>
                                  <m:nor/>
                                </m:rPr>
                                <w:rPr>
                                  <w:i/>
                                  <w:color w:val="AEAAAA" w:themeColor="background2" w:themeShade="BF"/>
                                </w:rPr>
                                <m:t>0</m:t>
                              </m:r>
                            </m:lim>
                          </m:limLow>
                          <m:r>
                            <w:rPr>
                              <w:rFonts w:ascii="Cambria Math" w:hAnsi="Cambria Math"/>
                            </w:rPr>
                            <m:t>-</m:t>
                          </m:r>
                          <m:r>
                            <m:rPr>
                              <m:nor/>
                            </m:rPr>
                            <w:rPr>
                              <w:i/>
                              <w:iCs/>
                            </w:rPr>
                            <m:t>z</m:t>
                          </m:r>
                        </m:e>
                      </m:d>
                    </m:e>
                    <m:sup>
                      <m:r>
                        <m:rPr>
                          <m:nor/>
                        </m:rPr>
                        <w:rPr>
                          <w:i/>
                          <w:iCs/>
                        </w:rPr>
                        <m:t>2</m:t>
                      </m:r>
                    </m:sup>
                  </m:sSup>
                </m:e>
              </m:groupChr>
            </m:e>
            <m:lim>
              <m:eqArr>
                <m:eqArrPr>
                  <m:ctrlPr>
                    <w:rPr>
                      <w:rFonts w:ascii="Cambria Math" w:hAnsi="Cambria Math"/>
                      <w:i/>
                      <w:iCs/>
                    </w:rPr>
                  </m:ctrlPr>
                </m:eqArrPr>
                <m:e>
                  <m:r>
                    <m:rPr>
                      <m:nor/>
                    </m:rPr>
                    <w:rPr>
                      <w:i/>
                      <w:iCs/>
                    </w:rPr>
                    <m:t>Si las expectativas de depreciación son nulas</m:t>
                  </m:r>
                </m:e>
                <m:e>
                  <m:r>
                    <m:rPr>
                      <m:nor/>
                    </m:rPr>
                    <w:rPr>
                      <w:i/>
                      <w:iCs/>
                    </w:rPr>
                    <m:t>se mantiene el tipo de cambio fijo</m:t>
                  </m:r>
                </m:e>
              </m:eqArr>
            </m:lim>
          </m:limLow>
          <m:r>
            <w:rPr>
              <w:rFonts w:ascii="Cambria Math" w:eastAsiaTheme="minorEastAsia" w:hAnsi="Cambria Math"/>
            </w:rPr>
            <m:t>&lt;</m:t>
          </m:r>
          <m:r>
            <m:rPr>
              <m:nor/>
            </m:rPr>
            <w:rPr>
              <w:i/>
              <w:iCs/>
            </w:rPr>
            <m:t>C</m:t>
          </m:r>
          <m:d>
            <m:dPr>
              <m:ctrlPr>
                <w:rPr>
                  <w:rFonts w:ascii="Cambria Math" w:hAnsi="Cambria Math"/>
                  <w:i/>
                  <w:iCs/>
                </w:rPr>
              </m:ctrlPr>
            </m:dPr>
            <m:e>
              <m:r>
                <m:rPr>
                  <m:nor/>
                </m:rPr>
                <w:rPr>
                  <w:i/>
                  <w:iCs/>
                  <w:spacing w:val="-1"/>
                  <w:lang w:val="en-US"/>
                </w:rPr>
                <m:t>ϕ</m:t>
              </m:r>
            </m:e>
          </m:d>
          <m:r>
            <w:rPr>
              <w:rFonts w:ascii="Cambria Math" w:eastAsiaTheme="minorEastAsia" w:hAnsi="Cambria Math"/>
            </w:rPr>
            <m:t>&lt;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lang w:val="en-US"/>
                            </w:rPr>
                          </m:ctrlPr>
                        </m:fPr>
                        <m:num>
                          <m:d>
                            <m:dPr>
                              <m:ctrlPr>
                                <w:rPr>
                                  <w:rFonts w:ascii="Cambria Math" w:hAnsi="Cambria Math"/>
                                  <w:i/>
                                </w:rPr>
                              </m:ctrlPr>
                            </m:dPr>
                            <m:e>
                              <m:r>
                                <m:rPr>
                                  <m:nor/>
                                </m:rPr>
                                <w:rPr>
                                  <w:i/>
                                  <w:iCs/>
                                  <w:lang w:val="en-US"/>
                                </w:rPr>
                                <m:t>α</m:t>
                              </m:r>
                              <m:r>
                                <w:rPr>
                                  <w:rFonts w:ascii="Cambria Math" w:hAnsi="Cambria Math"/>
                                </w:rPr>
                                <m:t>+</m:t>
                              </m:r>
                              <m:sSup>
                                <m:sSupPr>
                                  <m:ctrlPr>
                                    <w:rPr>
                                      <w:rFonts w:ascii="Cambria Math" w:hAnsi="Cambria Math"/>
                                      <w:i/>
                                      <w:lang w:val="en-US"/>
                                    </w:rPr>
                                  </m:ctrlPr>
                                </m:sSupPr>
                                <m:e>
                                  <m:r>
                                    <m:rPr>
                                      <m:nor/>
                                    </m:rPr>
                                    <w:rPr>
                                      <w:i/>
                                      <w:iCs/>
                                      <w:lang w:val="en-US"/>
                                    </w:rPr>
                                    <m:t>α</m:t>
                                  </m:r>
                                </m:e>
                                <m:sup>
                                  <m:r>
                                    <m:rPr>
                                      <m:nor/>
                                    </m:rPr>
                                    <w:rPr>
                                      <w:i/>
                                    </w:rPr>
                                    <m:t>2</m:t>
                                  </m:r>
                                </m:sup>
                              </m:sSup>
                            </m:e>
                          </m:d>
                        </m:num>
                        <m:den>
                          <m:sSup>
                            <m:sSupPr>
                              <m:ctrlPr>
                                <w:rPr>
                                  <w:rFonts w:ascii="Cambria Math" w:hAnsi="Cambria Math"/>
                                  <w:i/>
                                  <w:lang w:val="en-US"/>
                                </w:rPr>
                              </m:ctrlPr>
                            </m:sSupPr>
                            <m:e>
                              <m:d>
                                <m:dPr>
                                  <m:ctrlPr>
                                    <w:rPr>
                                      <w:rFonts w:ascii="Cambria Math" w:hAnsi="Cambria Math"/>
                                      <w:i/>
                                      <w:lang w:val="en-US"/>
                                    </w:rPr>
                                  </m:ctrlPr>
                                </m:dPr>
                                <m:e>
                                  <m:r>
                                    <m:rPr>
                                      <m:nor/>
                                    </m:rPr>
                                    <w:rPr>
                                      <w:i/>
                                      <w:iCs/>
                                    </w:rPr>
                                    <m:t>1</m:t>
                                  </m:r>
                                  <m:r>
                                    <w:rPr>
                                      <w:rFonts w:ascii="Cambria Math" w:hAnsi="Cambria Math"/>
                                    </w:rPr>
                                    <m:t>+</m:t>
                                  </m:r>
                                  <m:r>
                                    <m:rPr>
                                      <m:nor/>
                                    </m:rPr>
                                    <w:rPr>
                                      <w:i/>
                                      <w:iCs/>
                                      <w:lang w:val="en-US"/>
                                    </w:rPr>
                                    <m:t>α</m:t>
                                  </m:r>
                                </m:e>
                              </m:d>
                            </m:e>
                            <m:sup>
                              <m:r>
                                <m:rPr>
                                  <m:nor/>
                                </m:rPr>
                                <w:rPr>
                                  <w:i/>
                                </w:rPr>
                                <m:t>2</m:t>
                              </m:r>
                            </m:sup>
                          </m:sSup>
                        </m:den>
                      </m:f>
                    </m:e>
                  </m:d>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K</m:t>
                          </m:r>
                          <m:r>
                            <w:rPr>
                              <w:rFonts w:ascii="Cambria Math" w:hAnsi="Cambria Math"/>
                            </w:rPr>
                            <m:t>+</m:t>
                          </m:r>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m:t>
                          </m:r>
                          <m:r>
                            <m:rPr>
                              <m:nor/>
                            </m:rPr>
                            <w:rPr>
                              <w:i/>
                              <w:iCs/>
                            </w:rPr>
                            <m:t>z</m:t>
                          </m:r>
                        </m:e>
                      </m:d>
                    </m:e>
                    <m:sup>
                      <m:r>
                        <m:rPr>
                          <m:nor/>
                        </m:rPr>
                        <w:rPr>
                          <w:i/>
                          <w:iCs/>
                        </w:rPr>
                        <m:t>2</m:t>
                      </m:r>
                    </m:sup>
                  </m:sSup>
                </m:e>
              </m:groupChr>
            </m:e>
            <m:lim>
              <m:eqArr>
                <m:eqArrPr>
                  <m:ctrlPr>
                    <w:rPr>
                      <w:rFonts w:ascii="Cambria Math" w:hAnsi="Cambria Math"/>
                      <w:i/>
                      <w:iCs/>
                    </w:rPr>
                  </m:ctrlPr>
                </m:eqArrPr>
                <m:e>
                  <m:r>
                    <m:rPr>
                      <m:nor/>
                    </m:rPr>
                    <w:rPr>
                      <w:i/>
                      <w:iCs/>
                    </w:rPr>
                    <m:t>Si las expectativas de depreciación son positivas</m:t>
                  </m:r>
                </m:e>
                <m:e>
                  <m:r>
                    <m:rPr>
                      <m:nor/>
                    </m:rPr>
                    <w:rPr>
                      <w:i/>
                      <w:iCs/>
                    </w:rPr>
                    <m:t>se abandona el tipo de cambio fijo</m:t>
                  </m:r>
                </m:e>
              </m:eqArr>
            </m:lim>
          </m:limLow>
        </m:oMath>
      </m:oMathPara>
    </w:p>
    <w:p w14:paraId="4509799C" w14:textId="77777777" w:rsidR="004F1508" w:rsidRDefault="004F1508" w:rsidP="004F1508">
      <w:pPr>
        <w:pStyle w:val="Nivel3SM"/>
        <w:keepNext/>
      </w:pPr>
      <w:r>
        <w:t>Estamos, pues, en una situación en la que un ataque especulativo es un proceso posible pero no seguro, por lo que existen equilibrios múltiples y no linealidades.</w:t>
      </w:r>
    </w:p>
    <w:p w14:paraId="178B25A0" w14:textId="77777777" w:rsidR="004F1508" w:rsidRDefault="004F1508" w:rsidP="004F1508">
      <w:pPr>
        <w:pStyle w:val="Nivel4"/>
        <w:ind w:left="1474"/>
        <w:rPr>
          <w:spacing w:val="-1"/>
        </w:rPr>
      </w:pPr>
      <w:r w:rsidRPr="001C55A0">
        <w:rPr>
          <w:spacing w:val="-1"/>
        </w:rPr>
        <w:t xml:space="preserve">Vemos, pues, cómo en este modelo el </w:t>
      </w:r>
      <w:r w:rsidRPr="001C55A0">
        <w:rPr>
          <w:i/>
          <w:iCs/>
          <w:spacing w:val="-1"/>
        </w:rPr>
        <w:t>deterioro de los fundamentales no es una condición necesaria para que la paridad se vuelva insostenible y el país sea objeto de ataques especulativos</w:t>
      </w:r>
      <w:r w:rsidRPr="001C55A0">
        <w:rPr>
          <w:spacing w:val="-1"/>
        </w:rPr>
        <w:t>. Una economía perfectamente viable puede verse incentivada a abandonar el tipo de cambio fijo por unas expectativas negativas que se autocumplen.</w:t>
      </w:r>
    </w:p>
    <w:p w14:paraId="502F1755" w14:textId="77777777" w:rsidR="004F1508" w:rsidRDefault="004F1508" w:rsidP="004F1508">
      <w:pPr>
        <w:pStyle w:val="Nivel4"/>
        <w:ind w:left="1474"/>
        <w:rPr>
          <w:spacing w:val="-1"/>
        </w:rPr>
      </w:pPr>
      <w:r w:rsidRPr="004F1508">
        <w:rPr>
          <w:spacing w:val="-1"/>
        </w:rPr>
        <w:t>Luego</w:t>
      </w:r>
      <w:r>
        <w:rPr>
          <w:spacing w:val="-1"/>
        </w:rPr>
        <w:t xml:space="preserve">, </w:t>
      </w:r>
      <w:r w:rsidRPr="004F1508">
        <w:rPr>
          <w:spacing w:val="-1"/>
        </w:rPr>
        <w:t>en cierto modo estos modelos contemplan la posibilidad de que las crisis sean autogeneradas (</w:t>
      </w:r>
      <w:proofErr w:type="spellStart"/>
      <w:r w:rsidRPr="004F1508">
        <w:rPr>
          <w:i/>
          <w:iCs/>
          <w:spacing w:val="-1"/>
        </w:rPr>
        <w:t>self-fulfilling</w:t>
      </w:r>
      <w:proofErr w:type="spellEnd"/>
      <w:r w:rsidRPr="004F1508">
        <w:rPr>
          <w:spacing w:val="-1"/>
        </w:rPr>
        <w:t>) y ponen el énfasis en que lo importante no es tanto lo que el gobierno esté haciendo en términos de política económica, sino lo que los agentes económicos piensen que querrá hacer en el futuro.</w:t>
      </w:r>
    </w:p>
    <w:p w14:paraId="399EF82A" w14:textId="77777777" w:rsidR="004F1508" w:rsidRPr="001C55A0" w:rsidRDefault="004F1508" w:rsidP="004F1508">
      <w:pPr>
        <w:pStyle w:val="Nivel4"/>
        <w:ind w:left="1474"/>
        <w:rPr>
          <w:spacing w:val="-1"/>
        </w:rPr>
      </w:pPr>
      <w:r w:rsidRPr="001C55A0">
        <w:rPr>
          <w:spacing w:val="-1"/>
        </w:rPr>
        <w:t>E</w:t>
      </w:r>
      <w:r>
        <w:rPr>
          <w:spacing w:val="-1"/>
        </w:rPr>
        <w:t xml:space="preserve">s decir, en este tercer caso, basta con que los agentes piensen que va a haber una devaluación (i.e. </w:t>
      </w:r>
      <m:oMath>
        <m:sSup>
          <m:sSupPr>
            <m:ctrlPr>
              <w:rPr>
                <w:rFonts w:ascii="Cambria Math" w:hAnsi="Cambria Math"/>
                <w:i/>
                <w:lang w:val="en-US"/>
              </w:rPr>
            </m:ctrlPr>
          </m:sSupPr>
          <m:e>
            <m:r>
              <m:rPr>
                <m:nor/>
              </m:rPr>
              <w:rPr>
                <w:i/>
                <w:lang w:val="en-US"/>
              </w:rPr>
              <m:t>π</m:t>
            </m:r>
          </m:e>
          <m:sup>
            <m:r>
              <m:rPr>
                <m:nor/>
              </m:rPr>
              <w:rPr>
                <w:i/>
              </w:rPr>
              <m:t>e</m:t>
            </m:r>
          </m:sup>
        </m:sSup>
        <m:r>
          <w:rPr>
            <w:rFonts w:ascii="Cambria Math" w:hAnsi="Cambria Math"/>
          </w:rPr>
          <m:t>&gt;</m:t>
        </m:r>
        <m:r>
          <m:rPr>
            <m:nor/>
          </m:rPr>
          <w:rPr>
            <w:i/>
            <w:iCs/>
          </w:rPr>
          <m:t>0</m:t>
        </m:r>
      </m:oMath>
      <w:r>
        <w:rPr>
          <w:spacing w:val="-1"/>
        </w:rPr>
        <w:t>) para que ésta finalmente ocurra. Eso sí: el deterioro de los fundamentales aumenta la probabilidad de la insostenibilidad del tipo de cambio fijo y de que se produzcan, pues, ataques especulativos.</w:t>
      </w:r>
    </w:p>
    <w:p w14:paraId="7A17B2C6" w14:textId="291C3C74" w:rsidR="0082171E" w:rsidRDefault="0082171E" w:rsidP="005A0870">
      <w:pPr>
        <w:pStyle w:val="Ttulo6"/>
      </w:pPr>
      <w:bookmarkStart w:id="32" w:name="_Toc145492497"/>
      <w:r>
        <w:lastRenderedPageBreak/>
        <w:t>Implicaciones</w:t>
      </w:r>
      <w:r w:rsidRPr="005A0870">
        <w:rPr>
          <w:sz w:val="19"/>
          <w:szCs w:val="19"/>
          <w:u w:val="none"/>
        </w:rPr>
        <w:t xml:space="preserve"> (solución a la crisis)</w:t>
      </w:r>
      <w:bookmarkEnd w:id="32"/>
    </w:p>
    <w:p w14:paraId="7FC134FB" w14:textId="0D1D17F1" w:rsidR="006838CF" w:rsidRDefault="006838CF" w:rsidP="00DC4DF2">
      <w:pPr>
        <w:pStyle w:val="Nivel1SM"/>
        <w:keepNext/>
        <w:spacing w:before="0" w:after="0"/>
      </w:pPr>
      <w:r>
        <w:t xml:space="preserve">Este modelo produce </w:t>
      </w:r>
      <w:r w:rsidR="00DC4DF2">
        <w:rPr>
          <w:b/>
          <w:bCs/>
        </w:rPr>
        <w:t>2 </w:t>
      </w:r>
      <w:r w:rsidRPr="006838CF">
        <w:rPr>
          <w:b/>
          <w:bCs/>
        </w:rPr>
        <w:t>importantes resultados</w:t>
      </w:r>
      <w:r>
        <w:t>:</w:t>
      </w:r>
    </w:p>
    <w:p w14:paraId="6A32EF26" w14:textId="77777777" w:rsidR="00987099" w:rsidRDefault="006838CF">
      <w:pPr>
        <w:pStyle w:val="Prrafodelista"/>
        <w:keepNext/>
        <w:numPr>
          <w:ilvl w:val="0"/>
          <w:numId w:val="12"/>
        </w:numPr>
        <w:spacing w:after="0"/>
        <w:ind w:left="568" w:hanging="284"/>
      </w:pPr>
      <w:r>
        <w:t xml:space="preserve">En primer lugar, como vemos, en este caso </w:t>
      </w:r>
      <w:r w:rsidRPr="006838CF">
        <w:rPr>
          <w:i/>
          <w:iCs/>
        </w:rPr>
        <w:t>los fundamentos capaces de desestabilizar el sistema de tipo de cambio</w:t>
      </w:r>
      <w:r>
        <w:t xml:space="preserve"> son</w:t>
      </w:r>
      <w:r w:rsidR="00987099">
        <w:t>:</w:t>
      </w:r>
    </w:p>
    <w:p w14:paraId="30A6F64A" w14:textId="1537EFC4" w:rsidR="00987099" w:rsidRDefault="00987099">
      <w:pPr>
        <w:pStyle w:val="Prrafodelista"/>
        <w:keepNext/>
        <w:numPr>
          <w:ilvl w:val="1"/>
          <w:numId w:val="12"/>
        </w:numPr>
        <w:spacing w:after="0"/>
        <w:ind w:left="1135" w:hanging="284"/>
      </w:pPr>
      <w:r>
        <w:t>U</w:t>
      </w:r>
      <w:r w:rsidR="006838CF">
        <w:t>n incremento en la brecha entre la producción efectiva y la deseada</w:t>
      </w:r>
      <w:r>
        <w:t xml:space="preserve">, </w:t>
      </w:r>
      <m:oMath>
        <m:r>
          <m:rPr>
            <m:nor/>
          </m:rPr>
          <w:rPr>
            <w:rFonts w:ascii="Times New Roman" w:eastAsiaTheme="minorEastAsia" w:hAnsi="Times New Roman" w:cs="Times New Roman"/>
            <w:i/>
          </w:rPr>
          <m:t>↑</m:t>
        </m:r>
        <m:r>
          <m:rPr>
            <m:nor/>
          </m:rPr>
          <w:rPr>
            <w:i/>
            <w:iCs/>
          </w:rPr>
          <m:t>K</m:t>
        </m:r>
      </m:oMath>
      <w:r w:rsidR="006838CF">
        <w:t xml:space="preserve"> (se podría llegar a interpretar como un aumento en la tasa de desempleo)</w:t>
      </w:r>
      <w:r>
        <w:t>;</w:t>
      </w:r>
    </w:p>
    <w:p w14:paraId="6A51FCCF" w14:textId="1DF60168" w:rsidR="00987099" w:rsidRDefault="00987099">
      <w:pPr>
        <w:pStyle w:val="Prrafodelista"/>
        <w:keepNext/>
        <w:numPr>
          <w:ilvl w:val="1"/>
          <w:numId w:val="12"/>
        </w:numPr>
        <w:spacing w:after="0"/>
        <w:ind w:left="1135" w:hanging="284"/>
      </w:pPr>
      <w:r>
        <w:rPr>
          <w:rFonts w:eastAsiaTheme="minorEastAsia"/>
          <w:iCs/>
        </w:rPr>
        <w:t xml:space="preserve"> Un shock negativo de oferta, </w:t>
      </w:r>
      <m:oMath>
        <m:r>
          <m:rPr>
            <m:nor/>
          </m:rPr>
          <w:rPr>
            <w:rFonts w:ascii="Times New Roman" w:eastAsiaTheme="minorEastAsia" w:hAnsi="Times New Roman" w:cs="Times New Roman"/>
            <w:i/>
          </w:rPr>
          <m:t>↓</m:t>
        </m:r>
        <m:r>
          <m:rPr>
            <m:nor/>
          </m:rPr>
          <w:rPr>
            <w:i/>
            <w:iCs/>
          </w:rPr>
          <m:t>z</m:t>
        </m:r>
      </m:oMath>
      <w:r>
        <w:t>;</w:t>
      </w:r>
    </w:p>
    <w:p w14:paraId="1F3D620C" w14:textId="0A6AB718" w:rsidR="00987099" w:rsidRDefault="00987099">
      <w:pPr>
        <w:pStyle w:val="Prrafodelista"/>
        <w:keepNext/>
        <w:numPr>
          <w:ilvl w:val="1"/>
          <w:numId w:val="12"/>
        </w:numPr>
        <w:spacing w:after="0"/>
        <w:ind w:left="1135" w:hanging="284"/>
      </w:pPr>
      <w:r>
        <w:t>Un</w:t>
      </w:r>
      <w:r w:rsidR="00891E53">
        <w:t>a</w:t>
      </w:r>
      <w:r>
        <w:t xml:space="preserve"> </w:t>
      </w:r>
      <w:r w:rsidR="00891E53">
        <w:t>reducción</w:t>
      </w:r>
      <w:r>
        <w:t xml:space="preserve"> en los costes de </w:t>
      </w:r>
      <w:r w:rsidR="00891E53">
        <w:t>adoptar</w:t>
      </w:r>
      <w:r>
        <w:t xml:space="preserve"> </w:t>
      </w:r>
      <w:r w:rsidR="00891E53">
        <w:t>un</w:t>
      </w:r>
      <w:r w:rsidR="00FB1398">
        <w:t xml:space="preserve"> tipo de cambio </w:t>
      </w:r>
      <w:r w:rsidR="00891E53">
        <w:t>flexible</w:t>
      </w:r>
      <w:r>
        <w:t xml:space="preserve">, </w:t>
      </w:r>
      <m:oMath>
        <m:r>
          <m:rPr>
            <m:nor/>
          </m:rPr>
          <w:rPr>
            <w:rFonts w:ascii="Times New Roman" w:eastAsiaTheme="minorEastAsia" w:hAnsi="Times New Roman" w:cs="Times New Roman"/>
            <w:i/>
          </w:rPr>
          <m:t>↓</m:t>
        </m:r>
        <m:r>
          <m:rPr>
            <m:nor/>
          </m:rPr>
          <w:rPr>
            <w:i/>
            <w:iCs/>
            <w:lang w:val="en-US"/>
          </w:rPr>
          <m:t>α</m:t>
        </m:r>
      </m:oMath>
      <w:r>
        <w:t xml:space="preserve">; </w:t>
      </w:r>
      <w:r w:rsidR="006838CF">
        <w:t>o</w:t>
      </w:r>
    </w:p>
    <w:p w14:paraId="3E699EB5" w14:textId="36CB2089" w:rsidR="006838CF" w:rsidRDefault="00987099">
      <w:pPr>
        <w:pStyle w:val="Prrafodelista"/>
        <w:keepNext/>
        <w:numPr>
          <w:ilvl w:val="1"/>
          <w:numId w:val="12"/>
        </w:numPr>
        <w:spacing w:after="0"/>
        <w:ind w:left="1135" w:hanging="284"/>
      </w:pPr>
      <w:r>
        <w:t>U</w:t>
      </w:r>
      <w:r w:rsidR="006838CF">
        <w:t>na reducción en el coste de abandono</w:t>
      </w:r>
      <w:r>
        <w:t xml:space="preserve">, </w:t>
      </w:r>
      <m:oMath>
        <m:r>
          <m:rPr>
            <m:nor/>
          </m:rPr>
          <w:rPr>
            <w:rFonts w:ascii="Times New Roman" w:eastAsiaTheme="minorEastAsia" w:hAnsi="Times New Roman" w:cs="Times New Roman"/>
            <w:iCs/>
          </w:rPr>
          <m:t>↓</m:t>
        </m:r>
        <m:r>
          <m:rPr>
            <m:nor/>
          </m:rPr>
          <w:rPr>
            <w:i/>
            <w:iCs/>
          </w:rPr>
          <m:t>C</m:t>
        </m:r>
        <m:d>
          <m:dPr>
            <m:ctrlPr>
              <w:rPr>
                <w:rFonts w:ascii="Cambria Math" w:hAnsi="Cambria Math"/>
                <w:i/>
                <w:iCs/>
              </w:rPr>
            </m:ctrlPr>
          </m:dPr>
          <m:e>
            <m:r>
              <m:rPr>
                <m:nor/>
              </m:rPr>
              <w:rPr>
                <w:i/>
                <w:iCs/>
                <w:spacing w:val="-1"/>
                <w:lang w:val="en-US"/>
              </w:rPr>
              <m:t>ϕ</m:t>
            </m:r>
          </m:e>
        </m:d>
      </m:oMath>
      <w:r w:rsidR="006838CF">
        <w:t>.</w:t>
      </w:r>
    </w:p>
    <w:p w14:paraId="292E43D4" w14:textId="487AC84F" w:rsidR="006838CF" w:rsidRPr="004B0F8D" w:rsidRDefault="006838CF" w:rsidP="00987099">
      <w:pPr>
        <w:pStyle w:val="Nivel4"/>
        <w:ind w:left="1474"/>
        <w:rPr>
          <w:spacing w:val="-5"/>
        </w:rPr>
      </w:pPr>
      <w:r w:rsidRPr="004B0F8D">
        <w:rPr>
          <w:spacing w:val="-5"/>
        </w:rPr>
        <w:t xml:space="preserve">Así, cuando </w:t>
      </w:r>
      <w:r w:rsidR="002A433E" w:rsidRPr="004B0F8D">
        <w:rPr>
          <w:spacing w:val="-5"/>
        </w:rPr>
        <w:t>se produce cualquiera de estos fenómenos</w:t>
      </w:r>
      <w:r w:rsidRPr="004B0F8D">
        <w:rPr>
          <w:spacing w:val="-5"/>
        </w:rPr>
        <w:t>, el sistema de tipo de cambio puede pasar de un escenario estable en que el tipo de cambio fijo es sostenible a un escenario de equilibrios múltiples o incluso a un escenario de tipo de cambio insostenible.</w:t>
      </w:r>
    </w:p>
    <w:p w14:paraId="6195C75D" w14:textId="0DEBFF66" w:rsidR="00A6220E" w:rsidRDefault="006838CF">
      <w:pPr>
        <w:pStyle w:val="Prrafodelista"/>
        <w:keepNext/>
        <w:numPr>
          <w:ilvl w:val="0"/>
          <w:numId w:val="12"/>
        </w:numPr>
        <w:spacing w:after="0"/>
        <w:ind w:left="568" w:hanging="284"/>
      </w:pPr>
      <w:r>
        <w:t>En</w:t>
      </w:r>
      <w:r w:rsidR="00A6220E">
        <w:t xml:space="preserve"> segundo lugar, las expectativas de devaluación no son siempre únicamente determinadas por los fundamentos.</w:t>
      </w:r>
    </w:p>
    <w:p w14:paraId="36E929FB" w14:textId="63D42AAF" w:rsidR="006838CF" w:rsidRDefault="00A6220E" w:rsidP="00A6220E">
      <w:pPr>
        <w:pStyle w:val="Nivel3SM"/>
      </w:pPr>
      <w:r>
        <w:t>En algunas regiones, los fundamentos son los únicos determinantes de las expectativas (p.ej. cuando estos fundamentos son excepcionales y se da un equilibrio único cielo o cuando éstos son nefastos y se da un equilibrio único infierno). En estos casos, el signo del beneficio neto gubernamental de mantener el tipo de cambio es independiente de las expectativas de los mercados.</w:t>
      </w:r>
    </w:p>
    <w:p w14:paraId="5D76617A" w14:textId="4C1067A4" w:rsidR="00A6220E" w:rsidRDefault="00A6220E" w:rsidP="0005496A">
      <w:pPr>
        <w:pStyle w:val="Nivel3SM"/>
        <w:keepNext/>
      </w:pPr>
      <w:r>
        <w:t>Por el contrario, en la región de equilibrios múltiples (o purgatorio) la devaluación es posible pero no cierta.</w:t>
      </w:r>
    </w:p>
    <w:p w14:paraId="30D33043" w14:textId="77777777" w:rsidR="0005496A" w:rsidRDefault="00A6220E" w:rsidP="0005496A">
      <w:pPr>
        <w:pStyle w:val="Nivel4"/>
        <w:ind w:left="1474"/>
      </w:pPr>
      <w:r>
        <w:t>Como consecuencia, l</w:t>
      </w:r>
      <w:r w:rsidR="007A633D">
        <w:t xml:space="preserve">as crisis cambiarias ya no son </w:t>
      </w:r>
      <w:r>
        <w:t xml:space="preserve">necesariamente </w:t>
      </w:r>
      <w:r w:rsidR="007A633D">
        <w:t xml:space="preserve">el resultado de una política económica inconsistente, sino que </w:t>
      </w:r>
      <w:r w:rsidR="007A633D" w:rsidRPr="0005496A">
        <w:rPr>
          <w:i/>
          <w:iCs/>
        </w:rPr>
        <w:t>son consecuencia de las expectativas de los agentes ante las decisiones racionales del gobierno</w:t>
      </w:r>
      <w:r w:rsidR="007A633D">
        <w:t>.</w:t>
      </w:r>
    </w:p>
    <w:p w14:paraId="5AD6BE00" w14:textId="1C1FA789" w:rsidR="0005496A" w:rsidRDefault="007A633D" w:rsidP="0005496A">
      <w:pPr>
        <w:pStyle w:val="Nivel4"/>
        <w:ind w:left="1474"/>
      </w:pPr>
      <w:r>
        <w:t xml:space="preserve">Al contrario que en los modelos de </w:t>
      </w:r>
      <w:r w:rsidR="00FE5AE6">
        <w:t>1ª </w:t>
      </w:r>
      <w:r>
        <w:t xml:space="preserve">generación, aquí las crisis cambiarias son </w:t>
      </w:r>
      <w:r w:rsidRPr="0005496A">
        <w:rPr>
          <w:i/>
          <w:iCs/>
        </w:rPr>
        <w:t>impredecibles</w:t>
      </w:r>
      <w:r>
        <w:t xml:space="preserve">, pero </w:t>
      </w:r>
      <w:r w:rsidRPr="0005496A">
        <w:rPr>
          <w:i/>
          <w:iCs/>
        </w:rPr>
        <w:t>evitables</w:t>
      </w:r>
      <w:r>
        <w:t xml:space="preserve"> (las reservas no se agotan).</w:t>
      </w:r>
    </w:p>
    <w:p w14:paraId="6A8AC7AF" w14:textId="7BBE9E95" w:rsidR="007A633D" w:rsidRPr="007A633D" w:rsidRDefault="007A633D" w:rsidP="0005496A">
      <w:pPr>
        <w:pStyle w:val="Nivel4"/>
        <w:spacing w:after="100"/>
        <w:ind w:left="1474"/>
      </w:pPr>
      <w:r>
        <w:t xml:space="preserve">Estos modelos sugieren que la crisis no hunde al país que las padece en una recesión, más bien al contrario: tras la crisis (y la devaluación) el país experimenta una </w:t>
      </w:r>
      <w:r w:rsidRPr="0005496A">
        <w:rPr>
          <w:i/>
          <w:iCs/>
        </w:rPr>
        <w:t>mejora económica</w:t>
      </w:r>
      <w:r w:rsidR="00A273E7">
        <w:t>.</w:t>
      </w:r>
    </w:p>
    <w:p w14:paraId="03922F0C" w14:textId="0BFEB2D5" w:rsidR="00190F99" w:rsidRDefault="00190F99" w:rsidP="001B154A">
      <w:pPr>
        <w:pStyle w:val="Nivel1SM"/>
        <w:keepNext/>
        <w:spacing w:after="0"/>
      </w:pPr>
      <w:r w:rsidRPr="00190F99">
        <w:t xml:space="preserve">Como </w:t>
      </w:r>
      <w:r w:rsidRPr="00190F99">
        <w:rPr>
          <w:b/>
          <w:bCs/>
        </w:rPr>
        <w:t>solución a la crisis</w:t>
      </w:r>
      <w:r w:rsidRPr="00190F99">
        <w:t xml:space="preserve"> se proponen </w:t>
      </w:r>
      <w:r w:rsidRPr="00190F99">
        <w:rPr>
          <w:b/>
          <w:bCs/>
        </w:rPr>
        <w:t>políticas económicas ortodoxas</w:t>
      </w:r>
      <w:r w:rsidRPr="00190F99">
        <w:t xml:space="preserve"> que contribuyan a mantener la </w:t>
      </w:r>
      <w:r w:rsidRPr="00190F99">
        <w:rPr>
          <w:i/>
          <w:iCs/>
        </w:rPr>
        <w:t>estabilidad macroeconómica</w:t>
      </w:r>
      <w:r w:rsidRPr="00190F99">
        <w:t xml:space="preserve"> y al </w:t>
      </w:r>
      <w:r w:rsidRPr="00190F99">
        <w:rPr>
          <w:i/>
          <w:iCs/>
        </w:rPr>
        <w:t>anclaje de las expectativas de inflación</w:t>
      </w:r>
      <w:r>
        <w:t>:</w:t>
      </w:r>
    </w:p>
    <w:p w14:paraId="58403B67" w14:textId="2682A413" w:rsidR="00263DDA" w:rsidRDefault="001B154A" w:rsidP="002D6578">
      <w:pPr>
        <w:pStyle w:val="Nivel2SM"/>
      </w:pPr>
      <w:r>
        <w:t>Pese a la relevancia de las expectativas en estos modelos, lograr unos fundamentos sólidos continúa siendo la mejor manera de reducir el riesgo de ataques especulativos y crisis.</w:t>
      </w:r>
    </w:p>
    <w:p w14:paraId="03B3FDEC" w14:textId="77777777" w:rsidR="00E8382D" w:rsidRDefault="001308F1" w:rsidP="00E8382D">
      <w:pPr>
        <w:pStyle w:val="Nivel2SM"/>
        <w:keepNext/>
        <w:spacing w:after="0"/>
      </w:pPr>
      <w:r>
        <w:t>En caso de que los fundamentos no sean sólidos, el equilibrio en el que se sitúe la economía depende de las expectativas de los agentes privados, que se autoconfirman. Éstas vienen determinadas por variables superfluas, sobre las que también pueden incidir las autoridades.</w:t>
      </w:r>
    </w:p>
    <w:p w14:paraId="09DF0532" w14:textId="77777777" w:rsidR="00E8382D" w:rsidRDefault="001308F1" w:rsidP="00E8382D">
      <w:pPr>
        <w:pStyle w:val="Nivel3SM"/>
      </w:pPr>
      <w:r>
        <w:t>Por ejemplo, la trayectoria histórica de devaluación de un país puede ser crítica para los inversores, por lo que es conveniente construirse una reputación como país.</w:t>
      </w:r>
    </w:p>
    <w:p w14:paraId="4AB1E2C8" w14:textId="6F57798D" w:rsidR="001308F1" w:rsidRDefault="001308F1" w:rsidP="00E8382D">
      <w:pPr>
        <w:pStyle w:val="Nivel3SM"/>
      </w:pPr>
      <w:r>
        <w:t>Otro ejemplo sería el nivel de reservas internacionales.</w:t>
      </w:r>
    </w:p>
    <w:p w14:paraId="1B69F034" w14:textId="2C0454D7" w:rsidR="0005496A" w:rsidRDefault="001308F1" w:rsidP="0005496A">
      <w:pPr>
        <w:pStyle w:val="Nivel1SM"/>
        <w:keepNext/>
        <w:spacing w:after="0"/>
      </w:pPr>
      <w:r>
        <w:t xml:space="preserve">Los modelos de </w:t>
      </w:r>
      <w:r w:rsidR="00E8382D">
        <w:t>2ª </w:t>
      </w:r>
      <w:r>
        <w:t xml:space="preserve">generación son una manifestación del modelo básico de </w:t>
      </w:r>
      <w:r>
        <w:rPr>
          <w:b/>
          <w:bCs/>
        </w:rPr>
        <w:t>inconsistencia dinámica</w:t>
      </w:r>
      <w:r>
        <w:t xml:space="preserve"> desarrollado por </w:t>
      </w:r>
      <w:r>
        <w:rPr>
          <w:smallCaps/>
        </w:rPr>
        <w:t>Kydland</w:t>
      </w:r>
      <w:r>
        <w:t xml:space="preserve"> y </w:t>
      </w:r>
      <w:r>
        <w:rPr>
          <w:smallCaps/>
        </w:rPr>
        <w:t>Prescott</w:t>
      </w:r>
      <w:r>
        <w:t xml:space="preserve"> (1977) y </w:t>
      </w:r>
      <w:r>
        <w:rPr>
          <w:smallCaps/>
        </w:rPr>
        <w:t>Barro</w:t>
      </w:r>
      <w:r>
        <w:t xml:space="preserve"> y </w:t>
      </w:r>
      <w:r>
        <w:rPr>
          <w:smallCaps/>
        </w:rPr>
        <w:t>Gordon</w:t>
      </w:r>
      <w:r>
        <w:t xml:space="preserve"> (1983)</w:t>
      </w:r>
      <w:r w:rsidR="0005496A">
        <w:t xml:space="preserve"> </w:t>
      </w:r>
      <w:r w:rsidR="0005496A" w:rsidRPr="0005496A">
        <w:rPr>
          <w:color w:val="767171" w:themeColor="background2" w:themeShade="80"/>
          <w:sz w:val="19"/>
          <w:szCs w:val="19"/>
        </w:rPr>
        <w:t>[ver</w:t>
      </w:r>
      <w:r w:rsidR="0005496A">
        <w:rPr>
          <w:color w:val="767171" w:themeColor="background2" w:themeShade="80"/>
          <w:sz w:val="19"/>
          <w:szCs w:val="19"/>
        </w:rPr>
        <w:t xml:space="preserve"> tema</w:t>
      </w:r>
      <w:r w:rsidR="0005496A" w:rsidRPr="0005496A">
        <w:rPr>
          <w:color w:val="767171" w:themeColor="background2" w:themeShade="80"/>
          <w:sz w:val="19"/>
          <w:szCs w:val="19"/>
        </w:rPr>
        <w:t xml:space="preserve"> 3.</w:t>
      </w:r>
      <w:r w:rsidR="005015D1">
        <w:rPr>
          <w:color w:val="767171" w:themeColor="background2" w:themeShade="80"/>
          <w:sz w:val="19"/>
          <w:szCs w:val="19"/>
        </w:rPr>
        <w:t>A</w:t>
      </w:r>
      <w:r w:rsidR="0005496A" w:rsidRPr="0005496A">
        <w:rPr>
          <w:color w:val="767171" w:themeColor="background2" w:themeShade="80"/>
          <w:sz w:val="19"/>
          <w:szCs w:val="19"/>
        </w:rPr>
        <w:t>.</w:t>
      </w:r>
      <w:r w:rsidR="005015D1">
        <w:rPr>
          <w:color w:val="767171" w:themeColor="background2" w:themeShade="80"/>
          <w:sz w:val="19"/>
          <w:szCs w:val="19"/>
        </w:rPr>
        <w:t>6</w:t>
      </w:r>
      <w:r w:rsidR="0005496A" w:rsidRPr="0005496A">
        <w:rPr>
          <w:color w:val="767171" w:themeColor="background2" w:themeShade="80"/>
          <w:sz w:val="19"/>
          <w:szCs w:val="19"/>
        </w:rPr>
        <w:t>]</w:t>
      </w:r>
      <w:r>
        <w:t>.</w:t>
      </w:r>
    </w:p>
    <w:p w14:paraId="6761ED84" w14:textId="26491682" w:rsidR="001308F1" w:rsidRDefault="001308F1" w:rsidP="0005496A">
      <w:pPr>
        <w:pStyle w:val="Nivel2SM"/>
      </w:pPr>
      <w:r>
        <w:t>Este modelo establece que una política, para ser dinámicamente consistente, deberá incluir la posible reacción de los agentes en su diseño. La razón es que la respuesta de los agentes tendrá una gran influencia sobre la eficacia de la estrategia de las autoridades, que si no cuentan con este hecho podrán encontrarse con que su plan de política económica óptimo se ve alterado por la reacción ex-post de los agentes.</w:t>
      </w:r>
    </w:p>
    <w:p w14:paraId="5FD46539" w14:textId="6CB5E079" w:rsidR="0082171E" w:rsidRDefault="0082171E" w:rsidP="005A0870">
      <w:pPr>
        <w:pStyle w:val="Ttulo2"/>
      </w:pPr>
      <w:bookmarkStart w:id="33" w:name="_Toc145492498"/>
      <w:r>
        <w:lastRenderedPageBreak/>
        <w:t>Evidencia empírica y ejemplos prácticos</w:t>
      </w:r>
      <w:bookmarkEnd w:id="33"/>
    </w:p>
    <w:p w14:paraId="13FC58A8" w14:textId="4E6233A4" w:rsidR="00192908" w:rsidRDefault="00192908" w:rsidP="00DC4DF2">
      <w:pPr>
        <w:pStyle w:val="Nivel1SM"/>
        <w:spacing w:before="0" w:after="0"/>
      </w:pPr>
      <w:r>
        <w:t xml:space="preserve">El </w:t>
      </w:r>
      <w:r w:rsidRPr="0005496A">
        <w:rPr>
          <w:b/>
          <w:bCs/>
        </w:rPr>
        <w:t>ejemplo paradigmático</w:t>
      </w:r>
      <w:r>
        <w:t xml:space="preserve"> de las crisis de </w:t>
      </w:r>
      <w:r w:rsidR="00E8382D">
        <w:t>2ª </w:t>
      </w:r>
      <w:r>
        <w:t xml:space="preserve">generación es la crisis del Sistema </w:t>
      </w:r>
      <w:r w:rsidR="0005496A">
        <w:t>M</w:t>
      </w:r>
      <w:r>
        <w:t>onetario Europeo (SME) de 1992.</w:t>
      </w:r>
    </w:p>
    <w:p w14:paraId="52E1E458" w14:textId="6ED19026" w:rsidR="00192908" w:rsidRDefault="00192908" w:rsidP="004967E2">
      <w:pPr>
        <w:pStyle w:val="Nivel2SM"/>
      </w:pPr>
      <w:r>
        <w:t>Bajo dicho sistema</w:t>
      </w:r>
      <w:r w:rsidR="007C6F48">
        <w:t>,</w:t>
      </w:r>
      <w:r>
        <w:t xml:space="preserve"> las monedas de los países europeos estaban en teoría fijadas a la evolución del ECU (cesta de monedas). Se garantizaba así el ajuste simétrico.</w:t>
      </w:r>
    </w:p>
    <w:p w14:paraId="3F01F077" w14:textId="2A121FD0" w:rsidR="00192908" w:rsidRPr="004967E2" w:rsidRDefault="00192908" w:rsidP="004967E2">
      <w:pPr>
        <w:pStyle w:val="Nivel2SM"/>
        <w:rPr>
          <w:spacing w:val="-3"/>
        </w:rPr>
      </w:pPr>
      <w:r w:rsidRPr="004967E2">
        <w:rPr>
          <w:spacing w:val="-3"/>
        </w:rPr>
        <w:t xml:space="preserve">No obstante, el marco alemán pasó poco a poco a convertirse en moneda ancla llevando así a que el ajuste </w:t>
      </w:r>
      <w:r w:rsidR="00373D09" w:rsidRPr="004967E2">
        <w:rPr>
          <w:spacing w:val="-3"/>
        </w:rPr>
        <w:t>fuer</w:t>
      </w:r>
      <w:r w:rsidRPr="004967E2">
        <w:rPr>
          <w:spacing w:val="-3"/>
        </w:rPr>
        <w:t>a asimétrico y forzando al resto de países a importar la política monetaria alemana.</w:t>
      </w:r>
    </w:p>
    <w:p w14:paraId="488CD573" w14:textId="42257A50" w:rsidR="00192908" w:rsidRDefault="00192908" w:rsidP="004967E2">
      <w:pPr>
        <w:pStyle w:val="Nivel2SM"/>
        <w:keepNext/>
        <w:spacing w:after="0"/>
      </w:pPr>
      <w:r>
        <w:t>Dada esta situación</w:t>
      </w:r>
      <w:r w:rsidR="00E8382D">
        <w:t>,</w:t>
      </w:r>
      <w:r>
        <w:t xml:space="preserve"> el shock llegó tras la reunificación alemana a finales de los años</w:t>
      </w:r>
      <w:r w:rsidR="00E8382D">
        <w:t> </w:t>
      </w:r>
      <w:r>
        <w:t>80.</w:t>
      </w:r>
    </w:p>
    <w:p w14:paraId="79FB862C" w14:textId="3EBAE4D0" w:rsidR="00192908" w:rsidRDefault="00192908" w:rsidP="004967E2">
      <w:pPr>
        <w:pStyle w:val="Nivel3SM"/>
      </w:pPr>
      <w:r>
        <w:t>En primer lugar</w:t>
      </w:r>
      <w:r w:rsidR="00373D09">
        <w:t>,</w:t>
      </w:r>
      <w:r>
        <w:t xml:space="preserve"> la economía alemana llevó a cabo una política monetaria expansiva, pero tras un repunte de la inflación aumentó los tipos de interés.</w:t>
      </w:r>
    </w:p>
    <w:p w14:paraId="41574B22" w14:textId="29678ACF" w:rsidR="00192908" w:rsidRPr="001D7194" w:rsidRDefault="00192908" w:rsidP="004967E2">
      <w:pPr>
        <w:pStyle w:val="Nivel3SM"/>
        <w:rPr>
          <w:spacing w:val="-2"/>
        </w:rPr>
      </w:pPr>
      <w:r w:rsidRPr="001D7194">
        <w:rPr>
          <w:spacing w:val="-2"/>
        </w:rPr>
        <w:t>El repunte de los tipos apreció la moneda alemana, lo que forzó al resto de países a llevar a cabo el mismo ajuste cuando en muchos de ellos la situación económica no lo recomendaba.</w:t>
      </w:r>
    </w:p>
    <w:p w14:paraId="0444FF05" w14:textId="7377BF14" w:rsidR="009E3CF8" w:rsidRDefault="009E3CF8" w:rsidP="004967E2">
      <w:pPr>
        <w:pStyle w:val="Nivel3SM"/>
      </w:pPr>
      <w:r>
        <w:t>El impacto contractivo sobre la economía fue percibido por los mercados como un aumento de la posibilidad de devaluaciones, desencadenando expectativas de devaluación a pesar de los buenos fundamentales de las economías.</w:t>
      </w:r>
    </w:p>
    <w:p w14:paraId="4E264537" w14:textId="55E66B61" w:rsidR="00192908" w:rsidRDefault="00192908" w:rsidP="004967E2">
      <w:pPr>
        <w:pStyle w:val="Nivel2SM"/>
        <w:keepNext/>
        <w:spacing w:after="0"/>
      </w:pPr>
      <w:r>
        <w:t>Las autoridades llevaron así un análisis coste-beneficio de la situación lle</w:t>
      </w:r>
      <w:r w:rsidR="004B0F8D">
        <w:t>v</w:t>
      </w:r>
      <w:r>
        <w:t>ando a muchos países a abandonar el SME o a devaluar la moned</w:t>
      </w:r>
      <w:r w:rsidR="009E3CF8">
        <w:t>a</w:t>
      </w:r>
      <w:r>
        <w:t>.</w:t>
      </w:r>
    </w:p>
    <w:p w14:paraId="510ED642" w14:textId="452CE3EF" w:rsidR="009E3CF8" w:rsidRDefault="009E3CF8" w:rsidP="004967E2">
      <w:pPr>
        <w:pStyle w:val="Nivel3SM"/>
      </w:pPr>
      <w:r>
        <w:t xml:space="preserve">El ataque especulativo contra Reino Unido se produjo el 16 de septiembre de 1992 (el famoso “miércoles negro” de Reino Unido), cuando </w:t>
      </w:r>
      <w:r>
        <w:rPr>
          <w:smallCaps/>
        </w:rPr>
        <w:t>George Soros</w:t>
      </w:r>
      <w:r>
        <w:t xml:space="preserve"> convirtió 10.000</w:t>
      </w:r>
      <w:r w:rsidR="00E8382D">
        <w:t> </w:t>
      </w:r>
      <w:r>
        <w:t>millones de libras esterlinas en marcos alemanes, con expectativas de volver a convertirlos a libras cuando Reino Unido hubiese abandonado el SME y se hubiese depreciado su moneda, tal y como pasó.</w:t>
      </w:r>
    </w:p>
    <w:p w14:paraId="18717953" w14:textId="2A9D55DF" w:rsidR="00192908" w:rsidRDefault="00AD4399" w:rsidP="004967E2">
      <w:pPr>
        <w:pStyle w:val="Nivel2SM"/>
      </w:pPr>
      <w:r>
        <w:t>Por tanto, l</w:t>
      </w:r>
      <w:r w:rsidR="00192908">
        <w:t xml:space="preserve">a </w:t>
      </w:r>
      <w:r w:rsidR="009E3CF8">
        <w:t xml:space="preserve">devaluación </w:t>
      </w:r>
      <w:r w:rsidR="00192908">
        <w:t>fue una mera respuesta de política económica y además tuvo en algunos casos efectos positivos</w:t>
      </w:r>
      <w:r w:rsidR="00373D09">
        <w:rPr>
          <w:rStyle w:val="Refdenotaalpie"/>
        </w:rPr>
        <w:footnoteReference w:id="6"/>
      </w:r>
      <w:r w:rsidR="00192908">
        <w:t>.</w:t>
      </w:r>
    </w:p>
    <w:p w14:paraId="789E1860" w14:textId="03707B8A" w:rsidR="00192908" w:rsidRDefault="00192908" w:rsidP="00192908">
      <w:pPr>
        <w:pStyle w:val="Nivel1SM"/>
      </w:pPr>
      <w:r>
        <w:t>Otro ejemplo típico sería la crisis de México de 1994, en la que los ataques especulativos no estaban relacionados con una crisis en los fundamentales.</w:t>
      </w:r>
    </w:p>
    <w:p w14:paraId="16F5FDA4" w14:textId="3F196D6F" w:rsidR="00DA723A" w:rsidRPr="00DC4DF2" w:rsidRDefault="0082171E" w:rsidP="005A0870">
      <w:pPr>
        <w:pStyle w:val="Ttulo2"/>
      </w:pPr>
      <w:bookmarkStart w:id="34" w:name="_Toc145492499"/>
      <w:r>
        <w:t>Valoración</w:t>
      </w:r>
      <w:r w:rsidRPr="005A0870">
        <w:rPr>
          <w:sz w:val="19"/>
          <w:szCs w:val="19"/>
        </w:rPr>
        <w:t xml:space="preserve"> (limitaciones del modelo que dan lugar al desarrollo de modelos posteriores)</w:t>
      </w:r>
      <w:bookmarkEnd w:id="34"/>
    </w:p>
    <w:p w14:paraId="7A47674B" w14:textId="77777777" w:rsidR="00FD7912" w:rsidRPr="00FD7912" w:rsidRDefault="00465071" w:rsidP="00DC4DF2">
      <w:pPr>
        <w:pStyle w:val="Nivel1SM"/>
        <w:keepNext/>
        <w:spacing w:before="0" w:after="0"/>
      </w:pPr>
      <w:r>
        <w:t>Estos modelos sirven para obtener las conclusiones que acabamos de remarcar. Sin embargo,</w:t>
      </w:r>
      <w:r w:rsidR="00FD7912">
        <w:t xml:space="preserve"> presentan algunas limitaciones:</w:t>
      </w:r>
    </w:p>
    <w:p w14:paraId="06013725" w14:textId="77777777" w:rsidR="00FD7912" w:rsidRDefault="00FD7912">
      <w:pPr>
        <w:pStyle w:val="Prrafodelista"/>
        <w:numPr>
          <w:ilvl w:val="0"/>
          <w:numId w:val="13"/>
        </w:numPr>
        <w:spacing w:after="100"/>
        <w:ind w:left="568" w:hanging="284"/>
      </w:pPr>
      <w:r w:rsidRPr="00FD7912">
        <w:rPr>
          <w:i/>
          <w:iCs/>
        </w:rPr>
        <w:t>N</w:t>
      </w:r>
      <w:r w:rsidR="00465071" w:rsidRPr="00FD7912">
        <w:rPr>
          <w:i/>
          <w:iCs/>
        </w:rPr>
        <w:t>o tienen mucha aplicabilidad práctica</w:t>
      </w:r>
      <w:r w:rsidR="00465071">
        <w:t>, ya que al encontrar equilibrios múltiples su capacidad predictiva es débil.</w:t>
      </w:r>
    </w:p>
    <w:p w14:paraId="560DAEA5" w14:textId="77777777" w:rsidR="00FD7912" w:rsidRDefault="002E1630">
      <w:pPr>
        <w:pStyle w:val="Prrafodelista"/>
        <w:numPr>
          <w:ilvl w:val="0"/>
          <w:numId w:val="13"/>
        </w:numPr>
        <w:spacing w:after="100"/>
        <w:ind w:left="568" w:hanging="284"/>
      </w:pPr>
      <w:r>
        <w:t xml:space="preserve">Además, este modelo simplificado </w:t>
      </w:r>
      <w:r w:rsidRPr="00FD7912">
        <w:rPr>
          <w:i/>
          <w:iCs/>
        </w:rPr>
        <w:t>omite la función de reacción de los agentes</w:t>
      </w:r>
      <w:r>
        <w:t xml:space="preserve"> que puede determinar cómo se forman realmente las expectativas de los agentes (en este modelo hemos asumido la formación de expectativas exógena).</w:t>
      </w:r>
    </w:p>
    <w:p w14:paraId="274C56D4" w14:textId="09EC85E9" w:rsidR="00C162E9" w:rsidRDefault="00465071">
      <w:pPr>
        <w:pStyle w:val="Prrafodelista"/>
        <w:keepNext/>
        <w:numPr>
          <w:ilvl w:val="0"/>
          <w:numId w:val="13"/>
        </w:numPr>
        <w:spacing w:after="0"/>
        <w:ind w:left="568" w:hanging="284"/>
      </w:pPr>
      <w:r w:rsidRPr="00FD7912">
        <w:rPr>
          <w:i/>
          <w:iCs/>
        </w:rPr>
        <w:t>N</w:t>
      </w:r>
      <w:r w:rsidR="00C162E9" w:rsidRPr="00FD7912">
        <w:rPr>
          <w:i/>
          <w:iCs/>
        </w:rPr>
        <w:t xml:space="preserve">inguna de las dos generaciones de modelos vistos hasta ahora puede dar una explicación de la crisis </w:t>
      </w:r>
      <w:r w:rsidR="00D37D8B" w:rsidRPr="00FD7912">
        <w:rPr>
          <w:i/>
          <w:iCs/>
        </w:rPr>
        <w:t>del sudeste asiático</w:t>
      </w:r>
      <w:r w:rsidR="00C162E9" w:rsidRPr="00FD7912">
        <w:rPr>
          <w:i/>
          <w:iCs/>
        </w:rPr>
        <w:t xml:space="preserve"> de finales de la década de 1990</w:t>
      </w:r>
      <w:r>
        <w:t>, que presentaba las siguientes características:</w:t>
      </w:r>
    </w:p>
    <w:p w14:paraId="521C39B8" w14:textId="77777777" w:rsidR="009F63B3" w:rsidRPr="00BE557B" w:rsidRDefault="009F63B3">
      <w:pPr>
        <w:pStyle w:val="Prrafodelista"/>
        <w:numPr>
          <w:ilvl w:val="0"/>
          <w:numId w:val="14"/>
        </w:numPr>
        <w:spacing w:after="100"/>
        <w:ind w:left="1135" w:hanging="284"/>
        <w:rPr>
          <w:spacing w:val="-2"/>
        </w:rPr>
      </w:pPr>
      <w:r w:rsidRPr="00BE557B">
        <w:rPr>
          <w:spacing w:val="-2"/>
        </w:rPr>
        <w:t xml:space="preserve">Estos países contaban con </w:t>
      </w:r>
      <w:r w:rsidRPr="00BE557B">
        <w:rPr>
          <w:i/>
          <w:iCs/>
          <w:spacing w:val="-2"/>
        </w:rPr>
        <w:t>muy buenos fundamentos</w:t>
      </w:r>
      <w:r w:rsidRPr="00BE557B">
        <w:rPr>
          <w:spacing w:val="-2"/>
        </w:rPr>
        <w:t>, y, aunque es cierto que los modelos de 2ª generación muestran que incluso países con buenos fundamentos pueden sufrir crisis, la situación de partida de estos países hacía que dicha posibilidad fuese muy remota.</w:t>
      </w:r>
    </w:p>
    <w:p w14:paraId="1FDF323F" w14:textId="77777777" w:rsidR="009F63B3" w:rsidRPr="00BE557B" w:rsidRDefault="009F63B3">
      <w:pPr>
        <w:pStyle w:val="Prrafodelista"/>
        <w:numPr>
          <w:ilvl w:val="0"/>
          <w:numId w:val="14"/>
        </w:numPr>
        <w:spacing w:after="100"/>
        <w:ind w:left="1135" w:hanging="284"/>
        <w:rPr>
          <w:spacing w:val="-3"/>
        </w:rPr>
      </w:pPr>
      <w:r w:rsidRPr="00BE557B">
        <w:rPr>
          <w:spacing w:val="-3"/>
        </w:rPr>
        <w:t xml:space="preserve">Dicha crisis tuvo </w:t>
      </w:r>
      <w:r w:rsidRPr="00BE557B">
        <w:rPr>
          <w:i/>
          <w:iCs/>
          <w:spacing w:val="-3"/>
        </w:rPr>
        <w:t>efectos reales importantes</w:t>
      </w:r>
      <w:r w:rsidRPr="00BE557B">
        <w:rPr>
          <w:spacing w:val="-3"/>
        </w:rPr>
        <w:t>, al contrario de lo que señalan los modelos previos.</w:t>
      </w:r>
    </w:p>
    <w:p w14:paraId="509762AB" w14:textId="77777777" w:rsidR="009F63B3" w:rsidRDefault="009F63B3">
      <w:pPr>
        <w:pStyle w:val="Prrafodelista"/>
        <w:numPr>
          <w:ilvl w:val="0"/>
          <w:numId w:val="14"/>
        </w:numPr>
        <w:spacing w:after="100"/>
        <w:ind w:left="1135" w:hanging="284"/>
      </w:pPr>
      <w:r>
        <w:t xml:space="preserve">La crisis asiática </w:t>
      </w:r>
      <w:r w:rsidRPr="00DD2524">
        <w:rPr>
          <w:i/>
          <w:iCs/>
        </w:rPr>
        <w:t>no fue consecuencia de una decisión de política económica</w:t>
      </w:r>
      <w:r>
        <w:t>.</w:t>
      </w:r>
    </w:p>
    <w:p w14:paraId="5AB11469" w14:textId="77777777" w:rsidR="009F63B3" w:rsidRDefault="009F63B3">
      <w:pPr>
        <w:pStyle w:val="Prrafodelista"/>
        <w:numPr>
          <w:ilvl w:val="0"/>
          <w:numId w:val="14"/>
        </w:numPr>
        <w:spacing w:after="100"/>
        <w:ind w:left="1135" w:hanging="284"/>
      </w:pPr>
      <w:r>
        <w:t xml:space="preserve">Los modelos de 2ª generación no conceden mucha importancia a un elemento que fue clave en la crisis asiática: una </w:t>
      </w:r>
      <w:r w:rsidRPr="00DD2524">
        <w:rPr>
          <w:i/>
          <w:iCs/>
        </w:rPr>
        <w:t>crisis financiera (bancaria) simultánea</w:t>
      </w:r>
      <w:r>
        <w:t>.</w:t>
      </w:r>
    </w:p>
    <w:p w14:paraId="76104987" w14:textId="34E2078A" w:rsidR="00606E13" w:rsidRDefault="00740AF6" w:rsidP="00E778E4">
      <w:pPr>
        <w:pStyle w:val="Ttulo1"/>
      </w:pPr>
      <w:bookmarkStart w:id="35" w:name="_Toc145492500"/>
      <w:r>
        <w:lastRenderedPageBreak/>
        <w:t>MODELOS DE TERCERA GENERACIÓN</w:t>
      </w:r>
      <w:r w:rsidR="00FD34CE">
        <w:t xml:space="preserve"> (</w:t>
      </w:r>
      <w:r w:rsidR="00FD34CE">
        <w:rPr>
          <w:caps w:val="0"/>
          <w:smallCaps/>
        </w:rPr>
        <w:t>Krugman</w:t>
      </w:r>
      <w:r w:rsidR="00FD34CE">
        <w:rPr>
          <w:caps w:val="0"/>
        </w:rPr>
        <w:t>, 1999</w:t>
      </w:r>
      <w:r w:rsidR="00FD34CE">
        <w:t>)</w:t>
      </w:r>
      <w:r w:rsidR="00411A26">
        <w:t>:</w:t>
      </w:r>
      <w:r w:rsidR="00E778E4">
        <w:br/>
      </w:r>
      <w:r w:rsidR="00E778E4" w:rsidRPr="00041E59">
        <w:rPr>
          <w:sz w:val="19"/>
          <w:szCs w:val="19"/>
        </w:rPr>
        <w:t>CRISIS GEMELAS</w:t>
      </w:r>
      <w:r w:rsidR="002C3172" w:rsidRPr="00041E59">
        <w:rPr>
          <w:sz w:val="19"/>
          <w:szCs w:val="19"/>
        </w:rPr>
        <w:t xml:space="preserve"> (</w:t>
      </w:r>
      <w:r w:rsidR="00E778E4" w:rsidRPr="00041E59">
        <w:rPr>
          <w:sz w:val="19"/>
          <w:szCs w:val="19"/>
        </w:rPr>
        <w:t>INTERACCIÓN DE CRISIS MONETARIAS Y FINANCIERAS</w:t>
      </w:r>
      <w:r w:rsidR="002C3172" w:rsidRPr="00041E59">
        <w:rPr>
          <w:sz w:val="19"/>
          <w:szCs w:val="19"/>
        </w:rPr>
        <w:t>)</w:t>
      </w:r>
      <w:bookmarkEnd w:id="35"/>
    </w:p>
    <w:p w14:paraId="6F7E7FE1" w14:textId="06F1F3AD" w:rsidR="0082171E" w:rsidRDefault="0082171E" w:rsidP="005A0870">
      <w:pPr>
        <w:pStyle w:val="Ttulo2"/>
      </w:pPr>
      <w:bookmarkStart w:id="36" w:name="_Toc145492501"/>
      <w:r>
        <w:t>Idea</w:t>
      </w:r>
      <w:bookmarkEnd w:id="36"/>
    </w:p>
    <w:p w14:paraId="2EA7ABB8" w14:textId="53D1CFB5" w:rsidR="00031799" w:rsidRDefault="00031799" w:rsidP="00884ED2">
      <w:pPr>
        <w:pStyle w:val="Nivel1SM"/>
        <w:keepNext/>
        <w:spacing w:before="0" w:after="0"/>
      </w:pPr>
      <w:r>
        <w:t xml:space="preserve">Los modelos de </w:t>
      </w:r>
      <w:r w:rsidR="00E8382D">
        <w:t>3ª </w:t>
      </w:r>
      <w:r>
        <w:t>generación</w:t>
      </w:r>
      <w:r w:rsidR="00DD2524">
        <w:t xml:space="preserve">, desarrollados por economistas como </w:t>
      </w:r>
      <w:r w:rsidR="00DD2524">
        <w:rPr>
          <w:smallCaps/>
        </w:rPr>
        <w:t>Krugman</w:t>
      </w:r>
      <w:r w:rsidR="00DD2524">
        <w:t>,</w:t>
      </w:r>
      <w:r>
        <w:t xml:space="preserve"> surgieron a raíz de la </w:t>
      </w:r>
      <w:r>
        <w:rPr>
          <w:b/>
          <w:bCs/>
        </w:rPr>
        <w:t>crisis del sudeste asiático de 1997-1998</w:t>
      </w:r>
      <w:r>
        <w:t>, que los modelos de 1ª y 2ª</w:t>
      </w:r>
      <w:r w:rsidR="00884ED2">
        <w:t> </w:t>
      </w:r>
      <w:r>
        <w:t>generación no eran capaces de explicar</w:t>
      </w:r>
      <w:r w:rsidR="00DD2524">
        <w:t>.</w:t>
      </w:r>
    </w:p>
    <w:p w14:paraId="40AC224A" w14:textId="2215E0CB" w:rsidR="00DD2524" w:rsidRDefault="00DD2524">
      <w:pPr>
        <w:pStyle w:val="Prrafodelista"/>
        <w:numPr>
          <w:ilvl w:val="0"/>
          <w:numId w:val="28"/>
        </w:numPr>
        <w:spacing w:after="100"/>
        <w:ind w:left="568" w:hanging="284"/>
      </w:pPr>
      <w:r>
        <w:t xml:space="preserve">Estos países contaban con </w:t>
      </w:r>
      <w:r w:rsidRPr="00DD2524">
        <w:rPr>
          <w:i/>
          <w:iCs/>
        </w:rPr>
        <w:t>muy buenos fundamentos</w:t>
      </w:r>
      <w:r>
        <w:t xml:space="preserve">, y, aunque es cierto que los modelos de </w:t>
      </w:r>
      <w:r w:rsidR="00FE5AE6">
        <w:t>2ª </w:t>
      </w:r>
      <w:r>
        <w:t>generación muestran que incluso países con buenos fundamentos pueden sufrir crisis, la situación de partida de estos países hacía que dicha posibilidad fuese muy remota.</w:t>
      </w:r>
    </w:p>
    <w:p w14:paraId="26AC4DDF" w14:textId="506CB7E1" w:rsidR="00DD2524" w:rsidRDefault="00DD2524">
      <w:pPr>
        <w:pStyle w:val="Prrafodelista"/>
        <w:numPr>
          <w:ilvl w:val="0"/>
          <w:numId w:val="28"/>
        </w:numPr>
        <w:spacing w:after="100"/>
        <w:ind w:left="568" w:hanging="284"/>
      </w:pPr>
      <w:r>
        <w:t xml:space="preserve">Dicha crisis tuvo </w:t>
      </w:r>
      <w:r w:rsidRPr="00DD2524">
        <w:rPr>
          <w:i/>
          <w:iCs/>
        </w:rPr>
        <w:t>efectos reales importantes</w:t>
      </w:r>
      <w:r>
        <w:t>, al contrario de lo que señalan los modelos previos.</w:t>
      </w:r>
    </w:p>
    <w:p w14:paraId="3B342773" w14:textId="77777777" w:rsidR="00DD2524" w:rsidRDefault="00DD2524">
      <w:pPr>
        <w:pStyle w:val="Prrafodelista"/>
        <w:numPr>
          <w:ilvl w:val="0"/>
          <w:numId w:val="28"/>
        </w:numPr>
        <w:spacing w:after="100"/>
        <w:ind w:left="568" w:hanging="284"/>
      </w:pPr>
      <w:r>
        <w:t xml:space="preserve">La crisis asiática </w:t>
      </w:r>
      <w:r w:rsidRPr="00DD2524">
        <w:rPr>
          <w:i/>
          <w:iCs/>
        </w:rPr>
        <w:t>no fue consecuencia de una decisión de política económica</w:t>
      </w:r>
      <w:r>
        <w:t>.</w:t>
      </w:r>
    </w:p>
    <w:p w14:paraId="5ADA2C89" w14:textId="4495F951" w:rsidR="00DD2524" w:rsidRDefault="00DD2524">
      <w:pPr>
        <w:pStyle w:val="Prrafodelista"/>
        <w:numPr>
          <w:ilvl w:val="0"/>
          <w:numId w:val="28"/>
        </w:numPr>
        <w:spacing w:after="100"/>
        <w:ind w:left="568" w:hanging="284"/>
      </w:pPr>
      <w:r>
        <w:t xml:space="preserve">Los modelos de </w:t>
      </w:r>
      <w:r w:rsidR="00FE5AE6">
        <w:t>2ª </w:t>
      </w:r>
      <w:r>
        <w:t xml:space="preserve">generación no conceden mucha importancia a un elemento que fue clave en la crisis asiática: una </w:t>
      </w:r>
      <w:r w:rsidRPr="00DD2524">
        <w:rPr>
          <w:i/>
          <w:iCs/>
        </w:rPr>
        <w:t>crisis financiera (bancaria) simultánea</w:t>
      </w:r>
      <w:r>
        <w:t>.</w:t>
      </w:r>
    </w:p>
    <w:p w14:paraId="0B1DE262" w14:textId="75D70FDF" w:rsidR="00FD34CE" w:rsidRPr="00E8382D" w:rsidRDefault="00FD34CE" w:rsidP="00031799">
      <w:pPr>
        <w:pStyle w:val="Nivel1SM"/>
        <w:keepNext/>
        <w:spacing w:after="0"/>
      </w:pPr>
      <w:r w:rsidRPr="00E8382D">
        <w:t xml:space="preserve">En estos modelos se producen </w:t>
      </w:r>
      <w:r w:rsidRPr="00E8382D">
        <w:rPr>
          <w:b/>
          <w:bCs/>
        </w:rPr>
        <w:t>crisis gemelas</w:t>
      </w:r>
      <w:r w:rsidRPr="00E8382D">
        <w:t xml:space="preserve">: el origen de la crisis suele estar en el </w:t>
      </w:r>
      <w:r w:rsidRPr="00E8382D">
        <w:rPr>
          <w:i/>
          <w:iCs/>
        </w:rPr>
        <w:t>sistema financiero</w:t>
      </w:r>
      <w:r w:rsidRPr="00E8382D">
        <w:t xml:space="preserve"> (bancario), pero se transmite a los </w:t>
      </w:r>
      <w:r w:rsidRPr="00E8382D">
        <w:rPr>
          <w:i/>
          <w:iCs/>
        </w:rPr>
        <w:t>mercados cambiarios</w:t>
      </w:r>
      <w:r w:rsidRPr="00E8382D">
        <w:t xml:space="preserve"> y provoca una depreciación, que a su vez refuerza la crisis financiera (provocando una </w:t>
      </w:r>
      <w:r w:rsidRPr="00E8382D">
        <w:rPr>
          <w:i/>
          <w:iCs/>
          <w:u w:val="single"/>
        </w:rPr>
        <w:t>retroalimentación entre las crisis monetarias y financieras</w:t>
      </w:r>
      <w:r w:rsidRPr="00E8382D">
        <w:t>)</w:t>
      </w:r>
      <w:r w:rsidR="00DD2524" w:rsidRPr="00E8382D">
        <w:rPr>
          <w:rStyle w:val="Refdenotaalpie"/>
        </w:rPr>
        <w:footnoteReference w:id="7"/>
      </w:r>
      <w:r w:rsidRPr="00E8382D">
        <w:t>.</w:t>
      </w:r>
    </w:p>
    <w:p w14:paraId="3A4C6D92" w14:textId="4028D8B7" w:rsidR="00FD34CE" w:rsidRDefault="00FD34CE" w:rsidP="00DD2524">
      <w:pPr>
        <w:pStyle w:val="Nivel2SM"/>
      </w:pPr>
      <w:r>
        <w:t xml:space="preserve">Y es que el </w:t>
      </w:r>
      <w:r>
        <w:rPr>
          <w:i/>
          <w:iCs/>
        </w:rPr>
        <w:t>proceso de liberalización y desregulación</w:t>
      </w:r>
      <w:r>
        <w:t xml:space="preserve"> de los mercados financieros iniciado en los años</w:t>
      </w:r>
      <w:r w:rsidR="00884ED2">
        <w:t> </w:t>
      </w:r>
      <w:r>
        <w:t>80 hace que a partir de entonces las crisis tengan características diferentes.</w:t>
      </w:r>
    </w:p>
    <w:p w14:paraId="6C5AA17D" w14:textId="77777777" w:rsidR="00031799" w:rsidRDefault="00031799" w:rsidP="00031799">
      <w:pPr>
        <w:pStyle w:val="Nivel1SM"/>
        <w:keepNext/>
        <w:spacing w:after="0"/>
      </w:pPr>
      <w:r>
        <w:t xml:space="preserve">La crisis puede </w:t>
      </w:r>
      <w:r w:rsidRPr="00C42D86">
        <w:rPr>
          <w:b/>
          <w:bCs/>
        </w:rPr>
        <w:t>justificarse</w:t>
      </w:r>
      <w:r>
        <w:t xml:space="preserve"> mediante los siguientes </w:t>
      </w:r>
      <w:r w:rsidRPr="00C42D86">
        <w:rPr>
          <w:b/>
          <w:bCs/>
        </w:rPr>
        <w:t>pasos</w:t>
      </w:r>
      <w:r>
        <w:t>:</w:t>
      </w:r>
    </w:p>
    <w:p w14:paraId="6BF237A3" w14:textId="22ED1E5C" w:rsidR="00031799" w:rsidRDefault="00031799" w:rsidP="00DD2524">
      <w:pPr>
        <w:pStyle w:val="Nivel2SM"/>
        <w:keepNext/>
        <w:spacing w:after="0"/>
      </w:pPr>
      <w:r w:rsidRPr="00C42D86">
        <w:rPr>
          <w:i/>
          <w:iCs/>
        </w:rPr>
        <w:t>Paso</w:t>
      </w:r>
      <w:r w:rsidR="00884ED2">
        <w:rPr>
          <w:i/>
          <w:iCs/>
        </w:rPr>
        <w:t> </w:t>
      </w:r>
      <w:r w:rsidRPr="00C42D86">
        <w:rPr>
          <w:i/>
          <w:iCs/>
        </w:rPr>
        <w:t>1</w:t>
      </w:r>
      <w:r>
        <w:t xml:space="preserve"> </w:t>
      </w:r>
      <w:r w:rsidRPr="00DD2524">
        <w:rPr>
          <w:sz w:val="19"/>
          <w:szCs w:val="19"/>
        </w:rPr>
        <w:t>(situación inicial y debilidades)</w:t>
      </w:r>
      <w:r>
        <w:t>:</w:t>
      </w:r>
    </w:p>
    <w:p w14:paraId="464D528A" w14:textId="08A6A2CB" w:rsidR="00031799" w:rsidRDefault="00031799" w:rsidP="00DD2524">
      <w:pPr>
        <w:pStyle w:val="Nivel3SM"/>
      </w:pPr>
      <w:r>
        <w:t xml:space="preserve">Partimos de una economía con aparentes </w:t>
      </w:r>
      <w:r w:rsidRPr="00C42D86">
        <w:rPr>
          <w:b/>
          <w:bCs/>
        </w:rPr>
        <w:t>sólidos fundamentos</w:t>
      </w:r>
      <w:r>
        <w:t xml:space="preserve"> económicos y sin presiones externas.</w:t>
      </w:r>
    </w:p>
    <w:p w14:paraId="1F644862" w14:textId="5E3EB634" w:rsidR="00031799" w:rsidRDefault="00031799" w:rsidP="00DD2524">
      <w:pPr>
        <w:pStyle w:val="Nivel3SM"/>
      </w:pPr>
      <w:r>
        <w:t xml:space="preserve">No obstante, bajo esta solidez se esconden algunas debilidades, como por ejemplo la </w:t>
      </w:r>
      <w:r w:rsidRPr="00107EF3">
        <w:rPr>
          <w:b/>
          <w:bCs/>
        </w:rPr>
        <w:t>nula o escasa supervisión o regulación financiera</w:t>
      </w:r>
      <w:r>
        <w:t>.</w:t>
      </w:r>
    </w:p>
    <w:p w14:paraId="65399FAE" w14:textId="41EA47CF" w:rsidR="00031799" w:rsidRDefault="00031799" w:rsidP="00DD2524">
      <w:pPr>
        <w:pStyle w:val="Nivel2SM"/>
        <w:keepNext/>
        <w:spacing w:after="0"/>
      </w:pPr>
      <w:r w:rsidRPr="006D58C4">
        <w:rPr>
          <w:i/>
          <w:iCs/>
        </w:rPr>
        <w:t>Paso</w:t>
      </w:r>
      <w:r w:rsidR="00884ED2">
        <w:rPr>
          <w:i/>
          <w:iCs/>
        </w:rPr>
        <w:t> </w:t>
      </w:r>
      <w:r w:rsidRPr="006D58C4">
        <w:rPr>
          <w:i/>
          <w:iCs/>
        </w:rPr>
        <w:t>2</w:t>
      </w:r>
      <w:r>
        <w:t xml:space="preserve"> </w:t>
      </w:r>
      <w:r w:rsidRPr="00DD2524">
        <w:rPr>
          <w:sz w:val="19"/>
          <w:szCs w:val="19"/>
        </w:rPr>
        <w:t>(apertura de la cuenta corriente y financiera)</w:t>
      </w:r>
      <w:r>
        <w:t>:</w:t>
      </w:r>
    </w:p>
    <w:p w14:paraId="1D23CF58" w14:textId="77777777" w:rsidR="00031799" w:rsidRPr="00107EF3" w:rsidRDefault="00031799" w:rsidP="00DD2524">
      <w:pPr>
        <w:pStyle w:val="Nivel3SM"/>
        <w:rPr>
          <w:spacing w:val="-2"/>
        </w:rPr>
      </w:pPr>
      <w:r w:rsidRPr="00107EF3">
        <w:rPr>
          <w:spacing w:val="-2"/>
        </w:rPr>
        <w:t xml:space="preserve">A pesar de las debilidades, y por recomendación de los organismos internacionales, se lleva a cabo una </w:t>
      </w:r>
      <w:r w:rsidRPr="00107EF3">
        <w:rPr>
          <w:b/>
          <w:bCs/>
          <w:spacing w:val="-2"/>
        </w:rPr>
        <w:t>brusca y descontrolada apertura de la cuenta corriente y la cuenta financiera</w:t>
      </w:r>
      <w:r w:rsidRPr="00107EF3">
        <w:rPr>
          <w:spacing w:val="-2"/>
        </w:rPr>
        <w:t>.</w:t>
      </w:r>
    </w:p>
    <w:p w14:paraId="6EAFCC5F" w14:textId="7ACF0134" w:rsidR="00031799" w:rsidRPr="00107EF3" w:rsidRDefault="00031799" w:rsidP="00DD2524">
      <w:pPr>
        <w:pStyle w:val="Nivel3SM"/>
        <w:keepNext/>
        <w:rPr>
          <w:spacing w:val="-2"/>
        </w:rPr>
      </w:pPr>
      <w:r w:rsidRPr="00107EF3">
        <w:rPr>
          <w:spacing w:val="-2"/>
        </w:rPr>
        <w:t>Esto lleva a una fuerte y descontrolada entrada de capitales con las siguientes características:</w:t>
      </w:r>
    </w:p>
    <w:p w14:paraId="726E332E" w14:textId="2F27E7AC" w:rsidR="00031799" w:rsidRDefault="00031799" w:rsidP="00DD2524">
      <w:pPr>
        <w:pStyle w:val="Nivel4"/>
        <w:ind w:left="1474"/>
      </w:pPr>
      <w:r>
        <w:t>Corto plazo</w:t>
      </w:r>
    </w:p>
    <w:p w14:paraId="28EF785E" w14:textId="0E878114" w:rsidR="00031799" w:rsidRDefault="00031799" w:rsidP="00DD2524">
      <w:pPr>
        <w:pStyle w:val="Nivel4"/>
        <w:ind w:left="1474"/>
      </w:pPr>
      <w:r>
        <w:t>Moneda extranjera</w:t>
      </w:r>
    </w:p>
    <w:p w14:paraId="496A83E6" w14:textId="4813B672" w:rsidR="00031799" w:rsidRPr="006D58C4" w:rsidRDefault="00031799" w:rsidP="00DD2524">
      <w:pPr>
        <w:pStyle w:val="Nivel4"/>
        <w:ind w:left="1474"/>
        <w:rPr>
          <w:sz w:val="19"/>
          <w:szCs w:val="19"/>
        </w:rPr>
      </w:pPr>
      <w:r>
        <w:t>Volátiles</w:t>
      </w:r>
    </w:p>
    <w:p w14:paraId="07C3C42F" w14:textId="2EB704D2" w:rsidR="00031799" w:rsidRDefault="00031799" w:rsidP="00DD2524">
      <w:pPr>
        <w:pStyle w:val="Nivel2SM"/>
        <w:keepNext/>
        <w:spacing w:after="0"/>
      </w:pPr>
      <w:r w:rsidRPr="006D58C4">
        <w:rPr>
          <w:i/>
          <w:iCs/>
        </w:rPr>
        <w:t>Paso</w:t>
      </w:r>
      <w:r w:rsidR="00884ED2">
        <w:rPr>
          <w:i/>
          <w:iCs/>
        </w:rPr>
        <w:t> </w:t>
      </w:r>
      <w:r w:rsidRPr="006D58C4">
        <w:rPr>
          <w:i/>
          <w:iCs/>
        </w:rPr>
        <w:t>3</w:t>
      </w:r>
      <w:r>
        <w:t xml:space="preserve"> </w:t>
      </w:r>
      <w:r w:rsidRPr="00DD2524">
        <w:rPr>
          <w:sz w:val="19"/>
          <w:szCs w:val="19"/>
        </w:rPr>
        <w:t>(equilibrios múltiples y expectativas autocumplidas)</w:t>
      </w:r>
      <w:r>
        <w:t>:</w:t>
      </w:r>
    </w:p>
    <w:p w14:paraId="6694B33C" w14:textId="4E00CDEF" w:rsidR="00031799" w:rsidRDefault="00031799" w:rsidP="00DD2524">
      <w:pPr>
        <w:pStyle w:val="Nivel3SM"/>
        <w:keepNext/>
      </w:pPr>
      <w:r>
        <w:t xml:space="preserve">Esta apertura lleva a la formación de importantes debilidades estructurales que pueden reflejarse en </w:t>
      </w:r>
      <w:r w:rsidR="00FD0D10">
        <w:t xml:space="preserve">distintos </w:t>
      </w:r>
      <w:r>
        <w:t>modelos:</w:t>
      </w:r>
    </w:p>
    <w:p w14:paraId="27FCCC12" w14:textId="2117777D" w:rsidR="00031799" w:rsidRDefault="00FD0D10" w:rsidP="00DD2524">
      <w:pPr>
        <w:pStyle w:val="Nivel4"/>
        <w:ind w:left="1474"/>
      </w:pPr>
      <w:r>
        <w:t>Riesgo moral y f</w:t>
      </w:r>
      <w:r w:rsidR="00031799">
        <w:t>ragilidad financiera</w:t>
      </w:r>
      <w:r w:rsidR="006F5B8D">
        <w:t>.</w:t>
      </w:r>
    </w:p>
    <w:p w14:paraId="757CA95F" w14:textId="6257E7D7" w:rsidR="00031799" w:rsidRDefault="00031799" w:rsidP="006F5B8D">
      <w:pPr>
        <w:pStyle w:val="Nivel4"/>
        <w:keepNext/>
        <w:ind w:left="1474"/>
      </w:pPr>
      <w:r>
        <w:t>Hojas de balance.</w:t>
      </w:r>
    </w:p>
    <w:p w14:paraId="1A5C0DF7" w14:textId="1C4FB6A0" w:rsidR="00031799" w:rsidRPr="00FD34CE" w:rsidRDefault="00031799" w:rsidP="006F5B8D">
      <w:pPr>
        <w:pStyle w:val="Nivel5"/>
        <w:spacing w:after="100"/>
        <w:ind w:left="1871"/>
      </w:pPr>
      <w:r>
        <w:t xml:space="preserve">Como veremos los modelos no son excluyentes sino que la combinación de </w:t>
      </w:r>
      <w:proofErr w:type="gramStart"/>
      <w:r>
        <w:t>los mismos</w:t>
      </w:r>
      <w:proofErr w:type="gramEnd"/>
      <w:r>
        <w:t xml:space="preserve"> nos llevará a poder explicar las crisis gemelas.</w:t>
      </w:r>
    </w:p>
    <w:p w14:paraId="4C67ECB4" w14:textId="77777777" w:rsidR="0086161B" w:rsidRDefault="0082171E" w:rsidP="005A0870">
      <w:pPr>
        <w:pStyle w:val="Ttulo2"/>
      </w:pPr>
      <w:bookmarkStart w:id="37" w:name="_Toc145492502"/>
      <w:r>
        <w:lastRenderedPageBreak/>
        <w:t>Modelo</w:t>
      </w:r>
      <w:r w:rsidR="0086161B">
        <w:t>s</w:t>
      </w:r>
      <w:bookmarkEnd w:id="37"/>
    </w:p>
    <w:p w14:paraId="62FCD70B" w14:textId="56D7F14C" w:rsidR="0082171E" w:rsidRDefault="0086161B">
      <w:pPr>
        <w:pStyle w:val="Ttulo6"/>
        <w:numPr>
          <w:ilvl w:val="0"/>
          <w:numId w:val="15"/>
        </w:numPr>
        <w:ind w:left="284" w:hanging="284"/>
        <w:jc w:val="left"/>
      </w:pPr>
      <w:bookmarkStart w:id="38" w:name="_Toc145492503"/>
      <w:r>
        <w:t>Modelo</w:t>
      </w:r>
      <w:r w:rsidR="00DD2524">
        <w:t xml:space="preserve"> </w:t>
      </w:r>
      <w:r>
        <w:t xml:space="preserve">de </w:t>
      </w:r>
      <w:r w:rsidR="00FD0D10">
        <w:t xml:space="preserve">riesgo moral y </w:t>
      </w:r>
      <w:r>
        <w:t>fragilidad financiera</w:t>
      </w:r>
      <w:r w:rsidR="00FD0D10">
        <w:t xml:space="preserve"> (</w:t>
      </w:r>
      <w:r w:rsidR="00FD0D10">
        <w:rPr>
          <w:smallCaps/>
        </w:rPr>
        <w:t>Hausmann</w:t>
      </w:r>
      <w:r w:rsidR="00FD0D10" w:rsidRPr="00C74421">
        <w:t xml:space="preserve"> y </w:t>
      </w:r>
      <w:r w:rsidR="00FD0D10">
        <w:rPr>
          <w:smallCaps/>
        </w:rPr>
        <w:t>Eichengreen</w:t>
      </w:r>
      <w:r w:rsidR="00FD0D10">
        <w:t>)</w:t>
      </w:r>
      <w:r w:rsidR="00D51AB6">
        <w:t>:</w:t>
      </w:r>
      <w:r w:rsidR="00FD0D10">
        <w:br/>
      </w:r>
      <w:r w:rsidR="00D51AB6">
        <w:t>La crisis bancaria produce una crisis cambiaria</w:t>
      </w:r>
      <w:bookmarkEnd w:id="38"/>
    </w:p>
    <w:p w14:paraId="18D2A806" w14:textId="250A93FE" w:rsidR="0082171E" w:rsidRDefault="0082171E" w:rsidP="00884ED2">
      <w:pPr>
        <w:pStyle w:val="Ttulo7"/>
        <w:spacing w:before="0"/>
      </w:pPr>
      <w:r>
        <w:t>Supuestos</w:t>
      </w:r>
    </w:p>
    <w:p w14:paraId="6CD532EE" w14:textId="77777777" w:rsidR="00F25532" w:rsidRDefault="006F5B8D" w:rsidP="00F25532">
      <w:pPr>
        <w:pStyle w:val="Nivel1SM"/>
        <w:keepNext/>
        <w:spacing w:before="0" w:after="0"/>
      </w:pPr>
      <w:r>
        <w:t>El punto de partida es la voluntad (sea de los gobiernos nacionales o de las instituciones financieras internacionales) de rescatar a las entidades financieras domésticas en dificultades.</w:t>
      </w:r>
    </w:p>
    <w:p w14:paraId="21DC3641" w14:textId="7F795595" w:rsidR="00DD2524" w:rsidRDefault="006F5B8D" w:rsidP="00F25532">
      <w:pPr>
        <w:pStyle w:val="Nivel2SM"/>
      </w:pPr>
      <w:r>
        <w:t>Es decir, las entidades financieras se benefician de las ganancias pero ven las pérdidas socializadas (</w:t>
      </w:r>
      <w:r w:rsidR="005A7381">
        <w:t xml:space="preserve">p.ej. mediante el </w:t>
      </w:r>
      <w:r>
        <w:t>sistema de garantía de depósito).</w:t>
      </w:r>
    </w:p>
    <w:p w14:paraId="2EF955A7" w14:textId="5170A195" w:rsidR="006F5B8D" w:rsidRPr="00DD2524" w:rsidRDefault="006F5B8D" w:rsidP="00F25532">
      <w:pPr>
        <w:pStyle w:val="Nivel2SM"/>
      </w:pPr>
      <w:r>
        <w:t>Por añadidura, el gobierno ofrece otro tipo de seguros mediante el establecimiento de un tipo de cambio fijo.</w:t>
      </w:r>
    </w:p>
    <w:p w14:paraId="6484BEA7" w14:textId="1154BE25" w:rsidR="0082171E" w:rsidRDefault="0082171E" w:rsidP="0086161B">
      <w:pPr>
        <w:pStyle w:val="Ttulo7"/>
      </w:pPr>
      <w:r>
        <w:t>Desarrollo</w:t>
      </w:r>
      <w:r w:rsidRPr="0086161B">
        <w:rPr>
          <w:sz w:val="19"/>
          <w:szCs w:val="19"/>
          <w:u w:val="none"/>
        </w:rPr>
        <w:t xml:space="preserve"> (origen, transmisión y consecuencias de la crisis)</w:t>
      </w:r>
    </w:p>
    <w:p w14:paraId="4C105F0C" w14:textId="2A433FEA" w:rsidR="006F5B8D" w:rsidRDefault="006F5B8D" w:rsidP="00884ED2">
      <w:pPr>
        <w:pStyle w:val="Nivel1SM"/>
        <w:keepNext/>
        <w:spacing w:before="0" w:after="0"/>
      </w:pPr>
      <w:r>
        <w:t xml:space="preserve">Las entidades financieras, al no hacer frente a todo el riesgo de sus operaciones, tienen incentivos a tomar un riesgo (mediante un aumento exponencial del crédito en moneda extranjera) que está en la raíz de la fragilidad financiera. El aumento del crédito puede ser mayor si hay un sistema de regulación y supervisión financiera débil. Esto provoca que </w:t>
      </w:r>
      <w:r w:rsidRPr="00F25532">
        <w:rPr>
          <w:i/>
          <w:iCs/>
        </w:rPr>
        <w:t>existan pocos incentivos de cubrir las exposiciones al extranjero y que además los préstamos se sesguen en el corto plazo ante la falta de credibilidad de mantener un tipo de cambio en el largo plazo</w:t>
      </w:r>
      <w:r w:rsidR="0022612F">
        <w:rPr>
          <w:rStyle w:val="Refdenotaalpie"/>
        </w:rPr>
        <w:footnoteReference w:id="8"/>
      </w:r>
      <w:r>
        <w:t>.</w:t>
      </w:r>
    </w:p>
    <w:p w14:paraId="7B0F5CD1" w14:textId="4DE457FD" w:rsidR="00DD2524" w:rsidRDefault="006F5B8D" w:rsidP="006F5B8D">
      <w:pPr>
        <w:pStyle w:val="Nivel2SM"/>
      </w:pPr>
      <w:r>
        <w:t xml:space="preserve">En pocas palabras, el tipo de cambio fijo es una fuente de </w:t>
      </w:r>
      <w:r w:rsidRPr="006F5B8D">
        <w:rPr>
          <w:i/>
          <w:iCs/>
        </w:rPr>
        <w:t>riesgo moral</w:t>
      </w:r>
      <w:r>
        <w:t>.</w:t>
      </w:r>
    </w:p>
    <w:p w14:paraId="207C9925" w14:textId="13812F72" w:rsidR="006F5B8D" w:rsidRDefault="006F5B8D" w:rsidP="00DD2524">
      <w:pPr>
        <w:pStyle w:val="Nivel1SM"/>
      </w:pPr>
      <w:r w:rsidRPr="006F5B8D">
        <w:rPr>
          <w:i/>
          <w:iCs/>
        </w:rPr>
        <w:t>Ejemplo</w:t>
      </w:r>
      <w:r w:rsidR="00884ED2">
        <w:rPr>
          <w:i/>
          <w:iCs/>
        </w:rPr>
        <w:t> </w:t>
      </w:r>
      <w:r w:rsidRPr="006F5B8D">
        <w:rPr>
          <w:i/>
          <w:iCs/>
        </w:rPr>
        <w:t>1</w:t>
      </w:r>
      <w:r>
        <w:t>: El banco central, en su rol de prestamista de última instancia, podría verse obligado a emitir dinero para financiar el rescate de las instituciones financieras domésticas con problemas. Este aumento del crédito interno podría poner en peligro la estabilidad cambiaria porque dará lugar a una salida de capitales si el crédito interno crece a mayor ritmo que las reservas.</w:t>
      </w:r>
    </w:p>
    <w:p w14:paraId="60E10A8A" w14:textId="5D88B935" w:rsidR="006F5B8D" w:rsidRDefault="006F5B8D" w:rsidP="00DD2524">
      <w:pPr>
        <w:pStyle w:val="Nivel1SM"/>
      </w:pPr>
      <w:r>
        <w:rPr>
          <w:i/>
          <w:iCs/>
        </w:rPr>
        <w:t>Ejemplo</w:t>
      </w:r>
      <w:r w:rsidR="00884ED2">
        <w:rPr>
          <w:i/>
          <w:iCs/>
        </w:rPr>
        <w:t> </w:t>
      </w:r>
      <w:r>
        <w:rPr>
          <w:i/>
          <w:iCs/>
        </w:rPr>
        <w:t>2</w:t>
      </w:r>
      <w:r>
        <w:t>: Los agentes pueden anticipar la fragilidad financiera del sistema. Los financiadores externos pueden retirar el flujo de crédito a los bancos nacionales (</w:t>
      </w:r>
      <w:proofErr w:type="spellStart"/>
      <w:r>
        <w:rPr>
          <w:i/>
          <w:iCs/>
        </w:rPr>
        <w:t>sudden</w:t>
      </w:r>
      <w:proofErr w:type="spellEnd"/>
      <w:r>
        <w:rPr>
          <w:i/>
          <w:iCs/>
        </w:rPr>
        <w:t xml:space="preserve"> stop</w:t>
      </w:r>
      <w:r>
        <w:t xml:space="preserve"> o reversión en los flujos de capital).</w:t>
      </w:r>
      <w:r w:rsidR="0086161B">
        <w:t xml:space="preserve"> Todo ello puede llevar a una ruptura del sistema de tipos de cambio fijos.</w:t>
      </w:r>
      <w:r>
        <w:t xml:space="preserve"> Los agentes domésticos pueden precipitar una salida de capitales y pánicos bancarios. Una forma de entender mejor los pánicos bancario</w:t>
      </w:r>
      <w:r w:rsidR="004B2A34">
        <w:t>s</w:t>
      </w:r>
      <w:r>
        <w:t xml:space="preserve"> sería acudir al modelo seminal de pánicos por coordinación de </w:t>
      </w:r>
      <w:proofErr w:type="spellStart"/>
      <w:r>
        <w:rPr>
          <w:smallCaps/>
        </w:rPr>
        <w:t>Diamond</w:t>
      </w:r>
      <w:proofErr w:type="spellEnd"/>
      <w:r>
        <w:t xml:space="preserve"> y </w:t>
      </w:r>
      <w:proofErr w:type="spellStart"/>
      <w:r>
        <w:rPr>
          <w:smallCaps/>
        </w:rPr>
        <w:t>Dybvig</w:t>
      </w:r>
      <w:bookmarkStart w:id="39" w:name="_Hlk124702575"/>
      <w:proofErr w:type="spellEnd"/>
      <w:r>
        <w:rPr>
          <w:rStyle w:val="Refdenotaalpie"/>
        </w:rPr>
        <w:footnoteReference w:id="9"/>
      </w:r>
      <w:bookmarkEnd w:id="39"/>
      <w:r w:rsidR="0086161B">
        <w:t xml:space="preserve"> </w:t>
      </w:r>
      <w:r w:rsidRPr="006F5B8D">
        <w:rPr>
          <w:color w:val="767171" w:themeColor="background2" w:themeShade="80"/>
          <w:sz w:val="19"/>
          <w:szCs w:val="19"/>
        </w:rPr>
        <w:t>[</w:t>
      </w:r>
      <w:r w:rsidRPr="004B2A34">
        <w:rPr>
          <w:i/>
          <w:iCs/>
          <w:color w:val="767171" w:themeColor="background2" w:themeShade="80"/>
          <w:sz w:val="19"/>
          <w:szCs w:val="19"/>
        </w:rPr>
        <w:t>ver anexo</w:t>
      </w:r>
      <w:r w:rsidR="00884ED2" w:rsidRPr="004B2A34">
        <w:rPr>
          <w:i/>
          <w:iCs/>
          <w:color w:val="767171" w:themeColor="background2" w:themeShade="80"/>
          <w:sz w:val="19"/>
          <w:szCs w:val="19"/>
        </w:rPr>
        <w:t> </w:t>
      </w:r>
      <w:r w:rsidRPr="004B2A34">
        <w:rPr>
          <w:i/>
          <w:iCs/>
          <w:color w:val="767171" w:themeColor="background2" w:themeShade="80"/>
          <w:sz w:val="19"/>
          <w:szCs w:val="19"/>
        </w:rPr>
        <w:fldChar w:fldCharType="begin"/>
      </w:r>
      <w:r w:rsidRPr="004B2A34">
        <w:rPr>
          <w:i/>
          <w:iCs/>
          <w:color w:val="767171" w:themeColor="background2" w:themeShade="80"/>
          <w:sz w:val="19"/>
          <w:szCs w:val="19"/>
        </w:rPr>
        <w:instrText xml:space="preserve"> REF _Ref123497952 \r \h </w:instrText>
      </w:r>
      <w:r w:rsidR="004B2A34">
        <w:rPr>
          <w:i/>
          <w:iCs/>
          <w:color w:val="767171" w:themeColor="background2" w:themeShade="80"/>
          <w:sz w:val="19"/>
          <w:szCs w:val="19"/>
        </w:rPr>
        <w:instrText xml:space="preserve"> \* MERGEFORMAT </w:instrText>
      </w:r>
      <w:r w:rsidRPr="004B2A34">
        <w:rPr>
          <w:i/>
          <w:iCs/>
          <w:color w:val="767171" w:themeColor="background2" w:themeShade="80"/>
          <w:sz w:val="19"/>
          <w:szCs w:val="19"/>
        </w:rPr>
      </w:r>
      <w:r w:rsidRPr="004B2A34">
        <w:rPr>
          <w:i/>
          <w:iCs/>
          <w:color w:val="767171" w:themeColor="background2" w:themeShade="80"/>
          <w:sz w:val="19"/>
          <w:szCs w:val="19"/>
        </w:rPr>
        <w:fldChar w:fldCharType="separate"/>
      </w:r>
      <w:r w:rsidR="009A4A5C">
        <w:rPr>
          <w:i/>
          <w:iCs/>
          <w:color w:val="767171" w:themeColor="background2" w:themeShade="80"/>
          <w:sz w:val="19"/>
          <w:szCs w:val="19"/>
        </w:rPr>
        <w:t>A.1</w:t>
      </w:r>
      <w:r w:rsidRPr="004B2A34">
        <w:rPr>
          <w:i/>
          <w:iCs/>
          <w:color w:val="767171" w:themeColor="background2" w:themeShade="80"/>
          <w:sz w:val="19"/>
          <w:szCs w:val="19"/>
        </w:rPr>
        <w:fldChar w:fldCharType="end"/>
      </w:r>
      <w:r w:rsidRPr="006F5B8D">
        <w:rPr>
          <w:color w:val="767171" w:themeColor="background2" w:themeShade="80"/>
          <w:sz w:val="19"/>
          <w:szCs w:val="19"/>
        </w:rPr>
        <w:t>]</w:t>
      </w:r>
      <w:r>
        <w:t>.</w:t>
      </w:r>
    </w:p>
    <w:p w14:paraId="53D461A7" w14:textId="43CC5CDB" w:rsidR="0086161B" w:rsidRDefault="0086161B" w:rsidP="00DD2524">
      <w:pPr>
        <w:pStyle w:val="Nivel1SM"/>
      </w:pPr>
      <w:r>
        <w:rPr>
          <w:smallCaps/>
        </w:rPr>
        <w:t>Chang</w:t>
      </w:r>
      <w:r>
        <w:t xml:space="preserve"> y </w:t>
      </w:r>
      <w:r>
        <w:rPr>
          <w:smallCaps/>
        </w:rPr>
        <w:t>Velasco</w:t>
      </w:r>
      <w:r>
        <w:t xml:space="preserve"> (2000) hacen hincapié en la asimetría de vencimientos entre activos y pasivos de las entidades financieras que genera riesgo de liquidez. Esta asimetría supondrá una elevada vulnerabilidad ante pánicos, puesto que si los agentes dejan de confiar en el sistema se producirán retiradas masivas de fondos y, por tanto, crisis financieras y cambiarias</w:t>
      </w:r>
      <w:r w:rsidR="004B2A34">
        <w:rPr>
          <w:rStyle w:val="Refdenotaalpie"/>
        </w:rPr>
        <w:footnoteReference w:id="10"/>
      </w:r>
      <w:r>
        <w:t>.</w:t>
      </w:r>
    </w:p>
    <w:p w14:paraId="5392E9A7" w14:textId="7F48DA45" w:rsidR="0082171E" w:rsidRDefault="0082171E" w:rsidP="0086161B">
      <w:pPr>
        <w:pStyle w:val="Ttulo7"/>
      </w:pPr>
      <w:r>
        <w:lastRenderedPageBreak/>
        <w:t>Implicaciones</w:t>
      </w:r>
      <w:r w:rsidRPr="0086161B">
        <w:rPr>
          <w:sz w:val="19"/>
          <w:szCs w:val="19"/>
          <w:u w:val="none"/>
        </w:rPr>
        <w:t xml:space="preserve"> (solución a la crisis)</w:t>
      </w:r>
    </w:p>
    <w:p w14:paraId="5ECCDE7A" w14:textId="77777777" w:rsidR="009D6B05" w:rsidRPr="009D6B05" w:rsidRDefault="009D6B05" w:rsidP="009D6B05">
      <w:pPr>
        <w:pStyle w:val="Nivel1SM"/>
        <w:keepNext/>
        <w:spacing w:before="0" w:after="0"/>
        <w:rPr>
          <w:spacing w:val="-1"/>
        </w:rPr>
      </w:pPr>
      <w:r w:rsidRPr="009D6B05">
        <w:rPr>
          <w:spacing w:val="-1"/>
        </w:rPr>
        <w:t>Para evitar el problema de riesgo moral, es deseable una mayor flexibilidad de tipo de cambio que evite la entrada masiva de capital en el corto plazo, fortaleciendo la estabilidad del sistema financiero.</w:t>
      </w:r>
    </w:p>
    <w:p w14:paraId="747FD0EC" w14:textId="77777777" w:rsidR="009D6B05" w:rsidRPr="001C2F5A" w:rsidRDefault="009D6B05" w:rsidP="009D6B05">
      <w:pPr>
        <w:pStyle w:val="Nivel2SM"/>
        <w:rPr>
          <w:spacing w:val="-4"/>
        </w:rPr>
      </w:pPr>
      <w:r w:rsidRPr="001C2F5A">
        <w:rPr>
          <w:spacing w:val="-4"/>
        </w:rPr>
        <w:t>Las instituciones financieras y las sociedades no financieras apreciarían mejor la necesidad de cubrir sus exposiciones y por tanto estarán mejor preparadas ante variaciones en el tipo de cambio.</w:t>
      </w:r>
    </w:p>
    <w:p w14:paraId="667EEF6F" w14:textId="77777777" w:rsidR="009D6B05" w:rsidRDefault="009D6B05" w:rsidP="009D6B05">
      <w:pPr>
        <w:pStyle w:val="Nivel1SM"/>
      </w:pPr>
      <w:r>
        <w:t xml:space="preserve">La dolarización sería otra opción, pues permite limitar la capacidad de las autoridades monetarias de actuar como prestamista de última instancia, lo que reduciría las expectativas de un </w:t>
      </w:r>
      <w:proofErr w:type="spellStart"/>
      <w:r>
        <w:rPr>
          <w:i/>
          <w:iCs/>
        </w:rPr>
        <w:t>bail-out</w:t>
      </w:r>
      <w:proofErr w:type="spellEnd"/>
      <w:r>
        <w:t>.</w:t>
      </w:r>
    </w:p>
    <w:p w14:paraId="37C438E2" w14:textId="7AC59290" w:rsidR="0086161B" w:rsidRPr="001745F6" w:rsidRDefault="0086161B">
      <w:pPr>
        <w:pStyle w:val="Ttulo6"/>
        <w:numPr>
          <w:ilvl w:val="0"/>
          <w:numId w:val="15"/>
        </w:numPr>
        <w:ind w:left="284" w:hanging="284"/>
        <w:jc w:val="left"/>
      </w:pPr>
      <w:bookmarkStart w:id="40" w:name="_Toc145492504"/>
      <w:r>
        <w:t xml:space="preserve">Modelo de </w:t>
      </w:r>
      <w:r w:rsidR="00D51AB6" w:rsidRPr="001745F6">
        <w:t>hojas de balance</w:t>
      </w:r>
      <w:r w:rsidRPr="001745F6">
        <w:t xml:space="preserve"> (</w:t>
      </w:r>
      <w:r w:rsidRPr="001745F6">
        <w:rPr>
          <w:smallCaps/>
        </w:rPr>
        <w:t>Krugman</w:t>
      </w:r>
      <w:r w:rsidRPr="001745F6">
        <w:t>, 1999)</w:t>
      </w:r>
      <w:r w:rsidR="00D51AB6" w:rsidRPr="001745F6">
        <w:t>:</w:t>
      </w:r>
      <w:r w:rsidR="00FD0D10" w:rsidRPr="001745F6">
        <w:br/>
      </w:r>
      <w:r w:rsidR="00D51AB6" w:rsidRPr="001745F6">
        <w:t xml:space="preserve">La crisis cambiaria </w:t>
      </w:r>
      <w:r w:rsidR="00025C43">
        <w:t xml:space="preserve">y la </w:t>
      </w:r>
      <w:r w:rsidR="00D51AB6" w:rsidRPr="001745F6">
        <w:t>crisis bancaria</w:t>
      </w:r>
      <w:r w:rsidR="00025C43">
        <w:t xml:space="preserve"> se retroalimentan</w:t>
      </w:r>
      <w:bookmarkEnd w:id="40"/>
    </w:p>
    <w:p w14:paraId="7DC6F902" w14:textId="77777777" w:rsidR="0086161B" w:rsidRDefault="0086161B" w:rsidP="00884ED2">
      <w:pPr>
        <w:pStyle w:val="Ttulo7"/>
        <w:spacing w:before="0"/>
      </w:pPr>
      <w:r w:rsidRPr="001745F6">
        <w:t>Supuestos</w:t>
      </w:r>
    </w:p>
    <w:p w14:paraId="55DD47C6" w14:textId="089426F0" w:rsidR="0086161B" w:rsidRDefault="00D51AB6" w:rsidP="00884ED2">
      <w:pPr>
        <w:pStyle w:val="Nivel1SM"/>
        <w:spacing w:before="0"/>
      </w:pPr>
      <w:r>
        <w:rPr>
          <w:smallCaps/>
        </w:rPr>
        <w:t>Krugman</w:t>
      </w:r>
      <w:r>
        <w:t xml:space="preserve"> (1999) intenta mostrar la clara unión que existe entre los problemas de balance y los problemas de salida masiva de capitales para explicar la crisis cambiaria que sufrieron algunas de las economías asiáticas en la segunda mitad de la década de los 90 del siglo pasado.</w:t>
      </w:r>
    </w:p>
    <w:p w14:paraId="36A684BA" w14:textId="16E97D1D" w:rsidR="00D51AB6" w:rsidRDefault="00D51AB6" w:rsidP="00D51AB6">
      <w:pPr>
        <w:pStyle w:val="Nivel1SM"/>
        <w:keepNext/>
        <w:spacing w:after="0"/>
      </w:pPr>
      <w:r>
        <w:t xml:space="preserve">Para ello, </w:t>
      </w:r>
      <w:r>
        <w:rPr>
          <w:smallCaps/>
        </w:rPr>
        <w:t>Krugman</w:t>
      </w:r>
      <w:r>
        <w:t xml:space="preserve"> parte de los siguientes supuestos:</w:t>
      </w:r>
    </w:p>
    <w:p w14:paraId="16718739" w14:textId="163BEB63" w:rsidR="00D51AB6" w:rsidRDefault="00D51AB6">
      <w:pPr>
        <w:pStyle w:val="Prrafodelista"/>
        <w:keepNext/>
        <w:numPr>
          <w:ilvl w:val="0"/>
          <w:numId w:val="16"/>
        </w:numPr>
        <w:spacing w:after="0"/>
        <w:ind w:left="568" w:hanging="284"/>
      </w:pPr>
      <w:r w:rsidRPr="00A178C5">
        <w:rPr>
          <w:i/>
          <w:iCs/>
        </w:rPr>
        <w:t>Un sector productivo</w:t>
      </w:r>
      <w:r>
        <w:t>: Función de producción de tipo Cobb-Douglas (para facilitar el cálculo de la parte de la renta que</w:t>
      </w:r>
      <m:oMath>
        <m:r>
          <w:rPr>
            <w:rFonts w:ascii="Cambria Math" w:hAnsi="Cambria Math"/>
          </w:rPr>
          <m:t xml:space="preserve"> se </m:t>
        </m:r>
      </m:oMath>
      <w:r>
        <w:t>lleva cada factor)</w:t>
      </w:r>
      <w:r w:rsidR="0022612F">
        <w:t>:</w:t>
      </w:r>
    </w:p>
    <w:p w14:paraId="3F6E3C9D" w14:textId="5E9D5758" w:rsidR="0034504F" w:rsidRPr="003C0120" w:rsidRDefault="0034504F" w:rsidP="003C0120">
      <w:pPr>
        <w:pStyle w:val="Nivel2SM"/>
        <w:keepNext/>
        <w:numPr>
          <w:ilvl w:val="0"/>
          <w:numId w:val="0"/>
        </w:numPr>
        <w:spacing w:after="0"/>
        <w:ind w:left="567"/>
        <w:rPr>
          <w:rFonts w:eastAsiaTheme="minorEastAsia"/>
        </w:rPr>
      </w:pPr>
      <m:oMathPara>
        <m:oMath>
          <m:r>
            <m:rPr>
              <m:nor/>
            </m:rPr>
            <w:rPr>
              <w:i/>
              <w:iCs/>
            </w:rPr>
            <m:t>Y</m:t>
          </m:r>
          <m:r>
            <w:rPr>
              <w:rFonts w:ascii="Cambria Math" w:hAnsi="Cambria Math"/>
            </w:rPr>
            <m:t>=</m:t>
          </m:r>
          <m:sSup>
            <m:sSupPr>
              <m:ctrlPr>
                <w:rPr>
                  <w:rFonts w:ascii="Cambria Math" w:hAnsi="Cambria Math"/>
                  <w:i/>
                </w:rPr>
              </m:ctrlPr>
            </m:sSupPr>
            <m:e>
              <m:r>
                <m:rPr>
                  <m:nor/>
                </m:rPr>
                <w:rPr>
                  <w:i/>
                </w:rPr>
                <m:t>K</m:t>
              </m:r>
            </m:e>
            <m:sup>
              <m:r>
                <m:rPr>
                  <m:nor/>
                </m:rPr>
                <w:rPr>
                  <w:i/>
                </w:rPr>
                <m:t>α</m:t>
              </m:r>
            </m:sup>
          </m:sSup>
          <m:r>
            <w:rPr>
              <w:rFonts w:ascii="Cambria Math" w:hAnsi="Cambria Math"/>
            </w:rPr>
            <m:t>∙</m:t>
          </m:r>
          <m:sSup>
            <m:sSupPr>
              <m:ctrlPr>
                <w:rPr>
                  <w:rFonts w:ascii="Cambria Math" w:hAnsi="Cambria Math"/>
                  <w:i/>
                </w:rPr>
              </m:ctrlPr>
            </m:sSupPr>
            <m:e>
              <m:r>
                <m:rPr>
                  <m:nor/>
                </m:rPr>
                <w:rPr>
                  <w:i/>
                </w:rPr>
                <m:t>L</m:t>
              </m:r>
            </m:e>
            <m:sup>
              <m:r>
                <m:rPr>
                  <m:nor/>
                </m:rPr>
                <w:rPr>
                  <w:i/>
                </w:rPr>
                <m:t>1</m:t>
              </m:r>
              <m:r>
                <w:rPr>
                  <w:rFonts w:ascii="Cambria Math" w:hAnsi="Cambria Math"/>
                </w:rPr>
                <m:t>-</m:t>
              </m:r>
              <m:r>
                <m:rPr>
                  <m:nor/>
                </m:rPr>
                <w:rPr>
                  <w:i/>
                </w:rPr>
                <m:t>α</m:t>
              </m:r>
            </m:sup>
          </m:sSup>
        </m:oMath>
      </m:oMathPara>
    </w:p>
    <w:p w14:paraId="552CAF73" w14:textId="1991BD71" w:rsidR="003C0120" w:rsidRPr="0034504F" w:rsidRDefault="003C0120" w:rsidP="003C0120">
      <w:pPr>
        <w:pStyle w:val="Nivel3SM"/>
      </w:pPr>
      <w:r>
        <w:t xml:space="preserve">Así, la remuneración del capital será igual a </w:t>
      </w:r>
      <m:oMath>
        <m:r>
          <m:rPr>
            <m:nor/>
          </m:rPr>
          <w:rPr>
            <w:i/>
          </w:rPr>
          <m:t>α</m:t>
        </m:r>
        <m:r>
          <w:rPr>
            <w:rFonts w:ascii="Cambria Math" w:hAnsi="Cambria Math"/>
          </w:rPr>
          <m:t>∙</m:t>
        </m:r>
        <m:r>
          <m:rPr>
            <m:nor/>
          </m:rPr>
          <w:rPr>
            <w:i/>
            <w:iCs/>
          </w:rPr>
          <m:t>Y</m:t>
        </m:r>
      </m:oMath>
      <w:r>
        <w:rPr>
          <w:rFonts w:eastAsiaTheme="minorEastAsia"/>
          <w:iCs/>
        </w:rPr>
        <w:t xml:space="preserve">, y la del trabajo </w:t>
      </w:r>
      <m:oMath>
        <m:d>
          <m:dPr>
            <m:ctrlPr>
              <w:rPr>
                <w:rFonts w:ascii="Cambria Math" w:hAnsi="Cambria Math"/>
                <w:i/>
              </w:rPr>
            </m:ctrlPr>
          </m:dPr>
          <m:e>
            <m:r>
              <m:rPr>
                <m:nor/>
              </m:rPr>
              <w:rPr>
                <w:i/>
              </w:rPr>
              <m:t>1</m:t>
            </m:r>
            <m:r>
              <w:rPr>
                <w:rFonts w:ascii="Cambria Math" w:hAnsi="Cambria Math"/>
              </w:rPr>
              <m:t>-</m:t>
            </m:r>
            <m:r>
              <m:rPr>
                <m:nor/>
              </m:rPr>
              <w:rPr>
                <w:i/>
              </w:rPr>
              <m:t>α</m:t>
            </m:r>
          </m:e>
        </m:d>
        <m:r>
          <w:rPr>
            <w:rFonts w:ascii="Cambria Math" w:hAnsi="Cambria Math"/>
          </w:rPr>
          <m:t>∙</m:t>
        </m:r>
        <m:r>
          <m:rPr>
            <m:nor/>
          </m:rPr>
          <w:rPr>
            <w:i/>
            <w:iCs/>
          </w:rPr>
          <m:t>Y</m:t>
        </m:r>
      </m:oMath>
      <w:r>
        <w:rPr>
          <w:rFonts w:eastAsiaTheme="minorEastAsia"/>
          <w:iCs/>
        </w:rPr>
        <w:t>.</w:t>
      </w:r>
    </w:p>
    <w:p w14:paraId="6D05BC61" w14:textId="17476812" w:rsidR="00D51AB6" w:rsidRDefault="00D51AB6">
      <w:pPr>
        <w:pStyle w:val="Prrafodelista"/>
        <w:keepNext/>
        <w:numPr>
          <w:ilvl w:val="0"/>
          <w:numId w:val="16"/>
        </w:numPr>
        <w:spacing w:after="100"/>
        <w:ind w:left="568" w:hanging="284"/>
      </w:pPr>
      <w:r w:rsidRPr="00A178C5">
        <w:rPr>
          <w:i/>
          <w:iCs/>
        </w:rPr>
        <w:t>Dos tipos de residentes: trabajadores y empresarios</w:t>
      </w:r>
      <w:r>
        <w:t xml:space="preserve">. Los trabajadores no tienen acceso a los mercados de capitales y consumen toda su renta en el período </w:t>
      </w:r>
      <m:oMath>
        <m:d>
          <m:dPr>
            <m:ctrlPr>
              <w:rPr>
                <w:rFonts w:ascii="Cambria Math" w:hAnsi="Cambria Math"/>
                <w:i/>
                <w:iCs/>
              </w:rPr>
            </m:ctrlPr>
          </m:dPr>
          <m:e>
            <m:r>
              <m:rPr>
                <m:nor/>
              </m:rPr>
              <w:rPr>
                <w:i/>
                <w:iCs/>
              </w:rPr>
              <m:t>C</m:t>
            </m:r>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α</m:t>
                </m:r>
              </m:e>
            </m:d>
            <m:r>
              <w:rPr>
                <w:rFonts w:ascii="Cambria Math" w:hAnsi="Cambria Math"/>
              </w:rPr>
              <m:t>∙</m:t>
            </m:r>
            <m:r>
              <m:rPr>
                <m:nor/>
              </m:rPr>
              <w:rPr>
                <w:i/>
                <w:iCs/>
              </w:rPr>
              <m:t>Y</m:t>
            </m:r>
          </m:e>
        </m:d>
      </m:oMath>
      <w:r>
        <w:t xml:space="preserve"> y los empresarios ú</w:t>
      </w:r>
      <w:r w:rsidR="00A178C5">
        <w:t>nicamente</w:t>
      </w:r>
      <w:r>
        <w:t xml:space="preserve"> ahorran e i</w:t>
      </w:r>
      <w:r w:rsidR="00A178C5">
        <w:t>n</w:t>
      </w:r>
      <w:r>
        <w:t xml:space="preserve">vierten toda su renta </w:t>
      </w:r>
      <m:oMath>
        <m:d>
          <m:dPr>
            <m:ctrlPr>
              <w:rPr>
                <w:rFonts w:ascii="Cambria Math" w:hAnsi="Cambria Math"/>
                <w:i/>
                <w:iCs/>
              </w:rPr>
            </m:ctrlPr>
          </m:dPr>
          <m:e>
            <m:r>
              <m:rPr>
                <m:nor/>
              </m:rPr>
              <w:rPr>
                <w:i/>
                <w:iCs/>
              </w:rPr>
              <m:t>I</m:t>
            </m:r>
            <m:r>
              <w:rPr>
                <w:rFonts w:ascii="Cambria Math" w:hAnsi="Cambria Math"/>
              </w:rPr>
              <m:t>=</m:t>
            </m:r>
            <m:r>
              <m:rPr>
                <m:nor/>
              </m:rPr>
              <w:rPr>
                <w:i/>
              </w:rPr>
              <m:t>α</m:t>
            </m:r>
            <m:r>
              <w:rPr>
                <w:rFonts w:ascii="Cambria Math" w:hAnsi="Cambria Math"/>
              </w:rPr>
              <m:t>∙</m:t>
            </m:r>
            <m:r>
              <m:rPr>
                <m:nor/>
              </m:rPr>
              <w:rPr>
                <w:i/>
                <w:iCs/>
              </w:rPr>
              <m:t>Y</m:t>
            </m:r>
          </m:e>
        </m:d>
      </m:oMath>
      <w:r>
        <w:t>.</w:t>
      </w:r>
    </w:p>
    <w:p w14:paraId="7FE45767" w14:textId="112FE687" w:rsidR="00D51AB6" w:rsidRDefault="00D51AB6">
      <w:pPr>
        <w:pStyle w:val="Prrafodelista"/>
        <w:keepNext/>
        <w:numPr>
          <w:ilvl w:val="0"/>
          <w:numId w:val="16"/>
        </w:numPr>
        <w:spacing w:after="0"/>
        <w:ind w:left="568" w:hanging="284"/>
      </w:pPr>
      <w:r w:rsidRPr="00A178C5">
        <w:rPr>
          <w:i/>
          <w:iCs/>
        </w:rPr>
        <w:t xml:space="preserve">En la riqueza de los capitalistas no sólo hay que tener en cuenta su renta, sino también el valor de las deudas </w:t>
      </w:r>
      <w:r w:rsidRPr="00D51AB6">
        <w:t xml:space="preserve">(tanto </w:t>
      </w:r>
      <w:r>
        <w:t>nacionales como extranjeras, una depreciación del tipo de cambio real reduce el valor de su</w:t>
      </w:r>
      <w:r w:rsidR="00A178C5">
        <w:t xml:space="preserve"> riqueza</w:t>
      </w:r>
      <w:r w:rsidRPr="00D51AB6">
        <w:t>)</w:t>
      </w:r>
      <w:r w:rsidR="0022612F">
        <w:t>:</w:t>
      </w:r>
    </w:p>
    <w:p w14:paraId="6F33099D" w14:textId="556C7D3F" w:rsidR="003C0120" w:rsidRPr="003C0120" w:rsidRDefault="003C0120" w:rsidP="003C0120">
      <w:pPr>
        <w:pStyle w:val="Nivel4"/>
        <w:numPr>
          <w:ilvl w:val="0"/>
          <w:numId w:val="0"/>
        </w:numPr>
        <w:ind w:left="1899"/>
        <w:rPr>
          <w:rFonts w:eastAsiaTheme="minorEastAsia"/>
        </w:rPr>
      </w:pPr>
      <m:oMathPara>
        <m:oMath>
          <m:r>
            <w:rPr>
              <w:rFonts w:ascii="Cambria Math" w:eastAsiaTheme="minorEastAsia" w:hAnsi="Cambria Math"/>
            </w:rPr>
            <m:t xml:space="preserve"> </m:t>
          </m:r>
          <m:r>
            <m:rPr>
              <m:nor/>
            </m:rPr>
            <w:rPr>
              <w:i/>
              <w:iCs/>
            </w:rPr>
            <m:t>W</m:t>
          </m:r>
          <m:r>
            <w:rPr>
              <w:rFonts w:ascii="Cambria Math" w:eastAsiaTheme="minorEastAsia" w:hAnsi="Cambria Math"/>
            </w:rPr>
            <m:t>=</m:t>
          </m:r>
          <m:r>
            <m:rPr>
              <m:nor/>
            </m:rPr>
            <w:rPr>
              <w:i/>
              <w:iCs/>
            </w:rPr>
            <m:t>α</m:t>
          </m:r>
          <m:r>
            <w:rPr>
              <w:rFonts w:ascii="Cambria Math" w:hAnsi="Cambria Math"/>
            </w:rPr>
            <m:t>∙</m:t>
          </m:r>
          <m:r>
            <m:rPr>
              <m:nor/>
            </m:rPr>
            <w:rPr>
              <w:i/>
              <w:iCs/>
            </w:rPr>
            <m:t>Y</m:t>
          </m:r>
          <m:r>
            <w:rPr>
              <w:rFonts w:ascii="Cambria Math" w:hAnsi="Cambria Math"/>
            </w:rPr>
            <m:t>-</m:t>
          </m:r>
          <m:d>
            <m:dPr>
              <m:ctrlPr>
                <w:rPr>
                  <w:rFonts w:ascii="Cambria Math" w:eastAsiaTheme="minorEastAsia" w:hAnsi="Cambria Math"/>
                </w:rPr>
              </m:ctrlPr>
            </m:dPr>
            <m:e>
              <m:r>
                <m:rPr>
                  <m:nor/>
                </m:rPr>
                <w:rPr>
                  <w:i/>
                  <w:iCs/>
                </w:rPr>
                <m:t>D</m:t>
              </m:r>
              <m:r>
                <w:rPr>
                  <w:rFonts w:ascii="Cambria Math" w:eastAsiaTheme="minorEastAsia" w:hAnsi="Cambria Math"/>
                </w:rPr>
                <m:t>+</m:t>
              </m:r>
              <m:r>
                <m:rPr>
                  <m:nor/>
                </m:rPr>
                <w:rPr>
                  <w:i/>
                  <w:iCs/>
                </w:rPr>
                <m:t>ϰ</m:t>
              </m:r>
              <m:r>
                <w:rPr>
                  <w:rFonts w:ascii="Cambria Math" w:hAnsi="Cambria Math"/>
                </w:rPr>
                <m:t>∙</m:t>
              </m:r>
              <m:r>
                <m:rPr>
                  <m:nor/>
                </m:rPr>
                <w:rPr>
                  <w:i/>
                  <w:iCs/>
                </w:rPr>
                <m:t>D*</m:t>
              </m:r>
            </m:e>
          </m:d>
        </m:oMath>
      </m:oMathPara>
    </w:p>
    <w:p w14:paraId="60BD1DC0" w14:textId="40D84780" w:rsidR="00A178C5" w:rsidRDefault="003C0120">
      <w:pPr>
        <w:pStyle w:val="Prrafodelista"/>
        <w:keepNext/>
        <w:numPr>
          <w:ilvl w:val="0"/>
          <w:numId w:val="16"/>
        </w:numPr>
        <w:spacing w:after="0"/>
        <w:ind w:left="568" w:hanging="284"/>
      </w:pPr>
      <w:r w:rsidRPr="00A178C5">
        <w:rPr>
          <w:i/>
          <w:iCs/>
        </w:rPr>
        <w:t>Sin embargo, la inversión está limitada por la capacidad de financiación</w:t>
      </w:r>
      <w:r w:rsidRPr="00D51AB6">
        <w:t>.</w:t>
      </w:r>
      <w:r>
        <w:t xml:space="preserve"> Los empresarios suelen poder end</w:t>
      </w:r>
      <w:r w:rsidR="00A178C5">
        <w:t xml:space="preserve">eudarse </w:t>
      </w:r>
      <w:r>
        <w:t>por una cantidad máxima de la riqueza. Hablamos de inversión financiable.</w:t>
      </w:r>
    </w:p>
    <w:p w14:paraId="7733F4E9" w14:textId="4FC36141" w:rsidR="003C0120" w:rsidRPr="0034504F" w:rsidRDefault="003C0120" w:rsidP="00A178C5">
      <w:pPr>
        <w:pStyle w:val="Nivel3SM"/>
        <w:keepNext/>
      </w:pPr>
      <w:r>
        <w:t xml:space="preserve">Por tanto, la expresión viene a decir que la cantidad total que los prestamistas están dispuestos a prestar a los empresarios será como máximo </w:t>
      </w:r>
      <m:oMath>
        <m:r>
          <m:rPr>
            <m:nor/>
          </m:rPr>
          <w:rPr>
            <w:i/>
          </w:rPr>
          <m:t>θ</m:t>
        </m:r>
      </m:oMath>
      <w:r>
        <w:rPr>
          <w:rFonts w:eastAsiaTheme="minorEastAsia"/>
        </w:rPr>
        <w:t xml:space="preserve"> veces su riqueza inicial, siendo </w:t>
      </w:r>
      <m:oMath>
        <m:r>
          <m:rPr>
            <m:nor/>
          </m:rPr>
          <w:rPr>
            <w:i/>
          </w:rPr>
          <m:t>θ</m:t>
        </m:r>
      </m:oMath>
      <w:r>
        <w:rPr>
          <w:rFonts w:eastAsiaTheme="minorEastAsia"/>
        </w:rPr>
        <w:t xml:space="preserve"> el nivel de apalancamiento</w:t>
      </w:r>
      <w:r w:rsidR="0022612F">
        <w:rPr>
          <w:rFonts w:eastAsiaTheme="minorEastAsia"/>
        </w:rPr>
        <w:t>:</w:t>
      </w:r>
    </w:p>
    <w:p w14:paraId="1F47869B" w14:textId="0A5BC7D7" w:rsidR="003C0120" w:rsidRPr="003C0120" w:rsidRDefault="00000000" w:rsidP="00180EC4">
      <w:pPr>
        <w:pStyle w:val="Nivel2SM"/>
        <w:numPr>
          <w:ilvl w:val="0"/>
          <w:numId w:val="0"/>
        </w:numPr>
        <w:spacing w:after="0"/>
        <w:ind w:left="963"/>
      </w:pPr>
      <m:oMathPara>
        <m:oMath>
          <m:sSub>
            <m:sSubPr>
              <m:ctrlPr>
                <w:rPr>
                  <w:rFonts w:ascii="Cambria Math" w:hAnsi="Cambria Math"/>
                  <w:i/>
                  <w:iCs/>
                </w:rPr>
              </m:ctrlPr>
            </m:sSubPr>
            <m:e>
              <m:r>
                <m:rPr>
                  <m:nor/>
                </m:rPr>
                <w:rPr>
                  <w:i/>
                  <w:iCs/>
                </w:rPr>
                <m:t>I</m:t>
              </m:r>
            </m:e>
            <m:sub>
              <m:r>
                <m:rPr>
                  <m:nor/>
                </m:rPr>
                <w:rPr>
                  <w:i/>
                  <w:iCs/>
                </w:rPr>
                <m:t>F</m:t>
              </m:r>
            </m:sub>
          </m:sSub>
          <m:r>
            <w:rPr>
              <w:rFonts w:ascii="Cambria Math" w:eastAsiaTheme="minorEastAsia" w:hAnsi="Cambria Math"/>
            </w:rPr>
            <m:t>≤</m:t>
          </m:r>
          <m:d>
            <m:dPr>
              <m:ctrlPr>
                <w:rPr>
                  <w:rFonts w:ascii="Cambria Math" w:hAnsi="Cambria Math"/>
                  <w:i/>
                  <w:iCs/>
                </w:rPr>
              </m:ctrlPr>
            </m:dPr>
            <m:e>
              <m:r>
                <m:rPr>
                  <m:nor/>
                </m:rPr>
                <w:rPr>
                  <w:i/>
                  <w:iCs/>
                </w:rPr>
                <m:t>1</m:t>
              </m:r>
              <m:r>
                <w:rPr>
                  <w:rFonts w:ascii="Cambria Math" w:hAnsi="Cambria Math"/>
                </w:rPr>
                <m:t>+</m:t>
              </m:r>
              <m:r>
                <m:rPr>
                  <m:nor/>
                </m:rPr>
                <w:rPr>
                  <w:i/>
                </w:rPr>
                <m:t>θ</m:t>
              </m:r>
            </m:e>
          </m:d>
          <m:r>
            <w:rPr>
              <w:rFonts w:ascii="Cambria Math" w:eastAsiaTheme="minorEastAsia" w:hAnsi="Cambria Math"/>
            </w:rPr>
            <m:t>∙</m:t>
          </m:r>
          <m:r>
            <m:rPr>
              <m:nor/>
            </m:rPr>
            <w:rPr>
              <w:i/>
              <w:iCs/>
            </w:rPr>
            <m:t>W</m:t>
          </m:r>
          <m:r>
            <m:rPr>
              <m:sty m:val="p"/>
            </m:rPr>
            <w:rPr>
              <w:rFonts w:eastAsiaTheme="minorEastAsia"/>
            </w:rPr>
            <w:br/>
          </m:r>
        </m:oMath>
      </m:oMathPara>
      <w:r w:rsidR="003C0120" w:rsidRPr="003C0120">
        <w:rPr>
          <w:rFonts w:eastAsiaTheme="minorEastAsia"/>
          <w:iCs/>
        </w:rPr>
        <w:t xml:space="preserve">donde </w:t>
      </w:r>
      <m:oMath>
        <m:sSub>
          <m:sSubPr>
            <m:ctrlPr>
              <w:rPr>
                <w:rFonts w:ascii="Cambria Math" w:hAnsi="Cambria Math"/>
                <w:i/>
                <w:iCs/>
              </w:rPr>
            </m:ctrlPr>
          </m:sSubPr>
          <m:e>
            <m:r>
              <m:rPr>
                <m:nor/>
              </m:rPr>
              <w:rPr>
                <w:i/>
                <w:iCs/>
              </w:rPr>
              <m:t>I</m:t>
            </m:r>
          </m:e>
          <m:sub>
            <m:r>
              <m:rPr>
                <m:nor/>
              </m:rPr>
              <w:rPr>
                <w:i/>
                <w:iCs/>
              </w:rPr>
              <m:t>F</m:t>
            </m:r>
          </m:sub>
        </m:sSub>
      </m:oMath>
      <w:r w:rsidR="003C0120" w:rsidRPr="003C0120">
        <w:rPr>
          <w:rFonts w:eastAsiaTheme="minorEastAsia"/>
          <w:iCs/>
        </w:rPr>
        <w:t xml:space="preserve"> es la</w:t>
      </w:r>
      <w:r w:rsidR="003C0120">
        <w:rPr>
          <w:rFonts w:eastAsiaTheme="minorEastAsia"/>
          <w:iCs/>
        </w:rPr>
        <w:t xml:space="preserve"> inversión financiable u oferta de crédito (es decir, la inversión que el sector financiero está dispuesto a financiar).</w:t>
      </w:r>
    </w:p>
    <w:p w14:paraId="22E6AFF2" w14:textId="2069E993" w:rsidR="00D51AB6" w:rsidRPr="0034504F" w:rsidRDefault="00D51AB6">
      <w:pPr>
        <w:pStyle w:val="Prrafodelista"/>
        <w:keepNext/>
        <w:numPr>
          <w:ilvl w:val="0"/>
          <w:numId w:val="16"/>
        </w:numPr>
        <w:spacing w:after="0"/>
        <w:ind w:left="568" w:hanging="284"/>
      </w:pPr>
      <w:r>
        <w:t xml:space="preserve">Por otro lado, </w:t>
      </w:r>
      <w:r w:rsidRPr="00A178C5">
        <w:rPr>
          <w:smallCaps/>
        </w:rPr>
        <w:t>Krugman</w:t>
      </w:r>
      <w:r>
        <w:t xml:space="preserve"> parte de que </w:t>
      </w:r>
      <w:r w:rsidRPr="00A178C5">
        <w:rPr>
          <w:i/>
          <w:iCs/>
        </w:rPr>
        <w:t xml:space="preserve">en equilibrio, la oferta del bien doméstico, </w:t>
      </w:r>
      <m:oMath>
        <m:r>
          <m:rPr>
            <m:nor/>
          </m:rPr>
          <w:rPr>
            <w:i/>
            <w:iCs/>
          </w:rPr>
          <m:t>Y</m:t>
        </m:r>
      </m:oMath>
      <w:r w:rsidRPr="00A178C5">
        <w:rPr>
          <w:i/>
          <w:iCs/>
        </w:rPr>
        <w:t>, debe ser igual a la demanda del bien doméstico</w:t>
      </w:r>
      <w:r>
        <w:t xml:space="preserve">. En la demanda del bien doméstico hay que tener en cuenta que una fracción </w:t>
      </w:r>
      <m:oMath>
        <m:r>
          <m:rPr>
            <m:nor/>
          </m:rPr>
          <w:rPr>
            <w:i/>
          </w:rPr>
          <m:t>β</m:t>
        </m:r>
      </m:oMath>
      <w:r>
        <w:t xml:space="preserve"> del consumo y de la inversión se dedica al bien extranjero (importaciones), y el resto al bien doméstico. Por tanto, </w:t>
      </w:r>
      <m:oMath>
        <m:r>
          <m:rPr>
            <m:nor/>
          </m:rPr>
          <w:rPr>
            <w:i/>
          </w:rPr>
          <m:t>β</m:t>
        </m:r>
      </m:oMath>
      <w:r>
        <w:t xml:space="preserve"> es </w:t>
      </w:r>
      <w:proofErr w:type="gramStart"/>
      <w:r>
        <w:t>la propensión a importar</w:t>
      </w:r>
      <w:proofErr w:type="gramEnd"/>
      <w:r>
        <w:t xml:space="preserve"> </w:t>
      </w:r>
      <w:r w:rsidR="0022612F" w:rsidRPr="0022612F">
        <w:rPr>
          <w:color w:val="767171" w:themeColor="background2" w:themeShade="80"/>
          <w:sz w:val="19"/>
          <w:szCs w:val="19"/>
        </w:rPr>
        <w:t>[</w:t>
      </w:r>
      <w:r w:rsidRPr="0022612F">
        <w:rPr>
          <w:color w:val="767171" w:themeColor="background2" w:themeShade="80"/>
          <w:sz w:val="19"/>
          <w:szCs w:val="19"/>
        </w:rPr>
        <w:t>no despejamos la inversión porque será una variable importante en el desarrollo</w:t>
      </w:r>
      <w:r w:rsidR="0022612F" w:rsidRPr="0022612F">
        <w:rPr>
          <w:color w:val="767171" w:themeColor="background2" w:themeShade="80"/>
          <w:sz w:val="19"/>
          <w:szCs w:val="19"/>
        </w:rPr>
        <w:t>]</w:t>
      </w:r>
      <w:r w:rsidR="00F13E80">
        <w:t>.</w:t>
      </w:r>
    </w:p>
    <w:p w14:paraId="6D7CB927" w14:textId="7136EF60" w:rsidR="0034504F" w:rsidRPr="006D6DEC" w:rsidRDefault="0034504F" w:rsidP="006D6DEC">
      <w:pPr>
        <w:pStyle w:val="Nivel2SM"/>
        <w:keepNext/>
        <w:numPr>
          <w:ilvl w:val="0"/>
          <w:numId w:val="0"/>
        </w:numPr>
        <w:spacing w:after="0"/>
        <w:ind w:left="567"/>
        <w:rPr>
          <w:rFonts w:eastAsiaTheme="minorEastAsia"/>
          <w:iCs/>
        </w:rPr>
      </w:pPr>
      <m:oMathPara>
        <m:oMath>
          <m:r>
            <m:rPr>
              <m:nor/>
            </m:rPr>
            <w:rPr>
              <w:rFonts w:ascii="Cambria Math"/>
            </w:rPr>
            <m:t xml:space="preserve"> </m:t>
          </m:r>
          <m:r>
            <m:rPr>
              <m:nor/>
            </m:rPr>
            <w:rPr>
              <w:i/>
              <w:iCs/>
            </w:rPr>
            <m:t>Y</m:t>
          </m:r>
          <m:r>
            <w:rPr>
              <w:rFonts w:ascii="Cambria Math" w:hAnsi="Cambria Math"/>
            </w:rPr>
            <m:t>=</m:t>
          </m:r>
          <m:d>
            <m:dPr>
              <m:ctrlPr>
                <w:rPr>
                  <w:rFonts w:ascii="Cambria Math" w:hAnsi="Cambria Math"/>
                  <w:i/>
                  <w:iCs/>
                </w:rPr>
              </m:ctrlPr>
            </m:dPr>
            <m:e>
              <m:r>
                <m:rPr>
                  <m:nor/>
                </m:rPr>
                <w:rPr>
                  <w:i/>
                </w:rPr>
                <m:t>1</m:t>
              </m:r>
              <m:r>
                <w:rPr>
                  <w:rFonts w:ascii="Cambria Math" w:hAnsi="Cambria Math"/>
                </w:rPr>
                <m:t>-</m:t>
              </m:r>
              <m:r>
                <m:rPr>
                  <m:nor/>
                </m:rPr>
                <w:rPr>
                  <w:i/>
                </w:rPr>
                <m:t>β</m:t>
              </m:r>
            </m:e>
          </m:d>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d>
                    <m:dPr>
                      <m:ctrlPr>
                        <w:rPr>
                          <w:rFonts w:ascii="Cambria Math" w:hAnsi="Cambria Math"/>
                          <w:i/>
                        </w:rPr>
                      </m:ctrlPr>
                    </m:dPr>
                    <m:e>
                      <m:r>
                        <m:rPr>
                          <m:nor/>
                        </m:rPr>
                        <w:rPr>
                          <w:i/>
                        </w:rPr>
                        <m:t>1</m:t>
                      </m:r>
                      <m:r>
                        <w:rPr>
                          <w:rFonts w:ascii="Cambria Math" w:hAnsi="Cambria Math"/>
                        </w:rPr>
                        <m:t>-</m:t>
                      </m:r>
                      <m:r>
                        <m:rPr>
                          <m:nor/>
                        </m:rPr>
                        <w:rPr>
                          <w:i/>
                        </w:rPr>
                        <m:t>α</m:t>
                      </m:r>
                    </m:e>
                  </m:d>
                  <m:r>
                    <w:rPr>
                      <w:rFonts w:ascii="Cambria Math" w:hAnsi="Cambria Math"/>
                    </w:rPr>
                    <m:t>∙</m:t>
                  </m:r>
                  <m:r>
                    <m:rPr>
                      <m:nor/>
                    </m:rPr>
                    <w:rPr>
                      <w:i/>
                      <w:iCs/>
                    </w:rPr>
                    <m:t>Y</m:t>
                  </m:r>
                </m:e>
              </m:groupChr>
            </m:e>
            <m:lim>
              <m:r>
                <m:rPr>
                  <m:nor/>
                </m:rPr>
                <w:rPr>
                  <w:i/>
                  <w:iCs/>
                </w:rPr>
                <m:t>C</m:t>
              </m:r>
            </m:lim>
          </m:limUpp>
          <m:r>
            <w:rPr>
              <w:rFonts w:ascii="Cambria Math" w:eastAsiaTheme="minorEastAsia" w:hAnsi="Cambria Math"/>
            </w:rPr>
            <m:t>+</m:t>
          </m:r>
          <m:d>
            <m:dPr>
              <m:ctrlPr>
                <w:rPr>
                  <w:rFonts w:ascii="Cambria Math" w:hAnsi="Cambria Math"/>
                  <w:i/>
                  <w:iCs/>
                </w:rPr>
              </m:ctrlPr>
            </m:dPr>
            <m:e>
              <m:r>
                <m:rPr>
                  <m:nor/>
                </m:rPr>
                <w:rPr>
                  <w:i/>
                </w:rPr>
                <m:t>1</m:t>
              </m:r>
              <m:r>
                <w:rPr>
                  <w:rFonts w:ascii="Cambria Math" w:hAnsi="Cambria Math"/>
                </w:rPr>
                <m:t>-</m:t>
              </m:r>
              <m:r>
                <m:rPr>
                  <m:nor/>
                </m:rPr>
                <w:rPr>
                  <w:i/>
                </w:rPr>
                <m:t>β</m:t>
              </m:r>
            </m:e>
          </m:d>
          <m:r>
            <w:rPr>
              <w:rFonts w:ascii="Cambria Math" w:hAnsi="Cambria Math"/>
            </w:rPr>
            <m:t>∙</m:t>
          </m:r>
          <m:r>
            <m:rPr>
              <m:nor/>
            </m:rPr>
            <w:rPr>
              <w:i/>
              <w:iCs/>
            </w:rPr>
            <m:t>I</m:t>
          </m:r>
          <m:r>
            <w:rPr>
              <w:rFonts w:ascii="Cambria Math" w:eastAsiaTheme="minorEastAsia" w:hAnsi="Cambria Math"/>
            </w:rPr>
            <m:t>+</m:t>
          </m:r>
          <m:r>
            <m:rPr>
              <m:nor/>
            </m:rPr>
            <w:rPr>
              <w:i/>
              <w:iCs/>
            </w:rPr>
            <m:t>ϰ</m:t>
          </m:r>
          <m:r>
            <w:rPr>
              <w:rFonts w:ascii="Cambria Math" w:hAnsi="Cambria Math"/>
            </w:rPr>
            <m:t>∙</m:t>
          </m:r>
          <m:r>
            <m:rPr>
              <m:nor/>
            </m:rPr>
            <w:rPr>
              <w:i/>
              <w:iCs/>
            </w:rPr>
            <m:t>XN</m:t>
          </m:r>
        </m:oMath>
      </m:oMathPara>
    </w:p>
    <w:p w14:paraId="6F8D2ADF" w14:textId="77777777" w:rsidR="006D6DEC" w:rsidRDefault="006D6DEC" w:rsidP="006D6DEC">
      <w:pPr>
        <w:pStyle w:val="Nivel1SM"/>
        <w:keepNext/>
        <w:numPr>
          <w:ilvl w:val="0"/>
          <w:numId w:val="0"/>
        </w:numPr>
        <w:spacing w:before="0" w:after="0"/>
        <w:ind w:left="568"/>
      </w:pPr>
      <w:r>
        <w:t xml:space="preserve">Se despeja el tipo de cambio real, </w:t>
      </w:r>
      <m:oMath>
        <m:r>
          <m:rPr>
            <m:nor/>
          </m:rPr>
          <w:rPr>
            <w:i/>
            <w:iCs/>
          </w:rPr>
          <m:t>ϰ</m:t>
        </m:r>
      </m:oMath>
      <w:r>
        <w:t>:</w:t>
      </w:r>
    </w:p>
    <w:p w14:paraId="15B29E3B" w14:textId="77777777" w:rsidR="006D6DEC" w:rsidRDefault="006D6DEC" w:rsidP="006D6DEC">
      <w:pPr>
        <w:pStyle w:val="Nivel1SM"/>
        <w:numPr>
          <w:ilvl w:val="0"/>
          <w:numId w:val="0"/>
        </w:numPr>
        <w:spacing w:before="0"/>
      </w:pPr>
      <m:oMathPara>
        <m:oMath>
          <m:r>
            <w:rPr>
              <w:rFonts w:ascii="Cambria Math" w:eastAsiaTheme="minorEastAsia" w:hAnsi="Cambria Math"/>
            </w:rPr>
            <m:t xml:space="preserve"> </m:t>
          </m:r>
          <m:r>
            <m:rPr>
              <m:nor/>
            </m:rPr>
            <w:rPr>
              <w:i/>
              <w:iCs/>
            </w:rPr>
            <m:t>ϰ</m:t>
          </m:r>
          <m:r>
            <w:rPr>
              <w:rFonts w:ascii="Cambria Math" w:eastAsiaTheme="minorEastAsia" w:hAnsi="Cambria Math"/>
            </w:rPr>
            <m:t>=</m:t>
          </m:r>
          <m:f>
            <m:fPr>
              <m:ctrlPr>
                <w:rPr>
                  <w:rFonts w:ascii="Cambria Math" w:eastAsiaTheme="minorEastAsia" w:hAnsi="Cambria Math"/>
                  <w:i/>
                  <w:iCs/>
                </w:rPr>
              </m:ctrlPr>
            </m:fPr>
            <m:num>
              <m:r>
                <m:rPr>
                  <m:nor/>
                </m:rPr>
                <w:rPr>
                  <w:i/>
                  <w:iCs/>
                </w:rPr>
                <m:t>Y</m:t>
              </m:r>
              <m:r>
                <w:rPr>
                  <w:rFonts w:ascii="Cambria Math" w:hAnsi="Cambria Math"/>
                </w:rPr>
                <m:t>-</m:t>
              </m:r>
              <m:d>
                <m:dPr>
                  <m:ctrlPr>
                    <w:rPr>
                      <w:rFonts w:ascii="Cambria Math" w:hAnsi="Cambria Math"/>
                      <w:i/>
                      <w:iCs/>
                    </w:rPr>
                  </m:ctrlPr>
                </m:dPr>
                <m:e>
                  <m:r>
                    <m:rPr>
                      <m:nor/>
                    </m:rPr>
                    <w:rPr>
                      <w:i/>
                    </w:rPr>
                    <m:t>1</m:t>
                  </m:r>
                  <m:r>
                    <w:rPr>
                      <w:rFonts w:ascii="Cambria Math" w:hAnsi="Cambria Math"/>
                    </w:rPr>
                    <m:t>-</m:t>
                  </m:r>
                  <m:r>
                    <m:rPr>
                      <m:nor/>
                    </m:rPr>
                    <w:rPr>
                      <w:i/>
                    </w:rPr>
                    <m:t>β</m:t>
                  </m:r>
                </m:e>
              </m:d>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α</m:t>
                  </m:r>
                </m:e>
              </m:d>
              <m:r>
                <w:rPr>
                  <w:rFonts w:ascii="Cambria Math" w:hAnsi="Cambria Math"/>
                </w:rPr>
                <m:t>∙</m:t>
              </m:r>
              <m:r>
                <m:rPr>
                  <m:nor/>
                </m:rPr>
                <w:rPr>
                  <w:i/>
                  <w:iCs/>
                </w:rPr>
                <m:t>Y</m:t>
              </m:r>
              <m:r>
                <w:rPr>
                  <w:rFonts w:ascii="Cambria Math" w:hAnsi="Cambria Math"/>
                </w:rPr>
                <m:t>-</m:t>
              </m:r>
              <m:d>
                <m:dPr>
                  <m:ctrlPr>
                    <w:rPr>
                      <w:rFonts w:ascii="Cambria Math" w:hAnsi="Cambria Math"/>
                      <w:i/>
                      <w:iCs/>
                    </w:rPr>
                  </m:ctrlPr>
                </m:dPr>
                <m:e>
                  <m:r>
                    <m:rPr>
                      <m:nor/>
                    </m:rPr>
                    <w:rPr>
                      <w:i/>
                    </w:rPr>
                    <m:t>1</m:t>
                  </m:r>
                  <m:r>
                    <w:rPr>
                      <w:rFonts w:ascii="Cambria Math" w:hAnsi="Cambria Math"/>
                    </w:rPr>
                    <m:t>-</m:t>
                  </m:r>
                  <m:r>
                    <m:rPr>
                      <m:nor/>
                    </m:rPr>
                    <w:rPr>
                      <w:i/>
                    </w:rPr>
                    <m:t>β</m:t>
                  </m:r>
                </m:e>
              </m:d>
              <m:r>
                <w:rPr>
                  <w:rFonts w:ascii="Cambria Math" w:hAnsi="Cambria Math"/>
                </w:rPr>
                <m:t>∙</m:t>
              </m:r>
              <m:r>
                <m:rPr>
                  <m:nor/>
                </m:rPr>
                <w:rPr>
                  <w:i/>
                  <w:iCs/>
                </w:rPr>
                <m:t>I</m:t>
              </m:r>
            </m:num>
            <m:den>
              <m:r>
                <m:rPr>
                  <m:nor/>
                </m:rPr>
                <w:rPr>
                  <w:i/>
                  <w:iCs/>
                </w:rPr>
                <m:t>XN</m:t>
              </m:r>
            </m:den>
          </m:f>
          <m:r>
            <w:rPr>
              <w:rFonts w:ascii="Cambria Math" w:eastAsiaTheme="minorEastAsia" w:hAnsi="Cambria Math"/>
            </w:rPr>
            <m:t>⟹</m:t>
          </m:r>
          <m:r>
            <m:rPr>
              <m:nor/>
            </m:rPr>
            <w:rPr>
              <w:i/>
              <w:iCs/>
            </w:rPr>
            <m:t>ϰ</m:t>
          </m:r>
          <m:r>
            <w:rPr>
              <w:rFonts w:ascii="Cambria Math" w:eastAsiaTheme="minorEastAsia" w:hAnsi="Cambria Math"/>
            </w:rPr>
            <m:t>=</m:t>
          </m:r>
          <m:f>
            <m:fPr>
              <m:ctrlPr>
                <w:rPr>
                  <w:rFonts w:ascii="Cambria Math" w:eastAsiaTheme="minorEastAsia" w:hAnsi="Cambria Math"/>
                  <w:i/>
                  <w:iCs/>
                </w:rPr>
              </m:ctrlPr>
            </m:fPr>
            <m:num>
              <m:r>
                <m:rPr>
                  <m:nor/>
                </m:rPr>
                <w:rPr>
                  <w:i/>
                  <w:iCs/>
                </w:rPr>
                <m:t>Y</m:t>
              </m:r>
              <m:r>
                <w:rPr>
                  <w:rFonts w:ascii="Cambria Math" w:hAnsi="Cambria Math"/>
                </w:rPr>
                <m:t>∙</m:t>
              </m:r>
              <m:d>
                <m:dPr>
                  <m:begChr m:val="["/>
                  <m:endChr m:val="]"/>
                  <m:ctrlPr>
                    <w:rPr>
                      <w:rFonts w:ascii="Cambria Math" w:hAnsi="Cambria Math"/>
                      <w:i/>
                      <w:iCs/>
                    </w:rPr>
                  </m:ctrlPr>
                </m:dPr>
                <m:e>
                  <m:r>
                    <m:rPr>
                      <m:nor/>
                    </m:rPr>
                    <w:rPr>
                      <w:i/>
                    </w:rPr>
                    <m:t>1</m:t>
                  </m:r>
                  <m:r>
                    <w:rPr>
                      <w:rFonts w:ascii="Cambria Math" w:hAnsi="Cambria Math"/>
                    </w:rPr>
                    <m:t>-</m:t>
                  </m:r>
                  <m:d>
                    <m:dPr>
                      <m:ctrlPr>
                        <w:rPr>
                          <w:rFonts w:ascii="Cambria Math" w:hAnsi="Cambria Math"/>
                          <w:i/>
                          <w:iCs/>
                        </w:rPr>
                      </m:ctrlPr>
                    </m:dPr>
                    <m:e>
                      <m:r>
                        <m:rPr>
                          <m:nor/>
                        </m:rPr>
                        <w:rPr>
                          <w:i/>
                        </w:rPr>
                        <m:t>1</m:t>
                      </m:r>
                      <m:r>
                        <w:rPr>
                          <w:rFonts w:ascii="Cambria Math" w:hAnsi="Cambria Math"/>
                        </w:rPr>
                        <m:t>-</m:t>
                      </m:r>
                      <m:r>
                        <m:rPr>
                          <m:nor/>
                        </m:rPr>
                        <w:rPr>
                          <w:i/>
                        </w:rPr>
                        <m:t>β</m:t>
                      </m:r>
                    </m:e>
                  </m:d>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α</m:t>
                      </m:r>
                    </m:e>
                  </m:d>
                </m:e>
              </m:d>
              <m:r>
                <w:rPr>
                  <w:rFonts w:ascii="Cambria Math" w:hAnsi="Cambria Math"/>
                </w:rPr>
                <m:t>-</m:t>
              </m:r>
              <m:d>
                <m:dPr>
                  <m:ctrlPr>
                    <w:rPr>
                      <w:rFonts w:ascii="Cambria Math" w:hAnsi="Cambria Math"/>
                      <w:i/>
                      <w:iCs/>
                    </w:rPr>
                  </m:ctrlPr>
                </m:dPr>
                <m:e>
                  <m:r>
                    <m:rPr>
                      <m:nor/>
                    </m:rPr>
                    <w:rPr>
                      <w:i/>
                    </w:rPr>
                    <m:t>1</m:t>
                  </m:r>
                  <m:r>
                    <w:rPr>
                      <w:rFonts w:ascii="Cambria Math" w:hAnsi="Cambria Math"/>
                    </w:rPr>
                    <m:t>-</m:t>
                  </m:r>
                  <m:r>
                    <m:rPr>
                      <m:nor/>
                    </m:rPr>
                    <w:rPr>
                      <w:i/>
                    </w:rPr>
                    <m:t>β</m:t>
                  </m:r>
                </m:e>
              </m:d>
              <m:r>
                <w:rPr>
                  <w:rFonts w:ascii="Cambria Math" w:hAnsi="Cambria Math"/>
                </w:rPr>
                <m:t>∙</m:t>
              </m:r>
              <m:r>
                <m:rPr>
                  <m:nor/>
                </m:rPr>
                <w:rPr>
                  <w:i/>
                  <w:iCs/>
                </w:rPr>
                <m:t>I</m:t>
              </m:r>
            </m:num>
            <m:den>
              <m:r>
                <m:rPr>
                  <m:nor/>
                </m:rPr>
                <w:rPr>
                  <w:i/>
                  <w:iCs/>
                </w:rPr>
                <m:t>XN</m:t>
              </m:r>
            </m:den>
          </m:f>
        </m:oMath>
      </m:oMathPara>
    </w:p>
    <w:p w14:paraId="6453984A" w14:textId="77777777" w:rsidR="0086161B" w:rsidRDefault="0086161B" w:rsidP="00BF5900">
      <w:pPr>
        <w:pStyle w:val="Ttulo7"/>
        <w:rPr>
          <w:sz w:val="19"/>
          <w:szCs w:val="19"/>
          <w:u w:val="none"/>
        </w:rPr>
      </w:pPr>
      <w:r>
        <w:lastRenderedPageBreak/>
        <w:t>Desarrollo</w:t>
      </w:r>
      <w:r w:rsidRPr="0086161B">
        <w:rPr>
          <w:sz w:val="19"/>
          <w:szCs w:val="19"/>
          <w:u w:val="none"/>
        </w:rPr>
        <w:t xml:space="preserve"> (origen, transmisión y consecuencias de la crisis)</w:t>
      </w:r>
    </w:p>
    <w:p w14:paraId="16B3D035" w14:textId="0F0BE1E0" w:rsidR="006D6DEC" w:rsidRDefault="006D6DEC" w:rsidP="006D6DEC">
      <w:pPr>
        <w:pStyle w:val="Nivel1SM"/>
        <w:keepNext/>
        <w:spacing w:before="0" w:after="0"/>
      </w:pPr>
      <w:r>
        <w:t>Por lo tanto, tenemos las siguientes ecuaciones:</w:t>
      </w:r>
    </w:p>
    <w:tbl>
      <w:tblPr>
        <w:tblStyle w:val="Tablaconcuadrcula"/>
        <w:tblW w:w="0" w:type="auto"/>
        <w:tblLook w:val="04A0" w:firstRow="1" w:lastRow="0" w:firstColumn="1" w:lastColumn="0" w:noHBand="0" w:noVBand="1"/>
      </w:tblPr>
      <w:tblGrid>
        <w:gridCol w:w="4814"/>
        <w:gridCol w:w="4814"/>
      </w:tblGrid>
      <w:tr w:rsidR="00734383" w14:paraId="1C598FF9" w14:textId="44F58D53" w:rsidTr="00734383">
        <w:tc>
          <w:tcPr>
            <w:tcW w:w="4814" w:type="dxa"/>
            <w:vAlign w:val="center"/>
          </w:tcPr>
          <w:p w14:paraId="597C9B2A" w14:textId="7A2ADD96" w:rsidR="00734383" w:rsidRDefault="00734383" w:rsidP="00093C75">
            <w:pPr>
              <w:spacing w:after="0"/>
              <w:jc w:val="center"/>
            </w:pPr>
            <m:oMathPara>
              <m:oMath>
                <m:r>
                  <w:rPr>
                    <w:rFonts w:ascii="Cambria Math" w:eastAsiaTheme="minorEastAsia" w:hAnsi="Cambria Math"/>
                  </w:rPr>
                  <m:t xml:space="preserve"> </m:t>
                </m:r>
                <m:r>
                  <m:rPr>
                    <m:nor/>
                  </m:rPr>
                  <w:rPr>
                    <w:i/>
                    <w:iCs/>
                  </w:rPr>
                  <m:t>ϰ</m:t>
                </m:r>
                <m:limUpp>
                  <m:limUppPr>
                    <m:ctrlPr>
                      <w:rPr>
                        <w:rFonts w:ascii="Cambria Math" w:hAnsi="Cambria Math" w:cs="Times New Roman"/>
                        <w:i/>
                        <w:iCs/>
                        <w:color w:val="A265D0" w:themeColor="accent1" w:themeTint="99"/>
                      </w:rPr>
                    </m:ctrlPr>
                  </m:limUppPr>
                  <m:e>
                    <m:r>
                      <m:rPr>
                        <m:nor/>
                      </m:rPr>
                      <w:rPr>
                        <w:rFonts w:ascii="Times New Roman" w:hAnsi="Times New Roman" w:cs="Times New Roman"/>
                        <w:i/>
                        <w:iCs/>
                        <w:color w:val="A265D0" w:themeColor="accent1" w:themeTint="99"/>
                      </w:rPr>
                      <m:t>↑</m:t>
                    </m:r>
                  </m:e>
                  <m:lim>
                    <m:r>
                      <m:rPr>
                        <m:nor/>
                      </m:rPr>
                      <w:rPr>
                        <w:rFonts w:cs="Times New Roman"/>
                        <w:iCs/>
                        <w:color w:val="A265D0" w:themeColor="accent1" w:themeTint="99"/>
                      </w:rPr>
                      <m:t>2</m:t>
                    </m:r>
                  </m:lim>
                </m:limUpp>
                <m:r>
                  <w:rPr>
                    <w:rFonts w:ascii="Cambria Math" w:eastAsiaTheme="minorEastAsia" w:hAnsi="Cambria Math"/>
                  </w:rPr>
                  <m:t>=</m:t>
                </m:r>
                <m:f>
                  <m:fPr>
                    <m:ctrlPr>
                      <w:rPr>
                        <w:rFonts w:ascii="Cambria Math" w:eastAsiaTheme="minorEastAsia" w:hAnsi="Cambria Math"/>
                        <w:i/>
                        <w:iCs/>
                      </w:rPr>
                    </m:ctrlPr>
                  </m:fPr>
                  <m:num>
                    <m:r>
                      <m:rPr>
                        <m:nor/>
                      </m:rPr>
                      <w:rPr>
                        <w:i/>
                        <w:iCs/>
                      </w:rPr>
                      <m:t>Y</m:t>
                    </m:r>
                    <m:r>
                      <w:rPr>
                        <w:rFonts w:ascii="Cambria Math" w:hAnsi="Cambria Math"/>
                      </w:rPr>
                      <m:t>∙</m:t>
                    </m:r>
                    <m:d>
                      <m:dPr>
                        <m:begChr m:val="["/>
                        <m:endChr m:val="]"/>
                        <m:ctrlPr>
                          <w:rPr>
                            <w:rFonts w:ascii="Cambria Math" w:hAnsi="Cambria Math"/>
                            <w:i/>
                            <w:iCs/>
                          </w:rPr>
                        </m:ctrlPr>
                      </m:dPr>
                      <m:e>
                        <m:r>
                          <m:rPr>
                            <m:nor/>
                          </m:rPr>
                          <w:rPr>
                            <w:i/>
                          </w:rPr>
                          <m:t>1</m:t>
                        </m:r>
                        <m:r>
                          <w:rPr>
                            <w:rFonts w:ascii="Cambria Math" w:hAnsi="Cambria Math"/>
                          </w:rPr>
                          <m:t>-</m:t>
                        </m:r>
                        <m:d>
                          <m:dPr>
                            <m:ctrlPr>
                              <w:rPr>
                                <w:rFonts w:ascii="Cambria Math" w:hAnsi="Cambria Math"/>
                                <w:i/>
                                <w:iCs/>
                              </w:rPr>
                            </m:ctrlPr>
                          </m:dPr>
                          <m:e>
                            <m:r>
                              <m:rPr>
                                <m:nor/>
                              </m:rPr>
                              <w:rPr>
                                <w:i/>
                              </w:rPr>
                              <m:t>1</m:t>
                            </m:r>
                            <m:r>
                              <w:rPr>
                                <w:rFonts w:ascii="Cambria Math" w:hAnsi="Cambria Math"/>
                              </w:rPr>
                              <m:t>-</m:t>
                            </m:r>
                            <m:r>
                              <m:rPr>
                                <m:nor/>
                              </m:rPr>
                              <w:rPr>
                                <w:i/>
                              </w:rPr>
                              <m:t>β</m:t>
                            </m:r>
                          </m:e>
                        </m:d>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α</m:t>
                            </m:r>
                          </m:e>
                        </m:d>
                      </m:e>
                    </m:d>
                    <m:r>
                      <w:rPr>
                        <w:rFonts w:ascii="Cambria Math" w:hAnsi="Cambria Math"/>
                      </w:rPr>
                      <m:t>-</m:t>
                    </m:r>
                    <m:d>
                      <m:dPr>
                        <m:ctrlPr>
                          <w:rPr>
                            <w:rFonts w:ascii="Cambria Math" w:hAnsi="Cambria Math"/>
                            <w:i/>
                            <w:iCs/>
                          </w:rPr>
                        </m:ctrlPr>
                      </m:dPr>
                      <m:e>
                        <m:r>
                          <m:rPr>
                            <m:nor/>
                          </m:rPr>
                          <w:rPr>
                            <w:i/>
                          </w:rPr>
                          <m:t>1</m:t>
                        </m:r>
                        <m:r>
                          <w:rPr>
                            <w:rFonts w:ascii="Cambria Math" w:hAnsi="Cambria Math"/>
                          </w:rPr>
                          <m:t>-</m:t>
                        </m:r>
                        <m:r>
                          <m:rPr>
                            <m:nor/>
                          </m:rPr>
                          <w:rPr>
                            <w:i/>
                          </w:rPr>
                          <m:t>β</m:t>
                        </m:r>
                      </m:e>
                    </m:d>
                    <m:r>
                      <w:rPr>
                        <w:rFonts w:ascii="Cambria Math" w:hAnsi="Cambria Math"/>
                      </w:rPr>
                      <m:t>∙</m:t>
                    </m:r>
                    <m:r>
                      <m:rPr>
                        <m:nor/>
                      </m:rPr>
                      <w:rPr>
                        <w:i/>
                        <w:iCs/>
                      </w:rPr>
                      <m:t>I</m:t>
                    </m:r>
                    <m:limUpp>
                      <m:limUppPr>
                        <m:ctrlPr>
                          <w:rPr>
                            <w:rFonts w:ascii="Cambria Math" w:hAnsi="Cambria Math" w:cs="Times New Roman"/>
                            <w:i/>
                            <w:iCs/>
                            <w:color w:val="C00000"/>
                          </w:rPr>
                        </m:ctrlPr>
                      </m:limUppPr>
                      <m:e>
                        <m:r>
                          <m:rPr>
                            <m:nor/>
                          </m:rPr>
                          <w:rPr>
                            <w:rFonts w:ascii="Times New Roman" w:hAnsi="Times New Roman" w:cs="Times New Roman"/>
                            <w:i/>
                            <w:iCs/>
                            <w:color w:val="C00000"/>
                          </w:rPr>
                          <m:t>↓</m:t>
                        </m:r>
                      </m:e>
                      <m:lim>
                        <m:r>
                          <m:rPr>
                            <m:nor/>
                          </m:rPr>
                          <w:rPr>
                            <w:rFonts w:cs="Times New Roman"/>
                            <w:iCs/>
                            <w:color w:val="C00000"/>
                          </w:rPr>
                          <m:t>1</m:t>
                        </m:r>
                      </m:lim>
                    </m:limUpp>
                  </m:num>
                  <m:den>
                    <m:r>
                      <m:rPr>
                        <m:nor/>
                      </m:rPr>
                      <w:rPr>
                        <w:i/>
                        <w:iCs/>
                      </w:rPr>
                      <m:t>XN</m:t>
                    </m:r>
                  </m:den>
                </m:f>
              </m:oMath>
            </m:oMathPara>
          </w:p>
        </w:tc>
        <w:tc>
          <w:tcPr>
            <w:tcW w:w="4814" w:type="dxa"/>
            <w:vAlign w:val="center"/>
          </w:tcPr>
          <w:p w14:paraId="1B3B920E" w14:textId="53667FBC" w:rsidR="00734383" w:rsidRDefault="00000000" w:rsidP="00093C75">
            <w:pPr>
              <w:spacing w:after="0"/>
              <w:jc w:val="center"/>
              <w:rPr>
                <w:rFonts w:eastAsia="Times New Roman" w:cs="Times New Roman"/>
                <w:i/>
                <w:iCs/>
              </w:rPr>
            </w:pPr>
            <m:oMathPara>
              <m:oMath>
                <m:sSub>
                  <m:sSubPr>
                    <m:ctrlPr>
                      <w:rPr>
                        <w:rFonts w:ascii="Cambria Math" w:hAnsi="Cambria Math"/>
                        <w:i/>
                        <w:iCs/>
                      </w:rPr>
                    </m:ctrlPr>
                  </m:sSubPr>
                  <m:e>
                    <m:r>
                      <m:rPr>
                        <m:nor/>
                      </m:rPr>
                      <w:rPr>
                        <w:i/>
                        <w:iCs/>
                      </w:rPr>
                      <m:t>I</m:t>
                    </m:r>
                  </m:e>
                  <m:sub>
                    <m:r>
                      <m:rPr>
                        <m:nor/>
                      </m:rPr>
                      <w:rPr>
                        <w:i/>
                        <w:iCs/>
                      </w:rPr>
                      <m:t>F</m:t>
                    </m:r>
                  </m:sub>
                </m:sSub>
                <m:limUpp>
                  <m:limUppPr>
                    <m:ctrlPr>
                      <w:rPr>
                        <w:rFonts w:ascii="Cambria Math" w:hAnsi="Cambria Math" w:cs="Times New Roman"/>
                        <w:i/>
                        <w:iCs/>
                        <w:color w:val="FF66FF"/>
                      </w:rPr>
                    </m:ctrlPr>
                  </m:limUppPr>
                  <m:e>
                    <m:r>
                      <m:rPr>
                        <m:nor/>
                      </m:rPr>
                      <w:rPr>
                        <w:rFonts w:ascii="Times New Roman" w:hAnsi="Times New Roman" w:cs="Times New Roman"/>
                        <w:i/>
                        <w:iCs/>
                        <w:color w:val="FF66FF"/>
                      </w:rPr>
                      <m:t>↓</m:t>
                    </m:r>
                  </m:e>
                  <m:lim>
                    <m:r>
                      <m:rPr>
                        <m:nor/>
                      </m:rPr>
                      <w:rPr>
                        <w:rFonts w:cs="Times New Roman"/>
                        <w:iCs/>
                        <w:color w:val="FF66FF"/>
                      </w:rPr>
                      <m:t>4</m:t>
                    </m:r>
                  </m:lim>
                </m:limUpp>
                <m:r>
                  <w:rPr>
                    <w:rFonts w:ascii="Cambria Math" w:eastAsiaTheme="minorEastAsia" w:hAnsi="Cambria Math"/>
                  </w:rPr>
                  <m:t>≤</m:t>
                </m:r>
                <m:d>
                  <m:dPr>
                    <m:ctrlPr>
                      <w:rPr>
                        <w:rFonts w:ascii="Cambria Math" w:hAnsi="Cambria Math"/>
                        <w:i/>
                        <w:iCs/>
                      </w:rPr>
                    </m:ctrlPr>
                  </m:dPr>
                  <m:e>
                    <m:r>
                      <m:rPr>
                        <m:nor/>
                      </m:rPr>
                      <w:rPr>
                        <w:i/>
                        <w:iCs/>
                      </w:rPr>
                      <m:t>1</m:t>
                    </m:r>
                    <m:r>
                      <w:rPr>
                        <w:rFonts w:ascii="Cambria Math" w:hAnsi="Cambria Math"/>
                      </w:rPr>
                      <m:t>+</m:t>
                    </m:r>
                    <m:r>
                      <m:rPr>
                        <m:nor/>
                      </m:rPr>
                      <w:rPr>
                        <w:i/>
                      </w:rPr>
                      <m:t>θ</m:t>
                    </m:r>
                  </m:e>
                </m:d>
                <m:r>
                  <w:rPr>
                    <w:rFonts w:ascii="Cambria Math" w:eastAsiaTheme="minorEastAsia" w:hAnsi="Cambria Math"/>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r>
                          <m:rPr>
                            <m:nor/>
                          </m:rPr>
                          <w:rPr>
                            <w:i/>
                            <w:iCs/>
                          </w:rPr>
                          <m:t>W</m:t>
                        </m:r>
                      </m:e>
                    </m:groupChr>
                    <m:limUpp>
                      <m:limUppPr>
                        <m:ctrlPr>
                          <w:rPr>
                            <w:rFonts w:ascii="Cambria Math" w:hAnsi="Cambria Math" w:cs="Times New Roman"/>
                            <w:i/>
                            <w:iCs/>
                            <w:color w:val="ED7D31" w:themeColor="accent2"/>
                          </w:rPr>
                        </m:ctrlPr>
                      </m:limUppPr>
                      <m:e>
                        <m:r>
                          <m:rPr>
                            <m:nor/>
                          </m:rPr>
                          <w:rPr>
                            <w:rFonts w:ascii="Times New Roman" w:hAnsi="Times New Roman" w:cs="Times New Roman"/>
                            <w:i/>
                            <w:iCs/>
                            <w:color w:val="ED7D31" w:themeColor="accent2"/>
                          </w:rPr>
                          <m:t>↓</m:t>
                        </m:r>
                      </m:e>
                      <m:lim>
                        <m:r>
                          <m:rPr>
                            <m:nor/>
                          </m:rPr>
                          <w:rPr>
                            <w:rFonts w:cs="Times New Roman"/>
                            <w:iCs/>
                            <w:color w:val="ED7D31" w:themeColor="accent2"/>
                          </w:rPr>
                          <m:t>3</m:t>
                        </m:r>
                      </m:lim>
                    </m:limUpp>
                  </m:e>
                  <m:lim>
                    <m:r>
                      <m:rPr>
                        <m:nor/>
                      </m:rPr>
                      <w:rPr>
                        <w:i/>
                        <w:iCs/>
                      </w:rPr>
                      <m:t>α</m:t>
                    </m:r>
                    <m:r>
                      <w:rPr>
                        <w:rFonts w:ascii="Cambria Math" w:hAnsi="Cambria Math"/>
                      </w:rPr>
                      <m:t>∙</m:t>
                    </m:r>
                    <m:r>
                      <m:rPr>
                        <m:nor/>
                      </m:rPr>
                      <w:rPr>
                        <w:i/>
                        <w:iCs/>
                      </w:rPr>
                      <m:t>Y</m:t>
                    </m:r>
                    <m:r>
                      <w:rPr>
                        <w:rFonts w:ascii="Cambria Math" w:hAnsi="Cambria Math"/>
                      </w:rPr>
                      <m:t>-</m:t>
                    </m:r>
                    <m:d>
                      <m:dPr>
                        <m:ctrlPr>
                          <w:rPr>
                            <w:rFonts w:ascii="Cambria Math" w:eastAsiaTheme="minorEastAsia" w:hAnsi="Cambria Math"/>
                          </w:rPr>
                        </m:ctrlPr>
                      </m:dPr>
                      <m:e>
                        <m:r>
                          <m:rPr>
                            <m:nor/>
                          </m:rPr>
                          <w:rPr>
                            <w:i/>
                            <w:iCs/>
                          </w:rPr>
                          <m:t>D</m:t>
                        </m:r>
                        <m:r>
                          <w:rPr>
                            <w:rFonts w:ascii="Cambria Math" w:eastAsiaTheme="minorEastAsia" w:hAnsi="Cambria Math"/>
                          </w:rPr>
                          <m:t>+</m:t>
                        </m:r>
                        <m:r>
                          <m:rPr>
                            <m:nor/>
                          </m:rPr>
                          <w:rPr>
                            <w:i/>
                            <w:iCs/>
                          </w:rPr>
                          <m:t>ϰ</m:t>
                        </m:r>
                        <m:limUpp>
                          <m:limUppPr>
                            <m:ctrlPr>
                              <w:rPr>
                                <w:rFonts w:ascii="Cambria Math" w:hAnsi="Cambria Math" w:cs="Times New Roman"/>
                                <w:i/>
                                <w:iCs/>
                                <w:color w:val="A265D0" w:themeColor="accent1" w:themeTint="99"/>
                              </w:rPr>
                            </m:ctrlPr>
                          </m:limUppPr>
                          <m:e>
                            <m:r>
                              <m:rPr>
                                <m:nor/>
                              </m:rPr>
                              <w:rPr>
                                <w:rFonts w:ascii="Times New Roman" w:hAnsi="Times New Roman" w:cs="Times New Roman"/>
                                <w:i/>
                                <w:iCs/>
                                <w:color w:val="A265D0" w:themeColor="accent1" w:themeTint="99"/>
                              </w:rPr>
                              <m:t>↑</m:t>
                            </m:r>
                          </m:e>
                          <m:lim>
                            <m:r>
                              <m:rPr>
                                <m:nor/>
                              </m:rPr>
                              <w:rPr>
                                <w:rFonts w:cs="Times New Roman"/>
                                <w:iCs/>
                                <w:color w:val="A265D0" w:themeColor="accent1" w:themeTint="99"/>
                              </w:rPr>
                              <m:t>2</m:t>
                            </m:r>
                          </m:lim>
                        </m:limUpp>
                        <m:r>
                          <w:rPr>
                            <w:rFonts w:ascii="Cambria Math" w:hAnsi="Cambria Math"/>
                          </w:rPr>
                          <m:t>∙</m:t>
                        </m:r>
                        <m:r>
                          <m:rPr>
                            <m:nor/>
                          </m:rPr>
                          <w:rPr>
                            <w:i/>
                            <w:iCs/>
                          </w:rPr>
                          <m:t>D*</m:t>
                        </m:r>
                      </m:e>
                    </m:d>
                  </m:lim>
                </m:limLow>
              </m:oMath>
            </m:oMathPara>
          </w:p>
        </w:tc>
      </w:tr>
    </w:tbl>
    <w:p w14:paraId="011F4D38" w14:textId="09ADC9DE" w:rsidR="0034504F" w:rsidRDefault="0034504F" w:rsidP="006D6DEC">
      <w:pPr>
        <w:pStyle w:val="Nivel1SM"/>
        <w:keepNext/>
        <w:spacing w:after="0"/>
      </w:pPr>
      <w:r>
        <w:t>Secuencia de generación de una crisis financiera:</w:t>
      </w:r>
    </w:p>
    <w:p w14:paraId="11A305D9" w14:textId="54C8D6B3" w:rsidR="0034504F" w:rsidRDefault="0034504F">
      <w:pPr>
        <w:pStyle w:val="Prrafodelista"/>
        <w:numPr>
          <w:ilvl w:val="0"/>
          <w:numId w:val="41"/>
        </w:numPr>
        <w:spacing w:after="100"/>
        <w:ind w:left="567" w:hanging="113"/>
      </w:pPr>
      <w:r>
        <w:t>Pérdida de confianza repentina</w:t>
      </w:r>
      <w:r w:rsidR="00BF5900">
        <w:t>, s</w:t>
      </w:r>
      <w:r>
        <w:t>alida de capitales y menos inversión en la economía doméstica (</w:t>
      </w:r>
      <m:oMath>
        <m:r>
          <m:rPr>
            <m:nor/>
          </m:rPr>
          <w:rPr>
            <w:rFonts w:ascii="Times New Roman" w:hAnsi="Times New Roman" w:cs="Times New Roman"/>
            <w:i/>
            <w:iCs/>
            <w:color w:val="C00000"/>
          </w:rPr>
          <m:t>↓</m:t>
        </m:r>
        <m:r>
          <m:rPr>
            <m:nor/>
          </m:rPr>
          <w:rPr>
            <w:i/>
            <w:iCs/>
          </w:rPr>
          <m:t>I</m:t>
        </m:r>
      </m:oMath>
      <w:r>
        <w:t>).</w:t>
      </w:r>
    </w:p>
    <w:p w14:paraId="3182CC6B" w14:textId="6849FB1C" w:rsidR="0034504F" w:rsidRDefault="0034504F">
      <w:pPr>
        <w:pStyle w:val="Prrafodelista"/>
        <w:numPr>
          <w:ilvl w:val="0"/>
          <w:numId w:val="41"/>
        </w:numPr>
        <w:spacing w:after="100"/>
        <w:ind w:left="567" w:hanging="113"/>
      </w:pPr>
      <w:r>
        <w:t>Depreciación del tipo de cambio (</w:t>
      </w:r>
      <m:oMath>
        <m:r>
          <m:rPr>
            <m:nor/>
          </m:rPr>
          <w:rPr>
            <w:rFonts w:ascii="Times New Roman" w:hAnsi="Times New Roman" w:cs="Times New Roman"/>
            <w:i/>
            <w:iCs/>
            <w:color w:val="A265D0" w:themeColor="accent1" w:themeTint="99"/>
          </w:rPr>
          <m:t>↑</m:t>
        </m:r>
        <m:r>
          <m:rPr>
            <m:nor/>
          </m:rPr>
          <w:rPr>
            <w:i/>
            <w:iCs/>
          </w:rPr>
          <m:t>ϰ</m:t>
        </m:r>
      </m:oMath>
      <w:r>
        <w:t>).</w:t>
      </w:r>
    </w:p>
    <w:p w14:paraId="6DEF6E78" w14:textId="77777777" w:rsidR="00710FA9" w:rsidRDefault="0034504F">
      <w:pPr>
        <w:pStyle w:val="Prrafodelista"/>
        <w:numPr>
          <w:ilvl w:val="0"/>
          <w:numId w:val="41"/>
        </w:numPr>
        <w:spacing w:after="100"/>
        <w:ind w:left="567" w:hanging="113"/>
      </w:pPr>
      <w:r>
        <w:t xml:space="preserve">La </w:t>
      </w:r>
      <w:r w:rsidR="00710FA9">
        <w:t>depreciación del tipo de cambio</w:t>
      </w:r>
      <w:r>
        <w:t xml:space="preserve"> aumenta el </w:t>
      </w:r>
      <w:r w:rsidR="00710FA9">
        <w:t>valor de la deuda externa de las empresas</w:t>
      </w:r>
      <w:r>
        <w:t xml:space="preserve"> denominada en divisas, por lo que cae la riqueza de los inversores nacionales (</w:t>
      </w:r>
      <m:oMath>
        <m:r>
          <m:rPr>
            <m:nor/>
          </m:rPr>
          <w:rPr>
            <w:rFonts w:ascii="Times New Roman" w:hAnsi="Times New Roman" w:cs="Times New Roman"/>
            <w:color w:val="ED7D31" w:themeColor="accent2"/>
          </w:rPr>
          <m:t>↓</m:t>
        </m:r>
        <m:r>
          <m:rPr>
            <m:nor/>
          </m:rPr>
          <w:rPr>
            <w:i/>
            <w:iCs/>
          </w:rPr>
          <m:t>W</m:t>
        </m:r>
        <m:r>
          <w:rPr>
            <w:rFonts w:ascii="Cambria Math" w:eastAsiaTheme="minorEastAsia" w:hAnsi="Cambria Math"/>
          </w:rPr>
          <m:t>=</m:t>
        </m:r>
        <m:r>
          <w:rPr>
            <w:rFonts w:ascii="Cambria Math" w:hAnsi="Cambria Math"/>
          </w:rPr>
          <m:t xml:space="preserve"> </m:t>
        </m:r>
        <m:r>
          <m:rPr>
            <m:nor/>
          </m:rPr>
          <w:rPr>
            <w:i/>
            <w:iCs/>
          </w:rPr>
          <m:t>α</m:t>
        </m:r>
        <m:r>
          <w:rPr>
            <w:rFonts w:ascii="Cambria Math" w:hAnsi="Cambria Math"/>
          </w:rPr>
          <m:t>∙</m:t>
        </m:r>
        <m:r>
          <m:rPr>
            <m:nor/>
          </m:rPr>
          <w:rPr>
            <w:i/>
            <w:iCs/>
          </w:rPr>
          <m:t>Y</m:t>
        </m:r>
        <m:r>
          <w:rPr>
            <w:rFonts w:ascii="Cambria Math" w:hAnsi="Cambria Math"/>
          </w:rPr>
          <m:t>-</m:t>
        </m:r>
        <m:d>
          <m:dPr>
            <m:ctrlPr>
              <w:rPr>
                <w:rFonts w:ascii="Cambria Math" w:eastAsiaTheme="minorEastAsia" w:hAnsi="Cambria Math"/>
              </w:rPr>
            </m:ctrlPr>
          </m:dPr>
          <m:e>
            <m:r>
              <m:rPr>
                <m:nor/>
              </m:rPr>
              <w:rPr>
                <w:i/>
                <w:iCs/>
              </w:rPr>
              <m:t>D</m:t>
            </m:r>
            <m:r>
              <w:rPr>
                <w:rFonts w:ascii="Cambria Math" w:eastAsiaTheme="minorEastAsia" w:hAnsi="Cambria Math"/>
              </w:rPr>
              <m:t>+</m:t>
            </m:r>
            <m:r>
              <m:rPr>
                <m:nor/>
              </m:rPr>
              <w:rPr>
                <w:rFonts w:ascii="Times New Roman" w:hAnsi="Times New Roman" w:cs="Times New Roman"/>
                <w:i/>
                <w:iCs/>
              </w:rPr>
              <m:t>↑</m:t>
            </m:r>
            <m:r>
              <m:rPr>
                <m:nor/>
              </m:rPr>
              <w:rPr>
                <w:i/>
                <w:iCs/>
              </w:rPr>
              <m:t>ϰ</m:t>
            </m:r>
            <m:r>
              <w:rPr>
                <w:rFonts w:ascii="Cambria Math" w:hAnsi="Cambria Math"/>
              </w:rPr>
              <m:t>∙</m:t>
            </m:r>
            <m:r>
              <m:rPr>
                <m:nor/>
              </m:rPr>
              <w:rPr>
                <w:i/>
                <w:iCs/>
              </w:rPr>
              <m:t>D*</m:t>
            </m:r>
          </m:e>
        </m:d>
      </m:oMath>
      <w:r>
        <w:t>)</w:t>
      </w:r>
      <w:r w:rsidR="00710FA9">
        <w:t>.</w:t>
      </w:r>
    </w:p>
    <w:p w14:paraId="7CEFA509" w14:textId="77777777" w:rsidR="00734383" w:rsidRDefault="00710FA9">
      <w:pPr>
        <w:pStyle w:val="Prrafodelista"/>
        <w:numPr>
          <w:ilvl w:val="0"/>
          <w:numId w:val="41"/>
        </w:numPr>
        <w:spacing w:after="100"/>
        <w:ind w:left="567" w:hanging="113"/>
      </w:pPr>
      <w:r>
        <w:t>A su vez,</w:t>
      </w:r>
      <w:r w:rsidR="0034504F">
        <w:t xml:space="preserve"> esta disminución de la riqueza causa una disminución de la capacidad de los empresarios para pedir prestado (es decir, reduce la oferta de crédito, </w:t>
      </w:r>
      <m:oMath>
        <m:r>
          <m:rPr>
            <m:nor/>
          </m:rPr>
          <w:rPr>
            <w:rFonts w:ascii="Times New Roman" w:hAnsi="Times New Roman" w:cs="Times New Roman"/>
            <w:color w:val="FF66FF"/>
          </w:rPr>
          <m:t>↓</m:t>
        </m:r>
        <m:sSub>
          <m:sSubPr>
            <m:ctrlPr>
              <w:rPr>
                <w:rFonts w:ascii="Cambria Math" w:hAnsi="Cambria Math"/>
                <w:i/>
                <w:iCs/>
              </w:rPr>
            </m:ctrlPr>
          </m:sSubPr>
          <m:e>
            <m:r>
              <m:rPr>
                <m:nor/>
              </m:rPr>
              <w:rPr>
                <w:i/>
                <w:iCs/>
              </w:rPr>
              <m:t>I</m:t>
            </m:r>
          </m:e>
          <m:sub>
            <m:r>
              <m:rPr>
                <m:nor/>
              </m:rPr>
              <w:rPr>
                <w:i/>
                <w:iCs/>
              </w:rPr>
              <m:t>F</m:t>
            </m:r>
          </m:sub>
        </m:sSub>
        <m:r>
          <w:rPr>
            <w:rFonts w:ascii="Cambria Math" w:eastAsiaTheme="minorEastAsia" w:hAnsi="Cambria Math"/>
          </w:rPr>
          <m:t>≤</m:t>
        </m:r>
        <m:d>
          <m:dPr>
            <m:ctrlPr>
              <w:rPr>
                <w:rFonts w:ascii="Cambria Math" w:hAnsi="Cambria Math"/>
                <w:i/>
                <w:iCs/>
              </w:rPr>
            </m:ctrlPr>
          </m:dPr>
          <m:e>
            <m:r>
              <m:rPr>
                <m:nor/>
              </m:rPr>
              <w:rPr>
                <w:i/>
                <w:iCs/>
              </w:rPr>
              <m:t>1</m:t>
            </m:r>
            <m:r>
              <w:rPr>
                <w:rFonts w:ascii="Cambria Math" w:hAnsi="Cambria Math"/>
              </w:rPr>
              <m:t>+</m:t>
            </m:r>
            <m:r>
              <m:rPr>
                <m:nor/>
              </m:rPr>
              <w:rPr>
                <w:i/>
              </w:rPr>
              <m:t>θ</m:t>
            </m:r>
          </m:e>
        </m:d>
        <m:r>
          <w:rPr>
            <w:rFonts w:ascii="Cambria Math" w:eastAsiaTheme="minorEastAsia" w:hAnsi="Cambria Math"/>
          </w:rPr>
          <m:t>∙</m:t>
        </m:r>
        <m:r>
          <m:rPr>
            <m:nor/>
          </m:rPr>
          <w:rPr>
            <w:rFonts w:ascii="Times New Roman" w:hAnsi="Times New Roman" w:cs="Times New Roman"/>
          </w:rPr>
          <m:t>↓</m:t>
        </m:r>
        <m:r>
          <m:rPr>
            <m:nor/>
          </m:rPr>
          <w:rPr>
            <w:i/>
            <w:iCs/>
          </w:rPr>
          <m:t>W</m:t>
        </m:r>
      </m:oMath>
      <w:r w:rsidR="0034504F">
        <w:t>), acentuando la crisis bancaria, y así sucesivamente.</w:t>
      </w:r>
    </w:p>
    <w:p w14:paraId="4DA923CB" w14:textId="303F06AB" w:rsidR="0034504F" w:rsidRDefault="0034504F" w:rsidP="00734383">
      <w:pPr>
        <w:pStyle w:val="Nivel1SM"/>
        <w:keepNext/>
        <w:spacing w:after="0"/>
      </w:pPr>
      <w:r>
        <w:t>Por tanto, el riesgo de crisis dependerá de cómo se retroalimenten ambos factores</w:t>
      </w:r>
      <w:r w:rsidR="00710FA9">
        <w:t>:</w:t>
      </w:r>
    </w:p>
    <w:p w14:paraId="0DB725E0" w14:textId="1B9447C5" w:rsidR="00710FA9" w:rsidRPr="00710FA9" w:rsidRDefault="00710FA9" w:rsidP="00734383">
      <w:pPr>
        <w:pStyle w:val="Nivel2SM"/>
      </w:pPr>
      <w:r>
        <w:t xml:space="preserve">Si </w:t>
      </w:r>
      <m:oMath>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I</m:t>
                </m:r>
              </m:e>
              <m:sub>
                <m:r>
                  <m:rPr>
                    <m:nor/>
                  </m:rPr>
                  <w:rPr>
                    <w:i/>
                  </w:rPr>
                  <m:t>F</m:t>
                </m:r>
              </m:sub>
            </m:sSub>
          </m:num>
          <m:den>
            <m:r>
              <m:rPr>
                <m:nor/>
              </m:rPr>
              <w:rPr>
                <w:i/>
              </w:rPr>
              <m:t>∂I</m:t>
            </m:r>
          </m:den>
        </m:f>
        <m:r>
          <w:rPr>
            <w:rFonts w:ascii="Cambria Math" w:hAnsi="Cambria Math"/>
          </w:rPr>
          <m:t>&lt;</m:t>
        </m:r>
        <m:r>
          <m:rPr>
            <m:nor/>
          </m:rPr>
          <w:rPr>
            <w:i/>
          </w:rPr>
          <m:t>1</m:t>
        </m:r>
      </m:oMath>
      <w:r>
        <w:t>, la salida de capitales reduce la oferta de crédito, y ésta a su vez reduce la inversión, pero dicho efecto de retroalimentación es cada vez menor, de modo que no se acabará produciendo una crisis.</w:t>
      </w:r>
    </w:p>
    <w:p w14:paraId="22038D5A" w14:textId="2A07BF76" w:rsidR="00710FA9" w:rsidRDefault="00710FA9" w:rsidP="00734383">
      <w:pPr>
        <w:pStyle w:val="Nivel2SM"/>
        <w:keepNext/>
        <w:spacing w:after="0"/>
      </w:pPr>
      <w:r>
        <w:t xml:space="preserve">Si </w:t>
      </w:r>
      <m:oMath>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I</m:t>
                </m:r>
              </m:e>
              <m:sub>
                <m:r>
                  <m:rPr>
                    <m:nor/>
                  </m:rPr>
                  <w:rPr>
                    <w:i/>
                  </w:rPr>
                  <m:t>F</m:t>
                </m:r>
              </m:sub>
            </m:sSub>
          </m:num>
          <m:den>
            <m:r>
              <m:rPr>
                <m:nor/>
              </m:rPr>
              <w:rPr>
                <w:i/>
              </w:rPr>
              <m:t>∂I</m:t>
            </m:r>
          </m:den>
        </m:f>
        <m:r>
          <w:rPr>
            <w:rFonts w:ascii="Cambria Math" w:hAnsi="Cambria Math"/>
          </w:rPr>
          <m:t>&gt;</m:t>
        </m:r>
        <m:r>
          <m:rPr>
            <m:nor/>
          </m:rPr>
          <w:rPr>
            <w:i/>
          </w:rPr>
          <m:t>1</m:t>
        </m:r>
      </m:oMath>
      <w:r>
        <w:t>,</w:t>
      </w:r>
      <w:r w:rsidR="00032468">
        <w:t xml:space="preserve"> </w:t>
      </w:r>
      <w:r>
        <w:t xml:space="preserve">la salida de capitales reduce proporcionalmente más la oferta de crédito, y ésta a su vez reduce la inversión, y dicho efecto de retroalimentación es cada vez mayor, de modo que tiene lugar una </w:t>
      </w:r>
      <w:r>
        <w:rPr>
          <w:i/>
        </w:rPr>
        <w:t>senda explosiva</w:t>
      </w:r>
      <w:r>
        <w:t xml:space="preserve"> que conduce a una crisis. Este es el caso que </w:t>
      </w:r>
      <w:r>
        <w:rPr>
          <w:smallCaps/>
        </w:rPr>
        <w:t>Krugman</w:t>
      </w:r>
      <w:r>
        <w:t xml:space="preserve"> indica se aproxima mejor a la situación que se produjo en la crisis asiática.</w:t>
      </w:r>
    </w:p>
    <w:p w14:paraId="54769BE8" w14:textId="7140D8F7" w:rsidR="00710FA9" w:rsidRDefault="00710FA9" w:rsidP="00734383">
      <w:pPr>
        <w:pStyle w:val="Nivel3SM"/>
        <w:keepNext/>
      </w:pPr>
      <w:r>
        <w:t xml:space="preserve">Por tanto, </w:t>
      </w:r>
      <w:r w:rsidRPr="004E4A18">
        <w:t>resulta crucial determinar el valor de dicha derivada</w:t>
      </w:r>
      <w:r w:rsidR="004E4A18">
        <w:t xml:space="preserve">, </w:t>
      </w:r>
      <m:oMath>
        <m:f>
          <m:fPr>
            <m:type m:val="lin"/>
            <m:ctrlPr>
              <w:rPr>
                <w:rFonts w:ascii="Cambria Math" w:hAnsi="Cambria Math"/>
                <w:i/>
              </w:rPr>
            </m:ctrlPr>
          </m:fPr>
          <m:num>
            <m:r>
              <m:rPr>
                <m:nor/>
              </m:rPr>
              <w:rPr>
                <w:i/>
                <w:iCs/>
              </w:rPr>
              <m:t>∂</m:t>
            </m:r>
            <m:sSub>
              <m:sSubPr>
                <m:ctrlPr>
                  <w:rPr>
                    <w:rFonts w:ascii="Cambria Math" w:hAnsi="Cambria Math"/>
                    <w:i/>
                    <w:iCs/>
                  </w:rPr>
                </m:ctrlPr>
              </m:sSubPr>
              <m:e>
                <m:r>
                  <m:rPr>
                    <m:nor/>
                  </m:rPr>
                  <w:rPr>
                    <w:i/>
                    <w:iCs/>
                  </w:rPr>
                  <m:t>I</m:t>
                </m:r>
              </m:e>
              <m:sub>
                <m:r>
                  <m:rPr>
                    <m:nor/>
                  </m:rPr>
                  <w:rPr>
                    <w:i/>
                    <w:iCs/>
                  </w:rPr>
                  <m:t>F</m:t>
                </m:r>
              </m:sub>
            </m:sSub>
          </m:num>
          <m:den>
            <m:r>
              <m:rPr>
                <m:nor/>
              </m:rPr>
              <w:rPr>
                <w:i/>
                <w:iCs/>
              </w:rPr>
              <m:t>∂I</m:t>
            </m:r>
          </m:den>
        </m:f>
      </m:oMath>
      <w:r w:rsidR="0000689E">
        <w:rPr>
          <w:rStyle w:val="Refdenotaalpie"/>
        </w:rPr>
        <w:footnoteReference w:id="11"/>
      </w:r>
      <w:r>
        <w:t>:</w:t>
      </w:r>
    </w:p>
    <w:p w14:paraId="5E871CDF" w14:textId="343D746F" w:rsidR="00710FA9" w:rsidRPr="00710FA9" w:rsidRDefault="00000000" w:rsidP="004E4A18">
      <w:pPr>
        <w:pStyle w:val="Nivel2SM"/>
        <w:keepNext/>
        <w:numPr>
          <w:ilvl w:val="0"/>
          <w:numId w:val="0"/>
        </w:numPr>
        <w:spacing w:after="0"/>
        <w:ind w:left="567"/>
      </w:pPr>
      <m:oMathPara>
        <m:oMath>
          <m:f>
            <m:fPr>
              <m:ctrlPr>
                <w:rPr>
                  <w:rFonts w:ascii="Cambria Math" w:hAnsi="Cambria Math"/>
                  <w:i/>
                </w:rPr>
              </m:ctrlPr>
            </m:fPr>
            <m:num>
              <m:r>
                <m:rPr>
                  <m:nor/>
                </m:rPr>
                <w:rPr>
                  <w:i/>
                  <w:iCs/>
                </w:rPr>
                <m:t>∂</m:t>
              </m:r>
              <m:sSub>
                <m:sSubPr>
                  <m:ctrlPr>
                    <w:rPr>
                      <w:rFonts w:ascii="Cambria Math" w:hAnsi="Cambria Math"/>
                      <w:i/>
                      <w:iCs/>
                    </w:rPr>
                  </m:ctrlPr>
                </m:sSubPr>
                <m:e>
                  <m:r>
                    <m:rPr>
                      <m:nor/>
                    </m:rPr>
                    <w:rPr>
                      <w:i/>
                      <w:iCs/>
                    </w:rPr>
                    <m:t>I</m:t>
                  </m:r>
                </m:e>
                <m:sub>
                  <m:r>
                    <m:rPr>
                      <m:nor/>
                    </m:rPr>
                    <w:rPr>
                      <w:i/>
                      <w:iCs/>
                    </w:rPr>
                    <m:t>F</m:t>
                  </m:r>
                </m:sub>
              </m:sSub>
            </m:num>
            <m:den>
              <m:r>
                <m:rPr>
                  <m:nor/>
                </m:rPr>
                <w:rPr>
                  <w:i/>
                  <w:iCs/>
                </w:rPr>
                <m:t>∂I</m:t>
              </m:r>
            </m:den>
          </m:f>
          <m:r>
            <w:rPr>
              <w:rFonts w:ascii="Cambria Math" w:eastAsiaTheme="minorEastAsia" w:hAnsi="Cambria Math"/>
            </w:rPr>
            <m:t>=</m:t>
          </m:r>
          <m:f>
            <m:fPr>
              <m:ctrlPr>
                <w:rPr>
                  <w:rFonts w:ascii="Cambria Math" w:hAnsi="Cambria Math"/>
                  <w:i/>
                </w:rPr>
              </m:ctrlPr>
            </m:fPr>
            <m:num>
              <m:r>
                <m:rPr>
                  <m:nor/>
                </m:rPr>
                <w:rPr>
                  <w:i/>
                  <w:iCs/>
                </w:rPr>
                <m:t>∂</m:t>
              </m:r>
              <m:sSub>
                <m:sSubPr>
                  <m:ctrlPr>
                    <w:rPr>
                      <w:rFonts w:ascii="Cambria Math" w:hAnsi="Cambria Math"/>
                      <w:i/>
                      <w:iCs/>
                    </w:rPr>
                  </m:ctrlPr>
                </m:sSubPr>
                <m:e>
                  <m:r>
                    <m:rPr>
                      <m:nor/>
                    </m:rPr>
                    <w:rPr>
                      <w:i/>
                      <w:iCs/>
                    </w:rPr>
                    <m:t>I</m:t>
                  </m:r>
                </m:e>
                <m:sub>
                  <m:r>
                    <m:rPr>
                      <m:nor/>
                    </m:rPr>
                    <w:rPr>
                      <w:i/>
                      <w:iCs/>
                    </w:rPr>
                    <m:t>F</m:t>
                  </m:r>
                </m:sub>
              </m:sSub>
            </m:num>
            <m:den>
              <m:r>
                <m:rPr>
                  <m:nor/>
                </m:rPr>
                <w:rPr>
                  <w:i/>
                  <w:iCs/>
                </w:rPr>
                <m:t>∂W</m:t>
              </m:r>
            </m:den>
          </m:f>
          <m:r>
            <w:rPr>
              <w:rFonts w:ascii="Cambria Math" w:hAnsi="Cambria Math"/>
            </w:rPr>
            <m:t>∙</m:t>
          </m:r>
          <m:f>
            <m:fPr>
              <m:ctrlPr>
                <w:rPr>
                  <w:rFonts w:ascii="Cambria Math" w:hAnsi="Cambria Math"/>
                  <w:i/>
                </w:rPr>
              </m:ctrlPr>
            </m:fPr>
            <m:num>
              <m:r>
                <m:rPr>
                  <m:nor/>
                </m:rPr>
                <w:rPr>
                  <w:i/>
                  <w:iCs/>
                </w:rPr>
                <m:t>∂W</m:t>
              </m:r>
            </m:num>
            <m:den>
              <m:r>
                <m:rPr>
                  <m:nor/>
                </m:rPr>
                <w:rPr>
                  <w:i/>
                  <w:iCs/>
                </w:rPr>
                <m:t>∂I</m:t>
              </m:r>
            </m:den>
          </m:f>
          <m:r>
            <w:rPr>
              <w:rFonts w:ascii="Cambria Math" w:hAnsi="Cambria Math"/>
            </w:rPr>
            <m:t>⟹</m:t>
          </m:r>
          <m:d>
            <m:dPr>
              <m:begChr m:val=""/>
              <m:endChr m:val="}"/>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 xml:space="preserve">                                    </m:t>
                    </m:r>
                    <m:f>
                      <m:fPr>
                        <m:ctrlPr>
                          <w:rPr>
                            <w:rFonts w:ascii="Cambria Math" w:hAnsi="Cambria Math"/>
                            <w:i/>
                          </w:rPr>
                        </m:ctrlPr>
                      </m:fPr>
                      <m:num>
                        <m:r>
                          <m:rPr>
                            <m:nor/>
                          </m:rPr>
                          <w:rPr>
                            <w:i/>
                            <w:iCs/>
                          </w:rPr>
                          <m:t>∂</m:t>
                        </m:r>
                        <m:sSub>
                          <m:sSubPr>
                            <m:ctrlPr>
                              <w:rPr>
                                <w:rFonts w:ascii="Cambria Math" w:hAnsi="Cambria Math"/>
                                <w:i/>
                                <w:iCs/>
                              </w:rPr>
                            </m:ctrlPr>
                          </m:sSubPr>
                          <m:e>
                            <m:r>
                              <m:rPr>
                                <m:nor/>
                              </m:rPr>
                              <w:rPr>
                                <w:i/>
                                <w:iCs/>
                              </w:rPr>
                              <m:t>I</m:t>
                            </m:r>
                          </m:e>
                          <m:sub>
                            <m:r>
                              <m:rPr>
                                <m:nor/>
                              </m:rPr>
                              <w:rPr>
                                <w:i/>
                                <w:iCs/>
                              </w:rPr>
                              <m:t>F</m:t>
                            </m:r>
                          </m:sub>
                        </m:sSub>
                      </m:num>
                      <m:den>
                        <m:r>
                          <m:rPr>
                            <m:nor/>
                          </m:rPr>
                          <w:rPr>
                            <w:i/>
                            <w:iCs/>
                          </w:rPr>
                          <m:t>∂W</m:t>
                        </m:r>
                      </m:den>
                    </m:f>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rPr>
                          <m:t>θ</m:t>
                        </m:r>
                      </m:e>
                    </m:d>
                  </m:e>
                </m:mr>
                <m:mr>
                  <m:e>
                    <m:r>
                      <w:rPr>
                        <w:rFonts w:ascii="Cambria Math" w:eastAsiaTheme="minorEastAsia" w:hAnsi="Cambria Math"/>
                      </w:rPr>
                      <m:t xml:space="preserve"> </m:t>
                    </m:r>
                  </m:e>
                </m:mr>
                <m:mr>
                  <m:e>
                    <m:f>
                      <m:fPr>
                        <m:ctrlPr>
                          <w:rPr>
                            <w:rFonts w:ascii="Cambria Math" w:hAnsi="Cambria Math"/>
                            <w:i/>
                          </w:rPr>
                        </m:ctrlPr>
                      </m:fPr>
                      <m:num>
                        <m:r>
                          <m:rPr>
                            <m:nor/>
                          </m:rPr>
                          <w:rPr>
                            <w:i/>
                            <w:iCs/>
                          </w:rPr>
                          <m:t>∂W</m:t>
                        </m:r>
                      </m:num>
                      <m:den>
                        <m:r>
                          <m:rPr>
                            <m:nor/>
                          </m:rPr>
                          <w:rPr>
                            <w:i/>
                            <w:iCs/>
                          </w:rPr>
                          <m:t>∂I</m:t>
                        </m:r>
                      </m:den>
                    </m:f>
                    <m:r>
                      <w:rPr>
                        <w:rFonts w:ascii="Cambria Math" w:eastAsiaTheme="minorEastAsia" w:hAnsi="Cambria Math"/>
                      </w:rPr>
                      <m:t>=</m:t>
                    </m:r>
                    <m:f>
                      <m:fPr>
                        <m:ctrlPr>
                          <w:rPr>
                            <w:rFonts w:ascii="Cambria Math" w:hAnsi="Cambria Math"/>
                            <w:i/>
                          </w:rPr>
                        </m:ctrlPr>
                      </m:fPr>
                      <m:num>
                        <m:r>
                          <m:rPr>
                            <m:nor/>
                          </m:rPr>
                          <w:rPr>
                            <w:i/>
                            <w:iCs/>
                          </w:rPr>
                          <m:t>∂W</m:t>
                        </m:r>
                      </m:num>
                      <m:den>
                        <m:r>
                          <m:rPr>
                            <m:nor/>
                          </m:rPr>
                          <w:rPr>
                            <w:i/>
                            <w:iCs/>
                          </w:rPr>
                          <m:t>∂ϰ</m:t>
                        </m:r>
                      </m:den>
                    </m:f>
                    <m:r>
                      <w:rPr>
                        <w:rFonts w:ascii="Cambria Math" w:hAnsi="Cambria Math"/>
                      </w:rPr>
                      <m:t>∙</m:t>
                    </m:r>
                    <m:f>
                      <m:fPr>
                        <m:ctrlPr>
                          <w:rPr>
                            <w:rFonts w:ascii="Cambria Math" w:hAnsi="Cambria Math"/>
                            <w:i/>
                          </w:rPr>
                        </m:ctrlPr>
                      </m:fPr>
                      <m:num>
                        <m:r>
                          <m:rPr>
                            <m:nor/>
                          </m:rPr>
                          <w:rPr>
                            <w:i/>
                            <w:iCs/>
                          </w:rPr>
                          <m:t>∂ϰ</m:t>
                        </m:r>
                      </m:num>
                      <m:den>
                        <m:r>
                          <m:rPr>
                            <m:nor/>
                          </m:rPr>
                          <w:rPr>
                            <w:i/>
                            <w:iCs/>
                          </w:rPr>
                          <m:t>∂I</m:t>
                        </m:r>
                      </m:den>
                    </m:f>
                    <m:r>
                      <w:rPr>
                        <w:rFonts w:ascii="Cambria Math" w:hAnsi="Cambria Math"/>
                      </w:rPr>
                      <m:t>=-</m:t>
                    </m:r>
                    <m:r>
                      <m:rPr>
                        <m:nor/>
                      </m:rPr>
                      <w:rPr>
                        <w:i/>
                        <w:iCs/>
                      </w:rPr>
                      <m:t>D*</m:t>
                    </m:r>
                    <m:r>
                      <w:rPr>
                        <w:rFonts w:ascii="Cambria Math" w:hAnsi="Cambria Math"/>
                      </w:rPr>
                      <m:t>∙</m:t>
                    </m:r>
                    <m:f>
                      <m:fPr>
                        <m:ctrlPr>
                          <w:rPr>
                            <w:rFonts w:ascii="Cambria Math" w:eastAsiaTheme="minorEastAsia" w:hAnsi="Cambria Math"/>
                            <w:i/>
                            <w:iCs/>
                          </w:rPr>
                        </m:ctrlPr>
                      </m:fPr>
                      <m:num>
                        <m:r>
                          <w:rPr>
                            <w:rFonts w:ascii="Cambria Math" w:hAnsi="Cambria Math"/>
                          </w:rPr>
                          <m:t>-</m:t>
                        </m:r>
                        <m:d>
                          <m:dPr>
                            <m:ctrlPr>
                              <w:rPr>
                                <w:rFonts w:ascii="Cambria Math" w:hAnsi="Cambria Math"/>
                                <w:i/>
                                <w:iCs/>
                              </w:rPr>
                            </m:ctrlPr>
                          </m:dPr>
                          <m:e>
                            <m:r>
                              <m:rPr>
                                <m:nor/>
                              </m:rPr>
                              <w:rPr>
                                <w:i/>
                              </w:rPr>
                              <m:t>1</m:t>
                            </m:r>
                            <m:r>
                              <w:rPr>
                                <w:rFonts w:ascii="Cambria Math" w:hAnsi="Cambria Math"/>
                              </w:rPr>
                              <m:t>-</m:t>
                            </m:r>
                            <m:r>
                              <m:rPr>
                                <m:nor/>
                              </m:rPr>
                              <w:rPr>
                                <w:i/>
                              </w:rPr>
                              <m:t>β</m:t>
                            </m:r>
                          </m:e>
                        </m:d>
                      </m:num>
                      <m:den>
                        <m:r>
                          <m:rPr>
                            <m:nor/>
                          </m:rPr>
                          <w:rPr>
                            <w:i/>
                            <w:iCs/>
                          </w:rPr>
                          <m:t>XN</m:t>
                        </m:r>
                      </m:den>
                    </m:f>
                  </m:e>
                </m:mr>
              </m:m>
            </m:e>
          </m:d>
          <m:r>
            <w:rPr>
              <w:rFonts w:ascii="Cambria Math" w:eastAsiaTheme="minorEastAsia" w:hAnsi="Cambria Math"/>
            </w:rPr>
            <m:t>⟹</m:t>
          </m:r>
          <m:borderBox>
            <m:borderBoxPr>
              <m:ctrlPr>
                <w:rPr>
                  <w:rFonts w:ascii="Cambria Math" w:hAnsi="Cambria Math"/>
                  <w:i/>
                </w:rPr>
              </m:ctrlPr>
            </m:borderBoxPr>
            <m:e>
              <m:f>
                <m:fPr>
                  <m:ctrlPr>
                    <w:rPr>
                      <w:rFonts w:ascii="Cambria Math" w:hAnsi="Cambria Math"/>
                      <w:i/>
                    </w:rPr>
                  </m:ctrlPr>
                </m:fPr>
                <m:num>
                  <m:r>
                    <m:rPr>
                      <m:nor/>
                    </m:rPr>
                    <w:rPr>
                      <w:i/>
                      <w:iCs/>
                    </w:rPr>
                    <m:t>∂</m:t>
                  </m:r>
                  <m:sSub>
                    <m:sSubPr>
                      <m:ctrlPr>
                        <w:rPr>
                          <w:rFonts w:ascii="Cambria Math" w:hAnsi="Cambria Math"/>
                          <w:i/>
                          <w:iCs/>
                        </w:rPr>
                      </m:ctrlPr>
                    </m:sSubPr>
                    <m:e>
                      <m:r>
                        <m:rPr>
                          <m:nor/>
                        </m:rPr>
                        <w:rPr>
                          <w:i/>
                          <w:iCs/>
                        </w:rPr>
                        <m:t>I</m:t>
                      </m:r>
                    </m:e>
                    <m:sub>
                      <m:r>
                        <m:rPr>
                          <m:nor/>
                        </m:rPr>
                        <w:rPr>
                          <w:i/>
                          <w:iCs/>
                        </w:rPr>
                        <m:t>F</m:t>
                      </m:r>
                    </m:sub>
                  </m:sSub>
                </m:num>
                <m:den>
                  <m:r>
                    <m:rPr>
                      <m:nor/>
                    </m:rPr>
                    <w:rPr>
                      <w:i/>
                      <w:iCs/>
                    </w:rPr>
                    <m:t>∂I</m:t>
                  </m:r>
                </m:den>
              </m:f>
              <m:r>
                <w:rPr>
                  <w:rFonts w:ascii="Cambria Math" w:eastAsiaTheme="minorEastAsia" w:hAnsi="Cambria Math"/>
                </w:rPr>
                <m:t>=</m:t>
              </m:r>
              <m:f>
                <m:fPr>
                  <m:ctrlPr>
                    <w:rPr>
                      <w:rFonts w:ascii="Cambria Math" w:eastAsiaTheme="minorEastAsia" w:hAnsi="Cambria Math"/>
                      <w:i/>
                      <w:iCs/>
                    </w:rPr>
                  </m:ctrlPr>
                </m:fPr>
                <m:num>
                  <m:d>
                    <m:dPr>
                      <m:ctrlPr>
                        <w:rPr>
                          <w:rFonts w:ascii="Cambria Math" w:hAnsi="Cambria Math"/>
                          <w:i/>
                          <w:iCs/>
                        </w:rPr>
                      </m:ctrlPr>
                    </m:dPr>
                    <m:e>
                      <m:r>
                        <m:rPr>
                          <m:nor/>
                        </m:rPr>
                        <w:rPr>
                          <w:i/>
                          <w:iCs/>
                        </w:rPr>
                        <m:t>1</m:t>
                      </m:r>
                      <m:r>
                        <w:rPr>
                          <w:rFonts w:ascii="Cambria Math" w:hAnsi="Cambria Math"/>
                        </w:rPr>
                        <m:t>+</m:t>
                      </m:r>
                      <m:r>
                        <m:rPr>
                          <m:nor/>
                        </m:rPr>
                        <w:rPr>
                          <w:i/>
                        </w:rPr>
                        <m:t>θ</m:t>
                      </m:r>
                    </m:e>
                  </m:d>
                  <m:r>
                    <w:rPr>
                      <w:rFonts w:ascii="Cambria Math" w:hAnsi="Cambria Math"/>
                    </w:rPr>
                    <m:t>∙</m:t>
                  </m:r>
                  <m:d>
                    <m:dPr>
                      <m:ctrlPr>
                        <w:rPr>
                          <w:rFonts w:ascii="Cambria Math" w:hAnsi="Cambria Math"/>
                          <w:i/>
                          <w:iCs/>
                        </w:rPr>
                      </m:ctrlPr>
                    </m:dPr>
                    <m:e>
                      <m:r>
                        <m:rPr>
                          <m:nor/>
                        </m:rPr>
                        <w:rPr>
                          <w:i/>
                        </w:rPr>
                        <m:t>1</m:t>
                      </m:r>
                      <m:r>
                        <w:rPr>
                          <w:rFonts w:ascii="Cambria Math" w:hAnsi="Cambria Math"/>
                        </w:rPr>
                        <m:t>-</m:t>
                      </m:r>
                      <m:r>
                        <m:rPr>
                          <m:nor/>
                        </m:rPr>
                        <w:rPr>
                          <w:i/>
                        </w:rPr>
                        <m:t>β</m:t>
                      </m:r>
                    </m:e>
                  </m:d>
                  <m:r>
                    <w:rPr>
                      <w:rFonts w:ascii="Cambria Math" w:hAnsi="Cambria Math"/>
                    </w:rPr>
                    <m:t>∙</m:t>
                  </m:r>
                  <m:r>
                    <m:rPr>
                      <m:nor/>
                    </m:rPr>
                    <w:rPr>
                      <w:i/>
                      <w:iCs/>
                    </w:rPr>
                    <m:t>D*</m:t>
                  </m:r>
                </m:num>
                <m:den>
                  <m:r>
                    <m:rPr>
                      <m:nor/>
                    </m:rPr>
                    <w:rPr>
                      <w:i/>
                      <w:iCs/>
                    </w:rPr>
                    <m:t>XN</m:t>
                  </m:r>
                </m:den>
              </m:f>
            </m:e>
          </m:borderBox>
        </m:oMath>
      </m:oMathPara>
    </w:p>
    <w:p w14:paraId="218D2B63" w14:textId="58CB057F" w:rsidR="00710FA9" w:rsidRDefault="004E4A18" w:rsidP="004E4A18">
      <w:pPr>
        <w:pStyle w:val="Nivel3SM"/>
        <w:keepNext/>
      </w:pPr>
      <w:r>
        <w:t xml:space="preserve">Así, la </w:t>
      </w:r>
      <w:r>
        <w:rPr>
          <w:b/>
          <w:bCs/>
        </w:rPr>
        <w:t>probabilidad</w:t>
      </w:r>
      <w:r>
        <w:t xml:space="preserve"> de que se produzca una crisis será </w:t>
      </w:r>
      <w:r w:rsidRPr="004E4A18">
        <w:rPr>
          <w:b/>
          <w:bCs/>
        </w:rPr>
        <w:t>mayor</w:t>
      </w:r>
      <w:r>
        <w:t xml:space="preserve"> cuanto:</w:t>
      </w:r>
    </w:p>
    <w:p w14:paraId="08671D75" w14:textId="40A77B8F" w:rsidR="004E4A18" w:rsidRDefault="004E4A18" w:rsidP="004E4A18">
      <w:pPr>
        <w:pStyle w:val="Nivel4"/>
        <w:ind w:left="1474"/>
      </w:pPr>
      <w:r>
        <w:rPr>
          <w:i/>
          <w:iCs/>
        </w:rPr>
        <w:t>Mayor</w:t>
      </w:r>
      <w:r>
        <w:t xml:space="preserve"> sea el nivel de </w:t>
      </w:r>
      <w:r>
        <w:rPr>
          <w:i/>
          <w:iCs/>
        </w:rPr>
        <w:t>apalancamiento</w:t>
      </w:r>
      <w:r>
        <w:t xml:space="preserve">, </w:t>
      </w:r>
      <m:oMath>
        <m:r>
          <m:rPr>
            <m:nor/>
          </m:rPr>
          <w:rPr>
            <w:i/>
          </w:rPr>
          <m:t>θ</m:t>
        </m:r>
      </m:oMath>
      <w:r w:rsidR="004524A6">
        <w:rPr>
          <w:rStyle w:val="Refdenotaalpie"/>
        </w:rPr>
        <w:footnoteReference w:id="12"/>
      </w:r>
      <w:r>
        <w:t>.</w:t>
      </w:r>
    </w:p>
    <w:p w14:paraId="32C53712" w14:textId="49D55E95" w:rsidR="004E4A18" w:rsidRDefault="004E4A18" w:rsidP="004E4A18">
      <w:pPr>
        <w:pStyle w:val="Nivel4"/>
        <w:ind w:left="1474"/>
      </w:pPr>
      <w:r>
        <w:rPr>
          <w:i/>
          <w:iCs/>
        </w:rPr>
        <w:t>Mayor</w:t>
      </w:r>
      <w:r w:rsidRPr="004E4A18">
        <w:t xml:space="preserve"> sea la</w:t>
      </w:r>
      <w:r>
        <w:rPr>
          <w:i/>
          <w:iCs/>
        </w:rPr>
        <w:t xml:space="preserve"> deuda en divisas en relación con las exportaciones netas</w:t>
      </w:r>
      <w:r>
        <w:t xml:space="preserve"> (</w:t>
      </w:r>
      <m:oMath>
        <m:f>
          <m:fPr>
            <m:type m:val="lin"/>
            <m:ctrlPr>
              <w:rPr>
                <w:rFonts w:ascii="Cambria Math" w:hAnsi="Cambria Math"/>
                <w:i/>
              </w:rPr>
            </m:ctrlPr>
          </m:fPr>
          <m:num>
            <m:r>
              <m:rPr>
                <m:nor/>
              </m:rPr>
              <w:rPr>
                <w:i/>
                <w:iCs/>
              </w:rPr>
              <m:t>D*</m:t>
            </m:r>
          </m:num>
          <m:den>
            <m:r>
              <m:rPr>
                <m:nor/>
              </m:rPr>
              <w:rPr>
                <w:i/>
                <w:iCs/>
              </w:rPr>
              <m:t>XN</m:t>
            </m:r>
          </m:den>
        </m:f>
      </m:oMath>
      <w:r>
        <w:t>).</w:t>
      </w:r>
    </w:p>
    <w:p w14:paraId="1EB7A81D" w14:textId="367B08CC" w:rsidR="004E4A18" w:rsidRPr="00710FA9" w:rsidRDefault="004E4A18" w:rsidP="004E4A18">
      <w:pPr>
        <w:pStyle w:val="Nivel4"/>
        <w:spacing w:after="100"/>
        <w:ind w:left="1474"/>
      </w:pPr>
      <w:r>
        <w:rPr>
          <w:i/>
          <w:iCs/>
        </w:rPr>
        <w:t>Menor</w:t>
      </w:r>
      <w:r w:rsidRPr="004E4A18">
        <w:t xml:space="preserve"> sea</w:t>
      </w:r>
      <w:r>
        <w:t xml:space="preserve"> </w:t>
      </w:r>
      <w:proofErr w:type="gramStart"/>
      <w:r>
        <w:t xml:space="preserve">la </w:t>
      </w:r>
      <w:r>
        <w:rPr>
          <w:i/>
          <w:iCs/>
        </w:rPr>
        <w:t>propensión marginal a importar</w:t>
      </w:r>
      <w:proofErr w:type="gramEnd"/>
      <w:r>
        <w:t xml:space="preserve"> (</w:t>
      </w:r>
      <m:oMath>
        <m:r>
          <m:rPr>
            <m:nor/>
          </m:rPr>
          <w:rPr>
            <w:i/>
          </w:rPr>
          <m:t>β</m:t>
        </m:r>
      </m:oMath>
      <w:r>
        <w:t>).</w:t>
      </w:r>
    </w:p>
    <w:p w14:paraId="637F7C28" w14:textId="4794B242" w:rsidR="004E4A18" w:rsidRDefault="004E4A18" w:rsidP="004E4A18">
      <w:pPr>
        <w:pStyle w:val="Nivel1SM"/>
        <w:keepNext/>
        <w:spacing w:after="0"/>
      </w:pPr>
      <w:r>
        <w:t xml:space="preserve">El modelo se completa con un </w:t>
      </w:r>
      <w:r w:rsidRPr="004E4A18">
        <w:rPr>
          <w:i/>
          <w:iCs/>
          <w:u w:val="single"/>
        </w:rPr>
        <w:t>gráfico</w:t>
      </w:r>
      <w:r>
        <w:t xml:space="preserve"> auxiliar que nos permite mostrar el equilibrio del modelo</w:t>
      </w:r>
      <w:r w:rsidR="00025C43">
        <w:t xml:space="preserve"> </w:t>
      </w:r>
      <w:r w:rsidR="00025C43" w:rsidRPr="00025C43">
        <w:rPr>
          <w:color w:val="767171" w:themeColor="background2" w:themeShade="80"/>
          <w:sz w:val="19"/>
          <w:szCs w:val="19"/>
        </w:rPr>
        <w:t xml:space="preserve">[ver </w:t>
      </w:r>
      <w:r w:rsidR="00025C43" w:rsidRPr="00025C43">
        <w:rPr>
          <w:color w:val="767171" w:themeColor="background2" w:themeShade="80"/>
          <w:sz w:val="19"/>
          <w:szCs w:val="19"/>
        </w:rPr>
        <w:fldChar w:fldCharType="begin"/>
      </w:r>
      <w:r w:rsidR="00025C43" w:rsidRPr="00025C43">
        <w:rPr>
          <w:color w:val="767171" w:themeColor="background2" w:themeShade="80"/>
          <w:sz w:val="19"/>
          <w:szCs w:val="19"/>
        </w:rPr>
        <w:instrText xml:space="preserve"> REF _Ref131018311 \h </w:instrText>
      </w:r>
      <w:r w:rsidR="00025C43">
        <w:rPr>
          <w:color w:val="767171" w:themeColor="background2" w:themeShade="80"/>
          <w:sz w:val="19"/>
          <w:szCs w:val="19"/>
        </w:rPr>
        <w:instrText xml:space="preserve"> \* MERGEFORMAT </w:instrText>
      </w:r>
      <w:r w:rsidR="00025C43" w:rsidRPr="00025C43">
        <w:rPr>
          <w:color w:val="767171" w:themeColor="background2" w:themeShade="80"/>
          <w:sz w:val="19"/>
          <w:szCs w:val="19"/>
        </w:rPr>
      </w:r>
      <w:r w:rsidR="00025C43" w:rsidRPr="00025C43">
        <w:rPr>
          <w:color w:val="767171" w:themeColor="background2" w:themeShade="80"/>
          <w:sz w:val="19"/>
          <w:szCs w:val="19"/>
        </w:rPr>
        <w:fldChar w:fldCharType="separate"/>
      </w:r>
      <w:r w:rsidR="009A4A5C" w:rsidRPr="009A4A5C">
        <w:rPr>
          <w:color w:val="767171" w:themeColor="background2" w:themeShade="80"/>
          <w:sz w:val="19"/>
          <w:szCs w:val="19"/>
        </w:rPr>
        <w:t>Imagen 2</w:t>
      </w:r>
      <w:r w:rsidR="00025C43" w:rsidRPr="00025C43">
        <w:rPr>
          <w:color w:val="767171" w:themeColor="background2" w:themeShade="80"/>
          <w:sz w:val="19"/>
          <w:szCs w:val="19"/>
        </w:rPr>
        <w:fldChar w:fldCharType="end"/>
      </w:r>
      <w:r w:rsidR="00025C43" w:rsidRPr="00025C43">
        <w:rPr>
          <w:color w:val="767171" w:themeColor="background2" w:themeShade="80"/>
          <w:sz w:val="19"/>
          <w:szCs w:val="19"/>
        </w:rPr>
        <w:t>]</w:t>
      </w:r>
      <w:r>
        <w:t>.</w:t>
      </w:r>
    </w:p>
    <w:p w14:paraId="03BD49D6" w14:textId="42DAFABD" w:rsidR="0034504F" w:rsidRDefault="004E4A18" w:rsidP="00AD4CCA">
      <w:pPr>
        <w:pStyle w:val="Nivel2SM"/>
        <w:keepNext/>
        <w:spacing w:after="0"/>
      </w:pPr>
      <w:r>
        <w:t>Representamos en el eje de abscisas el nivel esperado de inversión, y en el eje de ordenada</w:t>
      </w:r>
      <w:r w:rsidR="004971A2">
        <w:t>s</w:t>
      </w:r>
      <w:r>
        <w:t xml:space="preserve"> el nivel de inversión efectivo.</w:t>
      </w:r>
    </w:p>
    <w:p w14:paraId="2DAED0EA" w14:textId="659EC974" w:rsidR="00AD4CCA" w:rsidRPr="00AD4CCA" w:rsidRDefault="00AD4CCA" w:rsidP="00AD4CCA">
      <w:pPr>
        <w:pStyle w:val="Nivel3SM"/>
        <w:rPr>
          <w:spacing w:val="-3"/>
        </w:rPr>
      </w:pPr>
      <w:r w:rsidRPr="00AD4CCA">
        <w:rPr>
          <w:spacing w:val="-3"/>
        </w:rPr>
        <w:t>El nivel esperado de inversión, a través de su efecto en el tipo de cambio real y, por tanto, en el balance de las empresas, determinará la cuantía de crédito otorgado. Ese nivel de crédito determinará a su vez el nivel de inversión efectivo, representado en el eje de ordenadas.</w:t>
      </w:r>
    </w:p>
    <w:p w14:paraId="64094FF0" w14:textId="5C04EE62" w:rsidR="004E4A18" w:rsidRDefault="004E4A18" w:rsidP="00AD4CCA">
      <w:pPr>
        <w:pStyle w:val="Nivel3SM"/>
      </w:pPr>
      <w:r>
        <w:t>El equilibrio se da en la bisectriz (la línea de 45 °), donde la inversión se iguala al nivel de inversión esperado.</w:t>
      </w:r>
    </w:p>
    <w:p w14:paraId="4439F9F9" w14:textId="3FA85609" w:rsidR="004E4A18" w:rsidRDefault="004E4A18" w:rsidP="004E4A18">
      <w:pPr>
        <w:pStyle w:val="Nivel2SM"/>
        <w:spacing w:after="0"/>
      </w:pPr>
      <w:r>
        <w:lastRenderedPageBreak/>
        <w:t xml:space="preserve">Pues bien, la curva que representa la relación entre el nivel de inversión esperado y real presenta </w:t>
      </w:r>
      <w:r w:rsidR="004971A2">
        <w:t>3 </w:t>
      </w:r>
      <w:r>
        <w:t>tramos:</w:t>
      </w:r>
    </w:p>
    <w:p w14:paraId="241214B9" w14:textId="77777777" w:rsidR="004524A6" w:rsidRDefault="004E4A18">
      <w:pPr>
        <w:pStyle w:val="Prrafodelista"/>
        <w:keepNext/>
        <w:numPr>
          <w:ilvl w:val="2"/>
          <w:numId w:val="8"/>
        </w:numPr>
        <w:spacing w:after="0"/>
        <w:ind w:left="1134" w:hanging="113"/>
      </w:pPr>
      <w:r>
        <w:t>Para niveles reducidos de inversión esperada, las empresas irán quebrando y no podrán acometer decisiones de inversión que se tornará nula.</w:t>
      </w:r>
    </w:p>
    <w:p w14:paraId="67BE5951" w14:textId="1A64B21F" w:rsidR="004E4A18" w:rsidRDefault="004E4A18" w:rsidP="004524A6">
      <w:pPr>
        <w:pStyle w:val="Nivel4"/>
        <w:ind w:left="1474"/>
      </w:pPr>
      <w:r>
        <w:t>La idea es que los prestamistas no ofrecen financiación porque creen que los empresarios no disponen de colateral. Ello llevará a una retroalimentación donde la inversión esperada caería a cero a medida que se cierra el grifo de financiación. Todo ello llevará a un equilibrio situado en el origen (inversión nula). Se genera así una situación de expectativas autocumplidas.</w:t>
      </w:r>
    </w:p>
    <w:p w14:paraId="7A321DAA" w14:textId="173D13D1" w:rsidR="004E4A18" w:rsidRDefault="004E4A18">
      <w:pPr>
        <w:pStyle w:val="Prrafodelista"/>
        <w:numPr>
          <w:ilvl w:val="2"/>
          <w:numId w:val="8"/>
        </w:numPr>
        <w:spacing w:after="0"/>
        <w:ind w:left="1134" w:hanging="113"/>
      </w:pPr>
      <w:r>
        <w:t>Para niveles elevados de in</w:t>
      </w:r>
      <w:r w:rsidR="00AD4CCA">
        <w:t>vers</w:t>
      </w:r>
      <w:r>
        <w:t xml:space="preserve">ión esperada, la restricción crediticia no operará y el nivel de inversión </w:t>
      </w:r>
      <w:r w:rsidR="004524A6">
        <w:t>vendrá determinado por su rendimiento</w:t>
      </w:r>
      <w:r>
        <w:t>.</w:t>
      </w:r>
    </w:p>
    <w:p w14:paraId="1E360CE2" w14:textId="7EFD3C63" w:rsidR="004E4A18" w:rsidRDefault="004524A6">
      <w:pPr>
        <w:pStyle w:val="Prrafodelista"/>
        <w:numPr>
          <w:ilvl w:val="2"/>
          <w:numId w:val="8"/>
        </w:numPr>
        <w:spacing w:after="0"/>
        <w:ind w:left="1134" w:hanging="113"/>
      </w:pPr>
      <w:r>
        <w:t xml:space="preserve">En el intervalo entre ambos, la inversión real se ve restringida por la disponibilidad de financiación, y </w:t>
      </w:r>
      <w:r w:rsidR="00DA3D96">
        <w:t>supon</w:t>
      </w:r>
      <w:r w:rsidR="00F93DD8">
        <w:t>dremos</w:t>
      </w:r>
      <w:r w:rsidR="00DA3D96">
        <w:t xml:space="preserve"> que </w:t>
      </w:r>
      <w:r>
        <w:t>la pendiente es mayor que la de la línea de 45 ° (</w:t>
      </w:r>
      <w:r w:rsidR="00F93DD8">
        <w:t>i.e.</w:t>
      </w:r>
      <w:r>
        <w:t xml:space="preserve"> </w:t>
      </w:r>
      <m:oMath>
        <m:f>
          <m:fPr>
            <m:type m:val="lin"/>
            <m:ctrlPr>
              <w:rPr>
                <w:rFonts w:ascii="Cambria Math" w:hAnsi="Cambria Math"/>
                <w:i/>
              </w:rPr>
            </m:ctrlPr>
          </m:fPr>
          <m:num>
            <m:r>
              <m:rPr>
                <m:nor/>
              </m:rPr>
              <w:rPr>
                <w:i/>
                <w:iCs/>
              </w:rPr>
              <m:t>∂</m:t>
            </m:r>
            <m:sSub>
              <m:sSubPr>
                <m:ctrlPr>
                  <w:rPr>
                    <w:rFonts w:ascii="Cambria Math" w:hAnsi="Cambria Math"/>
                    <w:i/>
                    <w:iCs/>
                  </w:rPr>
                </m:ctrlPr>
              </m:sSubPr>
              <m:e>
                <m:r>
                  <m:rPr>
                    <m:nor/>
                  </m:rPr>
                  <w:rPr>
                    <w:i/>
                    <w:iCs/>
                  </w:rPr>
                  <m:t>I</m:t>
                </m:r>
              </m:e>
              <m:sub>
                <m:r>
                  <m:rPr>
                    <m:nor/>
                  </m:rPr>
                  <w:rPr>
                    <w:i/>
                    <w:iCs/>
                  </w:rPr>
                  <m:t>F</m:t>
                </m:r>
              </m:sub>
            </m:sSub>
          </m:num>
          <m:den>
            <m:r>
              <m:rPr>
                <m:nor/>
              </m:rPr>
              <w:rPr>
                <w:i/>
                <w:iCs/>
              </w:rPr>
              <m:t>∂I</m:t>
            </m:r>
          </m:den>
        </m:f>
        <m:r>
          <w:rPr>
            <w:rFonts w:ascii="Cambria Math" w:eastAsiaTheme="minorEastAsia" w:hAnsi="Cambria Math"/>
          </w:rPr>
          <m:t>&gt;</m:t>
        </m:r>
        <m:r>
          <m:rPr>
            <m:nor/>
          </m:rPr>
          <w:rPr>
            <w:i/>
            <w:iCs/>
          </w:rPr>
          <m:t>1</m:t>
        </m:r>
      </m:oMath>
      <w:r>
        <w:t>).</w:t>
      </w:r>
    </w:p>
    <w:p w14:paraId="44FAF87F" w14:textId="53667417" w:rsidR="004524A6" w:rsidRDefault="004524A6" w:rsidP="004524A6">
      <w:pPr>
        <w:pStyle w:val="Nivel2SM"/>
        <w:keepNext/>
        <w:spacing w:after="0"/>
      </w:pPr>
      <w:r>
        <w:t xml:space="preserve">Existen por tanto, </w:t>
      </w:r>
      <w:r w:rsidR="004971A2">
        <w:t>3 </w:t>
      </w:r>
      <w:r>
        <w:t>puntos de equilibrio en el modelo, en los que la inversión real se iguala a la esperada.</w:t>
      </w:r>
    </w:p>
    <w:p w14:paraId="2AC4E3D5" w14:textId="0A9A7A8B" w:rsidR="004524A6" w:rsidRDefault="004524A6">
      <w:pPr>
        <w:pStyle w:val="Prrafodelista"/>
        <w:numPr>
          <w:ilvl w:val="0"/>
          <w:numId w:val="17"/>
        </w:numPr>
        <w:spacing w:after="0"/>
        <w:ind w:left="1135" w:hanging="284"/>
      </w:pPr>
      <w:r>
        <w:t xml:space="preserve">En el equilibrio con nivel elevado de inversión, </w:t>
      </w:r>
      <w:r>
        <w:rPr>
          <w:i/>
          <w:iCs/>
        </w:rPr>
        <w:t>H</w:t>
      </w:r>
      <w:r>
        <w:t>, se invierte hasta el punto en el que se igualen el retorno de la inversión doméstica y la extranjera.</w:t>
      </w:r>
    </w:p>
    <w:p w14:paraId="635BD58D" w14:textId="1C807598" w:rsidR="004524A6" w:rsidRDefault="004524A6">
      <w:pPr>
        <w:pStyle w:val="Prrafodelista"/>
        <w:numPr>
          <w:ilvl w:val="0"/>
          <w:numId w:val="17"/>
        </w:numPr>
        <w:spacing w:after="0"/>
        <w:ind w:left="1135" w:hanging="284"/>
      </w:pPr>
      <w:r>
        <w:t xml:space="preserve">En el equilibrio de bajo nivel, </w:t>
      </w:r>
      <w:r>
        <w:rPr>
          <w:i/>
          <w:iCs/>
        </w:rPr>
        <w:t>L</w:t>
      </w:r>
      <w:r>
        <w:t>, los prestamistas no ofrecen financiación porque creen que los empresarios no disponen de colateral. Esto provoca una depreciación del tipo de cambio real que a su vez genera la quiebra de los empresario</w:t>
      </w:r>
      <w:r w:rsidR="004971A2">
        <w:t>s</w:t>
      </w:r>
      <w:r>
        <w:t xml:space="preserve">. Se genera así una situación de </w:t>
      </w:r>
      <w:r>
        <w:rPr>
          <w:i/>
          <w:iCs/>
        </w:rPr>
        <w:t>expectativas autocumplidas</w:t>
      </w:r>
      <w:r>
        <w:t>.</w:t>
      </w:r>
    </w:p>
    <w:p w14:paraId="53B07623" w14:textId="3C9D5643" w:rsidR="004524A6" w:rsidRDefault="004524A6">
      <w:pPr>
        <w:pStyle w:val="Prrafodelista"/>
        <w:numPr>
          <w:ilvl w:val="0"/>
          <w:numId w:val="17"/>
        </w:numPr>
        <w:spacing w:after="0"/>
        <w:ind w:left="1135" w:hanging="284"/>
      </w:pPr>
      <w:r>
        <w:t xml:space="preserve">En el punto intermedio, </w:t>
      </w:r>
      <w:r>
        <w:rPr>
          <w:i/>
          <w:iCs/>
        </w:rPr>
        <w:t>U</w:t>
      </w:r>
      <w:r>
        <w:t>, si la inversión</w:t>
      </w:r>
      <w:r w:rsidR="00DB40FA">
        <w:t xml:space="preserve"> esperada por cualquier motivo se desplazase ligeramente hacia la derecha o hacia la izquierd</w:t>
      </w:r>
      <w:r w:rsidR="004971A2">
        <w:t>a</w:t>
      </w:r>
      <w:r w:rsidR="00DB40FA">
        <w:t xml:space="preserve">, la inversión real se modificaría hasta alcanzar el punto </w:t>
      </w:r>
      <w:r w:rsidR="00DB40FA">
        <w:rPr>
          <w:i/>
          <w:iCs/>
        </w:rPr>
        <w:t>H</w:t>
      </w:r>
      <w:r w:rsidR="00DB40FA">
        <w:t xml:space="preserve"> o </w:t>
      </w:r>
      <w:r w:rsidR="00DB40FA">
        <w:rPr>
          <w:i/>
          <w:iCs/>
        </w:rPr>
        <w:t>L</w:t>
      </w:r>
      <w:r w:rsidR="00DB40FA">
        <w:t xml:space="preserve"> respectivamente.</w:t>
      </w:r>
    </w:p>
    <w:p w14:paraId="389C033B" w14:textId="78C7DBDC" w:rsidR="004E4A18" w:rsidRDefault="00DB40FA" w:rsidP="004524A6">
      <w:pPr>
        <w:pStyle w:val="Nivel4"/>
        <w:ind w:left="1474"/>
      </w:pPr>
      <w:r>
        <w:t>Nótese que l</w:t>
      </w:r>
      <w:r w:rsidR="004524A6">
        <w:t xml:space="preserve">os dos puntos extremos </w:t>
      </w:r>
      <w:r>
        <w:t xml:space="preserve">son equilibrios estables, mientras que el equilibrio intermedio, </w:t>
      </w:r>
      <w:r>
        <w:rPr>
          <w:i/>
          <w:iCs/>
        </w:rPr>
        <w:t>U</w:t>
      </w:r>
      <w:r>
        <w:t>, es un equilibrio inestable.</w:t>
      </w:r>
    </w:p>
    <w:p w14:paraId="264A7585" w14:textId="1E724C8B" w:rsidR="004971A2" w:rsidRDefault="004971A2" w:rsidP="004524A6">
      <w:pPr>
        <w:pStyle w:val="Nivel4"/>
        <w:ind w:left="1474"/>
      </w:pPr>
      <w:r w:rsidRPr="004971A2">
        <w:t>Hay un equilibrio intermedio en el modelo pero es localmente inestable, si la inversión esperada se desplazase por cualquier motivo hacia la izquierda</w:t>
      </w:r>
      <w:r>
        <w:t xml:space="preserve"> </w:t>
      </w:r>
      <w:r w:rsidRPr="004971A2">
        <w:t>irá cayendo hacia cero</w:t>
      </w:r>
      <w:r>
        <w:t xml:space="preserve">, </w:t>
      </w:r>
      <w:r w:rsidRPr="004971A2">
        <w:t>y si se desplazase hacia la derecha, sería una situación de expectativas optimistas</w:t>
      </w:r>
      <w:r>
        <w:t xml:space="preserve"> </w:t>
      </w:r>
      <w:r w:rsidRPr="004971A2">
        <w:t xml:space="preserve">(boom de inversión y dinámica hacia equilibrio con </w:t>
      </w:r>
      <w:r w:rsidRPr="004971A2">
        <w:rPr>
          <w:i/>
          <w:iCs/>
        </w:rPr>
        <w:t>I</w:t>
      </w:r>
      <w:r w:rsidRPr="004971A2">
        <w:t xml:space="preserve"> elevado)</w:t>
      </w:r>
      <w:r>
        <w:t>.</w:t>
      </w:r>
    </w:p>
    <w:p w14:paraId="62A9BA88" w14:textId="6A5A4FBD" w:rsidR="004E4A18" w:rsidRPr="00025C43" w:rsidRDefault="004E4A18" w:rsidP="004E4A18">
      <w:pPr>
        <w:pStyle w:val="Ttuloimagen"/>
        <w:rPr>
          <w:i/>
          <w:iCs/>
          <w:smallCaps w:val="0"/>
          <w:lang w:val="en-US"/>
        </w:rPr>
      </w:pPr>
      <w:bookmarkStart w:id="41" w:name="_Ref131018311"/>
      <w:r w:rsidRPr="00025C43">
        <w:rPr>
          <w:lang w:val="en-US"/>
        </w:rPr>
        <w:t>Imagen</w:t>
      </w:r>
      <w:r w:rsidR="00DC4DF2" w:rsidRPr="00025C43">
        <w:rPr>
          <w:lang w:val="en-US"/>
        </w:rPr>
        <w:t> </w:t>
      </w:r>
      <w:r>
        <w:fldChar w:fldCharType="begin"/>
      </w:r>
      <w:r w:rsidRPr="00025C43">
        <w:rPr>
          <w:lang w:val="en-US"/>
        </w:rPr>
        <w:instrText xml:space="preserve"> SEQ Ilustración \* ARABIC </w:instrText>
      </w:r>
      <w:r>
        <w:fldChar w:fldCharType="separate"/>
      </w:r>
      <w:r w:rsidR="009A4A5C">
        <w:rPr>
          <w:lang w:val="en-US"/>
        </w:rPr>
        <w:t>2</w:t>
      </w:r>
      <w:r>
        <w:fldChar w:fldCharType="end"/>
      </w:r>
      <w:bookmarkEnd w:id="41"/>
      <w:r w:rsidRPr="00025C43">
        <w:rPr>
          <w:lang w:val="en-US"/>
        </w:rPr>
        <w:t>.</w:t>
      </w:r>
      <w:r w:rsidRPr="00025C43">
        <w:rPr>
          <w:smallCaps w:val="0"/>
          <w:lang w:val="en-US"/>
        </w:rPr>
        <w:t xml:space="preserve">– </w:t>
      </w:r>
      <w:r w:rsidRPr="00025C43">
        <w:rPr>
          <w:i/>
          <w:iCs/>
          <w:smallCaps w:val="0"/>
          <w:lang w:val="en-US"/>
        </w:rPr>
        <w:t xml:space="preserve">Modelo de </w:t>
      </w:r>
      <w:r w:rsidRPr="00025C43">
        <w:rPr>
          <w:i/>
          <w:iCs/>
          <w:lang w:val="en-US"/>
        </w:rPr>
        <w:t>Krugman</w:t>
      </w:r>
      <w:r w:rsidRPr="00025C43">
        <w:rPr>
          <w:i/>
          <w:iCs/>
          <w:smallCaps w:val="0"/>
          <w:lang w:val="en-US"/>
        </w:rPr>
        <w:t xml:space="preserve"> (1999)</w:t>
      </w:r>
    </w:p>
    <w:p w14:paraId="226F1590" w14:textId="77777777" w:rsidR="004E4A18" w:rsidRDefault="004524A6" w:rsidP="004E4A18">
      <w:pPr>
        <w:pStyle w:val="Imagen"/>
      </w:pPr>
      <w:r>
        <w:drawing>
          <wp:inline distT="0" distB="0" distL="0" distR="0" wp14:anchorId="3D63ACE4" wp14:editId="076CF4EF">
            <wp:extent cx="2542544" cy="1913802"/>
            <wp:effectExtent l="0" t="0" r="0" b="0"/>
            <wp:docPr id="4" name="Imagen 4"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 conjunto de letras negras en un fondo blanco&#10;&#10;Descripción generada automáticamente con confianza media"/>
                    <pic:cNvPicPr/>
                  </pic:nvPicPr>
                  <pic:blipFill>
                    <a:blip r:embed="rId12"/>
                    <a:stretch>
                      <a:fillRect/>
                    </a:stretch>
                  </pic:blipFill>
                  <pic:spPr>
                    <a:xfrm>
                      <a:off x="0" y="0"/>
                      <a:ext cx="2553711" cy="1922207"/>
                    </a:xfrm>
                    <a:prstGeom prst="rect">
                      <a:avLst/>
                    </a:prstGeom>
                  </pic:spPr>
                </pic:pic>
              </a:graphicData>
            </a:graphic>
          </wp:inline>
        </w:drawing>
      </w:r>
    </w:p>
    <w:p w14:paraId="46E97C23" w14:textId="22EE9BDA" w:rsidR="004E4A18" w:rsidRDefault="004E4A18" w:rsidP="004E4A18">
      <w:pPr>
        <w:pStyle w:val="PiedeImagen"/>
        <w:rPr>
          <w:i w:val="0"/>
          <w:iCs/>
        </w:rPr>
      </w:pPr>
      <w:r w:rsidRPr="004524A6">
        <w:rPr>
          <w:lang w:val="en-US"/>
        </w:rPr>
        <w:t>Fuente</w:t>
      </w:r>
      <w:r w:rsidRPr="004524A6">
        <w:rPr>
          <w:i w:val="0"/>
          <w:iCs/>
          <w:lang w:val="en-US"/>
        </w:rPr>
        <w:t xml:space="preserve">: </w:t>
      </w:r>
      <w:r w:rsidR="004524A6" w:rsidRPr="004524A6">
        <w:rPr>
          <w:i w:val="0"/>
          <w:iCs/>
          <w:lang w:val="en-US"/>
        </w:rPr>
        <w:t xml:space="preserve">Gandolfo, G. (2016). </w:t>
      </w:r>
      <w:r w:rsidR="004524A6" w:rsidRPr="004524A6">
        <w:rPr>
          <w:lang w:val="en-US"/>
        </w:rPr>
        <w:t>International Finance and Open-Economy Macroeconomics</w:t>
      </w:r>
      <w:r w:rsidR="004524A6" w:rsidRPr="004524A6">
        <w:rPr>
          <w:i w:val="0"/>
          <w:iCs/>
          <w:lang w:val="en-US"/>
        </w:rPr>
        <w:t xml:space="preserve">. </w:t>
      </w:r>
      <w:r w:rsidR="004524A6" w:rsidRPr="004524A6">
        <w:rPr>
          <w:i w:val="0"/>
          <w:iCs/>
        </w:rPr>
        <w:t>Springer Berlin Heidelberg</w:t>
      </w:r>
      <w:r w:rsidR="004524A6">
        <w:rPr>
          <w:i w:val="0"/>
          <w:iCs/>
        </w:rPr>
        <w:t>, pág. 403</w:t>
      </w:r>
      <w:r w:rsidR="004524A6" w:rsidRPr="004524A6">
        <w:rPr>
          <w:i w:val="0"/>
          <w:iCs/>
        </w:rPr>
        <w:t xml:space="preserve">. </w:t>
      </w:r>
      <w:hyperlink r:id="rId13" w:history="1">
        <w:r w:rsidR="004524A6" w:rsidRPr="00946066">
          <w:rPr>
            <w:rStyle w:val="Hipervnculo"/>
            <w:i w:val="0"/>
            <w:iCs/>
          </w:rPr>
          <w:t>https://doi.org/10.1007/978-3-662-49862-0</w:t>
        </w:r>
      </w:hyperlink>
    </w:p>
    <w:p w14:paraId="748CCC6D" w14:textId="63675CA1" w:rsidR="006C242E" w:rsidRDefault="006C242E" w:rsidP="006C242E">
      <w:pPr>
        <w:pStyle w:val="Nivel2SM"/>
        <w:keepNext/>
        <w:spacing w:after="0"/>
      </w:pPr>
      <w:r>
        <w:t>La peculiaridad de este modelo es que los puntos de equilibrio estable</w:t>
      </w:r>
      <w:r w:rsidR="004971A2">
        <w:t>s</w:t>
      </w:r>
      <w:r>
        <w:t xml:space="preserve"> son localmente estables pero globalmente inestables.</w:t>
      </w:r>
    </w:p>
    <w:p w14:paraId="588B5DDE" w14:textId="793028A2" w:rsidR="006C242E" w:rsidRDefault="006C242E" w:rsidP="006C242E">
      <w:pPr>
        <w:pStyle w:val="Nivel3SM"/>
        <w:spacing w:after="100"/>
        <w:rPr>
          <w:spacing w:val="-3"/>
        </w:rPr>
      </w:pPr>
      <w:r w:rsidRPr="00626578">
        <w:rPr>
          <w:spacing w:val="-3"/>
        </w:rPr>
        <w:t xml:space="preserve">Desde </w:t>
      </w:r>
      <w:r w:rsidRPr="00626578">
        <w:rPr>
          <w:i/>
          <w:iCs/>
          <w:spacing w:val="-3"/>
        </w:rPr>
        <w:t>H</w:t>
      </w:r>
      <w:r w:rsidRPr="00626578">
        <w:rPr>
          <w:spacing w:val="-3"/>
        </w:rPr>
        <w:t xml:space="preserve">, si la inversión esperada se desplazase hasta un punto a la izquierda de </w:t>
      </w:r>
      <m:oMath>
        <m:sSub>
          <m:sSubPr>
            <m:ctrlPr>
              <w:rPr>
                <w:rFonts w:ascii="Cambria Math" w:hAnsi="Cambria Math"/>
                <w:i/>
                <w:spacing w:val="-3"/>
              </w:rPr>
            </m:ctrlPr>
          </m:sSubPr>
          <m:e>
            <m:r>
              <m:rPr>
                <m:nor/>
              </m:rPr>
              <w:rPr>
                <w:i/>
                <w:spacing w:val="-3"/>
              </w:rPr>
              <m:t>U</m:t>
            </m:r>
          </m:e>
          <m:sub>
            <m:r>
              <m:rPr>
                <m:nor/>
              </m:rPr>
              <w:rPr>
                <w:i/>
                <w:spacing w:val="-3"/>
              </w:rPr>
              <m:t>E</m:t>
            </m:r>
          </m:sub>
        </m:sSub>
      </m:oMath>
      <w:r w:rsidRPr="00626578">
        <w:rPr>
          <w:spacing w:val="-3"/>
        </w:rPr>
        <w:t xml:space="preserve">, la dinámica del modelo conduciría a un nuevo equilibrio en </w:t>
      </w:r>
      <w:r w:rsidRPr="00626578">
        <w:rPr>
          <w:i/>
          <w:iCs/>
          <w:spacing w:val="-3"/>
        </w:rPr>
        <w:t>L</w:t>
      </w:r>
      <w:r w:rsidRPr="00626578">
        <w:rPr>
          <w:spacing w:val="-3"/>
        </w:rPr>
        <w:t>. De esta forma, si cualquier motivo conduce al pesimismo a los prestamistas podría producirse el colapso de la economía. La razón no es que la inversión anterior fuese poco sólida, sino la fragilidad financiera.</w:t>
      </w:r>
    </w:p>
    <w:p w14:paraId="4793D4AC" w14:textId="2C7FAFDB" w:rsidR="006C242E" w:rsidRPr="006C242E" w:rsidRDefault="006C242E" w:rsidP="006C242E">
      <w:pPr>
        <w:pStyle w:val="Nivel1SM"/>
      </w:pPr>
      <w:r w:rsidRPr="006C242E">
        <w:lastRenderedPageBreak/>
        <w:t xml:space="preserve">Las crisis enmarcadas en estos modelos se caracterizan por ser </w:t>
      </w:r>
      <w:r w:rsidRPr="006C242E">
        <w:rPr>
          <w:i/>
          <w:iCs/>
        </w:rPr>
        <w:t>menos predecibles</w:t>
      </w:r>
      <w:r w:rsidRPr="006C242E">
        <w:t xml:space="preserve"> que las anteriores debido a la presencia de fundamentos macroeconómicos sólidos. Además, </w:t>
      </w:r>
      <w:r w:rsidRPr="006C242E">
        <w:rPr>
          <w:i/>
          <w:iCs/>
        </w:rPr>
        <w:t>los efectos de las crisis gemelas son generalmente de mayor magnitud</w:t>
      </w:r>
      <w:r w:rsidRPr="006C242E">
        <w:t xml:space="preserve"> que los de las crisis monetarias o financieras por separado.</w:t>
      </w:r>
    </w:p>
    <w:p w14:paraId="1B334D1C" w14:textId="77777777" w:rsidR="0086161B" w:rsidRDefault="0086161B" w:rsidP="0086161B">
      <w:pPr>
        <w:pStyle w:val="Ttulo7"/>
      </w:pPr>
      <w:r>
        <w:t>Implicaciones</w:t>
      </w:r>
      <w:r w:rsidRPr="0086161B">
        <w:rPr>
          <w:sz w:val="19"/>
          <w:szCs w:val="19"/>
          <w:u w:val="none"/>
        </w:rPr>
        <w:t xml:space="preserve"> (solución a la crisis)</w:t>
      </w:r>
    </w:p>
    <w:p w14:paraId="0D954F81" w14:textId="77777777" w:rsidR="005000D4" w:rsidRDefault="005000D4" w:rsidP="004D7D10">
      <w:pPr>
        <w:pStyle w:val="Nivel1SM"/>
        <w:keepNext/>
        <w:spacing w:before="0" w:after="0"/>
      </w:pPr>
      <w:r>
        <w:t>En conclusión:</w:t>
      </w:r>
    </w:p>
    <w:p w14:paraId="3723AB86" w14:textId="4E698F3D" w:rsidR="0086161B" w:rsidRDefault="005000D4" w:rsidP="005000D4">
      <w:pPr>
        <w:pStyle w:val="Nivel2SM"/>
        <w:keepNext/>
        <w:spacing w:after="0"/>
      </w:pPr>
      <w:r>
        <w:t xml:space="preserve">La crisis tiene su </w:t>
      </w:r>
      <w:r w:rsidRPr="005000D4">
        <w:rPr>
          <w:b/>
          <w:bCs/>
        </w:rPr>
        <w:t>origen</w:t>
      </w:r>
      <w:r>
        <w:t xml:space="preserve"> en el </w:t>
      </w:r>
      <w:r w:rsidRPr="005000D4">
        <w:rPr>
          <w:b/>
          <w:bCs/>
        </w:rPr>
        <w:t>sistema financiero-bancario</w:t>
      </w:r>
      <w:r>
        <w:t xml:space="preserve"> por una </w:t>
      </w:r>
      <w:r>
        <w:rPr>
          <w:i/>
          <w:iCs/>
        </w:rPr>
        <w:t>súbita desconfianza</w:t>
      </w:r>
      <w:r>
        <w:t xml:space="preserve"> de los inversores, que los lleva a </w:t>
      </w:r>
      <w:r w:rsidRPr="005000D4">
        <w:rPr>
          <w:i/>
          <w:iCs/>
        </w:rPr>
        <w:t>sacar capitales</w:t>
      </w:r>
      <w:r>
        <w:t xml:space="preserve"> del país. Esta salida de capitales se traduce en una </w:t>
      </w:r>
      <w:r w:rsidRPr="005000D4">
        <w:rPr>
          <w:i/>
          <w:iCs/>
        </w:rPr>
        <w:t>fuerte depreciación</w:t>
      </w:r>
      <w:r>
        <w:t xml:space="preserve"> del tipo de cambio real (i.e. crisis cambiaria), por lo que la deuda denominada en divisas aumenta, </w:t>
      </w:r>
      <w:r w:rsidRPr="005000D4">
        <w:rPr>
          <w:i/>
          <w:iCs/>
        </w:rPr>
        <w:t>reduciendo la riqueza</w:t>
      </w:r>
      <w:r>
        <w:t xml:space="preserve"> de los agentes y, por tanto, la inversión, produciéndose una retroalimentación.</w:t>
      </w:r>
    </w:p>
    <w:p w14:paraId="42A9072E" w14:textId="1F4B4268" w:rsidR="005000D4" w:rsidRDefault="005000D4" w:rsidP="005000D4">
      <w:pPr>
        <w:pStyle w:val="Nivel2SM"/>
      </w:pPr>
      <w:r>
        <w:t xml:space="preserve">En este tipo de modelos, se hace referencia a los </w:t>
      </w:r>
      <w:r w:rsidRPr="005000D4">
        <w:rPr>
          <w:b/>
          <w:bCs/>
        </w:rPr>
        <w:t>problemas de balance para las empresas</w:t>
      </w:r>
      <w:r>
        <w:t xml:space="preserve"> que es el canal mediante el cual la crisis acarrea </w:t>
      </w:r>
      <w:r w:rsidRPr="005000D4">
        <w:rPr>
          <w:b/>
          <w:bCs/>
        </w:rPr>
        <w:t>graves consecuencias sobre la economía real</w:t>
      </w:r>
      <w:r>
        <w:t xml:space="preserve"> porque se ve afectada la inversión productiva (esto queda reflejado en las consecuentes caídas del PIB tras la crisis asiática). </w:t>
      </w:r>
      <w:r w:rsidRPr="005000D4">
        <w:t>Además, los efectos de las crisis gemelas son generalmente de mayor magnitud que los de las crisis monetarias o financieras por separado.</w:t>
      </w:r>
    </w:p>
    <w:p w14:paraId="1475FEA4" w14:textId="2D699DF5" w:rsidR="005000D4" w:rsidRPr="005000D4" w:rsidRDefault="005000D4" w:rsidP="005000D4">
      <w:pPr>
        <w:pStyle w:val="Nivel2SM"/>
        <w:rPr>
          <w:spacing w:val="-3"/>
        </w:rPr>
      </w:pPr>
      <w:r w:rsidRPr="005000D4">
        <w:rPr>
          <w:spacing w:val="-3"/>
        </w:rPr>
        <w:t>Finalmente, las crisis enmarcadas en estos modelos se caracterizan por ser menos predecibles que las anteriores debido a que dependen de súbitos cambios de las expectativas de los agentes y no de la presencia de fundamentos claramente deteriorados (los fundamentos macroeconómicos pueden ser sólidos).</w:t>
      </w:r>
    </w:p>
    <w:p w14:paraId="023D2BEE" w14:textId="77777777" w:rsidR="00780D26" w:rsidRDefault="005000D4" w:rsidP="00780D26">
      <w:pPr>
        <w:pStyle w:val="Nivel1SM"/>
        <w:keepNext/>
        <w:spacing w:after="0"/>
      </w:pPr>
      <w:r>
        <w:t>La solución tradicionalmente propuesta por el FMI ante este tipo de crisis consistía en defender el tipo de cambio a través de un aumento de los tipos de interés, de forma que se desincentivase la salida de capitales.</w:t>
      </w:r>
    </w:p>
    <w:p w14:paraId="0D6C6AED" w14:textId="67832883" w:rsidR="005000D4" w:rsidRDefault="005000D4" w:rsidP="00780D26">
      <w:pPr>
        <w:pStyle w:val="Nivel2SM"/>
        <w:keepNext/>
        <w:spacing w:after="0"/>
      </w:pPr>
      <w:r>
        <w:t xml:space="preserve">Sin embargo, tal y como expone </w:t>
      </w:r>
      <w:r>
        <w:rPr>
          <w:smallCaps/>
        </w:rPr>
        <w:t>Krugman</w:t>
      </w:r>
      <w:r>
        <w:t xml:space="preserve">, el aumento de los tipos de interés cerrará un canal de la propagación de la crisis pero abrirá uno nuevo vía disminución de la inversión, y por tanto, de la producción </w:t>
      </w:r>
      <w:r w:rsidR="00780D26">
        <w:t xml:space="preserve">y </w:t>
      </w:r>
      <w:r w:rsidRPr="00780D26">
        <w:t>de</w:t>
      </w:r>
      <w:r>
        <w:t xml:space="preserve"> la riqueza de los capitalistas.</w:t>
      </w:r>
    </w:p>
    <w:p w14:paraId="2DB62081" w14:textId="636A12C0" w:rsidR="00780D26" w:rsidRDefault="00780D26" w:rsidP="00780D26">
      <w:pPr>
        <w:pStyle w:val="Nivel3SM"/>
      </w:pPr>
      <w:r>
        <w:t xml:space="preserve">Por esta razón, otros autores como </w:t>
      </w:r>
      <w:r w:rsidRPr="00780D26">
        <w:rPr>
          <w:smallCaps/>
        </w:rPr>
        <w:t>Stiglitz</w:t>
      </w:r>
      <w:r>
        <w:t xml:space="preserve"> (2000) también critican la estrategia del FMI.</w:t>
      </w:r>
    </w:p>
    <w:p w14:paraId="75D0D915" w14:textId="44FD4B0E" w:rsidR="00780D26" w:rsidRDefault="00780D26" w:rsidP="00780D26">
      <w:pPr>
        <w:pStyle w:val="Nivel2SM"/>
        <w:keepNext/>
        <w:spacing w:after="0"/>
      </w:pPr>
      <w:r>
        <w:rPr>
          <w:smallCaps/>
        </w:rPr>
        <w:t>Krugman</w:t>
      </w:r>
      <w:r>
        <w:t xml:space="preserve"> propone en su lugar otras medidas como poner a disposición de los países afectados grandes líneas de crédito de emergencia o bien la imposición de restricciones temporales a la salida de capitales.</w:t>
      </w:r>
    </w:p>
    <w:p w14:paraId="44354422" w14:textId="161AA7BA" w:rsidR="00780D26" w:rsidRDefault="00780D26" w:rsidP="00780D26">
      <w:pPr>
        <w:pStyle w:val="Nivel3SM"/>
      </w:pPr>
      <w:r>
        <w:t>Además, estas medidas se justificarían porque evitarían la externalidad negativa que supone la transmisión de la crisis.</w:t>
      </w:r>
    </w:p>
    <w:p w14:paraId="4B8C6A0E" w14:textId="1170C3DB" w:rsidR="00F97F5A" w:rsidRDefault="00F97F5A" w:rsidP="00F97F5A">
      <w:pPr>
        <w:pStyle w:val="Nivel2SM"/>
        <w:keepNext/>
        <w:spacing w:after="0"/>
      </w:pPr>
      <w:r>
        <w:t>En resumen</w:t>
      </w:r>
      <w:r w:rsidR="00A02E94">
        <w:t>,</w:t>
      </w:r>
    </w:p>
    <w:p w14:paraId="7B397557" w14:textId="3E9BAA23" w:rsidR="006A771F" w:rsidRDefault="00780D26" w:rsidP="006A771F">
      <w:pPr>
        <w:pStyle w:val="Nivel3SM"/>
        <w:keepNext/>
        <w:ind w:left="964"/>
      </w:pPr>
      <w:r w:rsidRPr="006A771F">
        <w:rPr>
          <w:i/>
          <w:iCs/>
          <w:u w:val="single"/>
        </w:rPr>
        <w:t>Para prevenir estas crisis</w:t>
      </w:r>
      <w:r w:rsidRPr="006A771F">
        <w:t xml:space="preserve"> </w:t>
      </w:r>
      <w:r w:rsidR="006A771F">
        <w:t xml:space="preserve">se pueden llevar a cabo actuaciones que afecten a </w:t>
      </w:r>
      <m:oMath>
        <m:r>
          <m:rPr>
            <m:nor/>
          </m:rPr>
          <w:rPr>
            <w:i/>
          </w:rPr>
          <m:t>θ</m:t>
        </m:r>
      </m:oMath>
      <w:r w:rsidR="006A771F">
        <w:rPr>
          <w:rFonts w:eastAsiaTheme="minorEastAsia"/>
        </w:rPr>
        <w:t xml:space="preserve">, </w:t>
      </w:r>
      <m:oMath>
        <m:r>
          <m:rPr>
            <m:nor/>
          </m:rPr>
          <w:rPr>
            <w:i/>
          </w:rPr>
          <m:t>β</m:t>
        </m:r>
      </m:oMath>
      <w:r w:rsidR="006A771F">
        <w:rPr>
          <w:rFonts w:eastAsiaTheme="minorEastAsia"/>
        </w:rPr>
        <w:t xml:space="preserve">, </w:t>
      </w:r>
      <m:oMath>
        <m:r>
          <m:rPr>
            <m:nor/>
          </m:rPr>
          <w:rPr>
            <w:i/>
          </w:rPr>
          <m:t>D*</m:t>
        </m:r>
      </m:oMath>
      <w:r w:rsidR="006A771F">
        <w:rPr>
          <w:rFonts w:eastAsiaTheme="minorEastAsia"/>
        </w:rPr>
        <w:t xml:space="preserve">, </w:t>
      </w:r>
      <m:oMath>
        <m:r>
          <m:rPr>
            <m:nor/>
          </m:rPr>
          <w:rPr>
            <w:i/>
          </w:rPr>
          <m:t>XN</m:t>
        </m:r>
      </m:oMath>
      <w:r w:rsidR="006A771F">
        <w:rPr>
          <w:rFonts w:eastAsiaTheme="minorEastAsia"/>
        </w:rPr>
        <w:t xml:space="preserve"> </w:t>
      </w:r>
      <w:proofErr w:type="spellStart"/>
      <w:r w:rsidR="006A771F">
        <w:rPr>
          <w:rFonts w:eastAsiaTheme="minorEastAsia"/>
        </w:rPr>
        <w:t>ó</w:t>
      </w:r>
      <w:proofErr w:type="spellEnd"/>
      <w:r w:rsidR="006A771F">
        <w:rPr>
          <w:rFonts w:eastAsiaTheme="minorEastAsia"/>
        </w:rPr>
        <w:t xml:space="preserve"> al desencadenante de la salida de capitales que provoca la crisis financiera (</w:t>
      </w:r>
      <m:oMath>
        <m:r>
          <m:rPr>
            <m:nor/>
          </m:rPr>
          <w:rPr>
            <w:rFonts w:ascii="Times New Roman" w:hAnsi="Times New Roman" w:cs="Times New Roman"/>
            <w:i/>
            <w:iCs/>
          </w:rPr>
          <m:t>↓</m:t>
        </m:r>
        <m:r>
          <m:rPr>
            <m:nor/>
          </m:rPr>
          <w:rPr>
            <w:i/>
            <w:iCs/>
          </w:rPr>
          <m:t>I</m:t>
        </m:r>
      </m:oMath>
      <w:r w:rsidR="006A771F">
        <w:rPr>
          <w:rFonts w:eastAsiaTheme="minorEastAsia"/>
        </w:rPr>
        <w:t>):</w:t>
      </w:r>
    </w:p>
    <w:p w14:paraId="1549B793" w14:textId="5FBB0DED" w:rsidR="006A771F" w:rsidRDefault="006A771F" w:rsidP="006A771F">
      <w:pPr>
        <w:pStyle w:val="Nivel4"/>
        <w:ind w:left="1474"/>
      </w:pPr>
      <w:r>
        <w:t>Credibilidad de la política económica para evitar las fugas de capitales</w:t>
      </w:r>
      <w:r w:rsidR="00A92D27">
        <w:t xml:space="preserve"> (</w:t>
      </w:r>
      <m:oMath>
        <m:r>
          <m:rPr>
            <m:nor/>
          </m:rPr>
          <w:rPr>
            <w:rFonts w:ascii="Times New Roman" w:hAnsi="Times New Roman" w:cs="Times New Roman"/>
            <w:i/>
            <w:iCs/>
            <w:strike/>
          </w:rPr>
          <m:t>↓</m:t>
        </m:r>
        <m:r>
          <m:rPr>
            <m:nor/>
          </m:rPr>
          <w:rPr>
            <w:i/>
            <w:iCs/>
          </w:rPr>
          <m:t>I</m:t>
        </m:r>
      </m:oMath>
      <w:r w:rsidR="00A92D27">
        <w:t>)</w:t>
      </w:r>
      <w:r>
        <w:t>.</w:t>
      </w:r>
    </w:p>
    <w:p w14:paraId="506BA0CD" w14:textId="52880D89" w:rsidR="006A771F" w:rsidRPr="006A771F" w:rsidRDefault="006A771F" w:rsidP="00A548E0">
      <w:pPr>
        <w:pStyle w:val="Nivel4"/>
        <w:ind w:left="1474"/>
        <w:rPr>
          <w:spacing w:val="-2"/>
        </w:rPr>
      </w:pPr>
      <w:r w:rsidRPr="006A771F">
        <w:rPr>
          <w:spacing w:val="-2"/>
        </w:rPr>
        <w:t>P</w:t>
      </w:r>
      <w:r w:rsidR="00780D26" w:rsidRPr="006A771F">
        <w:rPr>
          <w:spacing w:val="-2"/>
        </w:rPr>
        <w:t>rocesos de liberalización de la cuenta financiera se acometan de forma ordenada con una secuencia establecida, políticas macroeconómicas coherentes de acompañamiento</w:t>
      </w:r>
      <w:r w:rsidRPr="006A771F">
        <w:rPr>
          <w:spacing w:val="-2"/>
        </w:rPr>
        <w:t xml:space="preserve"> (</w:t>
      </w:r>
      <m:oMath>
        <m:r>
          <m:rPr>
            <m:nor/>
          </m:rPr>
          <w:rPr>
            <w:rFonts w:ascii="Times New Roman" w:hAnsi="Times New Roman" w:cs="Times New Roman"/>
            <w:i/>
            <w:iCs/>
            <w:spacing w:val="-2"/>
          </w:rPr>
          <m:t>↓</m:t>
        </m:r>
        <m:r>
          <m:rPr>
            <m:nor/>
          </m:rPr>
          <w:rPr>
            <w:i/>
            <w:spacing w:val="-2"/>
          </w:rPr>
          <m:t>θ</m:t>
        </m:r>
      </m:oMath>
      <w:r w:rsidRPr="006A771F">
        <w:rPr>
          <w:spacing w:val="-2"/>
        </w:rPr>
        <w:t xml:space="preserve"> y </w:t>
      </w:r>
      <m:oMath>
        <m:r>
          <m:rPr>
            <m:nor/>
          </m:rPr>
          <w:rPr>
            <w:rFonts w:ascii="Times New Roman" w:hAnsi="Times New Roman" w:cs="Times New Roman"/>
            <w:i/>
            <w:iCs/>
            <w:spacing w:val="-2"/>
          </w:rPr>
          <m:t>↓</m:t>
        </m:r>
        <m:r>
          <m:rPr>
            <m:nor/>
          </m:rPr>
          <w:rPr>
            <w:i/>
            <w:iCs/>
            <w:spacing w:val="-2"/>
          </w:rPr>
          <m:t>D*</m:t>
        </m:r>
      </m:oMath>
      <w:r w:rsidRPr="006A771F">
        <w:rPr>
          <w:spacing w:val="-2"/>
        </w:rPr>
        <w:t>).</w:t>
      </w:r>
    </w:p>
    <w:p w14:paraId="2FD987DD" w14:textId="0DCB9AF9" w:rsidR="006A771F" w:rsidRPr="006A771F" w:rsidRDefault="006A771F" w:rsidP="00A548E0">
      <w:pPr>
        <w:pStyle w:val="Nivel4"/>
        <w:ind w:left="1474"/>
        <w:rPr>
          <w:spacing w:val="-2"/>
        </w:rPr>
      </w:pPr>
      <w:r w:rsidRPr="006A771F">
        <w:rPr>
          <w:spacing w:val="-2"/>
        </w:rPr>
        <w:t>R</w:t>
      </w:r>
      <w:r w:rsidR="00780D26" w:rsidRPr="006A771F">
        <w:rPr>
          <w:spacing w:val="-2"/>
        </w:rPr>
        <w:t xml:space="preserve">eformas de estructurales como la </w:t>
      </w:r>
      <w:r w:rsidR="00780D26" w:rsidRPr="006A771F">
        <w:rPr>
          <w:i/>
          <w:iCs/>
          <w:spacing w:val="-2"/>
        </w:rPr>
        <w:t>adecuada supervisión y regulación del sistema financiero</w:t>
      </w:r>
      <w:r w:rsidR="00780D26" w:rsidRPr="006A771F">
        <w:rPr>
          <w:spacing w:val="-2"/>
        </w:rPr>
        <w:t xml:space="preserve"> que garanticen su sostenibilidad</w:t>
      </w:r>
      <w:r w:rsidRPr="006A771F">
        <w:rPr>
          <w:spacing w:val="-2"/>
        </w:rPr>
        <w:t xml:space="preserve"> y eviten apalancamientos excesivos (</w:t>
      </w:r>
      <m:oMath>
        <m:r>
          <m:rPr>
            <m:nor/>
          </m:rPr>
          <w:rPr>
            <w:rFonts w:ascii="Times New Roman" w:hAnsi="Times New Roman" w:cs="Times New Roman"/>
            <w:i/>
            <w:iCs/>
            <w:spacing w:val="-2"/>
          </w:rPr>
          <m:t>↓</m:t>
        </m:r>
        <m:r>
          <m:rPr>
            <m:nor/>
          </m:rPr>
          <w:rPr>
            <w:i/>
            <w:spacing w:val="-2"/>
          </w:rPr>
          <m:t>θ</m:t>
        </m:r>
      </m:oMath>
      <w:r w:rsidRPr="006A771F">
        <w:rPr>
          <w:spacing w:val="-2"/>
        </w:rPr>
        <w:t xml:space="preserve"> y </w:t>
      </w:r>
      <m:oMath>
        <m:r>
          <m:rPr>
            <m:nor/>
          </m:rPr>
          <w:rPr>
            <w:rFonts w:ascii="Times New Roman" w:hAnsi="Times New Roman" w:cs="Times New Roman"/>
            <w:i/>
            <w:iCs/>
            <w:spacing w:val="-2"/>
          </w:rPr>
          <m:t>↓</m:t>
        </m:r>
        <m:r>
          <m:rPr>
            <m:nor/>
          </m:rPr>
          <w:rPr>
            <w:i/>
            <w:iCs/>
            <w:spacing w:val="-2"/>
          </w:rPr>
          <m:t>D*</m:t>
        </m:r>
      </m:oMath>
      <w:r w:rsidRPr="006A771F">
        <w:rPr>
          <w:spacing w:val="-2"/>
        </w:rPr>
        <w:t>)</w:t>
      </w:r>
      <w:r w:rsidR="00A92D27">
        <w:rPr>
          <w:rStyle w:val="Refdenotaalpie"/>
          <w:spacing w:val="-2"/>
        </w:rPr>
        <w:footnoteReference w:id="13"/>
      </w:r>
      <w:r w:rsidR="00780D26" w:rsidRPr="006A771F">
        <w:rPr>
          <w:spacing w:val="-2"/>
        </w:rPr>
        <w:t>.</w:t>
      </w:r>
    </w:p>
    <w:p w14:paraId="1DFF7E81" w14:textId="41539264" w:rsidR="00780D26" w:rsidRPr="006A771F" w:rsidRDefault="00A92D27" w:rsidP="00A548E0">
      <w:pPr>
        <w:pStyle w:val="Nivel4"/>
        <w:ind w:left="1474"/>
      </w:pPr>
      <w:r>
        <w:t>Liberalización plena de la cuenta corriente (</w:t>
      </w:r>
      <m:oMath>
        <m:r>
          <m:rPr>
            <m:nor/>
          </m:rPr>
          <w:rPr>
            <w:rFonts w:ascii="Times New Roman" w:hAnsi="Times New Roman" w:cs="Times New Roman"/>
            <w:i/>
            <w:iCs/>
            <w:spacing w:val="-2"/>
          </w:rPr>
          <m:t>↑</m:t>
        </m:r>
        <m:r>
          <m:rPr>
            <m:nor/>
          </m:rPr>
          <w:rPr>
            <w:i/>
          </w:rPr>
          <m:t>β</m:t>
        </m:r>
      </m:oMath>
      <w:r w:rsidRPr="006A771F">
        <w:rPr>
          <w:spacing w:val="-2"/>
        </w:rPr>
        <w:t xml:space="preserve"> y </w:t>
      </w:r>
      <m:oMath>
        <m:r>
          <m:rPr>
            <m:nor/>
          </m:rPr>
          <w:rPr>
            <w:rFonts w:ascii="Times New Roman" w:hAnsi="Times New Roman" w:cs="Times New Roman"/>
            <w:i/>
            <w:iCs/>
            <w:spacing w:val="-2"/>
          </w:rPr>
          <m:t>↑</m:t>
        </m:r>
        <m:r>
          <m:rPr>
            <m:nor/>
          </m:rPr>
          <w:rPr>
            <w:i/>
            <w:iCs/>
            <w:spacing w:val="-2"/>
          </w:rPr>
          <m:t>XN</m:t>
        </m:r>
      </m:oMath>
      <w:r>
        <w:t>).</w:t>
      </w:r>
    </w:p>
    <w:p w14:paraId="3A383D1D" w14:textId="291CE63B" w:rsidR="005A358F" w:rsidRDefault="005A358F" w:rsidP="00F97F5A">
      <w:pPr>
        <w:pStyle w:val="Nivel3SM"/>
      </w:pPr>
      <w:r w:rsidRPr="00A02E94">
        <w:rPr>
          <w:i/>
          <w:iCs/>
          <w:u w:val="single"/>
        </w:rPr>
        <w:t>Para paliar estas crisis</w:t>
      </w:r>
      <w:r>
        <w:t>, en determinadas circunstancias podría ser recomendable el recurso a paquetes de apoyo multilateral para evitar ajustes domésticos que puedan resultar socialmente insoportables.</w:t>
      </w:r>
    </w:p>
    <w:p w14:paraId="04E4E25B" w14:textId="4C230C34" w:rsidR="0082171E" w:rsidRDefault="0082171E" w:rsidP="005A0870">
      <w:pPr>
        <w:pStyle w:val="Ttulo2"/>
      </w:pPr>
      <w:bookmarkStart w:id="42" w:name="_Toc145492505"/>
      <w:r>
        <w:lastRenderedPageBreak/>
        <w:t>Evidencia empírica y ejemplos prácticos</w:t>
      </w:r>
      <w:bookmarkEnd w:id="42"/>
    </w:p>
    <w:p w14:paraId="15660664" w14:textId="343C0495" w:rsidR="008C014C" w:rsidRPr="008C014C" w:rsidRDefault="008C014C" w:rsidP="008C014C">
      <w:pPr>
        <w:pStyle w:val="Nivel1SM"/>
      </w:pPr>
      <w:r w:rsidRPr="008C014C">
        <w:t xml:space="preserve">Crisis asiática de finales de los </w:t>
      </w:r>
      <w:r>
        <w:t>años </w:t>
      </w:r>
      <w:r w:rsidRPr="008C014C">
        <w:t>90.</w:t>
      </w:r>
    </w:p>
    <w:p w14:paraId="60A62B32" w14:textId="40EA4485" w:rsidR="00740AF6" w:rsidRPr="00E8382D" w:rsidRDefault="0082171E" w:rsidP="005A0870">
      <w:pPr>
        <w:pStyle w:val="Ttulo2"/>
      </w:pPr>
      <w:bookmarkStart w:id="43" w:name="_Toc145492506"/>
      <w:r>
        <w:t>Valoración</w:t>
      </w:r>
      <w:r w:rsidRPr="005A0870">
        <w:rPr>
          <w:sz w:val="19"/>
          <w:szCs w:val="19"/>
        </w:rPr>
        <w:t xml:space="preserve"> (limitaciones del modelo que dan lugar al desarrollo de modelos posteriores)</w:t>
      </w:r>
      <w:bookmarkEnd w:id="43"/>
    </w:p>
    <w:p w14:paraId="45BCC7C9" w14:textId="50C505A9" w:rsidR="00DD2524" w:rsidRDefault="00DD2524" w:rsidP="00DD2524">
      <w:pPr>
        <w:pStyle w:val="Nivel1SM"/>
      </w:pPr>
    </w:p>
    <w:tbl>
      <w:tblPr>
        <w:tblStyle w:val="Tablaconcuadrcula"/>
        <w:tblW w:w="0" w:type="auto"/>
        <w:jc w:val="center"/>
        <w:tblBorders>
          <w:top w:val="single" w:sz="2" w:space="0" w:color="5F2987"/>
          <w:left w:val="single" w:sz="2" w:space="0" w:color="5F2987"/>
          <w:bottom w:val="single" w:sz="2" w:space="0" w:color="5F2987"/>
          <w:right w:val="single" w:sz="2" w:space="0" w:color="5F2987"/>
          <w:insideH w:val="single" w:sz="2" w:space="0" w:color="5F2987"/>
          <w:insideV w:val="single" w:sz="2" w:space="0" w:color="5F2987"/>
        </w:tblBorders>
        <w:tblLook w:val="04A0" w:firstRow="1" w:lastRow="0" w:firstColumn="1" w:lastColumn="0" w:noHBand="0" w:noVBand="1"/>
      </w:tblPr>
      <w:tblGrid>
        <w:gridCol w:w="3210"/>
        <w:gridCol w:w="3211"/>
        <w:gridCol w:w="3211"/>
      </w:tblGrid>
      <w:tr w:rsidR="00C40412" w14:paraId="4C1FE3FB" w14:textId="77777777" w:rsidTr="00391DCC">
        <w:trPr>
          <w:cantSplit/>
          <w:tblHeader/>
          <w:jc w:val="center"/>
        </w:trPr>
        <w:tc>
          <w:tcPr>
            <w:tcW w:w="9632" w:type="dxa"/>
            <w:gridSpan w:val="3"/>
            <w:shd w:val="clear" w:color="auto" w:fill="E2EFD9" w:themeFill="accent6" w:themeFillTint="33"/>
          </w:tcPr>
          <w:p w14:paraId="7DB2B6E8" w14:textId="2513FE8C" w:rsidR="00C40412" w:rsidRPr="00C40412" w:rsidRDefault="00C40412" w:rsidP="006300CE">
            <w:pPr>
              <w:keepNext/>
              <w:spacing w:after="0"/>
              <w:jc w:val="center"/>
              <w:rPr>
                <w:b/>
                <w:bCs/>
                <w:i/>
                <w:iCs/>
                <w:color w:val="5F2987"/>
              </w:rPr>
            </w:pPr>
            <w:r>
              <w:rPr>
                <w:b/>
                <w:bCs/>
                <w:i/>
                <w:iCs/>
                <w:color w:val="5F2987"/>
              </w:rPr>
              <w:lastRenderedPageBreak/>
              <w:t>Justificación de las crisis en 3 pasos</w:t>
            </w:r>
          </w:p>
        </w:tc>
      </w:tr>
      <w:tr w:rsidR="00C40412" w14:paraId="543077D0" w14:textId="77777777" w:rsidTr="00391DCC">
        <w:trPr>
          <w:cantSplit/>
          <w:tblHeader/>
          <w:jc w:val="center"/>
        </w:trPr>
        <w:tc>
          <w:tcPr>
            <w:tcW w:w="3210" w:type="dxa"/>
            <w:shd w:val="clear" w:color="auto" w:fill="E2EFD9" w:themeFill="accent6" w:themeFillTint="33"/>
          </w:tcPr>
          <w:p w14:paraId="2E52C83D" w14:textId="61F81FF5" w:rsidR="00C40412" w:rsidRPr="00C40412" w:rsidRDefault="00C40412" w:rsidP="006300CE">
            <w:pPr>
              <w:keepNext/>
              <w:spacing w:after="0"/>
              <w:jc w:val="center"/>
              <w:rPr>
                <w:i/>
                <w:iCs/>
                <w:color w:val="5F2987"/>
              </w:rPr>
            </w:pPr>
            <w:r w:rsidRPr="00C40412">
              <w:rPr>
                <w:i/>
                <w:iCs/>
                <w:color w:val="5F2987"/>
              </w:rPr>
              <w:t>1ª</w:t>
            </w:r>
            <w:r>
              <w:rPr>
                <w:i/>
                <w:iCs/>
                <w:color w:val="5F2987"/>
              </w:rPr>
              <w:t> generación</w:t>
            </w:r>
          </w:p>
        </w:tc>
        <w:tc>
          <w:tcPr>
            <w:tcW w:w="3211" w:type="dxa"/>
            <w:shd w:val="clear" w:color="auto" w:fill="E2EFD9" w:themeFill="accent6" w:themeFillTint="33"/>
          </w:tcPr>
          <w:p w14:paraId="38D8A819" w14:textId="5E381984" w:rsidR="00C40412" w:rsidRPr="00C40412" w:rsidRDefault="00C40412" w:rsidP="006300CE">
            <w:pPr>
              <w:keepNext/>
              <w:spacing w:after="0"/>
              <w:jc w:val="center"/>
              <w:rPr>
                <w:i/>
                <w:iCs/>
                <w:color w:val="5F2987"/>
              </w:rPr>
            </w:pPr>
            <w:r>
              <w:rPr>
                <w:i/>
                <w:iCs/>
                <w:color w:val="5F2987"/>
              </w:rPr>
              <w:t>2ª generación</w:t>
            </w:r>
          </w:p>
        </w:tc>
        <w:tc>
          <w:tcPr>
            <w:tcW w:w="3211" w:type="dxa"/>
            <w:shd w:val="clear" w:color="auto" w:fill="E2EFD9" w:themeFill="accent6" w:themeFillTint="33"/>
          </w:tcPr>
          <w:p w14:paraId="6AB59C0C" w14:textId="2316C1F3" w:rsidR="00C40412" w:rsidRPr="00C40412" w:rsidRDefault="00C40412" w:rsidP="00C40412">
            <w:pPr>
              <w:keepNext/>
              <w:spacing w:after="0"/>
              <w:jc w:val="center"/>
              <w:rPr>
                <w:i/>
                <w:iCs/>
                <w:color w:val="5F2987"/>
              </w:rPr>
            </w:pPr>
            <w:r>
              <w:rPr>
                <w:i/>
                <w:iCs/>
                <w:color w:val="5F2987"/>
              </w:rPr>
              <w:t>3ª generación</w:t>
            </w:r>
          </w:p>
        </w:tc>
      </w:tr>
      <w:tr w:rsidR="00C40412" w14:paraId="74204291" w14:textId="77777777" w:rsidTr="00391DCC">
        <w:trPr>
          <w:jc w:val="center"/>
        </w:trPr>
        <w:tc>
          <w:tcPr>
            <w:tcW w:w="3210" w:type="dxa"/>
          </w:tcPr>
          <w:p w14:paraId="58164224" w14:textId="2204547D" w:rsidR="00C40412" w:rsidRDefault="00C40412" w:rsidP="006300CE">
            <w:pPr>
              <w:keepNext/>
              <w:spacing w:after="0"/>
              <w:jc w:val="left"/>
            </w:pPr>
            <w:r w:rsidRPr="00C40412">
              <w:rPr>
                <w:i/>
                <w:iCs/>
              </w:rPr>
              <w:t>Situación inicial e inconsistencia entre la política monetaria y la política cambiaria</w:t>
            </w:r>
            <w:r>
              <w:t>:</w:t>
            </w:r>
          </w:p>
          <w:p w14:paraId="68F44FB1" w14:textId="77777777" w:rsidR="00C40412" w:rsidRPr="00C40412" w:rsidRDefault="00C40412">
            <w:pPr>
              <w:pStyle w:val="Prrafodelista"/>
              <w:keepNext/>
              <w:numPr>
                <w:ilvl w:val="0"/>
                <w:numId w:val="29"/>
              </w:numPr>
              <w:spacing w:after="0"/>
              <w:ind w:left="283" w:hanging="113"/>
              <w:rPr>
                <w:sz w:val="16"/>
                <w:szCs w:val="16"/>
              </w:rPr>
            </w:pPr>
            <w:r w:rsidRPr="00C40412">
              <w:rPr>
                <w:sz w:val="16"/>
                <w:szCs w:val="16"/>
              </w:rPr>
              <w:t xml:space="preserve">Partimos de una economía con </w:t>
            </w:r>
            <w:r w:rsidRPr="00C40412">
              <w:rPr>
                <w:b/>
                <w:bCs/>
                <w:sz w:val="16"/>
                <w:szCs w:val="16"/>
              </w:rPr>
              <w:t>tipo de cambio fijo</w:t>
            </w:r>
            <w:r w:rsidRPr="00C40412">
              <w:rPr>
                <w:sz w:val="16"/>
                <w:szCs w:val="16"/>
              </w:rPr>
              <w:t xml:space="preserve">, pero una política monetaria que </w:t>
            </w:r>
            <w:r w:rsidRPr="00C40412">
              <w:rPr>
                <w:b/>
                <w:bCs/>
                <w:sz w:val="16"/>
                <w:szCs w:val="16"/>
              </w:rPr>
              <w:t>no</w:t>
            </w:r>
            <w:r w:rsidRPr="00C40412">
              <w:rPr>
                <w:sz w:val="16"/>
                <w:szCs w:val="16"/>
              </w:rPr>
              <w:t> </w:t>
            </w:r>
            <w:r w:rsidRPr="00C40412">
              <w:rPr>
                <w:b/>
                <w:bCs/>
                <w:sz w:val="16"/>
                <w:szCs w:val="16"/>
              </w:rPr>
              <w:t>tiene por objetivo principal la</w:t>
            </w:r>
            <w:r w:rsidRPr="00C40412">
              <w:rPr>
                <w:sz w:val="16"/>
                <w:szCs w:val="16"/>
              </w:rPr>
              <w:t xml:space="preserve"> </w:t>
            </w:r>
            <w:r w:rsidRPr="00C40412">
              <w:rPr>
                <w:b/>
                <w:bCs/>
                <w:sz w:val="16"/>
                <w:szCs w:val="16"/>
              </w:rPr>
              <w:t>defensa de la paridad</w:t>
            </w:r>
            <w:r w:rsidRPr="00C40412">
              <w:rPr>
                <w:sz w:val="16"/>
                <w:szCs w:val="16"/>
              </w:rPr>
              <w:t xml:space="preserve"> </w:t>
            </w:r>
            <w:r w:rsidRPr="00C40412">
              <w:rPr>
                <w:b/>
                <w:bCs/>
                <w:sz w:val="16"/>
                <w:szCs w:val="16"/>
              </w:rPr>
              <w:t>del tipo de cambio fijo</w:t>
            </w:r>
            <w:r w:rsidRPr="00C40412">
              <w:rPr>
                <w:sz w:val="16"/>
                <w:szCs w:val="16"/>
              </w:rPr>
              <w:t>.</w:t>
            </w:r>
          </w:p>
          <w:p w14:paraId="62713F47" w14:textId="69067933" w:rsidR="00C40412" w:rsidRPr="00391DCC" w:rsidRDefault="00C40412">
            <w:pPr>
              <w:pStyle w:val="Prrafodelista"/>
              <w:keepNext/>
              <w:numPr>
                <w:ilvl w:val="0"/>
                <w:numId w:val="29"/>
              </w:numPr>
              <w:spacing w:after="0"/>
              <w:ind w:left="283" w:hanging="113"/>
              <w:rPr>
                <w:sz w:val="16"/>
                <w:szCs w:val="16"/>
              </w:rPr>
            </w:pPr>
            <w:r w:rsidRPr="00391DCC">
              <w:rPr>
                <w:sz w:val="16"/>
                <w:szCs w:val="16"/>
              </w:rPr>
              <w:t>El objetivo principal de la política monetaria distinto del mantenimiento del tipo de cambio fijo puede ser variado: financiación del déficit público, sostenimiento de un sistema bancario débil, etc. Aquí vamos a suponer que el objetivo principal de la política monetaria es la financiación del déficit público.</w:t>
            </w:r>
          </w:p>
        </w:tc>
        <w:tc>
          <w:tcPr>
            <w:tcW w:w="3211" w:type="dxa"/>
          </w:tcPr>
          <w:p w14:paraId="3DFE8040" w14:textId="5F4644CE" w:rsidR="00391DCC" w:rsidRDefault="00391DCC" w:rsidP="006300CE">
            <w:pPr>
              <w:keepNext/>
              <w:spacing w:after="0"/>
              <w:jc w:val="left"/>
            </w:pPr>
            <w:r w:rsidRPr="00391DCC">
              <w:rPr>
                <w:i/>
                <w:iCs/>
              </w:rPr>
              <w:t>Situación inicial y shock</w:t>
            </w:r>
            <w:r>
              <w:t>:</w:t>
            </w:r>
          </w:p>
          <w:p w14:paraId="678AF97B" w14:textId="77777777" w:rsidR="00391DCC" w:rsidRPr="00391DCC" w:rsidRDefault="00391DCC">
            <w:pPr>
              <w:pStyle w:val="Prrafodelista"/>
              <w:keepNext/>
              <w:numPr>
                <w:ilvl w:val="0"/>
                <w:numId w:val="40"/>
              </w:numPr>
              <w:spacing w:after="0"/>
              <w:ind w:left="283" w:hanging="113"/>
              <w:rPr>
                <w:sz w:val="16"/>
                <w:szCs w:val="16"/>
              </w:rPr>
            </w:pPr>
            <w:r w:rsidRPr="00391DCC">
              <w:rPr>
                <w:sz w:val="16"/>
                <w:szCs w:val="16"/>
              </w:rPr>
              <w:t xml:space="preserve">Partimos de una economía con </w:t>
            </w:r>
            <w:r w:rsidRPr="00391DCC">
              <w:rPr>
                <w:b/>
                <w:bCs/>
                <w:sz w:val="16"/>
                <w:szCs w:val="16"/>
              </w:rPr>
              <w:t>sólidos fundamentos</w:t>
            </w:r>
            <w:r w:rsidRPr="00391DCC">
              <w:rPr>
                <w:sz w:val="16"/>
                <w:szCs w:val="16"/>
              </w:rPr>
              <w:t>. Por ejemplo tienen capacidad suficiente para defender el tipo de cambio fijo y llevaban una política económica correcta y compatible.</w:t>
            </w:r>
          </w:p>
          <w:p w14:paraId="2D956308" w14:textId="2C44D5AA" w:rsidR="00C40412" w:rsidRPr="00391DCC" w:rsidRDefault="00391DCC">
            <w:pPr>
              <w:pStyle w:val="Prrafodelista"/>
              <w:keepNext/>
              <w:numPr>
                <w:ilvl w:val="0"/>
                <w:numId w:val="40"/>
              </w:numPr>
              <w:spacing w:after="0"/>
              <w:ind w:left="283" w:hanging="113"/>
              <w:rPr>
                <w:sz w:val="16"/>
                <w:szCs w:val="16"/>
              </w:rPr>
            </w:pPr>
            <w:r w:rsidRPr="00391DCC">
              <w:rPr>
                <w:sz w:val="16"/>
                <w:szCs w:val="16"/>
              </w:rPr>
              <w:t xml:space="preserve">No obstante, dicha economía recibe un </w:t>
            </w:r>
            <w:r w:rsidRPr="00391DCC">
              <w:rPr>
                <w:b/>
                <w:bCs/>
                <w:sz w:val="16"/>
                <w:szCs w:val="16"/>
              </w:rPr>
              <w:t>shock</w:t>
            </w:r>
            <w:r w:rsidRPr="00391DCC">
              <w:rPr>
                <w:sz w:val="16"/>
                <w:szCs w:val="16"/>
              </w:rPr>
              <w:t xml:space="preserve"> que pone en jaque el régimen cambiario en el que se encuentra.</w:t>
            </w:r>
          </w:p>
        </w:tc>
        <w:tc>
          <w:tcPr>
            <w:tcW w:w="3211" w:type="dxa"/>
          </w:tcPr>
          <w:p w14:paraId="47469A9F" w14:textId="4E7D4D7E" w:rsidR="00C40412" w:rsidRDefault="00391DCC" w:rsidP="006300CE">
            <w:pPr>
              <w:keepNext/>
              <w:spacing w:after="0"/>
              <w:jc w:val="left"/>
            </w:pPr>
            <w:r w:rsidRPr="00391DCC">
              <w:rPr>
                <w:i/>
                <w:iCs/>
              </w:rPr>
              <w:t>S</w:t>
            </w:r>
            <w:r w:rsidR="00C40412" w:rsidRPr="00391DCC">
              <w:rPr>
                <w:i/>
                <w:iCs/>
              </w:rPr>
              <w:t>ituación inicial y debilidades</w:t>
            </w:r>
            <w:r w:rsidR="00C40412">
              <w:t>:</w:t>
            </w:r>
          </w:p>
          <w:p w14:paraId="7AA6A272" w14:textId="77777777" w:rsidR="00C40412" w:rsidRPr="00391DCC" w:rsidRDefault="00C40412">
            <w:pPr>
              <w:pStyle w:val="Prrafodelista"/>
              <w:keepNext/>
              <w:numPr>
                <w:ilvl w:val="0"/>
                <w:numId w:val="34"/>
              </w:numPr>
              <w:spacing w:after="0"/>
              <w:ind w:left="283" w:hanging="113"/>
              <w:rPr>
                <w:sz w:val="16"/>
                <w:szCs w:val="16"/>
              </w:rPr>
            </w:pPr>
            <w:r w:rsidRPr="00391DCC">
              <w:rPr>
                <w:sz w:val="16"/>
                <w:szCs w:val="16"/>
              </w:rPr>
              <w:t xml:space="preserve">Partimos de una economía con aparentes </w:t>
            </w:r>
            <w:r w:rsidRPr="00391DCC">
              <w:rPr>
                <w:b/>
                <w:bCs/>
                <w:sz w:val="16"/>
                <w:szCs w:val="16"/>
              </w:rPr>
              <w:t>sólidos fundamentos</w:t>
            </w:r>
            <w:r w:rsidRPr="00391DCC">
              <w:rPr>
                <w:sz w:val="16"/>
                <w:szCs w:val="16"/>
              </w:rPr>
              <w:t xml:space="preserve"> económicos y sin presiones externas.</w:t>
            </w:r>
          </w:p>
          <w:p w14:paraId="5704F462" w14:textId="6248B4F0" w:rsidR="00C40412" w:rsidRPr="00391DCC" w:rsidRDefault="00C40412">
            <w:pPr>
              <w:pStyle w:val="Prrafodelista"/>
              <w:keepNext/>
              <w:numPr>
                <w:ilvl w:val="0"/>
                <w:numId w:val="34"/>
              </w:numPr>
              <w:spacing w:after="0"/>
              <w:ind w:left="283" w:hanging="113"/>
              <w:rPr>
                <w:sz w:val="16"/>
                <w:szCs w:val="16"/>
              </w:rPr>
            </w:pPr>
            <w:r w:rsidRPr="00391DCC">
              <w:rPr>
                <w:sz w:val="16"/>
                <w:szCs w:val="16"/>
              </w:rPr>
              <w:t xml:space="preserve">No obstante, bajo esta solidez se esconden algunas debilidades, como por ejemplo la </w:t>
            </w:r>
            <w:r w:rsidRPr="00391DCC">
              <w:rPr>
                <w:b/>
                <w:bCs/>
                <w:sz w:val="16"/>
                <w:szCs w:val="16"/>
              </w:rPr>
              <w:t>nula o escasa supervisión o regulación financiera</w:t>
            </w:r>
            <w:r w:rsidRPr="00391DCC">
              <w:rPr>
                <w:sz w:val="16"/>
                <w:szCs w:val="16"/>
              </w:rPr>
              <w:t>.</w:t>
            </w:r>
          </w:p>
        </w:tc>
      </w:tr>
      <w:tr w:rsidR="00C40412" w14:paraId="2CAF1D03" w14:textId="77777777" w:rsidTr="00391DCC">
        <w:trPr>
          <w:jc w:val="center"/>
        </w:trPr>
        <w:tc>
          <w:tcPr>
            <w:tcW w:w="3210" w:type="dxa"/>
          </w:tcPr>
          <w:p w14:paraId="3864849A" w14:textId="57C915B9" w:rsidR="00C40412" w:rsidRDefault="00C40412" w:rsidP="006300CE">
            <w:pPr>
              <w:keepNext/>
              <w:spacing w:after="0"/>
            </w:pPr>
            <w:r w:rsidRPr="00C40412">
              <w:rPr>
                <w:i/>
                <w:iCs/>
              </w:rPr>
              <w:t>Expectativas de insostenibilidad</w:t>
            </w:r>
            <w:r>
              <w:t>:</w:t>
            </w:r>
          </w:p>
          <w:p w14:paraId="033FD114" w14:textId="77777777" w:rsidR="00C40412" w:rsidRPr="00C40412" w:rsidRDefault="00C40412">
            <w:pPr>
              <w:pStyle w:val="Prrafodelista"/>
              <w:keepNext/>
              <w:numPr>
                <w:ilvl w:val="0"/>
                <w:numId w:val="30"/>
              </w:numPr>
              <w:spacing w:after="0"/>
              <w:ind w:left="283" w:hanging="113"/>
              <w:rPr>
                <w:sz w:val="16"/>
                <w:szCs w:val="16"/>
              </w:rPr>
            </w:pPr>
            <w:r w:rsidRPr="00C40412">
              <w:rPr>
                <w:sz w:val="16"/>
                <w:szCs w:val="16"/>
              </w:rPr>
              <w:t xml:space="preserve">A partir de ahí, </w:t>
            </w:r>
            <w:r w:rsidRPr="00C40412">
              <w:rPr>
                <w:b/>
                <w:bCs/>
                <w:sz w:val="16"/>
                <w:szCs w:val="16"/>
              </w:rPr>
              <w:t>los agentes perciben que la situación es insostenible</w:t>
            </w:r>
            <w:r w:rsidRPr="00C40412">
              <w:rPr>
                <w:sz w:val="16"/>
                <w:szCs w:val="16"/>
              </w:rPr>
              <w:t>.</w:t>
            </w:r>
          </w:p>
          <w:p w14:paraId="14A6B541" w14:textId="4244AA88" w:rsidR="00C40412" w:rsidRPr="00C40412" w:rsidRDefault="00C40412">
            <w:pPr>
              <w:pStyle w:val="Prrafodelista"/>
              <w:keepNext/>
              <w:numPr>
                <w:ilvl w:val="0"/>
                <w:numId w:val="30"/>
              </w:numPr>
              <w:spacing w:after="0"/>
              <w:ind w:left="283" w:hanging="113"/>
              <w:rPr>
                <w:spacing w:val="-4"/>
                <w:sz w:val="16"/>
                <w:szCs w:val="16"/>
              </w:rPr>
            </w:pPr>
            <w:r w:rsidRPr="00C40412">
              <w:rPr>
                <w:spacing w:val="-4"/>
                <w:sz w:val="16"/>
                <w:szCs w:val="16"/>
              </w:rPr>
              <w:t xml:space="preserve">La incompatibilidad de los objetivos lleva a una </w:t>
            </w:r>
            <w:r w:rsidRPr="00C40412">
              <w:rPr>
                <w:b/>
                <w:bCs/>
                <w:spacing w:val="-4"/>
                <w:sz w:val="16"/>
                <w:szCs w:val="16"/>
              </w:rPr>
              <w:t>caída de las reservas internacionales</w:t>
            </w:r>
            <w:r w:rsidRPr="00C40412">
              <w:rPr>
                <w:spacing w:val="-4"/>
                <w:sz w:val="16"/>
                <w:szCs w:val="16"/>
              </w:rPr>
              <w:t xml:space="preserve"> y a una </w:t>
            </w:r>
            <w:r w:rsidRPr="00C40412">
              <w:rPr>
                <w:b/>
                <w:bCs/>
                <w:spacing w:val="-4"/>
                <w:sz w:val="16"/>
                <w:szCs w:val="16"/>
              </w:rPr>
              <w:t>depreciación del tipo de cambio sombra</w:t>
            </w:r>
            <w:r w:rsidRPr="00C40412">
              <w:rPr>
                <w:spacing w:val="-4"/>
                <w:sz w:val="16"/>
                <w:szCs w:val="16"/>
              </w:rPr>
              <w:t xml:space="preserve"> (i.e. aquel que estaría vigente si el tipo fuera flexible –el determinado por los fundamentos–).</w:t>
            </w:r>
          </w:p>
        </w:tc>
        <w:tc>
          <w:tcPr>
            <w:tcW w:w="3211" w:type="dxa"/>
          </w:tcPr>
          <w:p w14:paraId="67C59EA4" w14:textId="7FBB4370" w:rsidR="00391DCC" w:rsidRDefault="00391DCC" w:rsidP="006300CE">
            <w:pPr>
              <w:keepNext/>
              <w:spacing w:after="0"/>
            </w:pPr>
            <w:r w:rsidRPr="00391DCC">
              <w:rPr>
                <w:i/>
                <w:iCs/>
              </w:rPr>
              <w:t>Análisis coste-beneficio</w:t>
            </w:r>
            <w:r>
              <w:t>:</w:t>
            </w:r>
          </w:p>
          <w:p w14:paraId="2363E926" w14:textId="77777777" w:rsidR="00391DCC" w:rsidRPr="00391DCC" w:rsidRDefault="00391DCC">
            <w:pPr>
              <w:pStyle w:val="Prrafodelista"/>
              <w:keepNext/>
              <w:numPr>
                <w:ilvl w:val="0"/>
                <w:numId w:val="37"/>
              </w:numPr>
              <w:spacing w:after="0"/>
              <w:ind w:left="283" w:hanging="113"/>
              <w:rPr>
                <w:sz w:val="16"/>
                <w:szCs w:val="16"/>
              </w:rPr>
            </w:pPr>
            <w:r w:rsidRPr="00391DCC">
              <w:rPr>
                <w:sz w:val="16"/>
                <w:szCs w:val="16"/>
              </w:rPr>
              <w:t xml:space="preserve">A partir de ahí, el gobierno realiza un </w:t>
            </w:r>
            <w:r w:rsidRPr="00391DCC">
              <w:rPr>
                <w:b/>
                <w:bCs/>
                <w:sz w:val="16"/>
                <w:szCs w:val="16"/>
              </w:rPr>
              <w:t>análisis coste-beneficio</w:t>
            </w:r>
            <w:r w:rsidRPr="00391DCC">
              <w:rPr>
                <w:sz w:val="16"/>
                <w:szCs w:val="16"/>
              </w:rPr>
              <w:t xml:space="preserve"> de un posible abandono del régimen cambiario:</w:t>
            </w:r>
          </w:p>
          <w:p w14:paraId="4AF41C0A" w14:textId="77777777" w:rsidR="00391DCC" w:rsidRPr="00391DCC" w:rsidRDefault="00391DCC">
            <w:pPr>
              <w:pStyle w:val="Prrafodelista"/>
              <w:keepNext/>
              <w:numPr>
                <w:ilvl w:val="1"/>
                <w:numId w:val="38"/>
              </w:numPr>
              <w:spacing w:after="0"/>
              <w:ind w:left="567" w:hanging="113"/>
              <w:rPr>
                <w:sz w:val="16"/>
                <w:szCs w:val="16"/>
              </w:rPr>
            </w:pPr>
            <w:r w:rsidRPr="00391DCC">
              <w:rPr>
                <w:sz w:val="16"/>
                <w:szCs w:val="16"/>
              </w:rPr>
              <w:t>Beneficios de mantenimiento del tipo de cambio fijo:</w:t>
            </w:r>
          </w:p>
          <w:p w14:paraId="11E47F2E" w14:textId="434D8A0F" w:rsidR="00391DCC" w:rsidRPr="006300CE" w:rsidRDefault="00391DCC">
            <w:pPr>
              <w:pStyle w:val="Prrafodelista"/>
              <w:keepNext/>
              <w:numPr>
                <w:ilvl w:val="2"/>
                <w:numId w:val="38"/>
              </w:numPr>
              <w:spacing w:after="0"/>
              <w:ind w:left="850" w:hanging="113"/>
              <w:rPr>
                <w:sz w:val="14"/>
                <w:szCs w:val="14"/>
              </w:rPr>
            </w:pPr>
            <w:r w:rsidRPr="006300CE">
              <w:rPr>
                <w:sz w:val="14"/>
                <w:szCs w:val="14"/>
              </w:rPr>
              <w:t>Reputación, inflación controlada, estabilidad cambiaria…</w:t>
            </w:r>
          </w:p>
          <w:p w14:paraId="05EFCF7F" w14:textId="77777777" w:rsidR="00391DCC" w:rsidRPr="00391DCC" w:rsidRDefault="00391DCC">
            <w:pPr>
              <w:pStyle w:val="Prrafodelista"/>
              <w:keepNext/>
              <w:numPr>
                <w:ilvl w:val="1"/>
                <w:numId w:val="37"/>
              </w:numPr>
              <w:spacing w:after="0"/>
              <w:ind w:left="567" w:hanging="113"/>
              <w:rPr>
                <w:sz w:val="16"/>
                <w:szCs w:val="16"/>
              </w:rPr>
            </w:pPr>
            <w:r w:rsidRPr="00391DCC">
              <w:rPr>
                <w:sz w:val="16"/>
                <w:szCs w:val="16"/>
              </w:rPr>
              <w:t>Costes de mantenimiento del tipo de cambio fijo:</w:t>
            </w:r>
          </w:p>
          <w:p w14:paraId="5BF7EF10" w14:textId="77777777" w:rsidR="00391DCC" w:rsidRPr="006300CE" w:rsidRDefault="00391DCC">
            <w:pPr>
              <w:pStyle w:val="Prrafodelista"/>
              <w:keepNext/>
              <w:numPr>
                <w:ilvl w:val="2"/>
                <w:numId w:val="38"/>
              </w:numPr>
              <w:spacing w:after="0"/>
              <w:ind w:left="850" w:hanging="113"/>
              <w:rPr>
                <w:sz w:val="14"/>
                <w:szCs w:val="14"/>
              </w:rPr>
            </w:pPr>
            <w:r w:rsidRPr="006300CE">
              <w:rPr>
                <w:i/>
                <w:iCs/>
                <w:sz w:val="14"/>
                <w:szCs w:val="14"/>
              </w:rPr>
              <w:t>Coste de oportunidad de devaluación</w:t>
            </w:r>
            <w:r w:rsidRPr="006300CE">
              <w:rPr>
                <w:sz w:val="14"/>
                <w:szCs w:val="14"/>
              </w:rPr>
              <w:t>: aumento de las exportaciones, fin de las presiones cambiarias…</w:t>
            </w:r>
          </w:p>
          <w:p w14:paraId="519B0DEE" w14:textId="77777777" w:rsidR="00391DCC" w:rsidRPr="006300CE" w:rsidRDefault="00391DCC">
            <w:pPr>
              <w:pStyle w:val="Prrafodelista"/>
              <w:keepNext/>
              <w:numPr>
                <w:ilvl w:val="2"/>
                <w:numId w:val="38"/>
              </w:numPr>
              <w:spacing w:after="0"/>
              <w:ind w:left="850" w:hanging="113"/>
              <w:rPr>
                <w:sz w:val="14"/>
                <w:szCs w:val="14"/>
              </w:rPr>
            </w:pPr>
            <w:r w:rsidRPr="006300CE">
              <w:rPr>
                <w:i/>
                <w:iCs/>
                <w:sz w:val="14"/>
                <w:szCs w:val="14"/>
              </w:rPr>
              <w:t>Coste de expectativas de los agentes</w:t>
            </w:r>
            <w:r w:rsidRPr="006300CE">
              <w:rPr>
                <w:sz w:val="14"/>
                <w:szCs w:val="14"/>
              </w:rPr>
              <w:t>: Si los agentes esperan que el gobierno devalúe o abandone el régimen cambiario llevarán a cabo presiones adicionales:</w:t>
            </w:r>
          </w:p>
          <w:p w14:paraId="44724A7D" w14:textId="77777777" w:rsidR="00391DCC" w:rsidRPr="006300CE" w:rsidRDefault="00391DCC">
            <w:pPr>
              <w:pStyle w:val="Prrafodelista"/>
              <w:keepNext/>
              <w:numPr>
                <w:ilvl w:val="1"/>
                <w:numId w:val="39"/>
              </w:numPr>
              <w:spacing w:after="0"/>
              <w:ind w:left="1134" w:hanging="57"/>
              <w:rPr>
                <w:spacing w:val="-4"/>
                <w:sz w:val="14"/>
                <w:szCs w:val="14"/>
              </w:rPr>
            </w:pPr>
            <w:r w:rsidRPr="006300CE">
              <w:rPr>
                <w:spacing w:val="-4"/>
                <w:sz w:val="14"/>
                <w:szCs w:val="14"/>
              </w:rPr>
              <w:t>Inversores comenzarán a apostar en contra de la moneda.</w:t>
            </w:r>
          </w:p>
          <w:p w14:paraId="5A844CC3" w14:textId="6FA06DE1" w:rsidR="00C40412" w:rsidRPr="00391DCC" w:rsidRDefault="00391DCC">
            <w:pPr>
              <w:pStyle w:val="Prrafodelista"/>
              <w:keepNext/>
              <w:numPr>
                <w:ilvl w:val="1"/>
                <w:numId w:val="39"/>
              </w:numPr>
              <w:spacing w:after="0"/>
              <w:ind w:left="1134" w:hanging="57"/>
              <w:rPr>
                <w:sz w:val="16"/>
                <w:szCs w:val="16"/>
              </w:rPr>
            </w:pPr>
            <w:r w:rsidRPr="006300CE">
              <w:rPr>
                <w:sz w:val="14"/>
                <w:szCs w:val="14"/>
              </w:rPr>
              <w:t>Trabajadores comenzarán a exigir aumentos en los salarios de cara a cubrirse de la futura esperada inflación.</w:t>
            </w:r>
          </w:p>
        </w:tc>
        <w:tc>
          <w:tcPr>
            <w:tcW w:w="3211" w:type="dxa"/>
          </w:tcPr>
          <w:p w14:paraId="63AC3E3B" w14:textId="5BF44001" w:rsidR="00391DCC" w:rsidRDefault="00391DCC" w:rsidP="006300CE">
            <w:pPr>
              <w:keepNext/>
              <w:spacing w:after="0"/>
              <w:jc w:val="left"/>
            </w:pPr>
            <w:r w:rsidRPr="00391DCC">
              <w:rPr>
                <w:i/>
                <w:iCs/>
              </w:rPr>
              <w:t>Apertura de la cuenta corriente y financiera</w:t>
            </w:r>
            <w:r>
              <w:t>:</w:t>
            </w:r>
          </w:p>
          <w:p w14:paraId="61DC5970" w14:textId="77777777" w:rsidR="00391DCC" w:rsidRPr="00391DCC" w:rsidRDefault="00391DCC">
            <w:pPr>
              <w:pStyle w:val="Prrafodelista"/>
              <w:keepNext/>
              <w:numPr>
                <w:ilvl w:val="0"/>
                <w:numId w:val="33"/>
              </w:numPr>
              <w:spacing w:after="0"/>
              <w:ind w:left="283" w:hanging="113"/>
              <w:rPr>
                <w:spacing w:val="-2"/>
                <w:sz w:val="16"/>
                <w:szCs w:val="16"/>
              </w:rPr>
            </w:pPr>
            <w:r w:rsidRPr="00391DCC">
              <w:rPr>
                <w:spacing w:val="-2"/>
                <w:sz w:val="16"/>
                <w:szCs w:val="16"/>
              </w:rPr>
              <w:t xml:space="preserve">A pesar de las debilidades, y por recomendación de los organismos internacionales, se lleva a cabo una </w:t>
            </w:r>
            <w:r w:rsidRPr="00391DCC">
              <w:rPr>
                <w:b/>
                <w:bCs/>
                <w:spacing w:val="-2"/>
                <w:sz w:val="16"/>
                <w:szCs w:val="16"/>
              </w:rPr>
              <w:t>brusca y descontrolada apertura de la cuenta corriente y la cuenta financiera</w:t>
            </w:r>
            <w:r w:rsidRPr="00391DCC">
              <w:rPr>
                <w:spacing w:val="-2"/>
                <w:sz w:val="16"/>
                <w:szCs w:val="16"/>
              </w:rPr>
              <w:t>.</w:t>
            </w:r>
          </w:p>
          <w:p w14:paraId="5D600F21" w14:textId="77777777" w:rsidR="00391DCC" w:rsidRPr="00391DCC" w:rsidRDefault="00391DCC">
            <w:pPr>
              <w:pStyle w:val="Prrafodelista"/>
              <w:keepNext/>
              <w:numPr>
                <w:ilvl w:val="0"/>
                <w:numId w:val="33"/>
              </w:numPr>
              <w:spacing w:after="0"/>
              <w:ind w:left="283" w:hanging="113"/>
              <w:rPr>
                <w:spacing w:val="-2"/>
                <w:sz w:val="16"/>
                <w:szCs w:val="16"/>
              </w:rPr>
            </w:pPr>
            <w:r w:rsidRPr="00391DCC">
              <w:rPr>
                <w:spacing w:val="-2"/>
                <w:sz w:val="16"/>
                <w:szCs w:val="16"/>
              </w:rPr>
              <w:t>Esto lleva a una fuerte y descontrolada entrada de capitales con las siguientes características:</w:t>
            </w:r>
          </w:p>
          <w:p w14:paraId="49313EFA" w14:textId="77777777" w:rsidR="00391DCC" w:rsidRPr="00391DCC" w:rsidRDefault="00391DCC">
            <w:pPr>
              <w:pStyle w:val="Prrafodelista"/>
              <w:keepNext/>
              <w:numPr>
                <w:ilvl w:val="1"/>
                <w:numId w:val="35"/>
              </w:numPr>
              <w:spacing w:after="0"/>
              <w:ind w:left="567" w:hanging="113"/>
              <w:rPr>
                <w:sz w:val="16"/>
                <w:szCs w:val="16"/>
              </w:rPr>
            </w:pPr>
            <w:r w:rsidRPr="00391DCC">
              <w:rPr>
                <w:sz w:val="16"/>
                <w:szCs w:val="16"/>
              </w:rPr>
              <w:t>Corto plazo</w:t>
            </w:r>
          </w:p>
          <w:p w14:paraId="0149DC6F" w14:textId="77777777" w:rsidR="00391DCC" w:rsidRPr="00391DCC" w:rsidRDefault="00391DCC">
            <w:pPr>
              <w:pStyle w:val="Prrafodelista"/>
              <w:keepNext/>
              <w:numPr>
                <w:ilvl w:val="1"/>
                <w:numId w:val="35"/>
              </w:numPr>
              <w:spacing w:after="0"/>
              <w:ind w:left="567" w:hanging="113"/>
              <w:rPr>
                <w:sz w:val="16"/>
                <w:szCs w:val="16"/>
              </w:rPr>
            </w:pPr>
            <w:r w:rsidRPr="00391DCC">
              <w:rPr>
                <w:sz w:val="16"/>
                <w:szCs w:val="16"/>
              </w:rPr>
              <w:t>Moneda extranjera</w:t>
            </w:r>
          </w:p>
          <w:p w14:paraId="2081BFFD" w14:textId="099A391D" w:rsidR="00C40412" w:rsidRPr="00391DCC" w:rsidRDefault="00391DCC">
            <w:pPr>
              <w:pStyle w:val="Prrafodelista"/>
              <w:keepNext/>
              <w:numPr>
                <w:ilvl w:val="1"/>
                <w:numId w:val="35"/>
              </w:numPr>
              <w:spacing w:after="0"/>
              <w:ind w:left="567" w:hanging="113"/>
              <w:rPr>
                <w:sz w:val="16"/>
                <w:szCs w:val="16"/>
              </w:rPr>
            </w:pPr>
            <w:r w:rsidRPr="00391DCC">
              <w:rPr>
                <w:sz w:val="16"/>
                <w:szCs w:val="16"/>
              </w:rPr>
              <w:t>Volátiles</w:t>
            </w:r>
          </w:p>
        </w:tc>
      </w:tr>
      <w:tr w:rsidR="00391DCC" w14:paraId="6E3CD37A" w14:textId="77777777" w:rsidTr="00391DCC">
        <w:trPr>
          <w:jc w:val="center"/>
        </w:trPr>
        <w:tc>
          <w:tcPr>
            <w:tcW w:w="3210" w:type="dxa"/>
          </w:tcPr>
          <w:p w14:paraId="7A4E1109" w14:textId="357CC8E1" w:rsidR="00391DCC" w:rsidRDefault="00391DCC" w:rsidP="006300CE">
            <w:pPr>
              <w:keepNext/>
              <w:spacing w:after="0"/>
              <w:jc w:val="left"/>
            </w:pPr>
            <w:r w:rsidRPr="00C40412">
              <w:rPr>
                <w:i/>
                <w:iCs/>
              </w:rPr>
              <w:t>Ataque especulativo predecible pero inevitable</w:t>
            </w:r>
            <w:r>
              <w:t>:</w:t>
            </w:r>
          </w:p>
          <w:p w14:paraId="1FF08EDE" w14:textId="77777777" w:rsidR="00391DCC" w:rsidRPr="00C40412" w:rsidRDefault="00391DCC">
            <w:pPr>
              <w:pStyle w:val="Prrafodelista"/>
              <w:keepNext/>
              <w:numPr>
                <w:ilvl w:val="0"/>
                <w:numId w:val="31"/>
              </w:numPr>
              <w:spacing w:after="0"/>
              <w:ind w:left="283" w:hanging="113"/>
              <w:rPr>
                <w:sz w:val="16"/>
                <w:szCs w:val="16"/>
              </w:rPr>
            </w:pPr>
            <w:r w:rsidRPr="00C40412">
              <w:rPr>
                <w:sz w:val="16"/>
                <w:szCs w:val="16"/>
              </w:rPr>
              <w:t xml:space="preserve">Por lo tanto, </w:t>
            </w:r>
            <w:r w:rsidRPr="00C40412">
              <w:rPr>
                <w:b/>
                <w:bCs/>
                <w:sz w:val="16"/>
                <w:szCs w:val="16"/>
              </w:rPr>
              <w:t>se acabará produciendo un ataque especulativo</w:t>
            </w:r>
            <w:r w:rsidRPr="00C40412">
              <w:rPr>
                <w:sz w:val="16"/>
                <w:szCs w:val="16"/>
              </w:rPr>
              <w:t>.</w:t>
            </w:r>
          </w:p>
          <w:p w14:paraId="54F8B63C" w14:textId="269BD167" w:rsidR="00391DCC" w:rsidRPr="006300CE" w:rsidRDefault="00391DCC">
            <w:pPr>
              <w:pStyle w:val="Prrafodelista"/>
              <w:numPr>
                <w:ilvl w:val="0"/>
                <w:numId w:val="31"/>
              </w:numPr>
              <w:spacing w:after="0"/>
              <w:ind w:left="283" w:hanging="113"/>
              <w:rPr>
                <w:sz w:val="16"/>
                <w:szCs w:val="16"/>
              </w:rPr>
            </w:pPr>
            <w:r w:rsidRPr="006300CE">
              <w:rPr>
                <w:sz w:val="16"/>
                <w:szCs w:val="16"/>
              </w:rPr>
              <w:t xml:space="preserve">Lo único que queda por determinar es cuándo se producirá dicho ataque. </w:t>
            </w:r>
            <w:r w:rsidR="006300CE" w:rsidRPr="006300CE">
              <w:rPr>
                <w:sz w:val="16"/>
                <w:szCs w:val="16"/>
              </w:rPr>
              <w:t>E</w:t>
            </w:r>
            <w:r w:rsidRPr="006300CE">
              <w:rPr>
                <w:sz w:val="16"/>
                <w:szCs w:val="16"/>
              </w:rPr>
              <w:t xml:space="preserve">sto se producirá </w:t>
            </w:r>
            <w:r w:rsidRPr="006300CE">
              <w:rPr>
                <w:b/>
                <w:bCs/>
                <w:sz w:val="16"/>
                <w:szCs w:val="16"/>
              </w:rPr>
              <w:t>cuando el tipo de cambio sombra este tan depreciado como el tipo de cambio oficial</w:t>
            </w:r>
            <w:r w:rsidRPr="006300CE">
              <w:rPr>
                <w:sz w:val="16"/>
                <w:szCs w:val="16"/>
              </w:rPr>
              <w:t>.</w:t>
            </w:r>
          </w:p>
        </w:tc>
        <w:tc>
          <w:tcPr>
            <w:tcW w:w="3211" w:type="dxa"/>
          </w:tcPr>
          <w:p w14:paraId="79230A83" w14:textId="77777777" w:rsidR="00391DCC" w:rsidRDefault="00391DCC" w:rsidP="006300CE">
            <w:pPr>
              <w:keepNext/>
              <w:spacing w:after="0"/>
              <w:jc w:val="left"/>
            </w:pPr>
            <w:r>
              <w:rPr>
                <w:i/>
                <w:iCs/>
              </w:rPr>
              <w:t>E</w:t>
            </w:r>
            <w:r w:rsidRPr="00391DCC">
              <w:rPr>
                <w:i/>
                <w:iCs/>
              </w:rPr>
              <w:t>quilibrios múltiples y expectativas autocumplidas</w:t>
            </w:r>
            <w:r>
              <w:t>:</w:t>
            </w:r>
          </w:p>
          <w:p w14:paraId="6473F3D6" w14:textId="5057382D" w:rsidR="00391DCC" w:rsidRPr="00391DCC" w:rsidRDefault="00391DCC">
            <w:pPr>
              <w:pStyle w:val="Prrafodelista"/>
              <w:numPr>
                <w:ilvl w:val="0"/>
                <w:numId w:val="36"/>
              </w:numPr>
              <w:spacing w:after="0"/>
              <w:ind w:left="283" w:hanging="113"/>
              <w:rPr>
                <w:sz w:val="16"/>
                <w:szCs w:val="16"/>
              </w:rPr>
            </w:pPr>
            <w:r w:rsidRPr="00391DCC">
              <w:rPr>
                <w:sz w:val="16"/>
                <w:szCs w:val="16"/>
              </w:rPr>
              <w:t xml:space="preserve">Por lo tanto, estamos en una situación de </w:t>
            </w:r>
            <w:r w:rsidRPr="00391DCC">
              <w:rPr>
                <w:i/>
                <w:iCs/>
                <w:sz w:val="16"/>
                <w:szCs w:val="16"/>
              </w:rPr>
              <w:t>equilibrios múltiples</w:t>
            </w:r>
            <w:r w:rsidRPr="00391DCC">
              <w:rPr>
                <w:sz w:val="16"/>
                <w:szCs w:val="16"/>
              </w:rPr>
              <w:t xml:space="preserve"> y </w:t>
            </w:r>
            <w:r w:rsidRPr="00391DCC">
              <w:rPr>
                <w:i/>
                <w:iCs/>
                <w:sz w:val="16"/>
                <w:szCs w:val="16"/>
              </w:rPr>
              <w:t>expectativas autocumplidas</w:t>
            </w:r>
            <w:r w:rsidRPr="00391DCC">
              <w:rPr>
                <w:sz w:val="16"/>
                <w:szCs w:val="16"/>
              </w:rPr>
              <w:t>. El equilibrio final (abandono o no) dependerá de las expectativas de los agentes, y lo que ellos crean acabará sucediendo.</w:t>
            </w:r>
          </w:p>
        </w:tc>
        <w:tc>
          <w:tcPr>
            <w:tcW w:w="3211" w:type="dxa"/>
          </w:tcPr>
          <w:p w14:paraId="1BB016AD" w14:textId="509215D6" w:rsidR="00391DCC" w:rsidRDefault="00391DCC" w:rsidP="006300CE">
            <w:pPr>
              <w:keepNext/>
              <w:spacing w:after="0"/>
              <w:jc w:val="left"/>
            </w:pPr>
            <w:r w:rsidRPr="00C40412">
              <w:rPr>
                <w:i/>
                <w:iCs/>
              </w:rPr>
              <w:t>Equilibrios múltiples y expectativas autocumplidas</w:t>
            </w:r>
            <w:r>
              <w:t>:</w:t>
            </w:r>
          </w:p>
          <w:p w14:paraId="4D629BA0" w14:textId="77777777" w:rsidR="00391DCC" w:rsidRPr="00391DCC" w:rsidRDefault="00391DCC">
            <w:pPr>
              <w:pStyle w:val="Prrafodelista"/>
              <w:keepNext/>
              <w:numPr>
                <w:ilvl w:val="0"/>
                <w:numId w:val="32"/>
              </w:numPr>
              <w:spacing w:after="0"/>
              <w:ind w:left="283" w:hanging="113"/>
              <w:rPr>
                <w:sz w:val="16"/>
                <w:szCs w:val="16"/>
              </w:rPr>
            </w:pPr>
            <w:r w:rsidRPr="00391DCC">
              <w:rPr>
                <w:sz w:val="16"/>
                <w:szCs w:val="16"/>
              </w:rPr>
              <w:t>Esta apertura lleva a la formación de importantes debilidades estructurales que pueden reflejarse en distintos modelos:</w:t>
            </w:r>
          </w:p>
          <w:p w14:paraId="5AF92C7B" w14:textId="77777777" w:rsidR="00391DCC" w:rsidRPr="006300CE" w:rsidRDefault="00391DCC">
            <w:pPr>
              <w:pStyle w:val="Prrafodelista"/>
              <w:numPr>
                <w:ilvl w:val="1"/>
                <w:numId w:val="32"/>
              </w:numPr>
              <w:spacing w:after="0"/>
              <w:ind w:left="567" w:hanging="113"/>
              <w:rPr>
                <w:sz w:val="14"/>
                <w:szCs w:val="14"/>
              </w:rPr>
            </w:pPr>
            <w:r w:rsidRPr="006300CE">
              <w:rPr>
                <w:sz w:val="14"/>
                <w:szCs w:val="14"/>
              </w:rPr>
              <w:t>Riesgo moral y fragilidad financiera.</w:t>
            </w:r>
          </w:p>
          <w:p w14:paraId="242C3EFB" w14:textId="77777777" w:rsidR="00391DCC" w:rsidRPr="006300CE" w:rsidRDefault="00391DCC">
            <w:pPr>
              <w:pStyle w:val="Prrafodelista"/>
              <w:numPr>
                <w:ilvl w:val="1"/>
                <w:numId w:val="32"/>
              </w:numPr>
              <w:spacing w:after="0"/>
              <w:ind w:left="567" w:hanging="113"/>
              <w:rPr>
                <w:sz w:val="14"/>
                <w:szCs w:val="14"/>
              </w:rPr>
            </w:pPr>
            <w:r w:rsidRPr="006300CE">
              <w:rPr>
                <w:sz w:val="14"/>
                <w:szCs w:val="14"/>
              </w:rPr>
              <w:t>Hojas de balance.</w:t>
            </w:r>
          </w:p>
          <w:p w14:paraId="4F5E42FD" w14:textId="5078E3EC" w:rsidR="00391DCC" w:rsidRPr="00391DCC" w:rsidRDefault="00391DCC">
            <w:pPr>
              <w:pStyle w:val="Prrafodelista"/>
              <w:keepLines/>
              <w:numPr>
                <w:ilvl w:val="0"/>
                <w:numId w:val="32"/>
              </w:numPr>
              <w:spacing w:after="0"/>
              <w:ind w:left="283" w:hanging="113"/>
              <w:rPr>
                <w:sz w:val="16"/>
                <w:szCs w:val="16"/>
              </w:rPr>
            </w:pPr>
            <w:r w:rsidRPr="00391DCC">
              <w:rPr>
                <w:sz w:val="16"/>
                <w:szCs w:val="16"/>
              </w:rPr>
              <w:t xml:space="preserve">Como veremos los modelos no son excluyentes sino que la combinación de </w:t>
            </w:r>
            <w:proofErr w:type="gramStart"/>
            <w:r w:rsidRPr="00391DCC">
              <w:rPr>
                <w:sz w:val="16"/>
                <w:szCs w:val="16"/>
              </w:rPr>
              <w:t>los mismos</w:t>
            </w:r>
            <w:proofErr w:type="gramEnd"/>
            <w:r w:rsidRPr="00391DCC">
              <w:rPr>
                <w:sz w:val="16"/>
                <w:szCs w:val="16"/>
              </w:rPr>
              <w:t xml:space="preserve"> nos llevará a poder explicar las crisis gemelas.</w:t>
            </w:r>
          </w:p>
        </w:tc>
      </w:tr>
    </w:tbl>
    <w:p w14:paraId="3AA99B81" w14:textId="707DCB38" w:rsidR="005A0870" w:rsidRDefault="00740AF6" w:rsidP="00884F99">
      <w:pPr>
        <w:pStyle w:val="Ttulo1"/>
      </w:pPr>
      <w:r>
        <w:t>CONTAGIO</w:t>
      </w:r>
      <w:bookmarkEnd w:id="44"/>
    </w:p>
    <w:p w14:paraId="4B75946A" w14:textId="77FE1E80" w:rsidR="00740AF6" w:rsidRDefault="005A0870" w:rsidP="005A0870">
      <w:pPr>
        <w:pStyle w:val="Ttulo2"/>
      </w:pPr>
      <w:bookmarkStart w:id="45" w:name="_Toc145492508"/>
      <w:r>
        <w:t>Idea</w:t>
      </w:r>
      <w:bookmarkEnd w:id="45"/>
    </w:p>
    <w:p w14:paraId="57722A32" w14:textId="3A661D98" w:rsidR="00884F99" w:rsidRDefault="00884F99" w:rsidP="004D7D10">
      <w:pPr>
        <w:pStyle w:val="Nivel1SM"/>
        <w:keepNext/>
        <w:spacing w:before="0" w:after="0"/>
      </w:pPr>
      <w:r>
        <w:t xml:space="preserve">Las </w:t>
      </w:r>
      <w:r w:rsidRPr="00884F99">
        <w:rPr>
          <w:b/>
          <w:bCs/>
        </w:rPr>
        <w:t>crisis</w:t>
      </w:r>
      <w:r>
        <w:t xml:space="preserve"> provocan en numerosas ocasiones </w:t>
      </w:r>
      <w:r w:rsidRPr="00884F99">
        <w:rPr>
          <w:i/>
          <w:iCs/>
        </w:rPr>
        <w:t>crisis monetarias y financieras en otras economías ajenas al origen de la crisis pero que por diferentes motivos se ven afectada por la misma</w:t>
      </w:r>
      <w:r>
        <w:t xml:space="preserve">. Este fenómeno se conoce como el </w:t>
      </w:r>
      <w:r w:rsidRPr="00884F99">
        <w:rPr>
          <w:b/>
          <w:bCs/>
        </w:rPr>
        <w:t>contagio</w:t>
      </w:r>
      <w:r w:rsidR="00C1040F" w:rsidRPr="00616BEE">
        <w:rPr>
          <w:rStyle w:val="Refdenotaalpie"/>
        </w:rPr>
        <w:footnoteReference w:id="14"/>
      </w:r>
      <w:r>
        <w:t>.</w:t>
      </w:r>
    </w:p>
    <w:p w14:paraId="3EEC411D" w14:textId="6F327B05" w:rsidR="00884F99" w:rsidRDefault="00884F99" w:rsidP="00884F99">
      <w:pPr>
        <w:pStyle w:val="Nivel2"/>
        <w:spacing w:after="0"/>
        <w:ind w:left="765"/>
      </w:pPr>
      <w:r w:rsidRPr="00884F99">
        <w:rPr>
          <w:i/>
          <w:iCs/>
        </w:rPr>
        <w:t>Por ejemplo</w:t>
      </w:r>
      <w:r>
        <w:t xml:space="preserve">, la crisis de Tailandia de 1997 se extendió rápidamente a Malasia, Indonesia, Corea </w:t>
      </w:r>
      <w:r w:rsidR="005F1063">
        <w:t xml:space="preserve">del Sur </w:t>
      </w:r>
      <w:r>
        <w:t>y Filipinas, y la crisis de Rusia de 1998 se extendió a un país sin aparente relación como Brasil.</w:t>
      </w:r>
    </w:p>
    <w:p w14:paraId="5A603B61" w14:textId="2C82DC96" w:rsidR="00884F99" w:rsidRDefault="00C1040F" w:rsidP="00884F99">
      <w:pPr>
        <w:pStyle w:val="Nivel1SM"/>
        <w:keepNext/>
        <w:spacing w:after="0"/>
      </w:pPr>
      <w:r w:rsidRPr="00C1040F">
        <w:rPr>
          <w:smallCaps/>
        </w:rPr>
        <w:lastRenderedPageBreak/>
        <w:t>Rei</w:t>
      </w:r>
      <w:r>
        <w:rPr>
          <w:smallCaps/>
        </w:rPr>
        <w:t>nhart</w:t>
      </w:r>
      <w:r>
        <w:t xml:space="preserve"> y </w:t>
      </w:r>
      <w:r>
        <w:rPr>
          <w:smallCaps/>
        </w:rPr>
        <w:t>Kaminsky</w:t>
      </w:r>
      <w:r w:rsidRPr="00C1040F">
        <w:t xml:space="preserve"> (</w:t>
      </w:r>
      <w:r>
        <w:t>2000</w:t>
      </w:r>
      <w:r w:rsidRPr="00C1040F">
        <w:t>)</w:t>
      </w:r>
      <w:r>
        <w:t xml:space="preserve">, basándose en la clasificación de </w:t>
      </w:r>
      <w:r>
        <w:rPr>
          <w:smallCaps/>
        </w:rPr>
        <w:t>Calvo</w:t>
      </w:r>
      <w:r>
        <w:t xml:space="preserve"> y </w:t>
      </w:r>
      <w:r>
        <w:rPr>
          <w:smallCaps/>
        </w:rPr>
        <w:t>Reinhart</w:t>
      </w:r>
      <w:r>
        <w:t xml:space="preserve"> (1996), </w:t>
      </w:r>
      <w:r w:rsidR="00884F99">
        <w:t>distingue</w:t>
      </w:r>
      <w:r>
        <w:t>n</w:t>
      </w:r>
      <w:r w:rsidR="00884F99">
        <w:t xml:space="preserve"> entre:</w:t>
      </w:r>
    </w:p>
    <w:p w14:paraId="62667946" w14:textId="335520DD" w:rsidR="00884F99" w:rsidRDefault="00884F99">
      <w:pPr>
        <w:pStyle w:val="Prrafodelista"/>
        <w:keepNext/>
        <w:numPr>
          <w:ilvl w:val="0"/>
          <w:numId w:val="26"/>
        </w:numPr>
        <w:spacing w:after="100"/>
        <w:ind w:left="568" w:hanging="284"/>
      </w:pPr>
      <w:r>
        <w:t>Contagio basado en los fundamentos</w:t>
      </w:r>
      <w:r w:rsidR="00C1040F">
        <w:t>;</w:t>
      </w:r>
      <w:r>
        <w:t xml:space="preserve"> y</w:t>
      </w:r>
    </w:p>
    <w:p w14:paraId="055C7727" w14:textId="1BC526C0" w:rsidR="00884F99" w:rsidRDefault="00884F99">
      <w:pPr>
        <w:pStyle w:val="Prrafodelista"/>
        <w:numPr>
          <w:ilvl w:val="0"/>
          <w:numId w:val="26"/>
        </w:numPr>
        <w:spacing w:after="100"/>
        <w:ind w:left="568" w:hanging="284"/>
      </w:pPr>
      <w:r>
        <w:t>Contagio puro.</w:t>
      </w:r>
    </w:p>
    <w:p w14:paraId="09F5501A" w14:textId="1E86974C" w:rsidR="00C1040F" w:rsidRDefault="00884F99" w:rsidP="00884F99">
      <w:pPr>
        <w:pStyle w:val="Ttulo2"/>
      </w:pPr>
      <w:bookmarkStart w:id="46" w:name="_Toc145492509"/>
      <w:r>
        <w:t>Contagio basado en fundamentos</w:t>
      </w:r>
      <w:bookmarkEnd w:id="46"/>
    </w:p>
    <w:p w14:paraId="3F729287" w14:textId="77777777" w:rsidR="00610EEC" w:rsidRDefault="00C1040F" w:rsidP="004D7D10">
      <w:pPr>
        <w:pStyle w:val="Nivel1SM"/>
        <w:keepNext/>
        <w:spacing w:before="0" w:after="0"/>
      </w:pPr>
      <w:r>
        <w:t>Distinguimos entre:</w:t>
      </w:r>
    </w:p>
    <w:p w14:paraId="74F14577" w14:textId="1259FD2A" w:rsidR="00610EEC" w:rsidRDefault="00610EEC">
      <w:pPr>
        <w:pStyle w:val="Prrafodelista"/>
        <w:keepNext/>
        <w:numPr>
          <w:ilvl w:val="1"/>
          <w:numId w:val="19"/>
        </w:numPr>
        <w:spacing w:after="100"/>
        <w:ind w:left="568" w:hanging="284"/>
      </w:pPr>
      <w:r>
        <w:fldChar w:fldCharType="begin"/>
      </w:r>
      <w:r>
        <w:instrText xml:space="preserve"> REF _Ref123547339 \h  \* MERGEFORMAT </w:instrText>
      </w:r>
      <w:r>
        <w:fldChar w:fldCharType="separate"/>
      </w:r>
      <w:r w:rsidR="009A4A5C">
        <w:t>Contagio basado en vínculos comerciales</w:t>
      </w:r>
      <w:r>
        <w:fldChar w:fldCharType="end"/>
      </w:r>
    </w:p>
    <w:p w14:paraId="2EA60DDE" w14:textId="67747418" w:rsidR="00C1040F" w:rsidRPr="00C1040F" w:rsidRDefault="00610EEC">
      <w:pPr>
        <w:pStyle w:val="Prrafodelista"/>
        <w:numPr>
          <w:ilvl w:val="1"/>
          <w:numId w:val="19"/>
        </w:numPr>
        <w:spacing w:after="100"/>
        <w:ind w:left="568" w:hanging="284"/>
      </w:pPr>
      <w:r>
        <w:fldChar w:fldCharType="begin"/>
      </w:r>
      <w:r>
        <w:instrText xml:space="preserve"> REF _Ref123547341 \h  \* MERGEFORMAT </w:instrText>
      </w:r>
      <w:r>
        <w:fldChar w:fldCharType="separate"/>
      </w:r>
      <w:r w:rsidR="009A4A5C">
        <w:t>Contagio basado en vínculos financieros</w:t>
      </w:r>
      <w:r>
        <w:fldChar w:fldCharType="end"/>
      </w:r>
    </w:p>
    <w:p w14:paraId="1EAB33DC" w14:textId="753B5D43" w:rsidR="00C1040F" w:rsidRDefault="00C1040F">
      <w:pPr>
        <w:pStyle w:val="Ttulo6"/>
        <w:numPr>
          <w:ilvl w:val="0"/>
          <w:numId w:val="18"/>
        </w:numPr>
        <w:ind w:left="284" w:hanging="284"/>
      </w:pPr>
      <w:bookmarkStart w:id="47" w:name="_Ref123547339"/>
      <w:bookmarkStart w:id="48" w:name="_Toc145492510"/>
      <w:r>
        <w:t>Contagio basado en vínculos comerciales</w:t>
      </w:r>
      <w:bookmarkEnd w:id="47"/>
      <w:bookmarkEnd w:id="48"/>
    </w:p>
    <w:p w14:paraId="72D5EB49" w14:textId="15645447" w:rsidR="00C1040F" w:rsidRDefault="00C1040F" w:rsidP="004D7D10">
      <w:pPr>
        <w:pStyle w:val="Ttulo7"/>
        <w:spacing w:before="0"/>
      </w:pPr>
      <w:r>
        <w:t>Contagio basado en vínculos comerciales bilaterales</w:t>
      </w:r>
    </w:p>
    <w:p w14:paraId="4501D25A" w14:textId="5C55D9DB" w:rsidR="00C1040F" w:rsidRDefault="00610EEC" w:rsidP="004D7D10">
      <w:pPr>
        <w:pStyle w:val="Nivel1SM"/>
        <w:keepNext/>
        <w:spacing w:before="0" w:after="0"/>
      </w:pPr>
      <w:r w:rsidRPr="008B0DD6">
        <w:t>Una crisis monetaria en un país que provoque la devaluación de su moneda afectará negativamente a las exportaciones de sus socios comerciales a través de una disminución de su demanda y de la pérdida de competitividad</w:t>
      </w:r>
      <w:r w:rsidR="005F1063" w:rsidRPr="008B0DD6">
        <w:t>-</w:t>
      </w:r>
      <w:r w:rsidRPr="008B0DD6">
        <w:t>precio</w:t>
      </w:r>
      <w:r>
        <w:t>, con lo que podría forzar a su vez la devaluación de sus monedas.</w:t>
      </w:r>
    </w:p>
    <w:p w14:paraId="5AA50F72" w14:textId="73BE0ABA" w:rsidR="00610EEC" w:rsidRPr="00C33B53" w:rsidRDefault="00610EEC" w:rsidP="00610EEC">
      <w:pPr>
        <w:pStyle w:val="Nivel2SM"/>
        <w:rPr>
          <w:spacing w:val="-4"/>
        </w:rPr>
      </w:pPr>
      <w:r w:rsidRPr="00C33B53">
        <w:rPr>
          <w:spacing w:val="-4"/>
        </w:rPr>
        <w:t>Esta situación se produjo durante la crisis del SME, en la que los ataques especulativos a Reino Unido y la consiguiente devaluación de la libra esterlina precipitaron la devaluación de la libra irlandesa. Asimismo, los ataques a la peseta española en 1992 y su posterior devaluación afectaron también a Portugal por los estrechos lazos comerciales, provocando la devaluación del escudo.</w:t>
      </w:r>
    </w:p>
    <w:p w14:paraId="70A338DC" w14:textId="028F665A" w:rsidR="00610EEC" w:rsidRPr="00C1040F" w:rsidRDefault="00610EEC" w:rsidP="00610EEC">
      <w:pPr>
        <w:pStyle w:val="Nivel2SM"/>
      </w:pPr>
      <w:r>
        <w:t>Por otro lado, la devaluación del peso argentino en 2002, seguida por una fuerte contracción económica, tuvo repercusiones económicas en el resto de países del bloque Mercosur (Uruguay, Brasil y Paraguay) en ese mismo año.</w:t>
      </w:r>
    </w:p>
    <w:p w14:paraId="4BEFF925" w14:textId="6C2FD2F5" w:rsidR="00C1040F" w:rsidRDefault="00C1040F" w:rsidP="00C1040F">
      <w:pPr>
        <w:pStyle w:val="Ttulo7"/>
      </w:pPr>
      <w:r>
        <w:t>Contagio basado en vínculos comerciales indirectos por competencia en un tercer país</w:t>
      </w:r>
    </w:p>
    <w:p w14:paraId="34AD9278" w14:textId="6D58D5F2" w:rsidR="00C1040F" w:rsidRDefault="00610EEC" w:rsidP="004D7D10">
      <w:pPr>
        <w:pStyle w:val="Nivel1SM"/>
        <w:keepNext/>
        <w:spacing w:before="0" w:after="0"/>
      </w:pPr>
      <w:r>
        <w:t>Cuando dos países compiten en un tercero, la devaluación de la divisa de uno de ellos podría tener efectos perjudiciales sobre el comercio del segundo vía pérdida de competitividad. En último término</w:t>
      </w:r>
      <w:r w:rsidR="005F1063">
        <w:t>,</w:t>
      </w:r>
      <w:r>
        <w:t xml:space="preserve"> éste podría verse impulsado a acometer a su vez una devaluación de su moneda.</w:t>
      </w:r>
    </w:p>
    <w:p w14:paraId="4EA3BE28" w14:textId="0F82C823" w:rsidR="00610EEC" w:rsidRPr="00C1040F" w:rsidRDefault="00610EEC" w:rsidP="00610EEC">
      <w:pPr>
        <w:pStyle w:val="Nivel2SM"/>
      </w:pPr>
      <w:r>
        <w:t>Estos efectos se produjeron durante la crisis de la deuda latinoamericana de los años</w:t>
      </w:r>
      <w:r w:rsidR="005F1063">
        <w:t> </w:t>
      </w:r>
      <w:r>
        <w:t xml:space="preserve">80 por el comercio con Estados Unidos y durante la crisis del Sudeste Asiático de </w:t>
      </w:r>
      <w:r w:rsidR="005F1063">
        <w:t>1</w:t>
      </w:r>
      <w:r>
        <w:t>997 por el comercio con Japón, Hong Kong o Singapur.</w:t>
      </w:r>
    </w:p>
    <w:p w14:paraId="0EBFC0ED" w14:textId="4CB52BDC" w:rsidR="00884F99" w:rsidRDefault="00C1040F">
      <w:pPr>
        <w:pStyle w:val="Ttulo6"/>
        <w:numPr>
          <w:ilvl w:val="0"/>
          <w:numId w:val="18"/>
        </w:numPr>
        <w:ind w:left="284" w:hanging="284"/>
      </w:pPr>
      <w:bookmarkStart w:id="49" w:name="_Ref123547341"/>
      <w:bookmarkStart w:id="50" w:name="_Toc145492511"/>
      <w:r>
        <w:t>Contagio basado en vínculos financieros</w:t>
      </w:r>
      <w:bookmarkEnd w:id="49"/>
      <w:r w:rsidR="005E50F6" w:rsidRPr="005F1063">
        <w:rPr>
          <w:rStyle w:val="Refdenotaalpie"/>
          <w:u w:val="none"/>
        </w:rPr>
        <w:footnoteReference w:id="15"/>
      </w:r>
      <w:bookmarkEnd w:id="50"/>
    </w:p>
    <w:p w14:paraId="43A0AC41" w14:textId="2D77F3B6" w:rsidR="00C1040F" w:rsidRDefault="00C1040F" w:rsidP="004D7D10">
      <w:pPr>
        <w:pStyle w:val="Ttulo7"/>
        <w:spacing w:before="0"/>
      </w:pPr>
      <w:r>
        <w:t>Contagio basado en vínculos financieros bilaterales</w:t>
      </w:r>
    </w:p>
    <w:p w14:paraId="7A4FE98E" w14:textId="5CCC755F" w:rsidR="00610EEC" w:rsidRDefault="00610EEC" w:rsidP="004D7D10">
      <w:pPr>
        <w:pStyle w:val="Nivel1SM"/>
        <w:keepNext/>
        <w:spacing w:before="0" w:after="0"/>
      </w:pPr>
      <w:r>
        <w:t>Se produce cuando existen inversiones transfronterizas entre países.</w:t>
      </w:r>
    </w:p>
    <w:p w14:paraId="59832539" w14:textId="2CB44D51" w:rsidR="00CC0985" w:rsidRPr="009A2030" w:rsidRDefault="00610EEC" w:rsidP="00CC0985">
      <w:pPr>
        <w:pStyle w:val="Nivel2SM"/>
        <w:rPr>
          <w:spacing w:val="-1"/>
        </w:rPr>
      </w:pPr>
      <w:r w:rsidRPr="009A2030">
        <w:rPr>
          <w:spacing w:val="-1"/>
        </w:rPr>
        <w:t xml:space="preserve">Un ejemplo de contagio por vínculos financieros bilaterales se produjo en </w:t>
      </w:r>
      <w:r w:rsidR="00CC0985" w:rsidRPr="009A2030">
        <w:rPr>
          <w:spacing w:val="-1"/>
        </w:rPr>
        <w:t xml:space="preserve">Uruguay como consecuencia de </w:t>
      </w:r>
      <w:r w:rsidRPr="009A2030">
        <w:rPr>
          <w:spacing w:val="-1"/>
        </w:rPr>
        <w:t>la crisis argentina de 2002</w:t>
      </w:r>
      <w:r w:rsidR="00CC0985" w:rsidRPr="009A2030">
        <w:rPr>
          <w:spacing w:val="-1"/>
        </w:rPr>
        <w:t>. Uruguay tenía una exposición significativa a la economía argentina en términos de comercio y finanzas. Los bancos uruguayos tenían una gran cantidad de depósitos argentinos y estaban expuestos a la economía argentina. Además, el sistema financiero uruguayo estaba muy interconectado con el sistema financiero argentino</w:t>
      </w:r>
      <w:r w:rsidR="00CC0985" w:rsidRPr="009A2030">
        <w:rPr>
          <w:rStyle w:val="Refdenotaalpie"/>
          <w:spacing w:val="-1"/>
        </w:rPr>
        <w:footnoteReference w:id="16"/>
      </w:r>
      <w:r w:rsidR="00CC0985" w:rsidRPr="009A2030">
        <w:rPr>
          <w:spacing w:val="-1"/>
        </w:rPr>
        <w:t>.</w:t>
      </w:r>
      <w:r w:rsidRPr="009A2030">
        <w:rPr>
          <w:spacing w:val="-1"/>
        </w:rPr>
        <w:t xml:space="preserve"> </w:t>
      </w:r>
      <w:r w:rsidR="00CC0985" w:rsidRPr="009A2030">
        <w:rPr>
          <w:spacing w:val="-1"/>
        </w:rPr>
        <w:t>L</w:t>
      </w:r>
      <w:r w:rsidRPr="009A2030">
        <w:rPr>
          <w:spacing w:val="-1"/>
        </w:rPr>
        <w:t xml:space="preserve">os agentes </w:t>
      </w:r>
      <w:r w:rsidR="00CC0985" w:rsidRPr="009A2030">
        <w:rPr>
          <w:spacing w:val="-1"/>
        </w:rPr>
        <w:t>argentinos</w:t>
      </w:r>
      <w:r w:rsidRPr="009A2030">
        <w:rPr>
          <w:spacing w:val="-1"/>
        </w:rPr>
        <w:t xml:space="preserve"> se vieron obligados a retirar sus depósitos de dólares mantenidos en Uruguay, </w:t>
      </w:r>
      <w:r w:rsidR="00CC0985" w:rsidRPr="009A2030">
        <w:rPr>
          <w:spacing w:val="-1"/>
        </w:rPr>
        <w:t>lo que contribuyó a la pérdida del grado inversor y al pánico bancario en Uruguay.</w:t>
      </w:r>
    </w:p>
    <w:p w14:paraId="05FD04EC" w14:textId="635C2484" w:rsidR="00C1040F" w:rsidRDefault="00C1040F" w:rsidP="00CC0985">
      <w:pPr>
        <w:pStyle w:val="Ttulo7"/>
      </w:pPr>
      <w:r>
        <w:t>Contagio basado en vínculos financieros indirectos por inversores comunes</w:t>
      </w:r>
      <w:r w:rsidR="00C9252A">
        <w:t xml:space="preserve"> (“efecto prestamista común”)</w:t>
      </w:r>
    </w:p>
    <w:p w14:paraId="631C97AB" w14:textId="5535E02A" w:rsidR="00C9252A" w:rsidRDefault="00C9252A" w:rsidP="004D7D10">
      <w:pPr>
        <w:pStyle w:val="Nivel1SM"/>
        <w:keepNext/>
        <w:spacing w:before="0" w:after="0"/>
      </w:pPr>
      <w:r>
        <w:t>Otro tipo de contagio s</w:t>
      </w:r>
      <w:r w:rsidR="00610EEC">
        <w:t>e produce cuando existen invers</w:t>
      </w:r>
      <w:r w:rsidR="005E50F6">
        <w:t>ores que diversifican internacionalmente sus carteras</w:t>
      </w:r>
      <w:r>
        <w:t xml:space="preserve"> (</w:t>
      </w:r>
      <w:r w:rsidR="005E50F6">
        <w:t xml:space="preserve">generalmente las entidades bancarias e inversores institucionales como fondos de inversión, fondos de pensiones y </w:t>
      </w:r>
      <w:proofErr w:type="spellStart"/>
      <w:r w:rsidR="005E50F6" w:rsidRPr="00C9252A">
        <w:rPr>
          <w:i/>
          <w:iCs/>
        </w:rPr>
        <w:t>hedge</w:t>
      </w:r>
      <w:proofErr w:type="spellEnd"/>
      <w:r w:rsidR="005E50F6" w:rsidRPr="00C9252A">
        <w:rPr>
          <w:i/>
          <w:iCs/>
        </w:rPr>
        <w:t xml:space="preserve"> </w:t>
      </w:r>
      <w:proofErr w:type="spellStart"/>
      <w:r w:rsidR="005E50F6" w:rsidRPr="00C9252A">
        <w:rPr>
          <w:i/>
          <w:iCs/>
        </w:rPr>
        <w:t>funds</w:t>
      </w:r>
      <w:proofErr w:type="spellEnd"/>
      <w:r>
        <w:t>). C</w:t>
      </w:r>
      <w:r w:rsidR="005E50F6">
        <w:t xml:space="preserve">uando </w:t>
      </w:r>
      <w:r>
        <w:t xml:space="preserve">estos inversores </w:t>
      </w:r>
      <w:r w:rsidR="005E50F6">
        <w:t xml:space="preserve">se encuentren expuestos a </w:t>
      </w:r>
      <w:r w:rsidR="005E50F6">
        <w:lastRenderedPageBreak/>
        <w:t>países en crisis podrían cortar la financiación o reevaluar el riesgo de sus inversiones y huir de países percibidos como de características similares para cubrir pérdidas y garantizar la calidad de sus carteras de activos, pudiendo generar una crisis</w:t>
      </w:r>
      <w:r w:rsidR="00D26B3B">
        <w:t xml:space="preserve"> de liquidez</w:t>
      </w:r>
      <w:r w:rsidR="005E50F6">
        <w:t xml:space="preserve"> en esos países.</w:t>
      </w:r>
    </w:p>
    <w:p w14:paraId="10A51854" w14:textId="3600CAF0" w:rsidR="005E50F6" w:rsidRDefault="005E50F6" w:rsidP="00C9252A">
      <w:pPr>
        <w:pStyle w:val="Nivel2SM"/>
      </w:pPr>
      <w:r>
        <w:t xml:space="preserve">El contagio entre países que dependen de la financiación de los mismos bancos es denominado el </w:t>
      </w:r>
      <w:r w:rsidRPr="00113555">
        <w:rPr>
          <w:i/>
          <w:iCs/>
          <w:u w:val="single"/>
        </w:rPr>
        <w:t>“efecto prestamista común”</w:t>
      </w:r>
      <w:r>
        <w:t xml:space="preserve"> por autores como </w:t>
      </w:r>
      <w:r w:rsidRPr="005E50F6">
        <w:rPr>
          <w:smallCaps/>
        </w:rPr>
        <w:t>Kaminsky</w:t>
      </w:r>
      <w:r>
        <w:t xml:space="preserve"> y </w:t>
      </w:r>
      <w:r w:rsidRPr="005E50F6">
        <w:rPr>
          <w:smallCaps/>
        </w:rPr>
        <w:t>Reinhart</w:t>
      </w:r>
      <w:r>
        <w:t xml:space="preserve"> (1998)</w:t>
      </w:r>
      <w:r w:rsidR="00D26B3B">
        <w:rPr>
          <w:rStyle w:val="Refdenotaalpie"/>
        </w:rPr>
        <w:footnoteReference w:id="17"/>
      </w:r>
      <w:r>
        <w:t>.</w:t>
      </w:r>
    </w:p>
    <w:p w14:paraId="06187D44" w14:textId="68C79103" w:rsidR="005E50F6" w:rsidRDefault="005E50F6" w:rsidP="005E50F6">
      <w:pPr>
        <w:pStyle w:val="Nivel2SM"/>
      </w:pPr>
      <w:r>
        <w:rPr>
          <w:smallCaps/>
        </w:rPr>
        <w:t xml:space="preserve">Van </w:t>
      </w:r>
      <w:proofErr w:type="spellStart"/>
      <w:r>
        <w:rPr>
          <w:smallCaps/>
        </w:rPr>
        <w:t>Rijckeghem</w:t>
      </w:r>
      <w:proofErr w:type="spellEnd"/>
      <w:r>
        <w:t xml:space="preserve"> y </w:t>
      </w:r>
      <w:proofErr w:type="spellStart"/>
      <w:r>
        <w:rPr>
          <w:smallCaps/>
        </w:rPr>
        <w:t>Weder</w:t>
      </w:r>
      <w:proofErr w:type="spellEnd"/>
      <w:r>
        <w:t xml:space="preserve"> (1999) demuestran que el “efecto prestamista común” fue relevante e</w:t>
      </w:r>
      <w:r w:rsidR="005F1063">
        <w:t>n</w:t>
      </w:r>
      <w:r>
        <w:t xml:space="preserve"> la transmisión de las crisis mexicana (en la que el prestamista común eran los bancos de Estados Unidos), tailandesa (Japón) y rusa (Alemania).</w:t>
      </w:r>
    </w:p>
    <w:p w14:paraId="3151A978" w14:textId="49239AC6" w:rsidR="00884F99" w:rsidRDefault="00884F99" w:rsidP="00884F99">
      <w:pPr>
        <w:pStyle w:val="Ttulo2"/>
      </w:pPr>
      <w:bookmarkStart w:id="51" w:name="_Toc145492512"/>
      <w:r>
        <w:t>Contagio puro</w:t>
      </w:r>
      <w:bookmarkEnd w:id="51"/>
    </w:p>
    <w:p w14:paraId="1493E1E4" w14:textId="641C1A18" w:rsidR="00FA39F5" w:rsidRDefault="00FA39F5" w:rsidP="00FA39F5">
      <w:pPr>
        <w:pStyle w:val="Nivel1SM"/>
        <w:keepNext/>
        <w:spacing w:before="0" w:after="0"/>
      </w:pPr>
      <w:r>
        <w:t>L</w:t>
      </w:r>
      <w:r w:rsidR="005E50F6">
        <w:t>os ti</w:t>
      </w:r>
      <w:r w:rsidR="00823C2A">
        <w:t>pos de contagio estudiados hasta ahora no pueden explicar la transmisión de crisis entre países con vínculos económicos poco claros ni la magnitud de algunos fenómenos de contagio.</w:t>
      </w:r>
    </w:p>
    <w:p w14:paraId="1F74979D" w14:textId="77777777" w:rsidR="00FA39F5" w:rsidRDefault="00823C2A" w:rsidP="00FA39F5">
      <w:pPr>
        <w:pStyle w:val="Nivel2SM"/>
      </w:pPr>
      <w:r>
        <w:t xml:space="preserve">Por este motivo se hace necesario recurrir a otro tipo de mecanismo de transmisión, el denominado </w:t>
      </w:r>
      <w:r w:rsidRPr="00FA39F5">
        <w:rPr>
          <w:b/>
          <w:bCs/>
        </w:rPr>
        <w:t>“contagio puro”</w:t>
      </w:r>
      <w:r>
        <w:t xml:space="preserve">, </w:t>
      </w:r>
      <w:r w:rsidRPr="00823C2A">
        <w:rPr>
          <w:b/>
          <w:bCs/>
        </w:rPr>
        <w:t>provocado por cambios en las expectativas</w:t>
      </w:r>
      <w:r>
        <w:t xml:space="preserve"> no vinculados a cambios en los fundamentos macroeconómicos del país.</w:t>
      </w:r>
    </w:p>
    <w:p w14:paraId="75F5676E" w14:textId="21C8626C" w:rsidR="005E50F6" w:rsidRDefault="00823C2A" w:rsidP="00FA39F5">
      <w:pPr>
        <w:pStyle w:val="Nivel2SM"/>
      </w:pPr>
      <w:r>
        <w:t>Esta forma de contagio se producirá</w:t>
      </w:r>
      <w:r w:rsidR="00D95905">
        <w:t xml:space="preserve"> en presencia de </w:t>
      </w:r>
      <w:r w:rsidR="00D95905" w:rsidRPr="00FA39F5">
        <w:rPr>
          <w:i/>
          <w:iCs/>
        </w:rPr>
        <w:t>imperfecciones informativas</w:t>
      </w:r>
      <w:r w:rsidR="00D95905">
        <w:t xml:space="preserve"> y de </w:t>
      </w:r>
      <w:r w:rsidR="00D95905" w:rsidRPr="00FA39F5">
        <w:rPr>
          <w:i/>
          <w:iCs/>
        </w:rPr>
        <w:t>fuertes conexiones financieras entre países</w:t>
      </w:r>
      <w:r w:rsidR="00D95905">
        <w:t>, situación en la que ante la crisis en un país pueden aparecer comportamientos de tipo rebaño de los agentes y equilibrios múltiples.</w:t>
      </w:r>
    </w:p>
    <w:p w14:paraId="1E9944A3" w14:textId="77777777" w:rsidR="00D95905" w:rsidRDefault="00D95905" w:rsidP="00D95905">
      <w:pPr>
        <w:pStyle w:val="Nivel1SM"/>
        <w:keepNext/>
        <w:spacing w:after="0"/>
      </w:pPr>
      <w:r>
        <w:t>Para estudiar la diversidad de justificaciones teóricas de este fenómeno puede distinguirse entre:</w:t>
      </w:r>
    </w:p>
    <w:p w14:paraId="31743275" w14:textId="1B5C7C0D" w:rsidR="00D95905" w:rsidRDefault="00D95905">
      <w:pPr>
        <w:pStyle w:val="Prrafodelista"/>
        <w:numPr>
          <w:ilvl w:val="0"/>
          <w:numId w:val="20"/>
        </w:numPr>
        <w:spacing w:after="100"/>
        <w:ind w:left="568" w:hanging="284"/>
      </w:pPr>
      <w:r>
        <w:t>Contagio generado por la existencia de imperfecciones informativas</w:t>
      </w:r>
      <w:r w:rsidR="005E1C44">
        <w:t>;</w:t>
      </w:r>
      <w:r>
        <w:t xml:space="preserve"> y</w:t>
      </w:r>
    </w:p>
    <w:p w14:paraId="35FDBD62" w14:textId="5EBE8CB7" w:rsidR="00D95905" w:rsidRDefault="00D95905">
      <w:pPr>
        <w:pStyle w:val="Prrafodelista"/>
        <w:numPr>
          <w:ilvl w:val="0"/>
          <w:numId w:val="20"/>
        </w:numPr>
        <w:spacing w:after="100"/>
        <w:ind w:left="568" w:hanging="284"/>
      </w:pPr>
      <w:r>
        <w:t>Contagio por reacciones en cascada derivadas de conexiones financieras entre países.</w:t>
      </w:r>
    </w:p>
    <w:p w14:paraId="1A34B5B0" w14:textId="7857500F" w:rsidR="00D95905" w:rsidRDefault="00D95905">
      <w:pPr>
        <w:pStyle w:val="Ttulo6"/>
        <w:numPr>
          <w:ilvl w:val="0"/>
          <w:numId w:val="21"/>
        </w:numPr>
        <w:ind w:left="284" w:hanging="284"/>
      </w:pPr>
      <w:bookmarkStart w:id="52" w:name="_Toc145492513"/>
      <w:r>
        <w:t>Imperfecciones informativas</w:t>
      </w:r>
      <w:bookmarkEnd w:id="52"/>
    </w:p>
    <w:p w14:paraId="48A73B92" w14:textId="55901197" w:rsidR="00D95905" w:rsidRDefault="00D95905" w:rsidP="004D7D10">
      <w:pPr>
        <w:pStyle w:val="Nivel1SM"/>
        <w:keepNext/>
        <w:spacing w:before="0" w:after="0"/>
      </w:pPr>
      <w:r>
        <w:t>Las imperfecciones informativas dificultan la valoración de los fundamentos económicos, por lo que ante el estallido de la crisis en un país, los agentes del mercado podrían reevaluar su valoración de los fundamentos en otros y tomar decisiones de venta de activos o reversión de préstamos aunque estos fundamentos se hayan mantenido inalterados. Este proceso puede producirse por toda una serie de causas:</w:t>
      </w:r>
    </w:p>
    <w:p w14:paraId="37A9A181" w14:textId="77777777" w:rsidR="00514549" w:rsidRPr="00D95905" w:rsidRDefault="00514549">
      <w:pPr>
        <w:pStyle w:val="Prrafodelista"/>
        <w:numPr>
          <w:ilvl w:val="0"/>
          <w:numId w:val="22"/>
        </w:numPr>
        <w:spacing w:after="100"/>
        <w:ind w:left="567" w:hanging="113"/>
      </w:pPr>
      <w:r w:rsidRPr="00D95905">
        <w:rPr>
          <w:i/>
          <w:iCs/>
          <w:u w:val="single"/>
        </w:rPr>
        <w:t>Wake-up call</w:t>
      </w:r>
      <w:r w:rsidRPr="00D95905">
        <w:t>: La crisis en u</w:t>
      </w:r>
      <w:r>
        <w:t>n país podría conducir a los agentes a revisar los fundamentos de países con rasgos similares y detectar problemas existentes que no habían identificado anteriormente. Se trata en este caso, a diferencia del anterior, de una corrección eficiente de la evaluación de los fundamentos.</w:t>
      </w:r>
    </w:p>
    <w:p w14:paraId="41C88B28" w14:textId="112CB408" w:rsidR="00D95905" w:rsidRDefault="00D95905">
      <w:pPr>
        <w:pStyle w:val="Prrafodelista"/>
        <w:numPr>
          <w:ilvl w:val="0"/>
          <w:numId w:val="22"/>
        </w:numPr>
        <w:spacing w:after="100"/>
        <w:ind w:left="567" w:hanging="113"/>
      </w:pPr>
      <w:r>
        <w:rPr>
          <w:i/>
          <w:iCs/>
          <w:u w:val="single"/>
        </w:rPr>
        <w:t>Fallos en la extracción de señales</w:t>
      </w:r>
      <w:r w:rsidRPr="00D95905">
        <w:t>:</w:t>
      </w:r>
      <w:r>
        <w:t xml:space="preserve"> Cuando los agentes del mercado tienen incertidumbre acerca de la relevancia de la crisis en un país sobre los fundamentos del otro, si asumen de forma errónea que existe interdependencia entre ambos o que países con rasgos similares se enfrentan a problemas similares, el shock sobre un país podría transmitirse al otro por una evaluación incorrecta de sus fundamentos.</w:t>
      </w:r>
    </w:p>
    <w:p w14:paraId="0C03A5A6" w14:textId="4B11FCF7" w:rsidR="00D95905" w:rsidRDefault="00D95905">
      <w:pPr>
        <w:pStyle w:val="Prrafodelista"/>
        <w:numPr>
          <w:ilvl w:val="0"/>
          <w:numId w:val="22"/>
        </w:numPr>
        <w:spacing w:after="100"/>
        <w:ind w:left="567" w:hanging="113"/>
      </w:pPr>
      <w:r>
        <w:rPr>
          <w:i/>
          <w:iCs/>
          <w:u w:val="single"/>
        </w:rPr>
        <w:t>Manchas solares</w:t>
      </w:r>
      <w:r>
        <w:t>: La descoordinación entre los agentes podría conducir a que la crisis en un país (mancha solar) genere una pérdida de confianza, efectos de rebaño y un nuevo equilibrio de crisis en un proceso de expectativas autocumplidas</w:t>
      </w:r>
      <w:r w:rsidR="006D0728">
        <w:rPr>
          <w:rStyle w:val="Refdenotaalpie"/>
        </w:rPr>
        <w:footnoteReference w:id="18"/>
      </w:r>
      <w:r>
        <w:t>.</w:t>
      </w:r>
    </w:p>
    <w:p w14:paraId="4F167D73" w14:textId="3F3EA760" w:rsidR="00D95905" w:rsidRDefault="00D95905">
      <w:pPr>
        <w:pStyle w:val="Prrafodelista"/>
        <w:numPr>
          <w:ilvl w:val="0"/>
          <w:numId w:val="22"/>
        </w:numPr>
        <w:spacing w:after="100"/>
        <w:ind w:left="567" w:hanging="113"/>
      </w:pPr>
      <w:r>
        <w:rPr>
          <w:i/>
          <w:iCs/>
          <w:u w:val="single"/>
        </w:rPr>
        <w:t>Riesgo moral</w:t>
      </w:r>
      <w:r w:rsidRPr="00D95905">
        <w:t>:</w:t>
      </w:r>
      <w:r>
        <w:t xml:space="preserve"> La existencia de un sistema de garantías explícitas conduce a los inversores a esperar que se produzca un rescate en caso de crisis, con lo que en sus decisiones ignorarán la debilidad de los fundamentos económicos del país mientras consideren </w:t>
      </w:r>
      <w:r w:rsidR="00A34823">
        <w:t xml:space="preserve">que las reservas disponibles y la ayuda internacional potencial son capaces de cubrir las posibles pérdidas. </w:t>
      </w:r>
      <w:r w:rsidR="00A34823">
        <w:lastRenderedPageBreak/>
        <w:t>Cuando la crisis en otro lugar conduzca a los inversores a revisar sus expectativas de disponibilidad de asistencia, éstos podrían pasar a adecuar sus decisiones de inversión a los fundamentos económicos del país y la crisis podría contagiarse.</w:t>
      </w:r>
    </w:p>
    <w:p w14:paraId="3D06899C" w14:textId="78B4B450" w:rsidR="00D95905" w:rsidRPr="00D95905" w:rsidRDefault="00D95905">
      <w:pPr>
        <w:pStyle w:val="Prrafodelista"/>
        <w:numPr>
          <w:ilvl w:val="0"/>
          <w:numId w:val="22"/>
        </w:numPr>
        <w:spacing w:after="100"/>
        <w:ind w:left="567" w:hanging="113"/>
      </w:pPr>
      <w:r>
        <w:rPr>
          <w:i/>
          <w:iCs/>
          <w:u w:val="single"/>
        </w:rPr>
        <w:t>Contagio entre miembros de un determinado régimen cambiario</w:t>
      </w:r>
      <w:r>
        <w:t>:</w:t>
      </w:r>
      <w:r w:rsidR="00A34823">
        <w:t xml:space="preserve"> Los países que tengan el régimen cambiario fijado entre sí de forma explícita o implícita percibirán un menor coste de romper el compromiso si otros lo hacen primero. Así, la devaluación por parte de uno de los miembros podría tener un efecto de contagio sobre el resto.</w:t>
      </w:r>
    </w:p>
    <w:p w14:paraId="5508C906" w14:textId="2A55BF35" w:rsidR="00D95905" w:rsidRDefault="00D95905">
      <w:pPr>
        <w:pStyle w:val="Ttulo6"/>
        <w:numPr>
          <w:ilvl w:val="0"/>
          <w:numId w:val="21"/>
        </w:numPr>
        <w:ind w:left="284" w:hanging="284"/>
      </w:pPr>
      <w:bookmarkStart w:id="53" w:name="_Toc145492514"/>
      <w:r>
        <w:t>Efectos dominó (reacciones en cascada derivadas de conexiones financieras entre países)</w:t>
      </w:r>
      <w:bookmarkEnd w:id="53"/>
    </w:p>
    <w:p w14:paraId="369515E4" w14:textId="2671ED53" w:rsidR="00C33B53" w:rsidRDefault="00C33B53" w:rsidP="004D7D10">
      <w:pPr>
        <w:pStyle w:val="Nivel1SM"/>
        <w:keepNext/>
        <w:spacing w:before="0" w:after="0"/>
      </w:pPr>
      <w:r>
        <w:t>Otra forma de justificación para el contagio puro es la propagación de la crisis de forma mecánica por la vía de reacciones en cascada provocadas por la existencia de conexiones financieras directas o indirectas entre los países:</w:t>
      </w:r>
    </w:p>
    <w:p w14:paraId="663CADC0" w14:textId="77777777" w:rsidR="00C33B53" w:rsidRDefault="00C33B53">
      <w:pPr>
        <w:pStyle w:val="Prrafodelista"/>
        <w:keepNext/>
        <w:numPr>
          <w:ilvl w:val="0"/>
          <w:numId w:val="23"/>
        </w:numPr>
        <w:spacing w:after="0"/>
        <w:ind w:left="567" w:hanging="113"/>
      </w:pPr>
      <w:r>
        <w:rPr>
          <w:i/>
          <w:iCs/>
          <w:u w:val="single"/>
        </w:rPr>
        <w:t>Incumplimiento de la contraparte</w:t>
      </w:r>
      <w:r w:rsidRPr="00C33B53">
        <w:t>:</w:t>
      </w:r>
      <w:r>
        <w:t xml:space="preserve"> Una elevada exposición a deudores morosos podría provocar transmisiones transfronterizas si las pérdidas para los acreedores son suficientemente elevadas. Este efecto es especialmente fuerte en el caso de los acreedores bancarios debido a que operan con una ratio de capital sobre activos relativamente reducida.</w:t>
      </w:r>
    </w:p>
    <w:p w14:paraId="3932EB0C" w14:textId="6D81F961" w:rsidR="00C33B53" w:rsidRDefault="00C33B53" w:rsidP="00C33B53">
      <w:pPr>
        <w:pStyle w:val="Nivel3SM"/>
      </w:pPr>
      <w:r>
        <w:t>Durante la crisis de deuda latinoamericana de 1982, los préstamos morosos estaban ampliamente concentrados en un reducido número de entidades bancarias, factor que contribuyó a motivar la concesión de ayuda internacional con el fin de frenar el contagio por esta vía.</w:t>
      </w:r>
    </w:p>
    <w:p w14:paraId="2AD0CB06" w14:textId="51818B79" w:rsidR="00C33B53" w:rsidRDefault="00C33B53">
      <w:pPr>
        <w:pStyle w:val="Prrafodelista"/>
        <w:keepNext/>
        <w:numPr>
          <w:ilvl w:val="0"/>
          <w:numId w:val="23"/>
        </w:numPr>
        <w:spacing w:after="0"/>
        <w:ind w:left="567" w:hanging="113"/>
      </w:pPr>
      <w:r>
        <w:rPr>
          <w:i/>
          <w:iCs/>
          <w:u w:val="single"/>
        </w:rPr>
        <w:t>Reestructuración de carteras por restricciones de liquidez o de capital</w:t>
      </w:r>
      <w:r w:rsidRPr="00C33B53">
        <w:t>:</w:t>
      </w:r>
      <w:r>
        <w:t xml:space="preserve"> Las restricciones de liquidez o de capital podrían conducir a los inversores internacionales afectados por la crisis en un país a reducir sus activos en una cuantía superior al óptimo, debiendo deshacer sus posiciones en otros mercados.</w:t>
      </w:r>
    </w:p>
    <w:p w14:paraId="16C21F3F" w14:textId="6426C872" w:rsidR="00C33B53" w:rsidRDefault="00203659" w:rsidP="008C0AEB">
      <w:pPr>
        <w:pStyle w:val="Nivel3SM"/>
      </w:pPr>
      <w:r>
        <w:t xml:space="preserve">El contagio a Europa de la crisis de las hipotecas </w:t>
      </w:r>
      <w:r>
        <w:rPr>
          <w:i/>
          <w:iCs/>
        </w:rPr>
        <w:t>subprime</w:t>
      </w:r>
      <w:r>
        <w:t xml:space="preserve"> de Estados Unidos en 2007 es un caso de est</w:t>
      </w:r>
      <w:r w:rsidR="002E0928">
        <w:t>e</w:t>
      </w:r>
      <w:r>
        <w:t xml:space="preserve"> tipo de contagio puro vía reacciones en cascada por vínculos financieros. Los bancos europeos, a través de sus fondos de inversión, había</w:t>
      </w:r>
      <w:r w:rsidR="002E0928">
        <w:t>n</w:t>
      </w:r>
      <w:r>
        <w:t xml:space="preserve"> comprado deuda hipotecaria de Estados Unidos. Esto provocó que algunas entidades europeas tuviesen también activos </w:t>
      </w:r>
      <w:r w:rsidR="008C0AEB">
        <w:t>tóxicos</w:t>
      </w:r>
      <w:r>
        <w:t xml:space="preserve"> y pasasen a registrar pérdidas. Además, la opacidad provocó una pérdida de confianza de los inversores que no se fiaban del grado de exposición a la</w:t>
      </w:r>
      <w:r w:rsidR="008C0AEB">
        <w:t>s</w:t>
      </w:r>
      <w:r>
        <w:t xml:space="preserve"> hipotecas</w:t>
      </w:r>
      <w:r w:rsidR="008C0AEB">
        <w:t xml:space="preserve"> </w:t>
      </w:r>
      <w:r w:rsidR="008C0AEB">
        <w:rPr>
          <w:i/>
          <w:iCs/>
        </w:rPr>
        <w:t>subprime</w:t>
      </w:r>
      <w:r w:rsidR="008C0AEB">
        <w:t xml:space="preserve"> que declaraban las entidades financieras</w:t>
      </w:r>
      <w:r w:rsidR="008C0AEB">
        <w:rPr>
          <w:rStyle w:val="Refdenotaalpie"/>
        </w:rPr>
        <w:footnoteReference w:id="19"/>
      </w:r>
      <w:r w:rsidR="008C0AEB">
        <w:t xml:space="preserve"> y una pérdida de confianza de las propias entidades financieras entre sí. Esto provocó una caída de las bolsas y un colapso del mercado interbancario, con la consecuente crisis de liquidez. De esta forma, los problemas en el sector financiero estadounidense se trasladaron rápidamente a muchos otros países y a la economía real.</w:t>
      </w:r>
    </w:p>
    <w:p w14:paraId="4047DBA2" w14:textId="081FD14F" w:rsidR="008C0AEB" w:rsidRPr="00C33B53" w:rsidRDefault="008C0AEB" w:rsidP="008C0AEB">
      <w:pPr>
        <w:pStyle w:val="Nivel3SM"/>
      </w:pPr>
      <w:r>
        <w:t>Dentro de la Unión Europea, la crisis de la deuda griega, que estalló en 2009 cuando el nuevo gobierno revisó los da</w:t>
      </w:r>
      <w:r w:rsidR="006E0BE9">
        <w:t>t</w:t>
      </w:r>
      <w:r>
        <w:t>os del déficit público al alza, disparó la preocupación de los mercados por la sostenibilidad de la deuda en los países de la zona euro. Esta crisis se contagió sobre todo a los países periféricos, provocando unos elevados diferenciales de tipos de interés pagados por la emisión de deuda en estos países. Así, lo que se inició como una crisis financiera, en muchos Estados miembros se trasladó a una crisis de deuda soberana desde 2010, poniendo de manifiesto la existencia de un círculo vicioso potencial entre entidades financieras y Estados soberanos</w:t>
      </w:r>
      <w:r w:rsidR="009A2030">
        <w:rPr>
          <w:rStyle w:val="Refdenotaalpie"/>
        </w:rPr>
        <w:footnoteReference w:id="20"/>
      </w:r>
      <w:r>
        <w:t>.</w:t>
      </w:r>
    </w:p>
    <w:p w14:paraId="69E1AEC9" w14:textId="77777777" w:rsidR="00342648" w:rsidRDefault="00342648" w:rsidP="00B9022F">
      <w:pPr>
        <w:pStyle w:val="Introduccinyconclusin"/>
      </w:pPr>
      <w:bookmarkStart w:id="54" w:name="_Toc55381925"/>
      <w:bookmarkStart w:id="55" w:name="_Toc55382060"/>
      <w:bookmarkStart w:id="56" w:name="_Toc55382095"/>
      <w:bookmarkStart w:id="57" w:name="_Toc55382523"/>
      <w:r>
        <w:lastRenderedPageBreak/>
        <w:t>CONCLUSIÓN</w:t>
      </w:r>
      <w:bookmarkEnd w:id="54"/>
      <w:bookmarkEnd w:id="55"/>
      <w:bookmarkEnd w:id="56"/>
      <w:bookmarkEnd w:id="57"/>
    </w:p>
    <w:p w14:paraId="4518F75E" w14:textId="77777777" w:rsidR="006F1D2D" w:rsidRDefault="006F1D2D" w:rsidP="00DC4DF2">
      <w:pPr>
        <w:pStyle w:val="Nivel1"/>
        <w:keepNext/>
        <w:spacing w:before="0" w:after="0"/>
        <w:ind w:left="709" w:hanging="284"/>
      </w:pPr>
      <w:r w:rsidRPr="00764940">
        <w:rPr>
          <w:b/>
          <w:bCs/>
          <w:i/>
          <w:iCs/>
        </w:rPr>
        <w:t>Recapitulación (Ideas clave)</w:t>
      </w:r>
      <w:r>
        <w:t>:</w:t>
      </w:r>
    </w:p>
    <w:p w14:paraId="760014C2" w14:textId="7D8A65A9" w:rsidR="00884F99" w:rsidRPr="00884F99" w:rsidRDefault="00884F99" w:rsidP="00884F99">
      <w:pPr>
        <w:pStyle w:val="Nivel2"/>
        <w:keepNext/>
        <w:spacing w:after="0"/>
      </w:pPr>
      <w:r>
        <w:t>A lo largo de est</w:t>
      </w:r>
      <w:r w:rsidR="00801A5B">
        <w:t>a</w:t>
      </w:r>
      <w:r>
        <w:t xml:space="preserve"> </w:t>
      </w:r>
      <w:r w:rsidR="00801A5B">
        <w:t>exposición</w:t>
      </w:r>
      <w:r>
        <w:t xml:space="preserve"> hemos repasado las características fundamentales de los episodios de crisis. Aunque difícilmente puede evitarse totalmente la posibilidad de </w:t>
      </w:r>
      <w:r w:rsidRPr="00884F99">
        <w:t>que sucedan, podemos extraer de los modelos estudiados</w:t>
      </w:r>
      <w:r>
        <w:t xml:space="preserve"> </w:t>
      </w:r>
      <w:r w:rsidR="00DC4DF2">
        <w:rPr>
          <w:b/>
          <w:bCs/>
        </w:rPr>
        <w:t>3 </w:t>
      </w:r>
      <w:r w:rsidRPr="00884F99">
        <w:rPr>
          <w:b/>
          <w:bCs/>
        </w:rPr>
        <w:t>conclusiones</w:t>
      </w:r>
      <w:r w:rsidRPr="00884F99">
        <w:t>:</w:t>
      </w:r>
    </w:p>
    <w:p w14:paraId="7C29490A" w14:textId="0FDBC7C6" w:rsidR="00884F99" w:rsidRPr="00884F99" w:rsidRDefault="00884F99" w:rsidP="00884F99">
      <w:pPr>
        <w:pStyle w:val="Nivel3"/>
      </w:pPr>
      <w:r w:rsidRPr="00884F99">
        <w:t xml:space="preserve">Es imprescindible llevar a cabo una </w:t>
      </w:r>
      <w:r>
        <w:t>política económica</w:t>
      </w:r>
      <w:r w:rsidRPr="00884F99">
        <w:t xml:space="preserve"> transparente que elimine cualquier duda sobre la sostenibilidad del régimen cambiario</w:t>
      </w:r>
      <w:r>
        <w:t>.</w:t>
      </w:r>
    </w:p>
    <w:p w14:paraId="56E3FA7E" w14:textId="77777777" w:rsidR="00884F99" w:rsidRPr="00884F99" w:rsidRDefault="00884F99" w:rsidP="00884F99">
      <w:pPr>
        <w:pStyle w:val="Nivel3"/>
      </w:pPr>
      <w:r w:rsidRPr="00884F99">
        <w:t>La regulación y supervisión de los sistemas financieros domésticos es esencial.</w:t>
      </w:r>
    </w:p>
    <w:p w14:paraId="030DA957" w14:textId="77777777" w:rsidR="00884F99" w:rsidRPr="00884F99" w:rsidRDefault="00884F99" w:rsidP="00884F99">
      <w:pPr>
        <w:pStyle w:val="Nivel3"/>
      </w:pPr>
      <w:r w:rsidRPr="00884F99">
        <w:t>Aunque no exista ninguna protección infalible contra el contagio, unos fundamentos sólidos constituyen la mejor forma de prevención.</w:t>
      </w:r>
    </w:p>
    <w:p w14:paraId="7912ED18" w14:textId="77777777" w:rsidR="00C1040F" w:rsidRDefault="00C1040F" w:rsidP="00C1040F">
      <w:pPr>
        <w:pStyle w:val="Nivel2"/>
        <w:keepNext/>
        <w:spacing w:after="0"/>
      </w:pPr>
      <w:r>
        <w:t>Algunos artículos más recientes en la literatura persiguen realizar modelos del cuarta generación donde se hace más hincapié en las características institucionales de los países: imperio de la ley, cumplimiento de contratos, entorno regulatorio, sistema político, estabilidad política, corrupción, aspectos culturales, etc.</w:t>
      </w:r>
    </w:p>
    <w:p w14:paraId="661E9BAA" w14:textId="77777777" w:rsidR="00C1040F" w:rsidRDefault="00C1040F" w:rsidP="00C1040F">
      <w:pPr>
        <w:pStyle w:val="Nivel3"/>
      </w:pPr>
      <w:r>
        <w:t>Estas características se revelan importantes a la hora de determinar la probabilidad de poder mantener un tipo de cambio fijo.</w:t>
      </w:r>
    </w:p>
    <w:p w14:paraId="3F47405A" w14:textId="77777777" w:rsidR="006F1D2D" w:rsidRDefault="006F1D2D" w:rsidP="00C1040F">
      <w:pPr>
        <w:pStyle w:val="Nivel1"/>
        <w:keepNext/>
        <w:spacing w:after="0"/>
        <w:ind w:left="709" w:hanging="284"/>
      </w:pPr>
      <w:r w:rsidRPr="00764940">
        <w:rPr>
          <w:b/>
          <w:bCs/>
          <w:i/>
          <w:iCs/>
        </w:rPr>
        <w:t>Relevancia</w:t>
      </w:r>
      <w:r>
        <w:t>:</w:t>
      </w:r>
    </w:p>
    <w:p w14:paraId="2B7C8A3F" w14:textId="77777777" w:rsidR="006F1D2D" w:rsidRDefault="006F1D2D" w:rsidP="00C1040F">
      <w:pPr>
        <w:pStyle w:val="Nivel2"/>
      </w:pPr>
    </w:p>
    <w:p w14:paraId="63D06CA6" w14:textId="77777777" w:rsidR="006F1D2D" w:rsidRDefault="006F1D2D" w:rsidP="00C1040F">
      <w:pPr>
        <w:pStyle w:val="Nivel1"/>
        <w:keepNext/>
        <w:spacing w:after="0"/>
        <w:ind w:left="709" w:hanging="284"/>
      </w:pPr>
      <w:r w:rsidRPr="00764940">
        <w:rPr>
          <w:b/>
          <w:bCs/>
          <w:i/>
          <w:iCs/>
        </w:rPr>
        <w:t>Extensiones y relación con otras partes del temario</w:t>
      </w:r>
      <w:r>
        <w:t>:</w:t>
      </w:r>
    </w:p>
    <w:p w14:paraId="4DE50D5F" w14:textId="77777777" w:rsidR="006F1D2D" w:rsidRDefault="006F1D2D" w:rsidP="00C1040F">
      <w:pPr>
        <w:pStyle w:val="Nivel2"/>
      </w:pPr>
    </w:p>
    <w:p w14:paraId="673ED305" w14:textId="45450AC8" w:rsidR="006F1D2D" w:rsidRDefault="006F1D2D" w:rsidP="00C1040F">
      <w:pPr>
        <w:pStyle w:val="Nivel1"/>
        <w:keepNext/>
        <w:ind w:left="709" w:hanging="284"/>
      </w:pPr>
      <w:r w:rsidRPr="00764940">
        <w:rPr>
          <w:b/>
          <w:bCs/>
          <w:i/>
          <w:iCs/>
        </w:rPr>
        <w:t>Opinión</w:t>
      </w:r>
      <w:r>
        <w:t>:</w:t>
      </w:r>
    </w:p>
    <w:p w14:paraId="04BB6C68" w14:textId="77777777" w:rsidR="00C1040F" w:rsidRDefault="00C1040F" w:rsidP="00C1040F">
      <w:pPr>
        <w:pStyle w:val="Nivel2"/>
      </w:pPr>
    </w:p>
    <w:p w14:paraId="70325B07" w14:textId="28B8A71E" w:rsidR="006F1D2D" w:rsidRDefault="006F1D2D" w:rsidP="00C1040F">
      <w:pPr>
        <w:pStyle w:val="Nivel1"/>
        <w:keepNext/>
        <w:spacing w:after="0"/>
        <w:ind w:left="709" w:hanging="284"/>
      </w:pPr>
      <w:r w:rsidRPr="00764940">
        <w:rPr>
          <w:b/>
          <w:bCs/>
          <w:i/>
          <w:iCs/>
        </w:rPr>
        <w:t>Idea final (Salida o cierre)</w:t>
      </w:r>
      <w:r>
        <w:t>:</w:t>
      </w:r>
    </w:p>
    <w:p w14:paraId="0DC78A0D" w14:textId="4F082834" w:rsidR="00C1040F" w:rsidRDefault="00C1040F" w:rsidP="00C1040F">
      <w:pPr>
        <w:pStyle w:val="Nivel2"/>
      </w:pPr>
      <w:r w:rsidRPr="00884F99">
        <w:t xml:space="preserve">Como última nota, en los estudios históricos de la crisis que han llevado a cabo </w:t>
      </w:r>
      <w:r w:rsidRPr="00884F99">
        <w:rPr>
          <w:smallCaps/>
        </w:rPr>
        <w:t>Reinhart</w:t>
      </w:r>
      <w:r w:rsidRPr="00884F99">
        <w:t xml:space="preserve"> y </w:t>
      </w:r>
      <w:r w:rsidRPr="00884F99">
        <w:rPr>
          <w:smallCaps/>
        </w:rPr>
        <w:t>Rogoff</w:t>
      </w:r>
      <w:r w:rsidRPr="00884F99">
        <w:t xml:space="preserve">, concluyen que las crisis presentan entre ellas más similitudes de lo que podría pensarse (cierto </w:t>
      </w:r>
      <w:proofErr w:type="spellStart"/>
      <w:r w:rsidRPr="00884F99">
        <w:rPr>
          <w:i/>
          <w:iCs/>
        </w:rPr>
        <w:t>d</w:t>
      </w:r>
      <w:r>
        <w:rPr>
          <w:i/>
          <w:iCs/>
        </w:rPr>
        <w:t>é</w:t>
      </w:r>
      <w:r w:rsidRPr="00884F99">
        <w:rPr>
          <w:i/>
          <w:iCs/>
        </w:rPr>
        <w:t>j</w:t>
      </w:r>
      <w:r>
        <w:rPr>
          <w:i/>
          <w:iCs/>
        </w:rPr>
        <w:t>à</w:t>
      </w:r>
      <w:proofErr w:type="spellEnd"/>
      <w:r w:rsidRPr="00884F99">
        <w:rPr>
          <w:i/>
          <w:iCs/>
        </w:rPr>
        <w:t xml:space="preserve"> </w:t>
      </w:r>
      <w:proofErr w:type="spellStart"/>
      <w:r w:rsidRPr="00884F99">
        <w:rPr>
          <w:i/>
          <w:iCs/>
        </w:rPr>
        <w:t>vu</w:t>
      </w:r>
      <w:proofErr w:type="spellEnd"/>
      <w:r w:rsidRPr="00884F99">
        <w:t>)</w:t>
      </w:r>
      <w:r w:rsidR="00202595">
        <w:t>. En cualquier caso,</w:t>
      </w:r>
      <w:r w:rsidRPr="00884F99">
        <w:t xml:space="preserve"> parece existir poca esperanza de que en</w:t>
      </w:r>
      <w:r>
        <w:t xml:space="preserve"> el futuro los agentes recuerden que las </w:t>
      </w:r>
      <w:r w:rsidR="00202595">
        <w:t>4 </w:t>
      </w:r>
      <w:r>
        <w:t xml:space="preserve">palabras más caras en la historia financiera son </w:t>
      </w:r>
      <w:r w:rsidRPr="00884F99">
        <w:rPr>
          <w:i/>
          <w:iCs/>
        </w:rPr>
        <w:t>“</w:t>
      </w:r>
      <w:proofErr w:type="spellStart"/>
      <w:r w:rsidRPr="00884F99">
        <w:rPr>
          <w:i/>
          <w:iCs/>
        </w:rPr>
        <w:t>This</w:t>
      </w:r>
      <w:proofErr w:type="spellEnd"/>
      <w:r w:rsidRPr="00884F99">
        <w:rPr>
          <w:i/>
          <w:iCs/>
        </w:rPr>
        <w:t xml:space="preserve"> time </w:t>
      </w:r>
      <w:proofErr w:type="spellStart"/>
      <w:r w:rsidRPr="00884F99">
        <w:rPr>
          <w:i/>
          <w:iCs/>
        </w:rPr>
        <w:t>is</w:t>
      </w:r>
      <w:proofErr w:type="spellEnd"/>
      <w:r w:rsidRPr="00884F99">
        <w:rPr>
          <w:i/>
          <w:iCs/>
        </w:rPr>
        <w:t xml:space="preserve"> </w:t>
      </w:r>
      <w:proofErr w:type="spellStart"/>
      <w:r w:rsidRPr="00884F99">
        <w:rPr>
          <w:i/>
          <w:iCs/>
        </w:rPr>
        <w:t>different</w:t>
      </w:r>
      <w:proofErr w:type="spellEnd"/>
      <w:r w:rsidRPr="00884F99">
        <w:rPr>
          <w:i/>
          <w:iCs/>
        </w:rPr>
        <w:t>”</w:t>
      </w:r>
      <w:r>
        <w:t>.</w:t>
      </w:r>
    </w:p>
    <w:p w14:paraId="55E49D0A" w14:textId="77777777" w:rsidR="008233F9" w:rsidRDefault="008233F9">
      <w:pPr>
        <w:spacing w:after="160"/>
        <w:jc w:val="left"/>
      </w:pPr>
      <w:r>
        <w:br w:type="page"/>
      </w:r>
    </w:p>
    <w:p w14:paraId="6CFC01BA" w14:textId="5746E495" w:rsidR="00342648" w:rsidRPr="00B74475" w:rsidRDefault="00342648" w:rsidP="005015D1">
      <w:pPr>
        <w:pStyle w:val="Ttulo4"/>
        <w:rPr>
          <w:lang w:val="en-US"/>
        </w:rPr>
      </w:pPr>
      <w:proofErr w:type="spellStart"/>
      <w:r w:rsidRPr="00B74475">
        <w:rPr>
          <w:lang w:val="en-US"/>
        </w:rPr>
        <w:lastRenderedPageBreak/>
        <w:t>Bibliografía</w:t>
      </w:r>
      <w:proofErr w:type="spellEnd"/>
    </w:p>
    <w:p w14:paraId="6C2A2986" w14:textId="307947EB" w:rsidR="00B74475" w:rsidRDefault="00206F3F" w:rsidP="00630D0B">
      <w:pPr>
        <w:rPr>
          <w:rStyle w:val="Hipervnculo"/>
          <w:lang w:val="en-US"/>
        </w:rPr>
      </w:pPr>
      <w:r>
        <w:rPr>
          <w:lang w:val="en-US"/>
        </w:rPr>
        <w:t>Sims</w:t>
      </w:r>
      <w:r w:rsidR="00B74475" w:rsidRPr="00B74475">
        <w:rPr>
          <w:lang w:val="en-US"/>
        </w:rPr>
        <w:t xml:space="preserve">, </w:t>
      </w:r>
      <w:r>
        <w:rPr>
          <w:lang w:val="en-US"/>
        </w:rPr>
        <w:t>E</w:t>
      </w:r>
      <w:r w:rsidR="00B74475" w:rsidRPr="00B74475">
        <w:rPr>
          <w:lang w:val="en-US"/>
        </w:rPr>
        <w:t xml:space="preserve">. (2019, Spring). </w:t>
      </w:r>
      <w:r w:rsidR="00B74475" w:rsidRPr="00B74475">
        <w:rPr>
          <w:i/>
          <w:iCs/>
          <w:lang w:val="en-US"/>
        </w:rPr>
        <w:t>Bank Runs and the Diamond-Dybvig (1983) Model</w:t>
      </w:r>
      <w:r w:rsidR="00B74475" w:rsidRPr="00B74475">
        <w:rPr>
          <w:lang w:val="en-US"/>
        </w:rPr>
        <w:t xml:space="preserve">. ECON 43370: Financial Crises, University of Notre Dame. </w:t>
      </w:r>
      <w:r w:rsidR="00000000">
        <w:fldChar w:fldCharType="begin"/>
      </w:r>
      <w:r w:rsidR="00000000" w:rsidRPr="009A4A5C">
        <w:rPr>
          <w:lang w:val="en-US"/>
        </w:rPr>
        <w:instrText>HYPERLINK "https://www3.nd.edu/~esims1/slides_diamond_sp2019.pdf"</w:instrText>
      </w:r>
      <w:r w:rsidR="00000000">
        <w:fldChar w:fldCharType="separate"/>
      </w:r>
      <w:r w:rsidR="00B74475" w:rsidRPr="00EF5C02">
        <w:rPr>
          <w:rStyle w:val="Hipervnculo"/>
          <w:lang w:val="en-US"/>
        </w:rPr>
        <w:t>https://www3.nd.edu/~esims1/slides_diamond_sp2019.pdf</w:t>
      </w:r>
      <w:r w:rsidR="00000000">
        <w:rPr>
          <w:rStyle w:val="Hipervnculo"/>
          <w:lang w:val="en-US"/>
        </w:rPr>
        <w:fldChar w:fldCharType="end"/>
      </w:r>
    </w:p>
    <w:p w14:paraId="290054A1" w14:textId="2548F5AB" w:rsidR="005015D1" w:rsidRPr="005015D1" w:rsidRDefault="005015D1" w:rsidP="005015D1">
      <w:r w:rsidRPr="005015D1">
        <w:rPr>
          <w:rStyle w:val="Hipervnculo"/>
          <w:color w:val="auto"/>
          <w:u w:val="none"/>
        </w:rPr>
        <w:t>Tema Juan Luis Cordero Tarifa.</w:t>
      </w:r>
    </w:p>
    <w:p w14:paraId="391AD504" w14:textId="54B242F2" w:rsidR="006F1D2D" w:rsidRDefault="006F1D2D" w:rsidP="006F1D2D">
      <w:pPr>
        <w:pStyle w:val="Ttulo4"/>
      </w:pPr>
      <w:r>
        <w:t>Preguntas de otros exámenes</w:t>
      </w:r>
    </w:p>
    <w:p w14:paraId="1CEDF51B" w14:textId="763AB6FA" w:rsidR="006F1D2D" w:rsidRDefault="00BC4C0A" w:rsidP="00BC4C0A">
      <w:pPr>
        <w:pStyle w:val="Nivel2SM"/>
        <w:numPr>
          <w:ilvl w:val="0"/>
          <w:numId w:val="0"/>
        </w:numPr>
        <w:ind w:left="567"/>
      </w:pPr>
      <w:r>
        <w:rPr>
          <w:noProof/>
        </w:rPr>
        <w:drawing>
          <wp:inline distT="0" distB="0" distL="0" distR="0" wp14:anchorId="769CA6DF" wp14:editId="5548EF66">
            <wp:extent cx="5787621" cy="7150100"/>
            <wp:effectExtent l="0" t="0" r="3810" b="0"/>
            <wp:docPr id="2" name="Imagen 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con confianza media"/>
                    <pic:cNvPicPr/>
                  </pic:nvPicPr>
                  <pic:blipFill rotWithShape="1">
                    <a:blip r:embed="rId14"/>
                    <a:srcRect l="5433"/>
                    <a:stretch/>
                  </pic:blipFill>
                  <pic:spPr bwMode="auto">
                    <a:xfrm>
                      <a:off x="0" y="0"/>
                      <a:ext cx="5787621" cy="7150100"/>
                    </a:xfrm>
                    <a:prstGeom prst="rect">
                      <a:avLst/>
                    </a:prstGeom>
                    <a:ln>
                      <a:noFill/>
                    </a:ln>
                    <a:extLst>
                      <a:ext uri="{53640926-AAD7-44D8-BBD7-CCE9431645EC}">
                        <a14:shadowObscured xmlns:a14="http://schemas.microsoft.com/office/drawing/2010/main"/>
                      </a:ext>
                    </a:extLst>
                  </pic:spPr>
                </pic:pic>
              </a:graphicData>
            </a:graphic>
          </wp:inline>
        </w:drawing>
      </w:r>
    </w:p>
    <w:p w14:paraId="458A806B" w14:textId="0607389D" w:rsidR="00BC4C0A" w:rsidRDefault="00BC4C0A" w:rsidP="00BC4C0A">
      <w:pPr>
        <w:pStyle w:val="Nivel2SM"/>
        <w:numPr>
          <w:ilvl w:val="0"/>
          <w:numId w:val="0"/>
        </w:numPr>
        <w:ind w:left="567"/>
        <w:jc w:val="right"/>
      </w:pPr>
      <w:r>
        <w:rPr>
          <w:noProof/>
        </w:rPr>
        <w:drawing>
          <wp:inline distT="0" distB="0" distL="0" distR="0" wp14:anchorId="5E13822D" wp14:editId="182AE8FD">
            <wp:extent cx="609600" cy="279236"/>
            <wp:effectExtent l="0" t="0" r="0" b="6985"/>
            <wp:docPr id="5" name="Imagen 5" descr="Una captura de pantalla de un celular con texto e image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a captura de pantalla de un celular con texto e imagen&#10;&#10;Descripción generada automáticamente con confianza media"/>
                    <pic:cNvPicPr/>
                  </pic:nvPicPr>
                  <pic:blipFill>
                    <a:blip r:embed="rId15"/>
                    <a:stretch>
                      <a:fillRect/>
                    </a:stretch>
                  </pic:blipFill>
                  <pic:spPr>
                    <a:xfrm>
                      <a:off x="0" y="0"/>
                      <a:ext cx="623847" cy="285762"/>
                    </a:xfrm>
                    <a:prstGeom prst="rect">
                      <a:avLst/>
                    </a:prstGeom>
                  </pic:spPr>
                </pic:pic>
              </a:graphicData>
            </a:graphic>
          </wp:inline>
        </w:drawing>
      </w:r>
    </w:p>
    <w:p w14:paraId="6FE0CF58" w14:textId="77777777" w:rsidR="006F1D2D" w:rsidRDefault="006F1D2D" w:rsidP="006F1D2D">
      <w:pPr>
        <w:pStyle w:val="Ttulo4"/>
      </w:pPr>
      <w:r>
        <w:t>Enlace a preguntas tipo test</w:t>
      </w:r>
    </w:p>
    <w:p w14:paraId="5145C8C9" w14:textId="3F59E884" w:rsidR="006F1D2D" w:rsidRDefault="00000000" w:rsidP="00630D0B">
      <w:hyperlink r:id="rId16" w:history="1">
        <w:r w:rsidR="006F1D2D" w:rsidRPr="000D7B4D">
          <w:rPr>
            <w:rStyle w:val="Hipervnculo"/>
          </w:rPr>
          <w:t>https://www.quia.com/quiz/6562930.html</w:t>
        </w:r>
      </w:hyperlink>
    </w:p>
    <w:p w14:paraId="1ADB40D2" w14:textId="77777777" w:rsidR="00342648" w:rsidRDefault="00342648" w:rsidP="00342648">
      <w:pPr>
        <w:pStyle w:val="Ttulo4"/>
      </w:pPr>
      <w:r w:rsidRPr="00342648">
        <w:lastRenderedPageBreak/>
        <w:t>Anexos</w:t>
      </w:r>
    </w:p>
    <w:p w14:paraId="685282B1" w14:textId="454B3639" w:rsidR="00342648" w:rsidRDefault="00342648" w:rsidP="0002549F">
      <w:pPr>
        <w:pStyle w:val="Ttulo5"/>
        <w:rPr>
          <w:i w:val="0"/>
          <w:iCs w:val="0"/>
          <w:u w:val="none"/>
        </w:rPr>
      </w:pPr>
      <w:bookmarkStart w:id="58" w:name="_Ref123497952"/>
      <w:bookmarkStart w:id="59" w:name="_Hlk124702107"/>
      <w:r w:rsidRPr="0002549F">
        <w:t>Anexo</w:t>
      </w:r>
      <w:r w:rsidR="004D7D10">
        <w:t> </w:t>
      </w:r>
      <w:r w:rsidRPr="0002549F">
        <w:t>1</w:t>
      </w:r>
      <w:r w:rsidR="00D564BC">
        <w:rPr>
          <w:i w:val="0"/>
          <w:iCs w:val="0"/>
          <w:u w:val="none"/>
        </w:rPr>
        <w:t xml:space="preserve">: </w:t>
      </w:r>
      <w:r w:rsidR="00712745">
        <w:rPr>
          <w:i w:val="0"/>
          <w:iCs w:val="0"/>
          <w:u w:val="none"/>
        </w:rPr>
        <w:t xml:space="preserve">Modelo de </w:t>
      </w:r>
      <w:r w:rsidR="00712745" w:rsidRPr="00CD38DE">
        <w:rPr>
          <w:i w:val="0"/>
          <w:iCs w:val="0"/>
          <w:smallCaps/>
          <w:u w:val="none"/>
        </w:rPr>
        <w:t>Diamond</w:t>
      </w:r>
      <w:r w:rsidR="00CD38DE">
        <w:rPr>
          <w:i w:val="0"/>
          <w:iCs w:val="0"/>
          <w:u w:val="none"/>
        </w:rPr>
        <w:t xml:space="preserve"> y </w:t>
      </w:r>
      <w:r w:rsidR="00712745" w:rsidRPr="00CD38DE">
        <w:rPr>
          <w:i w:val="0"/>
          <w:iCs w:val="0"/>
          <w:smallCaps/>
          <w:u w:val="none"/>
        </w:rPr>
        <w:t>Dybvig</w:t>
      </w:r>
      <w:r w:rsidR="002156DC">
        <w:rPr>
          <w:i w:val="0"/>
          <w:iCs w:val="0"/>
          <w:u w:val="none"/>
        </w:rPr>
        <w:t xml:space="preserve"> (1983)</w:t>
      </w:r>
      <w:bookmarkEnd w:id="58"/>
    </w:p>
    <w:p w14:paraId="03C88305" w14:textId="77777777" w:rsidR="00855F80" w:rsidRDefault="00855F80" w:rsidP="00855F80">
      <w:pPr>
        <w:keepNext/>
        <w:keepLines/>
        <w:spacing w:after="60"/>
        <w:rPr>
          <w:b/>
          <w:bCs/>
          <w:color w:val="5F2987"/>
          <w:u w:val="single"/>
        </w:rPr>
      </w:pPr>
      <w:bookmarkStart w:id="61" w:name="_Hlk109579052"/>
      <w:bookmarkEnd w:id="59"/>
      <w:bookmarkEnd w:id="60"/>
      <w:r>
        <w:rPr>
          <w:b/>
          <w:bCs/>
          <w:color w:val="5F2987"/>
          <w:u w:val="single"/>
        </w:rPr>
        <w:t>Idea</w:t>
      </w:r>
    </w:p>
    <w:p w14:paraId="3E56F884" w14:textId="77777777" w:rsidR="00855F80" w:rsidRDefault="00855F80" w:rsidP="00855F80">
      <w:pPr>
        <w:pStyle w:val="Nivel1SM"/>
        <w:keepNext/>
        <w:spacing w:before="0" w:after="0"/>
      </w:pPr>
      <w:r>
        <w:t xml:space="preserve">Los </w:t>
      </w:r>
      <w:r w:rsidRPr="00A13698">
        <w:rPr>
          <w:i/>
          <w:iCs/>
        </w:rPr>
        <w:t>problemas de coordinación y equilibrios múltiples</w:t>
      </w:r>
      <w:r>
        <w:t xml:space="preserve"> son estudiados por </w:t>
      </w:r>
      <w:r>
        <w:rPr>
          <w:smallCaps/>
        </w:rPr>
        <w:t>Diamond</w:t>
      </w:r>
      <w:r>
        <w:t xml:space="preserve"> y </w:t>
      </w:r>
      <w:r>
        <w:rPr>
          <w:smallCaps/>
        </w:rPr>
        <w:t>Dybvig</w:t>
      </w:r>
      <w:r>
        <w:t xml:space="preserve"> (1983)</w:t>
      </w:r>
      <w:r>
        <w:rPr>
          <w:rStyle w:val="Refdenotaalpie"/>
        </w:rPr>
        <w:footnoteReference w:id="21"/>
      </w:r>
      <w:r>
        <w:t>.</w:t>
      </w:r>
    </w:p>
    <w:p w14:paraId="2988B79A" w14:textId="77777777" w:rsidR="00855F80" w:rsidRDefault="00855F80" w:rsidP="00855F80">
      <w:pPr>
        <w:pStyle w:val="Nivel2SM"/>
      </w:pPr>
      <w:r>
        <w:t>En su modelo de crisis bancarias con equilibrios múltiples, el equilibrio malo llevaría a que incluso los depositantes más pacientes retiren el dinero en base a creencias sobre el comportamiento del resto. Sería un comportamiento racional ante la duda de que el banco pueda hacer frente a sus obligaciones, derivada de la retirada masiva de depósitos.</w:t>
      </w:r>
    </w:p>
    <w:p w14:paraId="7CF85E37" w14:textId="77777777" w:rsidR="00855F80" w:rsidRDefault="00855F80" w:rsidP="00855F80">
      <w:pPr>
        <w:pStyle w:val="Nivel2SM"/>
      </w:pPr>
      <w:r>
        <w:t>Por tanto, un problema de coordinación entre depositantes pacientes y depositantes impacientes en presencia de incertidumbre puede generar una crisis bancaria. Una característica que intensifica la probabilidad de una crisis bancaria por problemas de coordinación es el descalce de plazos (los pasivos bancarios son líquidos a corto plazo y los activos ilíquidos a largo plazo). Para hacer frente a pasivos a corto plazo (depósitos a la vista) una entidad puede tener que liquidar activos por debajo del precio de mercado (</w:t>
      </w:r>
      <w:proofErr w:type="spellStart"/>
      <w:r w:rsidRPr="006D0F9A">
        <w:rPr>
          <w:i/>
          <w:iCs/>
        </w:rPr>
        <w:t>fire</w:t>
      </w:r>
      <w:proofErr w:type="spellEnd"/>
      <w:r w:rsidRPr="006D0F9A">
        <w:rPr>
          <w:i/>
          <w:iCs/>
        </w:rPr>
        <w:t xml:space="preserve"> sale</w:t>
      </w:r>
      <w:r>
        <w:t>).</w:t>
      </w:r>
    </w:p>
    <w:p w14:paraId="5F436AED" w14:textId="77777777" w:rsidR="00855F80" w:rsidRDefault="00855F80" w:rsidP="00855F80">
      <w:pPr>
        <w:pStyle w:val="Nivel2SM"/>
      </w:pPr>
      <w:r>
        <w:t>La liquidez y eventualmente la solvencia de un banco estarán amenazadas cuando tiene que liquidar activos por debajo del precio de mercado en condiciones normales.</w:t>
      </w:r>
    </w:p>
    <w:p w14:paraId="3869E52F" w14:textId="77777777" w:rsidR="00855F80" w:rsidRDefault="00855F80" w:rsidP="00855F80">
      <w:pPr>
        <w:pStyle w:val="Nivel1SM"/>
        <w:spacing w:before="0"/>
      </w:pPr>
      <w:r>
        <w:t xml:space="preserve">Los </w:t>
      </w:r>
      <w:r w:rsidRPr="00016389">
        <w:rPr>
          <w:b/>
          <w:bCs/>
        </w:rPr>
        <w:t>pánicos bancarios</w:t>
      </w:r>
      <w:r>
        <w:t xml:space="preserve"> son un tema recurrente en la historia económica. Las crisis financieras están relacionadas con corridas de deuda bancaria de corto plazo, es decir, situaciones en las que los tenedores de deuda de corto plazo “corren” en masa a sus intermediarios financieros a liquidar sus ahorros, forzando a los intermediarios a llevar a cabo ventas de activos que les podrían hacer insolventes.</w:t>
      </w:r>
    </w:p>
    <w:p w14:paraId="518A02CE" w14:textId="77777777" w:rsidR="00855F80" w:rsidRDefault="00855F80" w:rsidP="00855F80">
      <w:pPr>
        <w:pStyle w:val="Nivel1SM"/>
        <w:keepNext/>
        <w:spacing w:after="0"/>
      </w:pPr>
      <w:r>
        <w:t xml:space="preserve">El modelo de </w:t>
      </w:r>
      <w:r w:rsidRPr="00016389">
        <w:rPr>
          <w:smallCaps/>
        </w:rPr>
        <w:t>Diamond</w:t>
      </w:r>
      <w:r>
        <w:t xml:space="preserve"> y </w:t>
      </w:r>
      <w:r w:rsidRPr="00016389">
        <w:rPr>
          <w:smallCaps/>
        </w:rPr>
        <w:t>Dybvig</w:t>
      </w:r>
      <w:r>
        <w:t xml:space="preserve"> (1983) busca explicar este fenómeno. </w:t>
      </w:r>
      <w:r w:rsidRPr="00016389">
        <w:t>Se</w:t>
      </w:r>
      <w:r>
        <w:t xml:space="preserve"> trata de un modelo en el que el </w:t>
      </w:r>
      <w:r w:rsidRPr="00712745">
        <w:rPr>
          <w:i/>
          <w:iCs/>
        </w:rPr>
        <w:t>pánico bancario</w:t>
      </w:r>
      <w:r>
        <w:t xml:space="preserve"> puede llevar a la </w:t>
      </w:r>
      <w:r w:rsidRPr="00712745">
        <w:rPr>
          <w:i/>
          <w:iCs/>
        </w:rPr>
        <w:t>quiebra</w:t>
      </w:r>
      <w:r>
        <w:t xml:space="preserve"> a la entidad debido a que el banco dispone de </w:t>
      </w:r>
      <w:r w:rsidRPr="00712745">
        <w:rPr>
          <w:i/>
          <w:iCs/>
        </w:rPr>
        <w:t>activos poco líquidos</w:t>
      </w:r>
      <w:r>
        <w:t xml:space="preserve"> y de </w:t>
      </w:r>
      <w:r w:rsidRPr="00712745">
        <w:rPr>
          <w:i/>
          <w:iCs/>
        </w:rPr>
        <w:t>pasivos muy líquidos</w:t>
      </w:r>
      <w:r>
        <w:t>. Esta contribución, nos permitirá indagar en:</w:t>
      </w:r>
    </w:p>
    <w:p w14:paraId="369A84A9" w14:textId="77777777" w:rsidR="00855F80" w:rsidRDefault="00855F80" w:rsidP="00855F80">
      <w:pPr>
        <w:pStyle w:val="Nivel2"/>
        <w:ind w:left="482"/>
      </w:pPr>
      <w:r>
        <w:t>Los beneficios de la transformación de liquidez realizada por los intermediarios financieros;</w:t>
      </w:r>
    </w:p>
    <w:p w14:paraId="60E0097B" w14:textId="77777777" w:rsidR="00855F80" w:rsidRDefault="00855F80" w:rsidP="00855F80">
      <w:pPr>
        <w:pStyle w:val="Nivel2"/>
        <w:ind w:left="482"/>
      </w:pPr>
      <w:r>
        <w:t xml:space="preserve">Los riesgos de esta transformación de liquidez (i.e. </w:t>
      </w:r>
      <w:r w:rsidRPr="003E7343">
        <w:t>susceptibilidad</w:t>
      </w:r>
      <w:r>
        <w:t xml:space="preserve"> a pánicos bancarios); y</w:t>
      </w:r>
    </w:p>
    <w:p w14:paraId="0DD89578" w14:textId="77777777" w:rsidR="00855F80" w:rsidRPr="00712745" w:rsidRDefault="00855F80" w:rsidP="00855F80">
      <w:pPr>
        <w:pStyle w:val="Nivel2"/>
        <w:ind w:left="482"/>
      </w:pPr>
      <w:r>
        <w:t>Provee un marco para proponer medidas de política económica.</w:t>
      </w:r>
    </w:p>
    <w:p w14:paraId="48EAD1A5" w14:textId="77777777" w:rsidR="00855F80" w:rsidRDefault="00855F80" w:rsidP="00855F80">
      <w:pPr>
        <w:keepNext/>
        <w:keepLines/>
        <w:spacing w:before="120" w:after="60"/>
        <w:rPr>
          <w:b/>
          <w:bCs/>
          <w:color w:val="5F2987"/>
          <w:u w:val="single"/>
        </w:rPr>
      </w:pPr>
      <w:r>
        <w:rPr>
          <w:b/>
          <w:bCs/>
          <w:color w:val="5F2987"/>
          <w:u w:val="single"/>
        </w:rPr>
        <w:t>Modelo</w:t>
      </w:r>
    </w:p>
    <w:p w14:paraId="7379717E" w14:textId="77777777" w:rsidR="00855F80" w:rsidRDefault="00855F80" w:rsidP="00855F80">
      <w:pPr>
        <w:keepNext/>
        <w:keepLines/>
        <w:spacing w:after="0"/>
        <w:ind w:left="851"/>
        <w:rPr>
          <w:i/>
          <w:iCs/>
          <w:color w:val="5F2987"/>
          <w:u w:val="dash"/>
        </w:rPr>
      </w:pPr>
      <w:r>
        <w:rPr>
          <w:i/>
          <w:iCs/>
          <w:color w:val="5F2987"/>
          <w:u w:val="dash"/>
        </w:rPr>
        <w:t>Supuestos</w:t>
      </w:r>
    </w:p>
    <w:p w14:paraId="1503E4B7" w14:textId="77777777" w:rsidR="00855F80" w:rsidRDefault="00855F80" w:rsidP="00855F80">
      <w:pPr>
        <w:pStyle w:val="Nivel1SM"/>
        <w:keepNext/>
        <w:spacing w:before="0" w:after="0"/>
      </w:pPr>
      <w:r>
        <w:t>El modelo parte de los siguientes supuestos:</w:t>
      </w:r>
    </w:p>
    <w:p w14:paraId="5169F05C" w14:textId="77777777" w:rsidR="00855F80" w:rsidRDefault="00855F80" w:rsidP="00855F80">
      <w:pPr>
        <w:pStyle w:val="Nivel2SM"/>
        <w:keepNext/>
        <w:spacing w:after="0"/>
      </w:pPr>
      <w:r>
        <w:t xml:space="preserve">Supongamos que existen </w:t>
      </w:r>
      <w:r w:rsidRPr="00A92D27">
        <w:rPr>
          <w:b/>
          <w:bCs/>
        </w:rPr>
        <w:t>3</w:t>
      </w:r>
      <w:r>
        <w:rPr>
          <w:b/>
          <w:bCs/>
        </w:rPr>
        <w:t> </w:t>
      </w:r>
      <w:r w:rsidRPr="00A92D27">
        <w:rPr>
          <w:b/>
          <w:bCs/>
        </w:rPr>
        <w:t>tipos de agentes en la economía</w:t>
      </w:r>
      <w:r>
        <w:t>:</w:t>
      </w:r>
    </w:p>
    <w:p w14:paraId="6836D5E2" w14:textId="77777777" w:rsidR="00855F80" w:rsidRDefault="00855F80" w:rsidP="00855F80">
      <w:pPr>
        <w:pStyle w:val="Nivel3SM"/>
      </w:pPr>
      <w:r>
        <w:t xml:space="preserve">Los </w:t>
      </w:r>
      <w:r w:rsidRPr="002156DC">
        <w:rPr>
          <w:i/>
          <w:iCs/>
          <w:u w:val="single"/>
        </w:rPr>
        <w:t>inversores</w:t>
      </w:r>
      <w:r>
        <w:t xml:space="preserve"> prefieren tomar </w:t>
      </w:r>
      <w:r w:rsidRPr="002156DC">
        <w:rPr>
          <w:i/>
          <w:iCs/>
        </w:rPr>
        <w:t>préstamos a largo plazo</w:t>
      </w:r>
      <w:r>
        <w:t>, pues los retornos de sus inversiones tardan tiempo en materializares.</w:t>
      </w:r>
    </w:p>
    <w:p w14:paraId="1AB81E7D" w14:textId="77777777" w:rsidR="00855F80" w:rsidRDefault="00855F80" w:rsidP="00855F80">
      <w:pPr>
        <w:pStyle w:val="Nivel3SM"/>
      </w:pPr>
      <w:r>
        <w:t xml:space="preserve">Los </w:t>
      </w:r>
      <w:r w:rsidRPr="002156DC">
        <w:rPr>
          <w:i/>
          <w:iCs/>
          <w:u w:val="single"/>
        </w:rPr>
        <w:t>ahorradores</w:t>
      </w:r>
      <w:r>
        <w:t xml:space="preserve">, por su parte, prefieren hacer </w:t>
      </w:r>
      <w:r w:rsidRPr="002156DC">
        <w:rPr>
          <w:i/>
          <w:iCs/>
        </w:rPr>
        <w:t>depósitos a corto plazo</w:t>
      </w:r>
      <w:r>
        <w:t>, pues saben que pueden tener necesidades repentinas e impredecibles de dinero en efectivo (p.ej. enfermedades).</w:t>
      </w:r>
    </w:p>
    <w:p w14:paraId="24765DA8" w14:textId="77777777" w:rsidR="00855F80" w:rsidRDefault="00855F80" w:rsidP="00855F80">
      <w:pPr>
        <w:pStyle w:val="Nivel3SM"/>
        <w:keepNext/>
      </w:pPr>
      <w:r>
        <w:t xml:space="preserve">Los </w:t>
      </w:r>
      <w:r w:rsidRPr="00EE5AA3">
        <w:rPr>
          <w:i/>
          <w:iCs/>
          <w:u w:val="single"/>
        </w:rPr>
        <w:t>bancos</w:t>
      </w:r>
      <w:r>
        <w:t xml:space="preserve"> pueden proporcionar un valioso servicio mediante la canalización de fondos de los ahorradores a los inversores.</w:t>
      </w:r>
    </w:p>
    <w:p w14:paraId="6BF3AB01" w14:textId="77777777" w:rsidR="00855F80" w:rsidRDefault="00855F80" w:rsidP="00855F80">
      <w:pPr>
        <w:pStyle w:val="Nivel4"/>
        <w:ind w:left="1474"/>
      </w:pPr>
      <w:r>
        <w:t>Depositantes individuales pueden no ser capaces de hacer estos préstamos a largo plazo por sí mismos, ya que saben que de repente pueden necesitar acceso inmediato a sus fondos.</w:t>
      </w:r>
    </w:p>
    <w:p w14:paraId="7DF42F4F" w14:textId="77777777" w:rsidR="00855F80" w:rsidRPr="00EE5AA3" w:rsidRDefault="00855F80" w:rsidP="00855F80">
      <w:pPr>
        <w:pStyle w:val="Nivel2SM"/>
        <w:keepNext/>
        <w:spacing w:after="0"/>
      </w:pPr>
      <w:r>
        <w:t xml:space="preserve">Nuestra economía consistirá en </w:t>
      </w:r>
      <w:r w:rsidRPr="00A92D27">
        <w:rPr>
          <w:b/>
          <w:bCs/>
        </w:rPr>
        <w:t>3</w:t>
      </w:r>
      <w:r>
        <w:rPr>
          <w:b/>
          <w:bCs/>
        </w:rPr>
        <w:t> </w:t>
      </w:r>
      <w:r w:rsidRPr="00A92D27">
        <w:rPr>
          <w:b/>
          <w:bCs/>
        </w:rPr>
        <w:t>períodos</w:t>
      </w:r>
      <w:r>
        <w:t xml:space="preserve">, indexados por </w:t>
      </w:r>
      <m:oMath>
        <m:r>
          <m:rPr>
            <m:nor/>
          </m:rPr>
          <w:rPr>
            <w:i/>
            <w:iCs/>
          </w:rPr>
          <m:t>T</m:t>
        </m:r>
      </m:oMath>
      <w:r>
        <w:rPr>
          <w:rFonts w:eastAsiaTheme="minorEastAsia"/>
          <w:iCs/>
        </w:rPr>
        <w:t>:</w:t>
      </w:r>
    </w:p>
    <w:p w14:paraId="1BC7E3E9" w14:textId="77777777" w:rsidR="00855F80" w:rsidRPr="00EE5AA3" w:rsidRDefault="00855F80" w:rsidP="00855F80">
      <w:pPr>
        <w:pStyle w:val="Nivel3SM"/>
      </w:pPr>
      <m:oMath>
        <m:r>
          <m:rPr>
            <m:nor/>
          </m:rPr>
          <w:rPr>
            <w:i/>
          </w:rPr>
          <m:t>T</m:t>
        </m:r>
        <m:r>
          <w:rPr>
            <w:rFonts w:ascii="Cambria Math"/>
          </w:rPr>
          <m:t>=</m:t>
        </m:r>
        <m:r>
          <m:rPr>
            <m:nor/>
          </m:rPr>
          <w:rPr>
            <w:i/>
          </w:rPr>
          <m:t>0</m:t>
        </m:r>
      </m:oMath>
      <w:r>
        <w:t xml:space="preserve"> es el presente;</w:t>
      </w:r>
    </w:p>
    <w:p w14:paraId="5E7F1F02" w14:textId="77777777" w:rsidR="00855F80" w:rsidRPr="00EE5AA3" w:rsidRDefault="00855F80" w:rsidP="00855F80">
      <w:pPr>
        <w:pStyle w:val="Nivel3SM"/>
      </w:pPr>
      <m:oMath>
        <m:r>
          <m:rPr>
            <m:nor/>
          </m:rPr>
          <w:rPr>
            <w:i/>
          </w:rPr>
          <m:t>T</m:t>
        </m:r>
        <m:r>
          <w:rPr>
            <w:rFonts w:ascii="Cambria Math"/>
          </w:rPr>
          <m:t>=</m:t>
        </m:r>
        <m:r>
          <m:rPr>
            <m:nor/>
          </m:rPr>
          <w:rPr>
            <w:i/>
          </w:rPr>
          <m:t>1</m:t>
        </m:r>
      </m:oMath>
      <w:r w:rsidRPr="00EE5AA3">
        <w:t xml:space="preserve"> y </w:t>
      </w:r>
      <m:oMath>
        <m:r>
          <m:rPr>
            <m:nor/>
          </m:rPr>
          <w:rPr>
            <w:i/>
          </w:rPr>
          <m:t>T</m:t>
        </m:r>
        <m:r>
          <w:rPr>
            <w:rFonts w:ascii="Cambria Math"/>
          </w:rPr>
          <m:t>=</m:t>
        </m:r>
        <m:r>
          <m:rPr>
            <m:nor/>
          </m:rPr>
          <w:rPr>
            <w:i/>
          </w:rPr>
          <m:t>2</m:t>
        </m:r>
      </m:oMath>
      <w:r w:rsidRPr="00EE5AA3">
        <w:t xml:space="preserve"> miden el futuro</w:t>
      </w:r>
      <w:r>
        <w:t>.</w:t>
      </w:r>
    </w:p>
    <w:p w14:paraId="4DD586DD" w14:textId="77777777" w:rsidR="00855F80" w:rsidRPr="00EE5AA3" w:rsidRDefault="00855F80" w:rsidP="00855F80">
      <w:pPr>
        <w:pStyle w:val="Nivel2SM"/>
        <w:keepNext/>
        <w:spacing w:after="0"/>
      </w:pPr>
      <w:r>
        <w:lastRenderedPageBreak/>
        <w:t>Existen (muchos) hogares que son idénticos (</w:t>
      </w:r>
      <w:r>
        <w:rPr>
          <w:i/>
        </w:rPr>
        <w:t>ex ante</w:t>
      </w:r>
      <w:r>
        <w:t xml:space="preserve">) y tienen una dotación inicial de 1 u.m. en </w:t>
      </w:r>
      <m:oMath>
        <m:r>
          <m:rPr>
            <m:nor/>
          </m:rPr>
          <w:rPr>
            <w:i/>
          </w:rPr>
          <m:t>T</m:t>
        </m:r>
        <m:r>
          <w:rPr>
            <w:rFonts w:ascii="Cambria Math"/>
          </w:rPr>
          <m:t>=</m:t>
        </m:r>
        <m:r>
          <m:rPr>
            <m:nor/>
          </m:rPr>
          <w:rPr>
            <w:i/>
          </w:rPr>
          <m:t>0</m:t>
        </m:r>
      </m:oMath>
      <w:r>
        <w:t xml:space="preserve">. Estos hogares van a necesitar consumir en </w:t>
      </w:r>
      <m:oMath>
        <m:r>
          <m:rPr>
            <m:nor/>
          </m:rPr>
          <w:rPr>
            <w:i/>
          </w:rPr>
          <m:t>T</m:t>
        </m:r>
        <m:r>
          <w:rPr>
            <w:rFonts w:ascii="Cambria Math"/>
          </w:rPr>
          <m:t>=</m:t>
        </m:r>
        <m:r>
          <m:rPr>
            <m:nor/>
          </m:rPr>
          <w:rPr>
            <w:i/>
          </w:rPr>
          <m:t>1</m:t>
        </m:r>
      </m:oMath>
      <w:r>
        <w:t xml:space="preserve"> </w:t>
      </w:r>
      <w:r w:rsidRPr="00EE5AA3">
        <w:t>o</w:t>
      </w:r>
      <w:r>
        <w:t xml:space="preserve"> en </w:t>
      </w:r>
      <m:oMath>
        <m:r>
          <m:rPr>
            <m:nor/>
          </m:rPr>
          <w:rPr>
            <w:i/>
          </w:rPr>
          <m:t>T</m:t>
        </m:r>
        <m:r>
          <w:rPr>
            <w:rFonts w:ascii="Cambria Math"/>
          </w:rPr>
          <m:t>=</m:t>
        </m:r>
        <m:r>
          <m:rPr>
            <m:nor/>
          </m:rPr>
          <w:rPr>
            <w:i/>
          </w:rPr>
          <m:t>2</m:t>
        </m:r>
      </m:oMath>
      <w:r>
        <w:t>, solo que no saben en qué período:</w:t>
      </w:r>
    </w:p>
    <w:p w14:paraId="13A39EC9" w14:textId="77777777" w:rsidR="00855F80" w:rsidRPr="00EE5AA3" w:rsidRDefault="00855F80" w:rsidP="00855F80">
      <w:pPr>
        <w:pStyle w:val="Nivel3SM"/>
      </w:pPr>
      <w:r w:rsidRPr="00EE5AA3">
        <w:rPr>
          <w:i/>
          <w:u w:val="single"/>
        </w:rPr>
        <w:t>Existe incertidumbre idiosincrática</w:t>
      </w:r>
      <w:r>
        <w:t>, ya que cada individuo no sabe si va a ser de tipo </w:t>
      </w:r>
      <w:r>
        <w:rPr>
          <w:i/>
        </w:rPr>
        <w:t>1</w:t>
      </w:r>
      <w:r>
        <w:t xml:space="preserve"> (necesita consumir en </w:t>
      </w:r>
      <m:oMath>
        <m:r>
          <m:rPr>
            <m:nor/>
          </m:rPr>
          <w:rPr>
            <w:i/>
          </w:rPr>
          <m:t>T</m:t>
        </m:r>
        <m:r>
          <w:rPr>
            <w:rFonts w:ascii="Cambria Math"/>
          </w:rPr>
          <m:t>=</m:t>
        </m:r>
        <m:r>
          <m:rPr>
            <m:nor/>
          </m:rPr>
          <w:rPr>
            <w:i/>
          </w:rPr>
          <m:t>1</m:t>
        </m:r>
      </m:oMath>
      <w:r>
        <w:t>) o de tipo </w:t>
      </w:r>
      <w:r>
        <w:rPr>
          <w:i/>
        </w:rPr>
        <w:t>2</w:t>
      </w:r>
      <w:r>
        <w:t xml:space="preserve"> (puede esperar para consumir hasta </w:t>
      </w:r>
      <m:oMath>
        <m:r>
          <m:rPr>
            <m:nor/>
          </m:rPr>
          <w:rPr>
            <w:i/>
          </w:rPr>
          <m:t>T</m:t>
        </m:r>
        <m:r>
          <w:rPr>
            <w:rFonts w:ascii="Cambria Math"/>
          </w:rPr>
          <m:t>=</m:t>
        </m:r>
        <m:r>
          <m:rPr>
            <m:nor/>
          </m:rPr>
          <w:rPr>
            <w:i/>
          </w:rPr>
          <m:t>2</m:t>
        </m:r>
      </m:oMath>
      <w:r>
        <w:t xml:space="preserve">). Esto lo sabrá una vez llegado </w:t>
      </w:r>
      <m:oMath>
        <m:r>
          <m:rPr>
            <m:nor/>
          </m:rPr>
          <w:rPr>
            <w:i/>
          </w:rPr>
          <m:t>T</m:t>
        </m:r>
        <m:r>
          <w:rPr>
            <w:rFonts w:ascii="Cambria Math"/>
          </w:rPr>
          <m:t>=</m:t>
        </m:r>
        <m:r>
          <m:rPr>
            <m:nor/>
          </m:rPr>
          <w:rPr>
            <w:i/>
          </w:rPr>
          <m:t>1</m:t>
        </m:r>
      </m:oMath>
      <w:r>
        <w:t>.</w:t>
      </w:r>
    </w:p>
    <w:p w14:paraId="070F37F9" w14:textId="77777777" w:rsidR="00855F80" w:rsidRPr="009E69D5" w:rsidRDefault="00855F80" w:rsidP="00855F80">
      <w:pPr>
        <w:pStyle w:val="Nivel3SM"/>
      </w:pPr>
      <w:r>
        <w:t xml:space="preserve">Sin embargo, </w:t>
      </w:r>
      <w:r w:rsidRPr="00EE5AA3">
        <w:rPr>
          <w:i/>
          <w:u w:val="single"/>
        </w:rPr>
        <w:t>no hay incertidumbre agregada</w:t>
      </w:r>
      <w:r w:rsidRPr="00EE5AA3">
        <w:t xml:space="preserve">, </w:t>
      </w:r>
      <w:r>
        <w:t>ya que se sabe que una fracción fija</w:t>
      </w:r>
      <m:oMath>
        <m:r>
          <w:rPr>
            <w:rFonts w:ascii="Cambria Math" w:hAnsi="Cambria Math"/>
          </w:rPr>
          <m:t xml:space="preserve"> </m:t>
        </m:r>
        <m:r>
          <m:rPr>
            <m:nor/>
          </m:rPr>
          <w:rPr>
            <w:i/>
          </w:rPr>
          <m:t>τ</m:t>
        </m:r>
        <m:r>
          <w:rPr>
            <w:rFonts w:ascii="Cambria Math" w:hAnsi="Cambria Math"/>
          </w:rPr>
          <m:t>∈</m:t>
        </m:r>
        <m:d>
          <m:dPr>
            <m:begChr m:val="["/>
            <m:endChr m:val="]"/>
            <m:ctrlPr>
              <w:rPr>
                <w:rFonts w:ascii="Cambria Math" w:hAnsi="Cambria Math"/>
                <w:i/>
              </w:rPr>
            </m:ctrlPr>
          </m:dPr>
          <m:e>
            <m:r>
              <m:rPr>
                <m:nor/>
              </m:rPr>
              <w:rPr>
                <w:i/>
              </w:rPr>
              <m:t>0,1</m:t>
            </m:r>
          </m:e>
        </m:d>
      </m:oMath>
      <w:r>
        <w:t xml:space="preserve"> de los hogares será de tipo </w:t>
      </w:r>
      <w:r>
        <w:rPr>
          <w:i/>
        </w:rPr>
        <w:t>1</w:t>
      </w:r>
      <w:r>
        <w:t xml:space="preserve">, y una fracción fija </w:t>
      </w:r>
      <m:oMath>
        <m:r>
          <m:rPr>
            <m:nor/>
          </m:rPr>
          <w:rPr>
            <w:i/>
          </w:rPr>
          <m:t>1</m:t>
        </m:r>
        <m:r>
          <w:rPr>
            <w:rFonts w:ascii="Cambria Math" w:hAnsi="Cambria Math"/>
          </w:rPr>
          <m:t>-</m:t>
        </m:r>
        <m:r>
          <m:rPr>
            <m:nor/>
          </m:rPr>
          <w:rPr>
            <w:i/>
          </w:rPr>
          <m:t>τ</m:t>
        </m:r>
      </m:oMath>
      <w:r>
        <w:t xml:space="preserve"> será de tipo </w:t>
      </w:r>
      <w:r>
        <w:rPr>
          <w:i/>
        </w:rPr>
        <w:t>2</w:t>
      </w:r>
      <w:r>
        <w:t>.</w:t>
      </w:r>
    </w:p>
    <w:p w14:paraId="6DE312B6" w14:textId="77777777" w:rsidR="00855F80" w:rsidRDefault="00855F80" w:rsidP="00855F80">
      <w:pPr>
        <w:pStyle w:val="Nivel2SM"/>
        <w:keepNext/>
        <w:spacing w:after="0"/>
      </w:pPr>
      <w:r>
        <w:t xml:space="preserve">También existen </w:t>
      </w:r>
      <w:r w:rsidRPr="00A92D27">
        <w:rPr>
          <w:b/>
          <w:bCs/>
        </w:rPr>
        <w:t>2</w:t>
      </w:r>
      <w:r>
        <w:rPr>
          <w:b/>
          <w:bCs/>
        </w:rPr>
        <w:t> </w:t>
      </w:r>
      <w:r w:rsidRPr="00A92D27">
        <w:rPr>
          <w:b/>
          <w:bCs/>
        </w:rPr>
        <w:t>activos</w:t>
      </w:r>
      <w:r>
        <w:t>:</w:t>
      </w:r>
    </w:p>
    <w:p w14:paraId="3B51C65B" w14:textId="77777777" w:rsidR="00855F80" w:rsidRPr="00EE5AA3" w:rsidRDefault="00855F80" w:rsidP="00855F80">
      <w:pPr>
        <w:pStyle w:val="Nivel3SM"/>
      </w:pPr>
      <w:r>
        <w:rPr>
          <w:i/>
        </w:rPr>
        <w:t>Efectivo</w:t>
      </w:r>
      <w:r>
        <w:t xml:space="preserve">: No provee ningún rendimiento, por lo que si el individuo ahorra su dotación inicial de 1 u.m. en </w:t>
      </w:r>
      <m:oMath>
        <m:r>
          <m:rPr>
            <m:nor/>
          </m:rPr>
          <w:rPr>
            <w:i/>
          </w:rPr>
          <m:t>T</m:t>
        </m:r>
        <m:r>
          <w:rPr>
            <w:rFonts w:ascii="Cambria Math"/>
          </w:rPr>
          <m:t>=</m:t>
        </m:r>
        <m:r>
          <m:rPr>
            <m:nor/>
          </m:rPr>
          <w:rPr>
            <w:i/>
          </w:rPr>
          <m:t>0</m:t>
        </m:r>
      </m:oMath>
      <w:r>
        <w:t xml:space="preserve">, tendrá 1 u.m disponible para consumir en </w:t>
      </w:r>
      <m:oMath>
        <m:r>
          <m:rPr>
            <m:nor/>
          </m:rPr>
          <w:rPr>
            <w:i/>
          </w:rPr>
          <m:t>T</m:t>
        </m:r>
        <m:r>
          <w:rPr>
            <w:rFonts w:ascii="Cambria Math"/>
          </w:rPr>
          <m:t>=</m:t>
        </m:r>
        <m:r>
          <m:rPr>
            <m:nor/>
          </m:rPr>
          <w:rPr>
            <w:i/>
          </w:rPr>
          <m:t>1</m:t>
        </m:r>
      </m:oMath>
      <w:r w:rsidRPr="00EE5AA3">
        <w:t xml:space="preserve"> </w:t>
      </w:r>
      <w:r>
        <w:t>o en</w:t>
      </w:r>
      <w:r w:rsidRPr="00EE5AA3">
        <w:t xml:space="preserve"> </w:t>
      </w:r>
      <m:oMath>
        <m:r>
          <m:rPr>
            <m:nor/>
          </m:rPr>
          <w:rPr>
            <w:i/>
          </w:rPr>
          <m:t>T</m:t>
        </m:r>
        <m:r>
          <w:rPr>
            <w:rFonts w:ascii="Cambria Math"/>
          </w:rPr>
          <m:t>=</m:t>
        </m:r>
        <m:r>
          <m:rPr>
            <m:nor/>
          </m:rPr>
          <w:rPr>
            <w:i/>
          </w:rPr>
          <m:t>2</m:t>
        </m:r>
      </m:oMath>
      <w:r>
        <w:t>.</w:t>
      </w:r>
    </w:p>
    <w:p w14:paraId="4B335CD0" w14:textId="77777777" w:rsidR="00855F80" w:rsidRPr="009E69D5" w:rsidRDefault="00855F80" w:rsidP="00855F80">
      <w:pPr>
        <w:pStyle w:val="Nivel3SM"/>
        <w:keepNext/>
      </w:pPr>
      <w:r>
        <w:rPr>
          <w:i/>
        </w:rPr>
        <w:t>Oportunidad de inversión no líquida</w:t>
      </w:r>
      <w:r>
        <w:t xml:space="preserve">: Si invierte 1 u.m. en </w:t>
      </w:r>
      <m:oMath>
        <m:r>
          <m:rPr>
            <m:nor/>
          </m:rPr>
          <w:rPr>
            <w:i/>
          </w:rPr>
          <m:t>T</m:t>
        </m:r>
        <m:r>
          <w:rPr>
            <w:rFonts w:ascii="Cambria Math"/>
          </w:rPr>
          <m:t>=</m:t>
        </m:r>
        <m:r>
          <m:rPr>
            <m:nor/>
          </m:rPr>
          <w:rPr>
            <w:i/>
          </w:rPr>
          <m:t>0</m:t>
        </m:r>
      </m:oMath>
      <w:r>
        <w:t>, puede obtener:</w:t>
      </w:r>
    </w:p>
    <w:p w14:paraId="0C7C638B" w14:textId="77777777" w:rsidR="00855F80" w:rsidRDefault="00000000" w:rsidP="00855F80">
      <w:pPr>
        <w:pStyle w:val="Nivel4"/>
        <w:ind w:left="1474"/>
      </w:pPr>
      <m:oMath>
        <m:sSub>
          <m:sSubPr>
            <m:ctrlPr>
              <w:rPr>
                <w:rFonts w:ascii="Cambria Math" w:hAnsi="Cambria Math"/>
                <w:i/>
              </w:rPr>
            </m:ctrlPr>
          </m:sSubPr>
          <m:e>
            <m:r>
              <m:rPr>
                <m:nor/>
              </m:rPr>
              <w:rPr>
                <w:i/>
              </w:rPr>
              <m:t>r</m:t>
            </m:r>
          </m:e>
          <m:sub>
            <m:r>
              <m:rPr>
                <m:nor/>
              </m:rPr>
              <w:rPr>
                <w:i/>
              </w:rPr>
              <m:t>1</m:t>
            </m:r>
          </m:sub>
        </m:sSub>
      </m:oMath>
      <w:r w:rsidR="00855F80">
        <w:t xml:space="preserve"> </w:t>
      </w:r>
      <w:proofErr w:type="spellStart"/>
      <w:r w:rsidR="00855F80">
        <w:t>si</w:t>
      </w:r>
      <w:proofErr w:type="spellEnd"/>
      <w:r w:rsidR="00855F80">
        <w:t xml:space="preserve"> liquida la inversión en </w:t>
      </w:r>
      <m:oMath>
        <m:r>
          <m:rPr>
            <m:nor/>
          </m:rPr>
          <w:rPr>
            <w:i/>
          </w:rPr>
          <m:t>T</m:t>
        </m:r>
        <m:r>
          <w:rPr>
            <w:rFonts w:ascii="Cambria Math"/>
          </w:rPr>
          <m:t>=</m:t>
        </m:r>
        <m:r>
          <m:rPr>
            <m:nor/>
          </m:rPr>
          <w:rPr>
            <w:i/>
          </w:rPr>
          <m:t>1</m:t>
        </m:r>
      </m:oMath>
      <w:r w:rsidR="00855F80">
        <w:t xml:space="preserve">; </w:t>
      </w:r>
      <w:r w:rsidR="00855F80" w:rsidRPr="00EE5AA3">
        <w:t>y</w:t>
      </w:r>
    </w:p>
    <w:p w14:paraId="1B038605" w14:textId="77777777" w:rsidR="00855F80" w:rsidRDefault="00000000" w:rsidP="00855F80">
      <w:pPr>
        <w:pStyle w:val="Nivel4"/>
        <w:ind w:left="1474"/>
      </w:pPr>
      <m:oMath>
        <m:sSub>
          <m:sSubPr>
            <m:ctrlPr>
              <w:rPr>
                <w:rFonts w:ascii="Cambria Math" w:hAnsi="Cambria Math"/>
                <w:i/>
              </w:rPr>
            </m:ctrlPr>
          </m:sSubPr>
          <m:e>
            <m:r>
              <m:rPr>
                <m:nor/>
              </m:rPr>
              <w:rPr>
                <w:i/>
              </w:rPr>
              <m:t>r</m:t>
            </m:r>
          </m:e>
          <m:sub>
            <m:r>
              <m:rPr>
                <m:nor/>
              </m:rPr>
              <w:rPr>
                <w:i/>
              </w:rPr>
              <m:t>2</m:t>
            </m:r>
          </m:sub>
        </m:sSub>
      </m:oMath>
      <w:r w:rsidR="00855F80">
        <w:t xml:space="preserve"> </w:t>
      </w:r>
      <w:proofErr w:type="spellStart"/>
      <w:r w:rsidR="00855F80">
        <w:t>si</w:t>
      </w:r>
      <w:proofErr w:type="spellEnd"/>
      <w:r w:rsidR="00855F80">
        <w:t xml:space="preserve"> liquida la inversión en</w:t>
      </w:r>
      <w:r w:rsidR="00855F80" w:rsidRPr="00EE5AA3">
        <w:t xml:space="preserve"> </w:t>
      </w:r>
      <m:oMath>
        <m:r>
          <m:rPr>
            <m:nor/>
          </m:rPr>
          <w:rPr>
            <w:i/>
          </w:rPr>
          <m:t>T</m:t>
        </m:r>
        <m:r>
          <w:rPr>
            <w:rFonts w:ascii="Cambria Math"/>
          </w:rPr>
          <m:t>=</m:t>
        </m:r>
        <m:r>
          <m:rPr>
            <m:nor/>
          </m:rPr>
          <w:rPr>
            <w:i/>
          </w:rPr>
          <m:t>2</m:t>
        </m:r>
      </m:oMath>
      <w:r w:rsidR="00855F80">
        <w:t>.</w:t>
      </w:r>
    </w:p>
    <w:p w14:paraId="71391BF8" w14:textId="77777777" w:rsidR="00855F80" w:rsidRDefault="00000000" w:rsidP="00855F80">
      <w:pPr>
        <w:pStyle w:val="Nivel4"/>
        <w:ind w:left="1474"/>
      </w:pPr>
      <m:oMath>
        <m:sSub>
          <m:sSubPr>
            <m:ctrlPr>
              <w:rPr>
                <w:rFonts w:ascii="Cambria Math" w:hAnsi="Cambria Math"/>
                <w:i/>
              </w:rPr>
            </m:ctrlPr>
          </m:sSubPr>
          <m:e>
            <m:r>
              <m:rPr>
                <m:nor/>
              </m:rPr>
              <w:rPr>
                <w:i/>
              </w:rPr>
              <m:t>r</m:t>
            </m:r>
          </m:e>
          <m:sub>
            <m:r>
              <m:rPr>
                <m:nor/>
              </m:rPr>
              <w:rPr>
                <w:i/>
              </w:rPr>
              <m:t>2</m:t>
            </m:r>
          </m:sub>
        </m:sSub>
        <m:r>
          <w:rPr>
            <w:rFonts w:ascii="Cambria Math" w:hAnsi="Cambria Math"/>
          </w:rPr>
          <m:t>&gt;</m:t>
        </m:r>
        <m:r>
          <m:rPr>
            <m:nor/>
          </m:rPr>
          <w:rPr>
            <w:i/>
          </w:rPr>
          <m:t>1</m:t>
        </m:r>
        <m:r>
          <w:rPr>
            <w:rFonts w:ascii="Cambria Math" w:hAnsi="Cambria Math"/>
          </w:rPr>
          <m:t>&gt;</m:t>
        </m:r>
        <m:sSub>
          <m:sSubPr>
            <m:ctrlPr>
              <w:rPr>
                <w:rFonts w:ascii="Cambria Math" w:hAnsi="Cambria Math"/>
                <w:i/>
              </w:rPr>
            </m:ctrlPr>
          </m:sSubPr>
          <m:e>
            <m:r>
              <m:rPr>
                <m:nor/>
              </m:rPr>
              <w:rPr>
                <w:i/>
              </w:rPr>
              <m:t>r</m:t>
            </m:r>
          </m:e>
          <m:sub>
            <m:r>
              <m:rPr>
                <m:nor/>
              </m:rPr>
              <w:rPr>
                <w:i/>
              </w:rPr>
              <m:t>1</m:t>
            </m:r>
          </m:sub>
        </m:sSub>
      </m:oMath>
    </w:p>
    <w:p w14:paraId="36F2F51A" w14:textId="48EFB013" w:rsidR="00855F80" w:rsidRPr="009E69D5" w:rsidRDefault="00855F80" w:rsidP="00855F80">
      <w:pPr>
        <w:pStyle w:val="Nivel2SM"/>
        <w:keepNext/>
        <w:spacing w:after="0"/>
      </w:pPr>
      <w:r>
        <w:t xml:space="preserve">Cada hogar tiene una función de utilidad creciente y cóncava en </w:t>
      </w:r>
      <m:oMath>
        <m:r>
          <m:rPr>
            <m:nor/>
          </m:rPr>
          <w:rPr>
            <w:i/>
          </w:rPr>
          <m:t>c</m:t>
        </m:r>
      </m:oMath>
      <w:r>
        <w:t xml:space="preserve">, que hará que el individuo sea averso al riesgo y tenga un incentivo para suavizar el consumo entre los diferentes estados de la naturaleza </w:t>
      </w:r>
      <w:r w:rsidRPr="009E69D5">
        <w:rPr>
          <w:color w:val="767171" w:themeColor="background2" w:themeShade="80"/>
          <w:sz w:val="19"/>
          <w:szCs w:val="19"/>
        </w:rPr>
        <w:t>[ver tema 3.A.</w:t>
      </w:r>
      <w:r w:rsidR="005015D1">
        <w:rPr>
          <w:color w:val="767171" w:themeColor="background2" w:themeShade="80"/>
          <w:sz w:val="19"/>
          <w:szCs w:val="19"/>
        </w:rPr>
        <w:t>10</w:t>
      </w:r>
      <w:r w:rsidRPr="009E69D5">
        <w:rPr>
          <w:color w:val="767171" w:themeColor="background2" w:themeShade="80"/>
          <w:sz w:val="19"/>
          <w:szCs w:val="19"/>
        </w:rPr>
        <w:t>]</w:t>
      </w:r>
      <w:r>
        <w:t>. De este modo su utilidad esperada es simplemente la suma de sus flujos de utilidad ponderada por la probabilidad de pertenecer a cada tipo:</w:t>
      </w:r>
    </w:p>
    <w:p w14:paraId="21B1B19A" w14:textId="77777777" w:rsidR="00855F80" w:rsidRDefault="00855F80" w:rsidP="00855F80">
      <w:pPr>
        <w:pStyle w:val="Nivel2"/>
        <w:keepNext/>
        <w:numPr>
          <w:ilvl w:val="0"/>
          <w:numId w:val="0"/>
        </w:numPr>
        <w:spacing w:after="0"/>
        <w:ind w:left="567"/>
        <w:rPr>
          <w:rFonts w:eastAsiaTheme="minorEastAsia"/>
        </w:rPr>
      </w:pPr>
      <m:oMathPara>
        <m:oMath>
          <m:r>
            <m:rPr>
              <m:nor/>
            </m:rPr>
            <w:rPr>
              <w:rFonts w:ascii="Cambria Math"/>
              <w:iCs/>
            </w:rPr>
            <m:t xml:space="preserve"> </m:t>
          </m:r>
          <m:r>
            <m:rPr>
              <m:nor/>
            </m:rPr>
            <w:rPr>
              <w:i/>
            </w:rPr>
            <m:t>E</m:t>
          </m:r>
          <m:d>
            <m:dPr>
              <m:begChr m:val="["/>
              <m:endChr m:val="]"/>
              <m:ctrlPr>
                <w:rPr>
                  <w:rFonts w:ascii="Cambria Math" w:hAnsi="Cambria Math"/>
                  <w:i/>
                </w:rPr>
              </m:ctrlPr>
            </m:dPr>
            <m:e>
              <m:r>
                <m:rPr>
                  <m:nor/>
                </m:rPr>
                <w:rPr>
                  <w:i/>
                </w:rPr>
                <m:t>U</m:t>
              </m:r>
            </m:e>
          </m:d>
          <m:r>
            <w:rPr>
              <w:rFonts w:ascii="Cambria Math"/>
            </w:rPr>
            <m:t>=</m:t>
          </m:r>
          <m:r>
            <m:rPr>
              <m:nor/>
            </m:rPr>
            <w:rPr>
              <w:i/>
            </w:rPr>
            <m:t>τ</m:t>
          </m:r>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1</m:t>
                  </m:r>
                </m:sub>
              </m:sSub>
            </m:e>
          </m:d>
          <m:r>
            <w:rPr>
              <w:rFonts w:ascii="Cambria Math"/>
            </w:rPr>
            <m:t>+</m:t>
          </m:r>
          <m:d>
            <m:dPr>
              <m:ctrlPr>
                <w:rPr>
                  <w:rFonts w:ascii="Cambria Math" w:hAnsi="Cambria Math"/>
                  <w:i/>
                </w:rPr>
              </m:ctrlPr>
            </m:dPr>
            <m:e>
              <m:r>
                <m:rPr>
                  <m:nor/>
                </m:rPr>
                <w:rPr>
                  <w:i/>
                </w:rPr>
                <m:t>1</m:t>
              </m:r>
              <m:r>
                <w:rPr>
                  <w:rFonts w:ascii="Cambria Math" w:hAnsi="Cambria Math"/>
                </w:rPr>
                <m:t>-</m:t>
              </m:r>
              <m:r>
                <m:rPr>
                  <m:nor/>
                </m:rPr>
                <w:rPr>
                  <w:i/>
                </w:rPr>
                <m:t>τ</m:t>
              </m:r>
            </m:e>
          </m:d>
          <m:r>
            <w:rPr>
              <w:rFonts w:ascii="Cambria Math" w:hAnsi="Cambria Math"/>
            </w:rPr>
            <m:t>∙</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2</m:t>
                  </m:r>
                </m:sub>
              </m:sSub>
            </m:e>
          </m:d>
          <m:r>
            <m:rPr>
              <m:sty m:val="p"/>
            </m:rPr>
            <w:rPr>
              <w:rFonts w:ascii="Cambria Math" w:eastAsiaTheme="minorEastAsia" w:hAnsi="Cambria Math"/>
            </w:rPr>
            <w:br/>
          </m:r>
        </m:oMath>
      </m:oMathPara>
      <w:r>
        <w:rPr>
          <w:rFonts w:eastAsiaTheme="minorEastAsia"/>
        </w:rPr>
        <w:t xml:space="preserve">donde </w:t>
      </w:r>
      <m:oMath>
        <m:sSub>
          <m:sSubPr>
            <m:ctrlPr>
              <w:rPr>
                <w:rFonts w:ascii="Cambria Math" w:hAnsi="Cambria Math"/>
                <w:i/>
              </w:rPr>
            </m:ctrlPr>
          </m:sSubPr>
          <m:e>
            <m:r>
              <m:rPr>
                <m:nor/>
              </m:rPr>
              <w:rPr>
                <w:i/>
              </w:rPr>
              <m:t>c</m:t>
            </m:r>
          </m:e>
          <m:sub>
            <m:r>
              <m:rPr>
                <m:nor/>
              </m:rPr>
              <w:rPr>
                <w:i/>
              </w:rPr>
              <m:t>1</m:t>
            </m:r>
          </m:sub>
        </m:sSub>
      </m:oMath>
      <w:r>
        <w:rPr>
          <w:rFonts w:eastAsiaTheme="minorEastAsia"/>
        </w:rPr>
        <w:t xml:space="preserve"> y </w:t>
      </w:r>
      <m:oMath>
        <m:sSub>
          <m:sSubPr>
            <m:ctrlPr>
              <w:rPr>
                <w:rFonts w:ascii="Cambria Math" w:hAnsi="Cambria Math"/>
                <w:i/>
              </w:rPr>
            </m:ctrlPr>
          </m:sSubPr>
          <m:e>
            <m:r>
              <m:rPr>
                <m:nor/>
              </m:rPr>
              <w:rPr>
                <w:i/>
              </w:rPr>
              <m:t>c</m:t>
            </m:r>
          </m:e>
          <m:sub>
            <m:r>
              <m:rPr>
                <m:nor/>
              </m:rPr>
              <w:rPr>
                <w:i/>
              </w:rPr>
              <m:t>2</m:t>
            </m:r>
          </m:sub>
        </m:sSub>
      </m:oMath>
      <w:r>
        <w:rPr>
          <w:rFonts w:eastAsiaTheme="minorEastAsia"/>
        </w:rPr>
        <w:t xml:space="preserve"> son el consumo en cada fecha dependiendo del tipo de consumidor.</w:t>
      </w:r>
    </w:p>
    <w:p w14:paraId="38F71B8A" w14:textId="77777777" w:rsidR="00855F80" w:rsidRDefault="00855F80" w:rsidP="00855F80">
      <w:pPr>
        <w:keepNext/>
        <w:keepLines/>
        <w:spacing w:before="40" w:after="0"/>
        <w:ind w:left="851"/>
        <w:rPr>
          <w:i/>
          <w:iCs/>
          <w:color w:val="5F2987"/>
          <w:u w:val="dash"/>
        </w:rPr>
      </w:pPr>
      <w:r>
        <w:rPr>
          <w:i/>
          <w:iCs/>
          <w:color w:val="5F2987"/>
          <w:u w:val="dash"/>
        </w:rPr>
        <w:t>Desarrollo</w:t>
      </w:r>
    </w:p>
    <w:p w14:paraId="7AE8589E" w14:textId="77777777" w:rsidR="00855F80" w:rsidRDefault="00855F80" w:rsidP="00855F80">
      <w:pPr>
        <w:pStyle w:val="Nivel1SM"/>
        <w:keepNext/>
        <w:spacing w:before="0" w:after="0"/>
      </w:pPr>
      <w:r>
        <w:t>Habiendo planteado el escenario del modelo, supongamos 5 escenarios básicos:</w:t>
      </w:r>
    </w:p>
    <w:p w14:paraId="3E9C9D49" w14:textId="77777777" w:rsidR="00855F80" w:rsidRDefault="00855F80">
      <w:pPr>
        <w:pStyle w:val="Prrafodelista"/>
        <w:numPr>
          <w:ilvl w:val="0"/>
          <w:numId w:val="44"/>
        </w:numPr>
        <w:spacing w:after="100"/>
        <w:ind w:left="568" w:hanging="284"/>
      </w:pPr>
      <w:r>
        <w:rPr>
          <w:i/>
          <w:iCs/>
        </w:rPr>
        <w:t>Autarquía</w:t>
      </w:r>
      <w:r>
        <w:t xml:space="preserve"> (i.e. ausencia de bancos ni de mercados competitivos).</w:t>
      </w:r>
    </w:p>
    <w:p w14:paraId="194AC4FA" w14:textId="77777777" w:rsidR="00855F80" w:rsidRDefault="00855F80">
      <w:pPr>
        <w:pStyle w:val="Prrafodelista"/>
        <w:numPr>
          <w:ilvl w:val="0"/>
          <w:numId w:val="44"/>
        </w:numPr>
        <w:spacing w:after="100"/>
        <w:ind w:left="568" w:hanging="284"/>
      </w:pPr>
      <w:r>
        <w:rPr>
          <w:i/>
          <w:iCs/>
        </w:rPr>
        <w:t xml:space="preserve">Existencia de mercados financieros abiertos en </w:t>
      </w:r>
      <m:oMath>
        <m:r>
          <m:rPr>
            <m:nor/>
          </m:rPr>
          <w:rPr>
            <w:i/>
          </w:rPr>
          <m:t>T</m:t>
        </m:r>
        <m:r>
          <w:rPr>
            <w:rFonts w:ascii="Cambria Math"/>
          </w:rPr>
          <m:t>=</m:t>
        </m:r>
        <m:r>
          <m:rPr>
            <m:nor/>
          </m:rPr>
          <w:rPr>
            <w:i/>
          </w:rPr>
          <m:t>1</m:t>
        </m:r>
      </m:oMath>
      <w:r>
        <w:t>.</w:t>
      </w:r>
    </w:p>
    <w:p w14:paraId="64735AEC" w14:textId="77777777" w:rsidR="00855F80" w:rsidRDefault="00855F80">
      <w:pPr>
        <w:pStyle w:val="Prrafodelista"/>
        <w:numPr>
          <w:ilvl w:val="0"/>
          <w:numId w:val="44"/>
        </w:numPr>
        <w:spacing w:after="100"/>
        <w:ind w:left="568" w:hanging="284"/>
      </w:pPr>
      <w:r>
        <w:rPr>
          <w:i/>
          <w:iCs/>
        </w:rPr>
        <w:t>Existencia de un planificador social</w:t>
      </w:r>
      <w:r>
        <w:t>.</w:t>
      </w:r>
    </w:p>
    <w:p w14:paraId="3874011A" w14:textId="77777777" w:rsidR="00855F80" w:rsidRDefault="00855F80">
      <w:pPr>
        <w:pStyle w:val="Prrafodelista"/>
        <w:numPr>
          <w:ilvl w:val="0"/>
          <w:numId w:val="44"/>
        </w:numPr>
        <w:spacing w:after="100"/>
        <w:ind w:left="568" w:hanging="284"/>
      </w:pPr>
      <w:r>
        <w:rPr>
          <w:i/>
          <w:iCs/>
        </w:rPr>
        <w:t>Bancos competitivos</w:t>
      </w:r>
      <w:r>
        <w:t xml:space="preserve"> (equilibrio óptimo).</w:t>
      </w:r>
    </w:p>
    <w:p w14:paraId="555B1577" w14:textId="77777777" w:rsidR="00855F80" w:rsidRPr="00AB3FBF" w:rsidRDefault="00855F80">
      <w:pPr>
        <w:pStyle w:val="Prrafodelista"/>
        <w:numPr>
          <w:ilvl w:val="0"/>
          <w:numId w:val="44"/>
        </w:numPr>
        <w:spacing w:after="100"/>
        <w:ind w:left="568" w:hanging="284"/>
        <w:contextualSpacing w:val="0"/>
      </w:pPr>
      <w:r>
        <w:rPr>
          <w:i/>
          <w:iCs/>
        </w:rPr>
        <w:t xml:space="preserve">Bancos competitivos </w:t>
      </w:r>
      <w:r w:rsidRPr="00C36438">
        <w:t>(</w:t>
      </w:r>
      <w:r>
        <w:t>pánico bancario</w:t>
      </w:r>
      <w:r w:rsidRPr="00C36438">
        <w:t>)</w:t>
      </w:r>
      <w:r>
        <w:t>.</w:t>
      </w:r>
    </w:p>
    <w:p w14:paraId="225359F6" w14:textId="77777777" w:rsidR="00855F80" w:rsidRPr="00D40FEA" w:rsidRDefault="00855F80">
      <w:pPr>
        <w:pStyle w:val="Prrafodelista"/>
        <w:keepNext/>
        <w:numPr>
          <w:ilvl w:val="0"/>
          <w:numId w:val="45"/>
        </w:numPr>
        <w:spacing w:before="20" w:after="0"/>
        <w:ind w:left="1560" w:hanging="284"/>
        <w:rPr>
          <w:i/>
          <w:iCs/>
          <w:spacing w:val="-4"/>
          <w:w w:val="97"/>
          <w:u w:val="dotted"/>
        </w:rPr>
      </w:pPr>
      <w:r w:rsidRPr="00D40FEA">
        <w:rPr>
          <w:i/>
          <w:iCs/>
          <w:color w:val="240F33"/>
          <w:spacing w:val="-4"/>
          <w:w w:val="97"/>
          <w:u w:val="dotted"/>
        </w:rPr>
        <w:t>Autarquía (ausencia de mercados competitivos)</w:t>
      </w:r>
    </w:p>
    <w:p w14:paraId="72AF0323" w14:textId="77777777" w:rsidR="00855F80" w:rsidRDefault="00855F80" w:rsidP="00855F80">
      <w:pPr>
        <w:pStyle w:val="Nivel1SM"/>
        <w:keepNext/>
        <w:spacing w:before="0" w:after="0"/>
      </w:pPr>
      <w:r>
        <w:t>En primer lugar, supongamos una situación en la que los agentes deben decidir de manera individual qué hacer con su dotación inicial.</w:t>
      </w:r>
    </w:p>
    <w:p w14:paraId="3F184E93" w14:textId="77777777" w:rsidR="00855F80" w:rsidRDefault="00855F80" w:rsidP="00855F80">
      <w:pPr>
        <w:pStyle w:val="Nivel2SM"/>
        <w:keepNext/>
      </w:pPr>
      <w:r>
        <w:t>Podría mantener todo en efectivo, en cuyo caso su consumo será igual a 1 u.m. independientemente del tipo de agente que resulte ser.</w:t>
      </w:r>
    </w:p>
    <w:p w14:paraId="228B36CB" w14:textId="77777777" w:rsidR="00855F80" w:rsidRDefault="00855F80" w:rsidP="00855F80">
      <w:pPr>
        <w:pStyle w:val="Nivel2SM"/>
        <w:keepNext/>
      </w:pPr>
      <w:r>
        <w:t xml:space="preserve">Podría invertir todo en la oportunidad de inversión no líquida, en cuyo caso su consumo será igual a </w:t>
      </w:r>
      <m:oMath>
        <m:sSub>
          <m:sSubPr>
            <m:ctrlPr>
              <w:rPr>
                <w:rFonts w:ascii="Cambria Math" w:hAnsi="Cambria Math"/>
                <w:i/>
              </w:rPr>
            </m:ctrlPr>
          </m:sSubPr>
          <m:e>
            <m:r>
              <m:rPr>
                <m:nor/>
              </m:rPr>
              <w:rPr>
                <w:i/>
              </w:rPr>
              <m:t>r</m:t>
            </m:r>
          </m:e>
          <m:sub>
            <m:r>
              <m:rPr>
                <m:nor/>
              </m:rPr>
              <w:rPr>
                <w:i/>
              </w:rPr>
              <m:t>1</m:t>
            </m:r>
          </m:sub>
        </m:sSub>
      </m:oMath>
      <w:r>
        <w:rPr>
          <w:rFonts w:eastAsiaTheme="minorEastAsia"/>
        </w:rPr>
        <w:t xml:space="preserve"> </w:t>
      </w:r>
      <w:proofErr w:type="spellStart"/>
      <w:r>
        <w:rPr>
          <w:rFonts w:eastAsiaTheme="minorEastAsia"/>
        </w:rPr>
        <w:t>si</w:t>
      </w:r>
      <w:proofErr w:type="spellEnd"/>
      <w:r>
        <w:rPr>
          <w:rFonts w:eastAsiaTheme="minorEastAsia"/>
        </w:rPr>
        <w:t xml:space="preserve"> es de tipo </w:t>
      </w:r>
      <w:r>
        <w:rPr>
          <w:rFonts w:eastAsiaTheme="minorEastAsia"/>
          <w:i/>
          <w:iCs/>
        </w:rPr>
        <w:t>1</w:t>
      </w:r>
      <w:r>
        <w:rPr>
          <w:rFonts w:eastAsiaTheme="minorEastAsia"/>
        </w:rPr>
        <w:t xml:space="preserve"> e igual a </w:t>
      </w:r>
      <m:oMath>
        <m:sSub>
          <m:sSubPr>
            <m:ctrlPr>
              <w:rPr>
                <w:rFonts w:ascii="Cambria Math" w:hAnsi="Cambria Math"/>
                <w:i/>
              </w:rPr>
            </m:ctrlPr>
          </m:sSubPr>
          <m:e>
            <m:r>
              <m:rPr>
                <m:nor/>
              </m:rPr>
              <w:rPr>
                <w:i/>
              </w:rPr>
              <m:t>r</m:t>
            </m:r>
          </m:e>
          <m:sub>
            <m:r>
              <m:rPr>
                <m:nor/>
              </m:rPr>
              <w:rPr>
                <w:i/>
              </w:rPr>
              <m:t>2</m:t>
            </m:r>
          </m:sub>
        </m:sSub>
      </m:oMath>
      <w:r>
        <w:rPr>
          <w:rFonts w:eastAsiaTheme="minorEastAsia"/>
        </w:rPr>
        <w:t xml:space="preserve"> </w:t>
      </w:r>
      <w:proofErr w:type="spellStart"/>
      <w:r>
        <w:rPr>
          <w:rFonts w:eastAsiaTheme="minorEastAsia"/>
        </w:rPr>
        <w:t>si</w:t>
      </w:r>
      <w:proofErr w:type="spellEnd"/>
      <w:r>
        <w:rPr>
          <w:rFonts w:eastAsiaTheme="minorEastAsia"/>
        </w:rPr>
        <w:t xml:space="preserve"> es de tipo </w:t>
      </w:r>
      <w:r>
        <w:rPr>
          <w:rFonts w:eastAsiaTheme="minorEastAsia"/>
          <w:i/>
          <w:iCs/>
        </w:rPr>
        <w:t>2</w:t>
      </w:r>
      <w:r>
        <w:rPr>
          <w:rFonts w:eastAsiaTheme="minorEastAsia"/>
        </w:rPr>
        <w:t>.</w:t>
      </w:r>
    </w:p>
    <w:p w14:paraId="51C1D7F8" w14:textId="77777777" w:rsidR="00855F80" w:rsidRDefault="00855F80" w:rsidP="00855F80">
      <w:pPr>
        <w:pStyle w:val="Nivel2SM"/>
      </w:pPr>
      <w:r>
        <w:t>Podría adoptar cualquier posición intermedia.</w:t>
      </w:r>
    </w:p>
    <w:p w14:paraId="14873736" w14:textId="77777777" w:rsidR="00855F80" w:rsidRDefault="00855F80" w:rsidP="00855F80">
      <w:pPr>
        <w:pStyle w:val="Nivel1SM"/>
        <w:keepNext/>
        <w:spacing w:after="0"/>
      </w:pPr>
      <w:r>
        <w:t>Es decir, dada la rentabilidad de los activos, la asignación de consumo será:</w:t>
      </w:r>
    </w:p>
    <w:p w14:paraId="225DDE99" w14:textId="77777777" w:rsidR="00855F80" w:rsidRDefault="00000000" w:rsidP="00855F80">
      <w:pPr>
        <w:pStyle w:val="Nivel2SM"/>
      </w:pPr>
      <m:oMath>
        <m:sSub>
          <m:sSubPr>
            <m:ctrlPr>
              <w:rPr>
                <w:rFonts w:ascii="Cambria Math" w:hAnsi="Cambria Math"/>
                <w:i/>
              </w:rPr>
            </m:ctrlPr>
          </m:sSubPr>
          <m:e>
            <m:r>
              <m:rPr>
                <m:nor/>
              </m:rPr>
              <w:rPr>
                <w:i/>
              </w:rPr>
              <m:t>c</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2</m:t>
            </m:r>
          </m:sub>
        </m:sSub>
        <m:r>
          <w:rPr>
            <w:rFonts w:ascii="Cambria Math" w:hAnsi="Cambria Math"/>
          </w:rPr>
          <m:t>=</m:t>
        </m:r>
        <m:r>
          <m:rPr>
            <m:nor/>
          </m:rPr>
          <w:rPr>
            <w:i/>
          </w:rPr>
          <m:t>1</m:t>
        </m:r>
      </m:oMath>
      <w:r w:rsidR="00855F80">
        <w:t xml:space="preserve"> si mantienen todos sus ahorros en efectivo; y</w:t>
      </w:r>
    </w:p>
    <w:p w14:paraId="06314E1B" w14:textId="77777777" w:rsidR="00855F80" w:rsidRPr="009E69D5" w:rsidRDefault="00000000" w:rsidP="00855F80">
      <w:pPr>
        <w:pStyle w:val="Nivel2SM"/>
      </w:pPr>
      <m:oMath>
        <m:sSub>
          <m:sSubPr>
            <m:ctrlPr>
              <w:rPr>
                <w:rFonts w:ascii="Cambria Math" w:hAnsi="Cambria Math"/>
                <w:i/>
              </w:rPr>
            </m:ctrlPr>
          </m:sSubPr>
          <m:e>
            <m:r>
              <m:rPr>
                <m:nor/>
              </m:rPr>
              <w:rPr>
                <w:i/>
              </w:rPr>
              <m:t>c</m:t>
            </m:r>
          </m:e>
          <m:sub>
            <m:r>
              <m:rPr>
                <m:nor/>
              </m:rPr>
              <w:rPr>
                <w:i/>
              </w:rPr>
              <m:t>1</m:t>
            </m:r>
          </m:sub>
        </m:sSub>
        <m:r>
          <w:rPr>
            <w:rFonts w:ascii="Cambria Math" w:hAnsi="Cambria Math"/>
          </w:rPr>
          <m:t>=</m:t>
        </m:r>
        <m:sSub>
          <m:sSubPr>
            <m:ctrlPr>
              <w:rPr>
                <w:rFonts w:ascii="Cambria Math" w:hAnsi="Cambria Math"/>
                <w:i/>
              </w:rPr>
            </m:ctrlPr>
          </m:sSubPr>
          <m:e>
            <m:r>
              <m:rPr>
                <m:nor/>
              </m:rPr>
              <w:rPr>
                <w:i/>
              </w:rPr>
              <m:t>r</m:t>
            </m:r>
          </m:e>
          <m:sub>
            <m:r>
              <m:rPr>
                <m:nor/>
              </m:rPr>
              <w:rPr>
                <w:i/>
              </w:rPr>
              <m:t>1</m:t>
            </m:r>
          </m:sub>
        </m:sSub>
      </m:oMath>
      <w:r w:rsidR="00855F80">
        <w:t xml:space="preserve"> y </w:t>
      </w:r>
      <m:oMath>
        <m:sSub>
          <m:sSubPr>
            <m:ctrlPr>
              <w:rPr>
                <w:rFonts w:ascii="Cambria Math" w:hAnsi="Cambria Math"/>
                <w:i/>
              </w:rPr>
            </m:ctrlPr>
          </m:sSubPr>
          <m:e>
            <m:r>
              <m:rPr>
                <m:nor/>
              </m:rPr>
              <w:rPr>
                <w:i/>
              </w:rPr>
              <m:t>c</m:t>
            </m:r>
          </m:e>
          <m:sub>
            <m:r>
              <m:rPr>
                <m:nor/>
              </m:rPr>
              <w:rPr>
                <w:i/>
              </w:rPr>
              <m:t>2</m:t>
            </m:r>
          </m:sub>
        </m:sSub>
        <m:r>
          <w:rPr>
            <w:rFonts w:ascii="Cambria Math" w:hAnsi="Cambria Math"/>
          </w:rPr>
          <m:t>=</m:t>
        </m:r>
        <m:sSub>
          <m:sSubPr>
            <m:ctrlPr>
              <w:rPr>
                <w:rFonts w:ascii="Cambria Math" w:hAnsi="Cambria Math"/>
                <w:i/>
              </w:rPr>
            </m:ctrlPr>
          </m:sSubPr>
          <m:e>
            <m:r>
              <m:rPr>
                <m:nor/>
              </m:rPr>
              <w:rPr>
                <w:i/>
              </w:rPr>
              <m:t>r</m:t>
            </m:r>
          </m:e>
          <m:sub>
            <m:r>
              <m:rPr>
                <m:nor/>
              </m:rPr>
              <w:rPr>
                <w:i/>
              </w:rPr>
              <m:t>2</m:t>
            </m:r>
          </m:sub>
        </m:sSub>
      </m:oMath>
      <w:r w:rsidR="00855F80">
        <w:t xml:space="preserve"> si deciden mantener todos sus ahorros en la inversión no líquida.</w:t>
      </w:r>
    </w:p>
    <w:p w14:paraId="2C8E0FF7" w14:textId="77777777" w:rsidR="00855F80" w:rsidRPr="00ED42D9" w:rsidRDefault="00855F80" w:rsidP="00855F80">
      <w:pPr>
        <w:pStyle w:val="Nivel1SM"/>
        <w:keepNext/>
        <w:spacing w:after="0"/>
      </w:pPr>
      <w:r>
        <w:lastRenderedPageBreak/>
        <w:t xml:space="preserve">Esto queda resumido en la siguiente gráfica, donde la línea morada refleja la restricción presupuestaria </w:t>
      </w:r>
      <w:r w:rsidRPr="00B56D7E">
        <w:rPr>
          <w:sz w:val="19"/>
          <w:szCs w:val="19"/>
        </w:rPr>
        <w:t>(i.e. el continuo de posibilidades a disposición del hogar)</w:t>
      </w:r>
      <w:r>
        <w:t xml:space="preserve"> y la curva verde representa la curva de indiferencia del hogar </w:t>
      </w:r>
      <w:r w:rsidRPr="00B56D7E">
        <w:rPr>
          <w:sz w:val="19"/>
          <w:szCs w:val="19"/>
        </w:rPr>
        <w:t>(que al ser averso al riesgo es convexa con respecto al origen de coordenadas)</w:t>
      </w:r>
      <w:r>
        <w:t>:</w:t>
      </w:r>
    </w:p>
    <w:p w14:paraId="61074C5F" w14:textId="79BB2801" w:rsidR="00855F80" w:rsidRDefault="00855F80" w:rsidP="00855F80">
      <w:pPr>
        <w:pStyle w:val="Ttuloimagen"/>
        <w:rPr>
          <w:i/>
          <w:iCs/>
          <w:smallCaps w:val="0"/>
        </w:rPr>
      </w:pPr>
      <w:r>
        <w:t>Imagen </w:t>
      </w:r>
      <w:r>
        <w:fldChar w:fldCharType="begin"/>
      </w:r>
      <w:r>
        <w:instrText xml:space="preserve"> SEQ Ilustración \* ARABIC </w:instrText>
      </w:r>
      <w:r>
        <w:fldChar w:fldCharType="separate"/>
      </w:r>
      <w:r w:rsidR="009A4A5C">
        <w:t>3</w:t>
      </w:r>
      <w:r>
        <w:fldChar w:fldCharType="end"/>
      </w:r>
      <w:r>
        <w:rPr>
          <w:smallCaps w:val="0"/>
        </w:rPr>
        <w:t xml:space="preserve">.– </w:t>
      </w:r>
      <w:r>
        <w:rPr>
          <w:i/>
          <w:iCs/>
          <w:smallCaps w:val="0"/>
        </w:rPr>
        <w:t>Asignación de consumo en autarquía</w:t>
      </w:r>
    </w:p>
    <w:p w14:paraId="7009C9F3" w14:textId="77777777" w:rsidR="00855F80" w:rsidRDefault="00855F80" w:rsidP="00855F80">
      <w:pPr>
        <w:pStyle w:val="Imagen"/>
      </w:pPr>
      <w:r>
        <w:drawing>
          <wp:inline distT="0" distB="0" distL="0" distR="0" wp14:anchorId="254F07B9" wp14:editId="63E81D39">
            <wp:extent cx="3840000" cy="2160000"/>
            <wp:effectExtent l="0" t="0" r="8255" b="0"/>
            <wp:docPr id="137198539"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98539" name="Imagen 1" descr="Gráfico&#10;&#10;Descripción generada automáticamente"/>
                    <pic:cNvPicPr/>
                  </pic:nvPicPr>
                  <pic:blipFill>
                    <a:blip r:embed="rId17"/>
                    <a:stretch>
                      <a:fillRect/>
                    </a:stretch>
                  </pic:blipFill>
                  <pic:spPr>
                    <a:xfrm>
                      <a:off x="0" y="0"/>
                      <a:ext cx="3840000" cy="2160000"/>
                    </a:xfrm>
                    <a:prstGeom prst="rect">
                      <a:avLst/>
                    </a:prstGeom>
                  </pic:spPr>
                </pic:pic>
              </a:graphicData>
            </a:graphic>
          </wp:inline>
        </w:drawing>
      </w:r>
    </w:p>
    <w:p w14:paraId="42956FA1" w14:textId="77777777" w:rsidR="00855F80" w:rsidRDefault="00855F80" w:rsidP="00855F80">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18" w:history="1">
        <w:r w:rsidRPr="0096192B">
          <w:rPr>
            <w:rStyle w:val="Hipervnculo"/>
            <w:i w:val="0"/>
            <w:iCs/>
            <w:spacing w:val="-4"/>
          </w:rPr>
          <w:t>https://www.fundacionareces.es/fundacionareces/es/actividades/premios-nobel-de-economia-2022-crisis-financieras-y-el-papel-de-los-bancos.html</w:t>
        </w:r>
      </w:hyperlink>
    </w:p>
    <w:p w14:paraId="79E8532B" w14:textId="77777777" w:rsidR="00855F80" w:rsidRPr="00B56D7E" w:rsidRDefault="00855F80" w:rsidP="00855F80">
      <w:pPr>
        <w:pStyle w:val="Nivel1SM"/>
      </w:pPr>
      <w:r>
        <w:t xml:space="preserve">Hasta aquí, sin la introducción de un banco ni de mercados financieros, los hogares decidirán que cantidad desean invertir en </w:t>
      </w:r>
      <m:oMath>
        <m:r>
          <m:rPr>
            <m:nor/>
          </m:rPr>
          <w:rPr>
            <w:i/>
          </w:rPr>
          <m:t>T</m:t>
        </m:r>
        <m:r>
          <w:rPr>
            <w:rFonts w:ascii="Cambria Math"/>
          </w:rPr>
          <m:t>=</m:t>
        </m:r>
        <m:r>
          <m:rPr>
            <m:nor/>
          </m:rPr>
          <w:rPr>
            <w:i/>
          </w:rPr>
          <m:t>0</m:t>
        </m:r>
      </m:oMath>
      <w:r>
        <w:t xml:space="preserve"> dependiendo del valor de </w:t>
      </w:r>
      <m:oMath>
        <m:sSub>
          <m:sSubPr>
            <m:ctrlPr>
              <w:rPr>
                <w:rFonts w:ascii="Cambria Math" w:hAnsi="Cambria Math"/>
                <w:i/>
              </w:rPr>
            </m:ctrlPr>
          </m:sSubPr>
          <m:e>
            <m:r>
              <m:rPr>
                <m:nor/>
              </m:rPr>
              <w:rPr>
                <w:i/>
              </w:rPr>
              <m:t>r</m:t>
            </m:r>
          </m:e>
          <m:sub>
            <m:r>
              <m:rPr>
                <m:nor/>
              </m:rPr>
              <w:rPr>
                <w:i/>
              </w:rPr>
              <m:t>1</m:t>
            </m:r>
          </m:sub>
        </m:sSub>
      </m:oMath>
      <w:r>
        <w:t xml:space="preserve"> y </w:t>
      </w:r>
      <m:oMath>
        <m:sSub>
          <m:sSubPr>
            <m:ctrlPr>
              <w:rPr>
                <w:rFonts w:ascii="Cambria Math" w:hAnsi="Cambria Math"/>
                <w:i/>
              </w:rPr>
            </m:ctrlPr>
          </m:sSubPr>
          <m:e>
            <m:r>
              <m:rPr>
                <m:nor/>
              </m:rPr>
              <w:rPr>
                <w:i/>
              </w:rPr>
              <m:t>r</m:t>
            </m:r>
          </m:e>
          <m:sub>
            <m:r>
              <m:rPr>
                <m:nor/>
              </m:rPr>
              <w:rPr>
                <w:i/>
              </w:rPr>
              <m:t>2</m:t>
            </m:r>
          </m:sub>
        </m:sSub>
      </m:oMath>
      <w:r>
        <w:t xml:space="preserve"> (y todos decidirán lo mismo, pues son idénticos </w:t>
      </w:r>
      <w:r>
        <w:rPr>
          <w:i/>
          <w:iCs/>
        </w:rPr>
        <w:t>ex ante</w:t>
      </w:r>
      <w:r>
        <w:t>).</w:t>
      </w:r>
    </w:p>
    <w:p w14:paraId="60CB9719" w14:textId="77777777" w:rsidR="00855F80" w:rsidRPr="00D40FEA" w:rsidRDefault="00855F80">
      <w:pPr>
        <w:pStyle w:val="Prrafodelista"/>
        <w:keepNext/>
        <w:numPr>
          <w:ilvl w:val="0"/>
          <w:numId w:val="45"/>
        </w:numPr>
        <w:spacing w:before="20" w:after="0"/>
        <w:ind w:left="1560" w:hanging="284"/>
        <w:rPr>
          <w:i/>
          <w:iCs/>
          <w:spacing w:val="-4"/>
          <w:w w:val="97"/>
          <w:szCs w:val="20"/>
          <w:u w:val="dotted"/>
        </w:rPr>
      </w:pPr>
      <w:r w:rsidRPr="00D40FEA">
        <w:rPr>
          <w:i/>
          <w:iCs/>
          <w:color w:val="240F33"/>
          <w:spacing w:val="-4"/>
          <w:w w:val="97"/>
          <w:u w:val="dotted"/>
        </w:rPr>
        <w:t xml:space="preserve">Existencia de mercados financieros abiertos en </w:t>
      </w:r>
      <m:oMath>
        <m:r>
          <m:rPr>
            <m:nor/>
          </m:rPr>
          <w:rPr>
            <w:i/>
            <w:iCs/>
            <w:color w:val="240F33"/>
            <w:spacing w:val="-4"/>
            <w:w w:val="97"/>
            <w:szCs w:val="20"/>
            <w:u w:val="dotted"/>
          </w:rPr>
          <m:t>T</m:t>
        </m:r>
        <m:r>
          <w:rPr>
            <w:rFonts w:ascii="Cambria Math"/>
            <w:color w:val="240F33"/>
            <w:spacing w:val="-4"/>
            <w:w w:val="97"/>
            <w:szCs w:val="20"/>
            <w:u w:val="dotted"/>
          </w:rPr>
          <m:t>=</m:t>
        </m:r>
        <m:r>
          <m:rPr>
            <m:nor/>
          </m:rPr>
          <w:rPr>
            <w:i/>
            <w:iCs/>
            <w:color w:val="240F33"/>
            <w:spacing w:val="-4"/>
            <w:w w:val="97"/>
            <w:szCs w:val="20"/>
            <w:u w:val="dotted"/>
          </w:rPr>
          <m:t>1</m:t>
        </m:r>
      </m:oMath>
    </w:p>
    <w:p w14:paraId="7D708B4C" w14:textId="77777777" w:rsidR="00855F80" w:rsidRPr="000E5625" w:rsidRDefault="00855F80" w:rsidP="00855F80">
      <w:pPr>
        <w:pStyle w:val="Nivel1SM"/>
        <w:keepNext/>
        <w:spacing w:before="0" w:after="0"/>
      </w:pPr>
      <w:r>
        <w:t>La existencia de mercados financieros permite a los hogares “ponerse de acuerdo” para invertir una proporción </w:t>
      </w:r>
      <m:oMath>
        <m:r>
          <m:rPr>
            <m:nor/>
          </m:rPr>
          <w:rPr>
            <w:i/>
          </w:rPr>
          <m:t>τ</m:t>
        </m:r>
      </m:oMath>
      <w:r>
        <w:t xml:space="preserve"> en efectivo </w:t>
      </w:r>
      <w:r w:rsidRPr="00093BF3">
        <w:rPr>
          <w:sz w:val="19"/>
          <w:szCs w:val="19"/>
        </w:rPr>
        <w:t xml:space="preserve">(pues sabe que en </w:t>
      </w:r>
      <m:oMath>
        <m:r>
          <m:rPr>
            <m:nor/>
          </m:rPr>
          <w:rPr>
            <w:i/>
            <w:sz w:val="19"/>
            <w:szCs w:val="19"/>
          </w:rPr>
          <m:t>T</m:t>
        </m:r>
        <m:r>
          <w:rPr>
            <w:rFonts w:ascii="Cambria Math"/>
            <w:sz w:val="19"/>
            <w:szCs w:val="19"/>
          </w:rPr>
          <m:t>=</m:t>
        </m:r>
        <m:r>
          <m:rPr>
            <m:nor/>
          </m:rPr>
          <w:rPr>
            <w:i/>
            <w:sz w:val="19"/>
            <w:szCs w:val="19"/>
          </w:rPr>
          <m:t>1</m:t>
        </m:r>
      </m:oMath>
      <w:r w:rsidRPr="00093BF3">
        <w:rPr>
          <w:sz w:val="19"/>
          <w:szCs w:val="19"/>
        </w:rPr>
        <w:t xml:space="preserve"> una proporción </w:t>
      </w:r>
      <m:oMath>
        <m:r>
          <m:rPr>
            <m:nor/>
          </m:rPr>
          <w:rPr>
            <w:i/>
            <w:sz w:val="19"/>
            <w:szCs w:val="19"/>
          </w:rPr>
          <m:t>τ</m:t>
        </m:r>
      </m:oMath>
      <w:r w:rsidRPr="00093BF3">
        <w:rPr>
          <w:sz w:val="19"/>
          <w:szCs w:val="19"/>
        </w:rPr>
        <w:t xml:space="preserve"> demandarán sus ahorros)</w:t>
      </w:r>
      <w:r>
        <w:t xml:space="preserve"> y una proporción </w:t>
      </w:r>
      <m:oMath>
        <m:r>
          <m:rPr>
            <m:nor/>
          </m:rPr>
          <w:rPr>
            <w:i/>
          </w:rPr>
          <m:t>1</m:t>
        </m:r>
        <m:r>
          <w:rPr>
            <w:rFonts w:ascii="Cambria Math" w:hAnsi="Cambria Math"/>
          </w:rPr>
          <m:t>-</m:t>
        </m:r>
        <m:r>
          <m:rPr>
            <m:nor/>
          </m:rPr>
          <w:rPr>
            <w:i/>
          </w:rPr>
          <m:t>τ</m:t>
        </m:r>
      </m:oMath>
      <w:r>
        <w:t xml:space="preserve"> en la inversión </w:t>
      </w:r>
      <w:r w:rsidRPr="00237866">
        <w:rPr>
          <w:bCs/>
        </w:rPr>
        <w:t>no</w:t>
      </w:r>
      <w:r>
        <w:rPr>
          <w:bCs/>
        </w:rPr>
        <w:t xml:space="preserve"> líquida </w:t>
      </w:r>
      <w:r w:rsidRPr="00093BF3">
        <w:rPr>
          <w:sz w:val="19"/>
          <w:szCs w:val="19"/>
        </w:rPr>
        <w:t>(</w:t>
      </w:r>
      <w:r>
        <w:rPr>
          <w:sz w:val="19"/>
          <w:szCs w:val="19"/>
        </w:rPr>
        <w:t>pensando en los hogares de tipo </w:t>
      </w:r>
      <w:r>
        <w:rPr>
          <w:i/>
          <w:iCs/>
          <w:sz w:val="19"/>
          <w:szCs w:val="19"/>
        </w:rPr>
        <w:t>2</w:t>
      </w:r>
      <w:r w:rsidRPr="00093BF3">
        <w:rPr>
          <w:sz w:val="19"/>
          <w:szCs w:val="19"/>
        </w:rPr>
        <w:t>)</w:t>
      </w:r>
      <w:r>
        <w:rPr>
          <w:bCs/>
        </w:rPr>
        <w:t>.</w:t>
      </w:r>
    </w:p>
    <w:p w14:paraId="619CCE0E" w14:textId="77777777" w:rsidR="00855F80" w:rsidRPr="000E5625" w:rsidRDefault="00855F80" w:rsidP="00855F80">
      <w:pPr>
        <w:pStyle w:val="Nivel2SM"/>
      </w:pPr>
      <w:r>
        <w:t>Una vez llegado</w:t>
      </w:r>
      <w:r w:rsidRPr="000E5625">
        <w:t xml:space="preserve"> el período </w:t>
      </w:r>
      <m:oMath>
        <m:r>
          <m:rPr>
            <m:nor/>
          </m:rPr>
          <w:rPr>
            <w:i/>
          </w:rPr>
          <m:t>T</m:t>
        </m:r>
        <m:r>
          <w:rPr>
            <w:rFonts w:ascii="Cambria Math"/>
          </w:rPr>
          <m:t>=</m:t>
        </m:r>
        <m:r>
          <m:rPr>
            <m:nor/>
          </m:rPr>
          <w:rPr>
            <w:i/>
          </w:rPr>
          <m:t>1</m:t>
        </m:r>
      </m:oMath>
      <w:r>
        <w:rPr>
          <w:rFonts w:eastAsiaTheme="minorEastAsia"/>
        </w:rPr>
        <w:t>, los individuos de tipo 1 tendrán que abandonar su posición en el activo no líquido, pero en lugar de retirar estos fondos y obtener una rentabilidad inferior a 1, podrán vender estos activos a los individuos de tipo </w:t>
      </w:r>
      <w:r w:rsidRPr="000E5625">
        <w:rPr>
          <w:rFonts w:eastAsiaTheme="minorEastAsia"/>
          <w:i/>
          <w:iCs/>
        </w:rPr>
        <w:t>2</w:t>
      </w:r>
      <w:r>
        <w:rPr>
          <w:rFonts w:eastAsiaTheme="minorEastAsia"/>
        </w:rPr>
        <w:t xml:space="preserve"> a cambio de su ahorro en efectivo.</w:t>
      </w:r>
    </w:p>
    <w:p w14:paraId="5799DB35" w14:textId="77777777" w:rsidR="00855F80" w:rsidRDefault="00855F80" w:rsidP="00855F80">
      <w:pPr>
        <w:pStyle w:val="Nivel1SM"/>
        <w:spacing w:before="0"/>
      </w:pPr>
      <w:r>
        <w:t>En términos gráficos, esta posibilidad permite mejorar la utilidad con respecto a la utilidad de autarquía y alcanzar el punto </w:t>
      </w:r>
      <w:r>
        <w:rPr>
          <w:i/>
          <w:iCs/>
        </w:rPr>
        <w:t>M</w:t>
      </w:r>
      <w:r>
        <w:t>, en el que los individuos de tipo </w:t>
      </w:r>
      <w:r w:rsidRPr="006F62FB">
        <w:rPr>
          <w:i/>
          <w:iCs/>
        </w:rPr>
        <w:t>1</w:t>
      </w:r>
      <w:r>
        <w:t xml:space="preserve"> obtienen 1 u.m. en el período </w:t>
      </w:r>
      <m:oMath>
        <m:r>
          <m:rPr>
            <m:nor/>
          </m:rPr>
          <w:rPr>
            <w:i/>
          </w:rPr>
          <m:t>T</m:t>
        </m:r>
        <m:r>
          <w:rPr>
            <w:rFonts w:ascii="Cambria Math"/>
          </w:rPr>
          <m:t>=</m:t>
        </m:r>
        <m:r>
          <m:rPr>
            <m:nor/>
          </m:rPr>
          <w:rPr>
            <w:i/>
          </w:rPr>
          <m:t>1</m:t>
        </m:r>
      </m:oMath>
      <w:r>
        <w:rPr>
          <w:rFonts w:eastAsiaTheme="minorEastAsia"/>
        </w:rPr>
        <w:t xml:space="preserve"> y los individuos de tipo </w:t>
      </w:r>
      <w:r>
        <w:rPr>
          <w:rFonts w:eastAsiaTheme="minorEastAsia"/>
          <w:i/>
          <w:iCs/>
        </w:rPr>
        <w:t>2</w:t>
      </w:r>
      <w:r>
        <w:rPr>
          <w:rFonts w:eastAsiaTheme="minorEastAsia"/>
        </w:rPr>
        <w:t xml:space="preserve"> obtienen </w:t>
      </w:r>
      <m:oMath>
        <m:sSub>
          <m:sSubPr>
            <m:ctrlPr>
              <w:rPr>
                <w:rFonts w:ascii="Cambria Math" w:hAnsi="Cambria Math"/>
                <w:i/>
              </w:rPr>
            </m:ctrlPr>
          </m:sSubPr>
          <m:e>
            <m:r>
              <m:rPr>
                <m:nor/>
              </m:rPr>
              <w:rPr>
                <w:i/>
              </w:rPr>
              <m:t>r</m:t>
            </m:r>
          </m:e>
          <m:sub>
            <m:r>
              <m:rPr>
                <m:nor/>
              </m:rPr>
              <w:rPr>
                <w:i/>
              </w:rPr>
              <m:t>2</m:t>
            </m:r>
          </m:sub>
        </m:sSub>
      </m:oMath>
      <w:r>
        <w:rPr>
          <w:rFonts w:eastAsiaTheme="minorEastAsia"/>
        </w:rPr>
        <w:t xml:space="preserve"> u.m. en </w:t>
      </w:r>
      <m:oMath>
        <m:r>
          <m:rPr>
            <m:nor/>
          </m:rPr>
          <w:rPr>
            <w:i/>
          </w:rPr>
          <m:t>T</m:t>
        </m:r>
        <m:r>
          <w:rPr>
            <w:rFonts w:ascii="Cambria Math"/>
          </w:rPr>
          <m:t>=</m:t>
        </m:r>
        <m:r>
          <m:rPr>
            <m:nor/>
          </m:rPr>
          <w:rPr>
            <w:i/>
          </w:rPr>
          <m:t>2</m:t>
        </m:r>
      </m:oMath>
      <w:r>
        <w:t>:</w:t>
      </w:r>
    </w:p>
    <w:p w14:paraId="447B5E37" w14:textId="1F93017D" w:rsidR="00855F80" w:rsidRDefault="00855F80" w:rsidP="00855F80">
      <w:pPr>
        <w:pStyle w:val="Ttuloimagen"/>
        <w:rPr>
          <w:i/>
          <w:iCs/>
          <w:smallCaps w:val="0"/>
        </w:rPr>
      </w:pPr>
      <w:r>
        <w:t>Imagen </w:t>
      </w:r>
      <w:r>
        <w:fldChar w:fldCharType="begin"/>
      </w:r>
      <w:r>
        <w:instrText xml:space="preserve"> SEQ Ilustración \* ARABIC </w:instrText>
      </w:r>
      <w:r>
        <w:fldChar w:fldCharType="separate"/>
      </w:r>
      <w:r w:rsidR="009A4A5C">
        <w:t>4</w:t>
      </w:r>
      <w:r>
        <w:fldChar w:fldCharType="end"/>
      </w:r>
      <w:r>
        <w:rPr>
          <w:smallCaps w:val="0"/>
        </w:rPr>
        <w:t xml:space="preserve">.– </w:t>
      </w:r>
      <w:r>
        <w:rPr>
          <w:i/>
          <w:iCs/>
          <w:smallCaps w:val="0"/>
        </w:rPr>
        <w:t>Asignación de tras la introducción de mercados financieros</w:t>
      </w:r>
    </w:p>
    <w:p w14:paraId="4BDA3547" w14:textId="77777777" w:rsidR="00855F80" w:rsidRDefault="00855F80" w:rsidP="00855F80">
      <w:pPr>
        <w:pStyle w:val="Imagen"/>
      </w:pPr>
      <w:r>
        <w:drawing>
          <wp:inline distT="0" distB="0" distL="0" distR="0" wp14:anchorId="5AB5FC75" wp14:editId="12A2EBCC">
            <wp:extent cx="3839999" cy="2159999"/>
            <wp:effectExtent l="0" t="0" r="8255" b="0"/>
            <wp:docPr id="1584461082" name="Imagen 1584461082"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61082" name="Imagen 1584461082" descr="Gráfico, Gráfico radial&#10;&#10;Descripción generada automáticamente"/>
                    <pic:cNvPicPr/>
                  </pic:nvPicPr>
                  <pic:blipFill>
                    <a:blip r:embed="rId19"/>
                    <a:stretch>
                      <a:fillRect/>
                    </a:stretch>
                  </pic:blipFill>
                  <pic:spPr>
                    <a:xfrm>
                      <a:off x="0" y="0"/>
                      <a:ext cx="3839999" cy="2159999"/>
                    </a:xfrm>
                    <a:prstGeom prst="rect">
                      <a:avLst/>
                    </a:prstGeom>
                  </pic:spPr>
                </pic:pic>
              </a:graphicData>
            </a:graphic>
          </wp:inline>
        </w:drawing>
      </w:r>
    </w:p>
    <w:p w14:paraId="0D3AC1B5" w14:textId="77777777" w:rsidR="00855F80" w:rsidRDefault="00855F80" w:rsidP="00855F80">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20" w:history="1">
        <w:r w:rsidRPr="0096192B">
          <w:rPr>
            <w:rStyle w:val="Hipervnculo"/>
            <w:i w:val="0"/>
            <w:iCs/>
            <w:spacing w:val="-4"/>
          </w:rPr>
          <w:t>https://www.fundacionareces.es/fundacionareces/es/actividades/premios-nobel-de-economia-2022-crisis-financieras-y-el-papel-de-los-bancos.html</w:t>
        </w:r>
      </w:hyperlink>
    </w:p>
    <w:p w14:paraId="2225F939" w14:textId="77777777" w:rsidR="00855F80" w:rsidRPr="00B24EEF" w:rsidRDefault="00855F80" w:rsidP="00855F80">
      <w:pPr>
        <w:pStyle w:val="Nivel1SM"/>
      </w:pPr>
      <w:r>
        <w:t>Sin embargo, veremos que esta situación no es óptima.</w:t>
      </w:r>
    </w:p>
    <w:p w14:paraId="25D6C997" w14:textId="77777777" w:rsidR="00855F80" w:rsidRPr="00D40FEA" w:rsidRDefault="00855F80">
      <w:pPr>
        <w:pStyle w:val="Prrafodelista"/>
        <w:keepNext/>
        <w:numPr>
          <w:ilvl w:val="0"/>
          <w:numId w:val="45"/>
        </w:numPr>
        <w:spacing w:before="20" w:after="0"/>
        <w:ind w:left="1560" w:hanging="284"/>
        <w:rPr>
          <w:i/>
          <w:iCs/>
          <w:color w:val="240F33"/>
          <w:spacing w:val="-4"/>
          <w:w w:val="97"/>
          <w:u w:val="dotted"/>
        </w:rPr>
      </w:pPr>
      <w:r w:rsidRPr="00D40FEA">
        <w:rPr>
          <w:i/>
          <w:iCs/>
          <w:color w:val="240F33"/>
          <w:spacing w:val="-4"/>
          <w:w w:val="97"/>
          <w:u w:val="dotted"/>
        </w:rPr>
        <w:lastRenderedPageBreak/>
        <w:t>Existencia de un planificador social</w:t>
      </w:r>
    </w:p>
    <w:p w14:paraId="3C005D14" w14:textId="77777777" w:rsidR="00855F80" w:rsidRDefault="00855F80" w:rsidP="00855F80">
      <w:pPr>
        <w:pStyle w:val="Nivel1SM"/>
        <w:keepNext/>
        <w:keepLines/>
        <w:spacing w:before="0" w:after="0"/>
      </w:pPr>
      <w:r>
        <w:t>Para ello, introduzcamos la existencia de un planificador social para ver cuál sería la asignación óptima. En particular, supondremos que el planificador social decide recoger los ahorros de todos los hogares e invertir con el objetivo de maximizar el bienestar social. Conociendo la proporción de individuos de cada tipo y las preferencias de los hogares dispone de las siguientes opciones:</w:t>
      </w:r>
    </w:p>
    <w:p w14:paraId="74FF9D15" w14:textId="77777777" w:rsidR="00855F80" w:rsidRPr="00093BF3" w:rsidRDefault="00855F80" w:rsidP="00855F80">
      <w:pPr>
        <w:pStyle w:val="Nivel2SM"/>
      </w:pPr>
      <w:r>
        <w:t>Puede obtener la asignación descentralizada con existencia de mercados financieros si invierte una proporción </w:t>
      </w:r>
      <m:oMath>
        <m:r>
          <m:rPr>
            <m:nor/>
          </m:rPr>
          <w:rPr>
            <w:i/>
          </w:rPr>
          <m:t>τ</m:t>
        </m:r>
      </m:oMath>
      <w:r>
        <w:t xml:space="preserve"> en efectivo </w:t>
      </w:r>
      <w:r w:rsidRPr="00093BF3">
        <w:rPr>
          <w:sz w:val="19"/>
          <w:szCs w:val="19"/>
        </w:rPr>
        <w:t xml:space="preserve">(pues sabe que en </w:t>
      </w:r>
      <m:oMath>
        <m:r>
          <m:rPr>
            <m:nor/>
          </m:rPr>
          <w:rPr>
            <w:i/>
            <w:sz w:val="19"/>
            <w:szCs w:val="19"/>
          </w:rPr>
          <m:t>T</m:t>
        </m:r>
        <m:r>
          <w:rPr>
            <w:rFonts w:ascii="Cambria Math"/>
            <w:sz w:val="19"/>
            <w:szCs w:val="19"/>
          </w:rPr>
          <m:t>=</m:t>
        </m:r>
        <m:r>
          <m:rPr>
            <m:nor/>
          </m:rPr>
          <w:rPr>
            <w:i/>
            <w:sz w:val="19"/>
            <w:szCs w:val="19"/>
          </w:rPr>
          <m:t>1</m:t>
        </m:r>
      </m:oMath>
      <w:r w:rsidRPr="00093BF3">
        <w:rPr>
          <w:sz w:val="19"/>
          <w:szCs w:val="19"/>
        </w:rPr>
        <w:t xml:space="preserve"> una proporción </w:t>
      </w:r>
      <m:oMath>
        <m:r>
          <m:rPr>
            <m:nor/>
          </m:rPr>
          <w:rPr>
            <w:i/>
            <w:sz w:val="19"/>
            <w:szCs w:val="19"/>
          </w:rPr>
          <m:t>τ</m:t>
        </m:r>
      </m:oMath>
      <w:r w:rsidRPr="00093BF3">
        <w:rPr>
          <w:sz w:val="19"/>
          <w:szCs w:val="19"/>
        </w:rPr>
        <w:t xml:space="preserve"> demandarán sus ahorros)</w:t>
      </w:r>
      <w:r>
        <w:t xml:space="preserve"> y una proporción </w:t>
      </w:r>
      <m:oMath>
        <m:r>
          <m:rPr>
            <m:nor/>
          </m:rPr>
          <w:rPr>
            <w:i/>
          </w:rPr>
          <m:t>1</m:t>
        </m:r>
        <m:r>
          <w:rPr>
            <w:rFonts w:ascii="Cambria Math" w:hAnsi="Cambria Math"/>
          </w:rPr>
          <m:t>-</m:t>
        </m:r>
        <m:r>
          <m:rPr>
            <m:nor/>
          </m:rPr>
          <w:rPr>
            <w:i/>
          </w:rPr>
          <m:t>τ</m:t>
        </m:r>
      </m:oMath>
      <w:r>
        <w:t xml:space="preserve"> en la inversión </w:t>
      </w:r>
      <w:r w:rsidRPr="00237866">
        <w:rPr>
          <w:bCs/>
        </w:rPr>
        <w:t>no</w:t>
      </w:r>
      <w:r>
        <w:rPr>
          <w:bCs/>
        </w:rPr>
        <w:t xml:space="preserve"> líquida </w:t>
      </w:r>
      <w:r w:rsidRPr="00093BF3">
        <w:rPr>
          <w:sz w:val="19"/>
          <w:szCs w:val="19"/>
        </w:rPr>
        <w:t>(</w:t>
      </w:r>
      <w:r>
        <w:rPr>
          <w:sz w:val="19"/>
          <w:szCs w:val="19"/>
        </w:rPr>
        <w:t>pensando en los hogares de tipo </w:t>
      </w:r>
      <w:r>
        <w:rPr>
          <w:i/>
          <w:iCs/>
          <w:sz w:val="19"/>
          <w:szCs w:val="19"/>
        </w:rPr>
        <w:t>2</w:t>
      </w:r>
      <w:r w:rsidRPr="00093BF3">
        <w:rPr>
          <w:sz w:val="19"/>
          <w:szCs w:val="19"/>
        </w:rPr>
        <w:t>)</w:t>
      </w:r>
      <w:r>
        <w:rPr>
          <w:bCs/>
        </w:rPr>
        <w:t>.</w:t>
      </w:r>
    </w:p>
    <w:p w14:paraId="0D3A2026" w14:textId="77777777" w:rsidR="00855F80" w:rsidRDefault="00855F80" w:rsidP="00855F80">
      <w:pPr>
        <w:pStyle w:val="Nivel2SM"/>
      </w:pPr>
      <w:r>
        <w:t>Pero, si conoce las preferencias de los hogares, al ser éstos aversos al riesgo, podrían preferir una asignación en la que las diferencias entre los pagos a los agentes del tipo </w:t>
      </w:r>
      <w:r w:rsidRPr="00993E1A">
        <w:rPr>
          <w:i/>
          <w:iCs/>
        </w:rPr>
        <w:t>1</w:t>
      </w:r>
      <w:r>
        <w:t xml:space="preserve"> y los pagos a los agentes del tipo </w:t>
      </w:r>
      <w:r w:rsidRPr="00993E1A">
        <w:rPr>
          <w:i/>
          <w:iCs/>
        </w:rPr>
        <w:t>2</w:t>
      </w:r>
      <w:r>
        <w:t xml:space="preserve"> sean más reducidas (i.e. una asignación más cercana a la línea de certeza).</w:t>
      </w:r>
    </w:p>
    <w:p w14:paraId="09F00C7A" w14:textId="77777777" w:rsidR="00855F80" w:rsidRDefault="00855F80" w:rsidP="00855F80">
      <w:pPr>
        <w:pStyle w:val="Nivel1SM"/>
        <w:keepNext/>
        <w:spacing w:after="0"/>
      </w:pPr>
      <w:r>
        <w:t>Por tanto, en términos gráficos, la solución se encontrará en la tangencia entre la restricción presupuestaria del planificador social y la curva de indiferencia de los hogares:</w:t>
      </w:r>
    </w:p>
    <w:p w14:paraId="591B6069" w14:textId="07918635" w:rsidR="00855F80" w:rsidRDefault="00855F80" w:rsidP="00855F80">
      <w:pPr>
        <w:pStyle w:val="Ttuloimagen"/>
        <w:rPr>
          <w:i/>
          <w:iCs/>
          <w:smallCaps w:val="0"/>
        </w:rPr>
      </w:pPr>
      <w:r>
        <w:t>Imagen </w:t>
      </w:r>
      <w:r>
        <w:fldChar w:fldCharType="begin"/>
      </w:r>
      <w:r>
        <w:instrText xml:space="preserve"> SEQ Ilustración \* ARABIC </w:instrText>
      </w:r>
      <w:r>
        <w:fldChar w:fldCharType="separate"/>
      </w:r>
      <w:r w:rsidR="009A4A5C">
        <w:t>5</w:t>
      </w:r>
      <w:r>
        <w:fldChar w:fldCharType="end"/>
      </w:r>
      <w:r>
        <w:rPr>
          <w:smallCaps w:val="0"/>
        </w:rPr>
        <w:t xml:space="preserve">.– </w:t>
      </w:r>
      <w:r>
        <w:rPr>
          <w:i/>
          <w:iCs/>
          <w:smallCaps w:val="0"/>
        </w:rPr>
        <w:t>Asignación de consumo por parte de un planificador social</w:t>
      </w:r>
    </w:p>
    <w:p w14:paraId="0A4E8FEA" w14:textId="77777777" w:rsidR="00855F80" w:rsidRDefault="00855F80" w:rsidP="00855F80">
      <w:pPr>
        <w:pStyle w:val="Imagen"/>
      </w:pPr>
      <w:r>
        <w:drawing>
          <wp:inline distT="0" distB="0" distL="0" distR="0" wp14:anchorId="0F3CBC0A" wp14:editId="280697B0">
            <wp:extent cx="3839999" cy="2159999"/>
            <wp:effectExtent l="0" t="0" r="8255" b="0"/>
            <wp:docPr id="29657354" name="Imagen 29657354"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57354" name="Imagen 29657354" descr="Gráfico, Gráfico radial&#10;&#10;Descripción generada automáticamente"/>
                    <pic:cNvPicPr/>
                  </pic:nvPicPr>
                  <pic:blipFill>
                    <a:blip r:embed="rId21"/>
                    <a:stretch>
                      <a:fillRect/>
                    </a:stretch>
                  </pic:blipFill>
                  <pic:spPr>
                    <a:xfrm>
                      <a:off x="0" y="0"/>
                      <a:ext cx="3839999" cy="2159999"/>
                    </a:xfrm>
                    <a:prstGeom prst="rect">
                      <a:avLst/>
                    </a:prstGeom>
                  </pic:spPr>
                </pic:pic>
              </a:graphicData>
            </a:graphic>
          </wp:inline>
        </w:drawing>
      </w:r>
    </w:p>
    <w:p w14:paraId="02F3A97A" w14:textId="77777777" w:rsidR="00855F80" w:rsidRDefault="00855F80" w:rsidP="00855F80">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22" w:history="1">
        <w:r w:rsidRPr="0096192B">
          <w:rPr>
            <w:rStyle w:val="Hipervnculo"/>
            <w:i w:val="0"/>
            <w:iCs/>
            <w:spacing w:val="-4"/>
          </w:rPr>
          <w:t>https://www.fundacionareces.es/fundacionareces/es/actividades/premios-nobel-de-economia-2022-crisis-financieras-y-el-papel-de-los-bancos.html</w:t>
        </w:r>
      </w:hyperlink>
    </w:p>
    <w:p w14:paraId="58B959E7" w14:textId="77777777" w:rsidR="00855F80" w:rsidRDefault="00855F80" w:rsidP="00855F80">
      <w:pPr>
        <w:pStyle w:val="Nivel1SM"/>
        <w:keepNext/>
        <w:spacing w:after="0"/>
      </w:pPr>
      <w:r>
        <w:t xml:space="preserve">Nótese que la asignación óptima permite un reparto de riesgos y da lugar a una situación preferida a la situación de autarquía, y además, preferida a la situación de equilibrio con mercados financieros en </w:t>
      </w:r>
      <m:oMath>
        <m:r>
          <m:rPr>
            <m:nor/>
          </m:rPr>
          <w:rPr>
            <w:i/>
          </w:rPr>
          <m:t>T</m:t>
        </m:r>
        <m:r>
          <w:rPr>
            <w:rFonts w:ascii="Cambria Math"/>
          </w:rPr>
          <m:t>=</m:t>
        </m:r>
        <m:r>
          <m:rPr>
            <m:nor/>
          </m:rPr>
          <w:rPr>
            <w:i/>
          </w:rPr>
          <m:t>1</m:t>
        </m:r>
      </m:oMath>
      <w:r>
        <w:t>.</w:t>
      </w:r>
    </w:p>
    <w:p w14:paraId="59BACFAE" w14:textId="77777777" w:rsidR="00855F80" w:rsidRPr="005931EB" w:rsidRDefault="00855F80" w:rsidP="00855F80">
      <w:pPr>
        <w:pStyle w:val="Nivel2SM"/>
        <w:keepNext/>
        <w:spacing w:after="0"/>
      </w:pPr>
      <w:r>
        <w:t xml:space="preserve">Esto último es así, debido a que la apertura de un mercado en </w:t>
      </w:r>
      <m:oMath>
        <m:r>
          <m:rPr>
            <m:nor/>
          </m:rPr>
          <w:rPr>
            <w:i/>
          </w:rPr>
          <m:t>T</m:t>
        </m:r>
        <m:r>
          <w:rPr>
            <w:rFonts w:ascii="Cambria Math"/>
          </w:rPr>
          <m:t>=</m:t>
        </m:r>
        <m:r>
          <m:rPr>
            <m:nor/>
          </m:rPr>
          <w:rPr>
            <w:i/>
          </w:rPr>
          <m:t>1</m:t>
        </m:r>
      </m:oMath>
      <w:r>
        <w:rPr>
          <w:rFonts w:eastAsiaTheme="minorEastAsia"/>
        </w:rPr>
        <w:t xml:space="preserve"> (tras la resolución de la incertidumbre) no permite el reparto de riesgos en </w:t>
      </w:r>
      <m:oMath>
        <m:r>
          <m:rPr>
            <m:nor/>
          </m:rPr>
          <w:rPr>
            <w:i/>
          </w:rPr>
          <m:t>T</m:t>
        </m:r>
        <m:r>
          <w:rPr>
            <w:rFonts w:ascii="Cambria Math"/>
          </w:rPr>
          <m:t>=</m:t>
        </m:r>
        <m:r>
          <m:rPr>
            <m:nor/>
          </m:rPr>
          <w:rPr>
            <w:i/>
          </w:rPr>
          <m:t>0</m:t>
        </m:r>
      </m:oMath>
      <w:r>
        <w:rPr>
          <w:rFonts w:eastAsiaTheme="minorEastAsia"/>
        </w:rPr>
        <w:t>.</w:t>
      </w:r>
    </w:p>
    <w:p w14:paraId="6EBE321B" w14:textId="77777777" w:rsidR="00855F80" w:rsidRPr="00B46A21" w:rsidRDefault="00855F80" w:rsidP="00855F80">
      <w:pPr>
        <w:pStyle w:val="Nivel3SM"/>
        <w:rPr>
          <w:spacing w:val="-3"/>
        </w:rPr>
      </w:pPr>
      <w:r w:rsidRPr="00B46A21">
        <w:rPr>
          <w:spacing w:val="-3"/>
        </w:rPr>
        <w:t xml:space="preserve">Es decir, llegado </w:t>
      </w:r>
      <m:oMath>
        <m:r>
          <m:rPr>
            <m:nor/>
          </m:rPr>
          <w:rPr>
            <w:i/>
            <w:spacing w:val="-3"/>
          </w:rPr>
          <m:t>T</m:t>
        </m:r>
        <m:r>
          <w:rPr>
            <w:rFonts w:ascii="Cambria Math"/>
            <w:spacing w:val="-3"/>
          </w:rPr>
          <m:t>=</m:t>
        </m:r>
        <m:r>
          <m:rPr>
            <m:nor/>
          </m:rPr>
          <w:rPr>
            <w:i/>
            <w:spacing w:val="-3"/>
          </w:rPr>
          <m:t>1</m:t>
        </m:r>
      </m:oMath>
      <w:r w:rsidRPr="00B46A21">
        <w:rPr>
          <w:spacing w:val="-3"/>
        </w:rPr>
        <w:t xml:space="preserve"> los agentes de tipo </w:t>
      </w:r>
      <w:r w:rsidRPr="00B46A21">
        <w:rPr>
          <w:i/>
          <w:iCs/>
          <w:spacing w:val="-3"/>
        </w:rPr>
        <w:t>1</w:t>
      </w:r>
      <w:r w:rsidRPr="00B46A21">
        <w:rPr>
          <w:spacing w:val="-3"/>
        </w:rPr>
        <w:t xml:space="preserve"> no tienen la capacidad de reclamar un reparto más equitativo y, por lo tanto, no se produce una distribución eficiente de los riesgos. En otras palabras, se produce un fallo de mercado asociado a la existencia de </w:t>
      </w:r>
      <w:r w:rsidRPr="00B46A21">
        <w:rPr>
          <w:i/>
          <w:iCs/>
          <w:spacing w:val="-3"/>
        </w:rPr>
        <w:t>mercados incompletos</w:t>
      </w:r>
      <w:r w:rsidRPr="00B46A21">
        <w:rPr>
          <w:spacing w:val="-3"/>
        </w:rPr>
        <w:t>.</w:t>
      </w:r>
    </w:p>
    <w:p w14:paraId="1195253B" w14:textId="77777777" w:rsidR="00855F80" w:rsidRPr="00AD641D" w:rsidRDefault="00855F80" w:rsidP="00855F80">
      <w:pPr>
        <w:pStyle w:val="Nivel3SM"/>
      </w:pPr>
      <w:r>
        <w:t>Para resolverlo el planificador observa el tipo de consumidor y realiza una distribución eficiente de los riesgos en función de las preferencias de los individuos.</w:t>
      </w:r>
    </w:p>
    <w:p w14:paraId="21C1FFCF" w14:textId="77777777" w:rsidR="00855F80" w:rsidRPr="00D40FEA" w:rsidRDefault="00855F80">
      <w:pPr>
        <w:pStyle w:val="Prrafodelista"/>
        <w:keepNext/>
        <w:numPr>
          <w:ilvl w:val="0"/>
          <w:numId w:val="45"/>
        </w:numPr>
        <w:spacing w:before="20" w:after="0"/>
        <w:ind w:left="1560" w:hanging="284"/>
        <w:rPr>
          <w:i/>
          <w:iCs/>
          <w:u w:val="dotted"/>
        </w:rPr>
      </w:pPr>
      <w:r w:rsidRPr="00D40FEA">
        <w:rPr>
          <w:i/>
          <w:iCs/>
          <w:color w:val="240F33"/>
          <w:u w:val="dotted"/>
        </w:rPr>
        <w:t>Bancos competitivos. Posibilidad I: Óptimo social</w:t>
      </w:r>
    </w:p>
    <w:p w14:paraId="2A7F6498" w14:textId="77777777" w:rsidR="00855F80" w:rsidRDefault="00855F80" w:rsidP="00855F80">
      <w:pPr>
        <w:pStyle w:val="Nivel1SM"/>
        <w:spacing w:before="0"/>
      </w:pPr>
      <w:r>
        <w:t xml:space="preserve">Alcanzado este punto, </w:t>
      </w:r>
      <w:r>
        <w:rPr>
          <w:smallCaps/>
        </w:rPr>
        <w:t>Diamond</w:t>
      </w:r>
      <w:r>
        <w:t xml:space="preserve"> y </w:t>
      </w:r>
      <w:r>
        <w:rPr>
          <w:smallCaps/>
        </w:rPr>
        <w:t>Dybvig</w:t>
      </w:r>
      <w:r>
        <w:t xml:space="preserve"> se plantean la cuestión clave de su artículo: </w:t>
      </w:r>
      <w:r w:rsidRPr="001D726D">
        <w:rPr>
          <w:i/>
          <w:iCs/>
        </w:rPr>
        <w:t>¿</w:t>
      </w:r>
      <w:r>
        <w:rPr>
          <w:i/>
          <w:iCs/>
        </w:rPr>
        <w:t>es posible llegar a la solución óptima de manera descentralizadas</w:t>
      </w:r>
      <w:r w:rsidRPr="001D726D">
        <w:rPr>
          <w:i/>
          <w:iCs/>
        </w:rPr>
        <w:t>?</w:t>
      </w:r>
    </w:p>
    <w:p w14:paraId="7442DE20" w14:textId="77777777" w:rsidR="00855F80" w:rsidRPr="009E69D5" w:rsidRDefault="00855F80" w:rsidP="00855F80">
      <w:pPr>
        <w:pStyle w:val="Nivel1SM"/>
        <w:keepNext/>
        <w:spacing w:after="0"/>
      </w:pPr>
      <w:r>
        <w:t xml:space="preserve">Para ello, </w:t>
      </w:r>
      <w:r w:rsidRPr="001D726D">
        <w:t>introducimos</w:t>
      </w:r>
      <w:r>
        <w:t xml:space="preserve"> un </w:t>
      </w:r>
      <w:r w:rsidRPr="009E69D5">
        <w:rPr>
          <w:b/>
          <w:bCs/>
        </w:rPr>
        <w:t>banco</w:t>
      </w:r>
      <w:r>
        <w:t xml:space="preserve"> que va a actuar como aseguradora y que por simplicidad suponemos que no intenta obtener beneficios, sino que tan solo busca mejorar la situación de las familias sin importar si las familias decidieran financiar la inversión de manera independiente.</w:t>
      </w:r>
    </w:p>
    <w:p w14:paraId="445079B2" w14:textId="77777777" w:rsidR="00855F80" w:rsidRDefault="00855F80" w:rsidP="00855F80">
      <w:pPr>
        <w:pStyle w:val="Nivel2SM"/>
        <w:keepNext/>
        <w:spacing w:after="0"/>
      </w:pPr>
      <w:r>
        <w:t xml:space="preserve">Para ello se basan en la </w:t>
      </w:r>
      <w:r w:rsidRPr="009E69D5">
        <w:rPr>
          <w:i/>
          <w:iCs/>
        </w:rPr>
        <w:t>ley de grandes números</w:t>
      </w:r>
      <w:r>
        <w:t>:</w:t>
      </w:r>
    </w:p>
    <w:p w14:paraId="5E59761B" w14:textId="77777777" w:rsidR="00855F80" w:rsidRDefault="00855F80" w:rsidP="00855F80">
      <w:pPr>
        <w:pStyle w:val="Nivel3SM"/>
      </w:pPr>
      <w:r>
        <w:t>Un hogar individual tiene incertidumbre sobre cuando necesitará consumir, lo que da lugar a una preferencia por la liquidez.</w:t>
      </w:r>
    </w:p>
    <w:p w14:paraId="2914DED9" w14:textId="77777777" w:rsidR="00855F80" w:rsidRDefault="00855F80" w:rsidP="00855F80">
      <w:pPr>
        <w:pStyle w:val="Nivel3SM"/>
      </w:pPr>
      <w:r>
        <w:t>Sin embargo, a nivel agregado no existe incertidumbre.</w:t>
      </w:r>
    </w:p>
    <w:p w14:paraId="20B5FA09" w14:textId="77777777" w:rsidR="00855F80" w:rsidRDefault="00855F80" w:rsidP="00855F80">
      <w:pPr>
        <w:pStyle w:val="Nivel3SM"/>
      </w:pPr>
      <w:r>
        <w:t xml:space="preserve">El banco puede obtener recursos de muchos hogares explotando este falta de incertidumbre agregada y ofrecer a los hogares un activo que sea más líquido que el </w:t>
      </w:r>
      <w:r>
        <w:lastRenderedPageBreak/>
        <w:t>proyecto de inversión y que los hogares prefieran tanto frente a la inversión directa como frente al efectivo.</w:t>
      </w:r>
    </w:p>
    <w:p w14:paraId="0045DE86" w14:textId="77777777" w:rsidR="00855F80" w:rsidRDefault="00855F80" w:rsidP="00855F80">
      <w:pPr>
        <w:pStyle w:val="Nivel2SM"/>
        <w:keepNext/>
        <w:spacing w:after="0"/>
      </w:pPr>
      <w:r>
        <w:t>De este modo, este activo ofrecido por el banco dará una rentabilidad tal que:</w:t>
      </w:r>
    </w:p>
    <w:p w14:paraId="13767773" w14:textId="77777777" w:rsidR="00855F80" w:rsidRPr="009E69D5" w:rsidRDefault="00000000" w:rsidP="00855F80">
      <w:pPr>
        <w:pStyle w:val="Nivel3SM"/>
      </w:pPr>
      <m:oMath>
        <m:sSubSup>
          <m:sSubSupPr>
            <m:ctrlPr>
              <w:rPr>
                <w:rFonts w:ascii="Cambria Math" w:hAnsi="Cambria Math"/>
                <w:i/>
              </w:rPr>
            </m:ctrlPr>
          </m:sSubSupPr>
          <m:e>
            <m:r>
              <m:rPr>
                <m:nor/>
              </m:rPr>
              <w:rPr>
                <w:i/>
              </w:rPr>
              <m:t>r</m:t>
            </m:r>
          </m:e>
          <m:sub>
            <m:r>
              <m:rPr>
                <m:nor/>
              </m:rPr>
              <w:rPr>
                <w:i/>
              </w:rPr>
              <m:t>1</m:t>
            </m:r>
          </m:sub>
          <m:sup>
            <m:r>
              <m:rPr>
                <m:nor/>
              </m:rPr>
              <w:rPr>
                <w:i/>
              </w:rPr>
              <m:t>d</m:t>
            </m:r>
          </m:sup>
        </m:sSubSup>
        <m:r>
          <w:rPr>
            <w:rFonts w:ascii="Cambria Math" w:hAnsi="Cambria Math"/>
          </w:rPr>
          <m:t>&gt;</m:t>
        </m:r>
        <m:sSub>
          <m:sSubPr>
            <m:ctrlPr>
              <w:rPr>
                <w:rFonts w:ascii="Cambria Math" w:hAnsi="Cambria Math"/>
                <w:i/>
              </w:rPr>
            </m:ctrlPr>
          </m:sSubPr>
          <m:e>
            <m:r>
              <m:rPr>
                <m:nor/>
              </m:rPr>
              <w:rPr>
                <w:i/>
              </w:rPr>
              <m:t>r</m:t>
            </m:r>
          </m:e>
          <m:sub>
            <m:r>
              <m:rPr>
                <m:nor/>
              </m:rPr>
              <w:rPr>
                <w:i/>
              </w:rPr>
              <m:t>1</m:t>
            </m:r>
          </m:sub>
        </m:sSub>
      </m:oMath>
      <w:r w:rsidR="00855F80">
        <w:t>, de forma que si el agente necesitara retirar su inversión de forma anticipada no se viera tan perjudicado.</w:t>
      </w:r>
    </w:p>
    <w:p w14:paraId="42D1362B" w14:textId="77777777" w:rsidR="00855F80" w:rsidRDefault="00000000" w:rsidP="00855F80">
      <w:pPr>
        <w:pStyle w:val="Nivel3SM"/>
      </w:pPr>
      <m:oMath>
        <m:sSubSup>
          <m:sSubSupPr>
            <m:ctrlPr>
              <w:rPr>
                <w:rFonts w:ascii="Cambria Math" w:hAnsi="Cambria Math"/>
                <w:i/>
              </w:rPr>
            </m:ctrlPr>
          </m:sSubSupPr>
          <m:e>
            <m:r>
              <m:rPr>
                <m:nor/>
              </m:rPr>
              <w:rPr>
                <w:i/>
              </w:rPr>
              <m:t>r</m:t>
            </m:r>
          </m:e>
          <m:sub>
            <m:r>
              <m:rPr>
                <m:nor/>
              </m:rPr>
              <w:rPr>
                <w:i/>
              </w:rPr>
              <m:t>2</m:t>
            </m:r>
          </m:sub>
          <m:sup>
            <m:r>
              <m:rPr>
                <m:nor/>
              </m:rPr>
              <w:rPr>
                <w:i/>
              </w:rPr>
              <m:t>d</m:t>
            </m:r>
          </m:sup>
        </m:sSubSup>
        <m:r>
          <w:rPr>
            <w:rFonts w:ascii="Cambria Math" w:hAnsi="Cambria Math"/>
          </w:rPr>
          <m:t>&lt;</m:t>
        </m:r>
        <m:sSub>
          <m:sSubPr>
            <m:ctrlPr>
              <w:rPr>
                <w:rFonts w:ascii="Cambria Math" w:hAnsi="Cambria Math"/>
                <w:i/>
              </w:rPr>
            </m:ctrlPr>
          </m:sSubPr>
          <m:e>
            <m:r>
              <m:rPr>
                <m:nor/>
              </m:rPr>
              <w:rPr>
                <w:i/>
              </w:rPr>
              <m:t>r</m:t>
            </m:r>
          </m:e>
          <m:sub>
            <m:r>
              <m:rPr>
                <m:nor/>
              </m:rPr>
              <w:rPr>
                <w:i/>
              </w:rPr>
              <m:t>2</m:t>
            </m:r>
          </m:sub>
        </m:sSub>
      </m:oMath>
      <w:r w:rsidR="00855F80">
        <w:t>, de forma que si el individuo mantiene la inversión hasta el segundo período recibe menos dinero.</w:t>
      </w:r>
    </w:p>
    <w:p w14:paraId="6F17EB16" w14:textId="77777777" w:rsidR="00855F80" w:rsidRDefault="00855F80" w:rsidP="00855F80">
      <w:pPr>
        <w:pStyle w:val="Nivel3SM"/>
      </w:pPr>
      <w:r>
        <w:t>De este modo, los hogares están reduciendo el riesgo al sacrificar parte de la rentabilidad que obtendrían si son del tipo </w:t>
      </w:r>
      <w:r w:rsidRPr="0096192B">
        <w:rPr>
          <w:i/>
          <w:iCs/>
        </w:rPr>
        <w:t>2</w:t>
      </w:r>
      <w:r>
        <w:t xml:space="preserve"> (se podría contemplar como el pago de una prima) a cambio de rentabilidad en caso de ser de tipo </w:t>
      </w:r>
      <w:r w:rsidRPr="0096192B">
        <w:rPr>
          <w:i/>
          <w:iCs/>
        </w:rPr>
        <w:t>1</w:t>
      </w:r>
      <w:r w:rsidRPr="008A242F">
        <w:rPr>
          <w:rStyle w:val="Refdenotaalpie"/>
        </w:rPr>
        <w:footnoteReference w:id="22"/>
      </w:r>
      <w:r>
        <w:t>.</w:t>
      </w:r>
    </w:p>
    <w:p w14:paraId="03A2AAC0" w14:textId="3E581BFB" w:rsidR="00855F80" w:rsidRDefault="00855F80" w:rsidP="00855F80">
      <w:pPr>
        <w:pStyle w:val="Ttuloimagen"/>
        <w:rPr>
          <w:i/>
          <w:iCs/>
          <w:smallCaps w:val="0"/>
        </w:rPr>
      </w:pPr>
      <w:r>
        <w:t>Imagen </w:t>
      </w:r>
      <w:r>
        <w:fldChar w:fldCharType="begin"/>
      </w:r>
      <w:r>
        <w:instrText xml:space="preserve"> SEQ Ilustración \* ARABIC </w:instrText>
      </w:r>
      <w:r>
        <w:fldChar w:fldCharType="separate"/>
      </w:r>
      <w:r w:rsidR="009A4A5C">
        <w:t>6</w:t>
      </w:r>
      <w:r>
        <w:fldChar w:fldCharType="end"/>
      </w:r>
      <w:r>
        <w:rPr>
          <w:smallCaps w:val="0"/>
        </w:rPr>
        <w:t xml:space="preserve">.– </w:t>
      </w:r>
      <w:r>
        <w:rPr>
          <w:i/>
          <w:iCs/>
          <w:smallCaps w:val="0"/>
        </w:rPr>
        <w:t>Asignación de consumo con bancos competitivos (situación óptima)</w:t>
      </w:r>
    </w:p>
    <w:p w14:paraId="127D2FB1" w14:textId="77777777" w:rsidR="00855F80" w:rsidRDefault="00855F80" w:rsidP="00855F80">
      <w:pPr>
        <w:pStyle w:val="Imagen"/>
      </w:pPr>
      <w:r>
        <w:drawing>
          <wp:inline distT="0" distB="0" distL="0" distR="0" wp14:anchorId="1FF5FC6D" wp14:editId="3AE1B1FF">
            <wp:extent cx="3840000" cy="2160000"/>
            <wp:effectExtent l="0" t="0" r="8255" b="0"/>
            <wp:docPr id="1732044290" name="Imagen 2"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44290" name="Imagen 2" descr="Gráfico, Gráfico radial&#10;&#10;Descripción generada automáticamente"/>
                    <pic:cNvPicPr/>
                  </pic:nvPicPr>
                  <pic:blipFill>
                    <a:blip r:embed="rId23"/>
                    <a:stretch>
                      <a:fillRect/>
                    </a:stretch>
                  </pic:blipFill>
                  <pic:spPr>
                    <a:xfrm>
                      <a:off x="0" y="0"/>
                      <a:ext cx="3840000" cy="2160000"/>
                    </a:xfrm>
                    <a:prstGeom prst="rect">
                      <a:avLst/>
                    </a:prstGeom>
                  </pic:spPr>
                </pic:pic>
              </a:graphicData>
            </a:graphic>
          </wp:inline>
        </w:drawing>
      </w:r>
    </w:p>
    <w:p w14:paraId="679B45A8" w14:textId="77777777" w:rsidR="00855F80" w:rsidRPr="0096192B" w:rsidRDefault="00855F80" w:rsidP="00855F80">
      <w:pPr>
        <w:pStyle w:val="PiedeImagen"/>
        <w:rPr>
          <w:i w:val="0"/>
          <w:iCs/>
          <w:spacing w:val="-4"/>
        </w:rPr>
      </w:pPr>
      <w:r w:rsidRPr="0096192B">
        <w:rPr>
          <w:spacing w:val="-4"/>
        </w:rPr>
        <w:t>Fuente</w:t>
      </w:r>
      <w:r w:rsidRPr="0096192B">
        <w:rPr>
          <w:i w:val="0"/>
          <w:iCs/>
          <w:spacing w:val="-4"/>
        </w:rPr>
        <w:t xml:space="preserve">: Elaboración propia basada en Repullo, R. (2022). </w:t>
      </w:r>
      <w:r w:rsidRPr="0096192B">
        <w:rPr>
          <w:spacing w:val="-4"/>
        </w:rPr>
        <w:t>‘Premios Nobel de Economía 2022. Crisis financieras y el papel de los bancos'</w:t>
      </w:r>
      <w:r w:rsidRPr="0096192B">
        <w:rPr>
          <w:i w:val="0"/>
          <w:iCs/>
          <w:spacing w:val="-4"/>
        </w:rPr>
        <w:t xml:space="preserve">. Fundación Ramón Areces. </w:t>
      </w:r>
      <w:hyperlink r:id="rId24" w:history="1">
        <w:r w:rsidRPr="0096192B">
          <w:rPr>
            <w:rStyle w:val="Hipervnculo"/>
            <w:i w:val="0"/>
            <w:iCs/>
            <w:spacing w:val="-4"/>
          </w:rPr>
          <w:t>https://www.fundacionareces.es/fundacionareces/es/actividades/premios-nobel-de-economia-2022-crisis-financieras-y-el-papel-de-los-bancos.html</w:t>
        </w:r>
      </w:hyperlink>
    </w:p>
    <w:p w14:paraId="4ACC2C40" w14:textId="77777777" w:rsidR="00855F80" w:rsidRDefault="00855F80" w:rsidP="00855F80">
      <w:pPr>
        <w:pStyle w:val="Nivel1SM"/>
      </w:pPr>
      <w:r w:rsidRPr="00BD6A25">
        <w:rPr>
          <w:b/>
          <w:bCs/>
        </w:rPr>
        <w:t>En condiciones normales</w:t>
      </w:r>
      <w:r>
        <w:t xml:space="preserve">, en un sistema bancario, las necesidades repentinas de efectivo de los ahorradores </w:t>
      </w:r>
      <w:r w:rsidRPr="00BD6A25">
        <w:rPr>
          <w:b/>
          <w:bCs/>
        </w:rPr>
        <w:t>no generan un pánico bancario</w:t>
      </w:r>
      <w:r>
        <w:t xml:space="preserve"> ya que, mediante la aceptación de depósitos de particulares con </w:t>
      </w:r>
      <w:r>
        <w:rPr>
          <w:i/>
          <w:iCs/>
        </w:rPr>
        <w:t>diferentes situaciones personales</w:t>
      </w:r>
      <w:r>
        <w:t xml:space="preserve">, el banco sólo espera la retirada diaria de una pequeña fracción de los depósitos (ley de grandes números). Así, un banco puede otorgar préstamos durante un largo horizonte, mientras mantiene pequeñas cantidades de efectivo para atender a los depositantes que lo necesitan. Esto daría lugar a un </w:t>
      </w:r>
      <w:r>
        <w:rPr>
          <w:i/>
          <w:iCs/>
        </w:rPr>
        <w:t>equilibrio de Nash</w:t>
      </w:r>
      <w:r>
        <w:t xml:space="preserve">, en el que todos los individuos se están </w:t>
      </w:r>
      <w:r w:rsidRPr="0096192B">
        <w:t>comportando</w:t>
      </w:r>
      <w:r>
        <w:t xml:space="preserve"> de manera óptima dado cómo consideran que el resto de individuos va a actuar y no tienen ningún incentivo a desviarse.</w:t>
      </w:r>
    </w:p>
    <w:p w14:paraId="15CA7483" w14:textId="77777777" w:rsidR="00855F80" w:rsidRPr="00D40FEA" w:rsidRDefault="00855F80">
      <w:pPr>
        <w:pStyle w:val="Prrafodelista"/>
        <w:keepNext/>
        <w:numPr>
          <w:ilvl w:val="0"/>
          <w:numId w:val="45"/>
        </w:numPr>
        <w:spacing w:before="20" w:after="0"/>
        <w:ind w:left="1560" w:hanging="284"/>
        <w:rPr>
          <w:i/>
          <w:iCs/>
          <w:spacing w:val="-4"/>
          <w:w w:val="97"/>
          <w:u w:val="dotted"/>
        </w:rPr>
      </w:pPr>
      <w:r w:rsidRPr="00D40FEA">
        <w:rPr>
          <w:i/>
          <w:iCs/>
          <w:color w:val="240F33"/>
          <w:spacing w:val="-4"/>
          <w:w w:val="97"/>
          <w:u w:val="dotted"/>
        </w:rPr>
        <w:t>Bancos competitivos. Posibilidad II: Pánico bancario</w:t>
      </w:r>
    </w:p>
    <w:p w14:paraId="12E4703A" w14:textId="77777777" w:rsidR="00855F80" w:rsidRPr="000B3839" w:rsidRDefault="00855F80" w:rsidP="00855F80">
      <w:pPr>
        <w:pStyle w:val="Nivel1SM"/>
        <w:keepNext/>
        <w:spacing w:before="0" w:after="0"/>
      </w:pPr>
      <w:r w:rsidRPr="000B3839">
        <w:t>En e</w:t>
      </w:r>
      <w:r>
        <w:t xml:space="preserve">stas circunstancias, ¿cuándo tendría sentido retirar el dinero en </w:t>
      </w:r>
      <m:oMath>
        <m:r>
          <m:rPr>
            <m:nor/>
          </m:rPr>
          <w:rPr>
            <w:i/>
          </w:rPr>
          <m:t>T</m:t>
        </m:r>
        <m:r>
          <w:rPr>
            <w:rFonts w:ascii="Cambria Math"/>
          </w:rPr>
          <m:t>=</m:t>
        </m:r>
        <m:r>
          <m:rPr>
            <m:nor/>
          </m:rPr>
          <w:rPr>
            <w:i/>
          </w:rPr>
          <m:t>1</m:t>
        </m:r>
      </m:oMath>
      <w:r>
        <w:rPr>
          <w:rFonts w:eastAsiaTheme="minorEastAsia"/>
        </w:rPr>
        <w:t xml:space="preserve"> para los individuos de tipo </w:t>
      </w:r>
      <w:r>
        <w:rPr>
          <w:rFonts w:eastAsiaTheme="minorEastAsia"/>
          <w:i/>
          <w:iCs/>
        </w:rPr>
        <w:t>2</w:t>
      </w:r>
      <w:r>
        <w:t xml:space="preserve">? Sólo si creen que en </w:t>
      </w:r>
      <m:oMath>
        <m:r>
          <m:rPr>
            <m:nor/>
          </m:rPr>
          <w:rPr>
            <w:i/>
          </w:rPr>
          <m:t>T</m:t>
        </m:r>
        <m:r>
          <w:rPr>
            <w:rFonts w:ascii="Cambria Math"/>
          </w:rPr>
          <m:t>=</m:t>
        </m:r>
        <m:r>
          <m:rPr>
            <m:nor/>
          </m:rPr>
          <w:rPr>
            <w:i/>
          </w:rPr>
          <m:t>2</m:t>
        </m:r>
      </m:oMath>
      <w:r>
        <w:rPr>
          <w:rFonts w:eastAsiaTheme="minorEastAsia"/>
        </w:rPr>
        <w:t xml:space="preserve"> obtendrán menos de </w:t>
      </w:r>
      <m:oMath>
        <m:sSubSup>
          <m:sSubSupPr>
            <m:ctrlPr>
              <w:rPr>
                <w:rFonts w:ascii="Cambria Math" w:hAnsi="Cambria Math"/>
                <w:i/>
              </w:rPr>
            </m:ctrlPr>
          </m:sSubSupPr>
          <m:e>
            <m:r>
              <m:rPr>
                <m:nor/>
              </m:rPr>
              <w:rPr>
                <w:i/>
              </w:rPr>
              <m:t>r</m:t>
            </m:r>
          </m:e>
          <m:sub>
            <m:r>
              <m:rPr>
                <m:nor/>
              </m:rPr>
              <w:rPr>
                <w:i/>
              </w:rPr>
              <m:t>1</m:t>
            </m:r>
          </m:sub>
          <m:sup>
            <m:r>
              <m:rPr>
                <m:nor/>
              </m:rPr>
              <w:rPr>
                <w:i/>
              </w:rPr>
              <m:t>d</m:t>
            </m:r>
          </m:sup>
        </m:sSubSup>
      </m:oMath>
      <w:r>
        <w:rPr>
          <w:rFonts w:eastAsiaTheme="minorEastAsia"/>
        </w:rPr>
        <w:t>.</w:t>
      </w:r>
    </w:p>
    <w:p w14:paraId="60B2221B" w14:textId="77777777" w:rsidR="00855F80" w:rsidRDefault="00855F80" w:rsidP="00855F80">
      <w:pPr>
        <w:pStyle w:val="Nivel2SM"/>
      </w:pPr>
      <w:r>
        <w:t>Así, si creo que otros individuos (suficientes) de tipo </w:t>
      </w:r>
      <w:r>
        <w:rPr>
          <w:i/>
          <w:iCs/>
        </w:rPr>
        <w:t>2</w:t>
      </w:r>
      <w:r>
        <w:t xml:space="preserve"> van a retirar sus ahorros pronto o me preocupa que las inversiones que lleva a cabo el banco no van a salir bien tendré incentivos a retirar mis ahorros antes de tiempo.</w:t>
      </w:r>
    </w:p>
    <w:p w14:paraId="2CD35920" w14:textId="77777777" w:rsidR="00855F80" w:rsidRDefault="00855F80" w:rsidP="00855F80">
      <w:pPr>
        <w:pStyle w:val="Nivel1SM"/>
        <w:keepNext/>
        <w:spacing w:after="0"/>
      </w:pPr>
      <w:r>
        <w:t>Centrémonos en el caso en que creemos que otros individuos (suficientes) de tipo </w:t>
      </w:r>
      <w:r w:rsidRPr="00324402">
        <w:rPr>
          <w:i/>
          <w:iCs/>
        </w:rPr>
        <w:t>2</w:t>
      </w:r>
      <w:r>
        <w:t xml:space="preserve"> van a retirar sus ahorros pronto</w:t>
      </w:r>
      <w:r>
        <w:rPr>
          <w:rStyle w:val="Refdenotaalpie"/>
        </w:rPr>
        <w:footnoteReference w:id="23"/>
      </w:r>
      <w:r>
        <w:t>.</w:t>
      </w:r>
    </w:p>
    <w:p w14:paraId="430EE902" w14:textId="77777777" w:rsidR="00855F80" w:rsidRDefault="00855F80" w:rsidP="00855F80">
      <w:pPr>
        <w:pStyle w:val="Nivel2SM"/>
      </w:pPr>
      <w:r>
        <w:t>Si los depositantes exigieran simultáneamente su dinero, se produciría la quiebra del banco, ya que éste sólo dispone de una parte de efectivo y no puede exigir la devolución de los préstamos ya que éstos se hicieron a largo plazo.</w:t>
      </w:r>
    </w:p>
    <w:p w14:paraId="2E0DB709" w14:textId="77777777" w:rsidR="00855F80" w:rsidRDefault="00855F80" w:rsidP="00855F80">
      <w:pPr>
        <w:pStyle w:val="Nivel2SM"/>
      </w:pPr>
      <w:r>
        <w:t>De esta forma, los primeros depositantes en exigir su dinero podrán recuperarlo, pero los más rezagados se quedarán sin su dinero tras la quiebra del banco.</w:t>
      </w:r>
    </w:p>
    <w:p w14:paraId="5F33AEC8" w14:textId="77777777" w:rsidR="00855F80" w:rsidRDefault="00855F80" w:rsidP="00855F80">
      <w:pPr>
        <w:pStyle w:val="Nivel1SM"/>
        <w:keepNext/>
        <w:spacing w:after="0"/>
      </w:pPr>
      <w:r>
        <w:lastRenderedPageBreak/>
        <w:t xml:space="preserve">Así, se produce una situación de </w:t>
      </w:r>
      <w:r w:rsidRPr="002156DC">
        <w:rPr>
          <w:i/>
          <w:iCs/>
          <w:u w:val="single"/>
        </w:rPr>
        <w:t>equilibrios múltiples</w:t>
      </w:r>
      <w:r>
        <w:t xml:space="preserve"> de Nash en el que los </w:t>
      </w:r>
      <w:r>
        <w:rPr>
          <w:i/>
          <w:iCs/>
        </w:rPr>
        <w:t>fallos de coordinación</w:t>
      </w:r>
      <w:r>
        <w:t xml:space="preserve"> pueden generar un </w:t>
      </w:r>
      <w:r>
        <w:rPr>
          <w:i/>
          <w:iCs/>
        </w:rPr>
        <w:t>equilibrio sub-óptimo</w:t>
      </w:r>
      <w:r>
        <w:t>:</w:t>
      </w:r>
    </w:p>
    <w:p w14:paraId="5CC518AE" w14:textId="77777777" w:rsidR="00855F80" w:rsidRDefault="00855F80" w:rsidP="00855F80">
      <w:pPr>
        <w:pStyle w:val="Nivel2SM"/>
      </w:pPr>
      <w:r>
        <w:t xml:space="preserve">Si un depositante espera que los demás no retiren su dinero, él no retirará el suyo, y, como todos los depositantes razonan igual, el </w:t>
      </w:r>
      <w:r w:rsidRPr="002156DC">
        <w:rPr>
          <w:b/>
          <w:bCs/>
        </w:rPr>
        <w:t>banco continuará operando</w:t>
      </w:r>
      <w:r>
        <w:t>.</w:t>
      </w:r>
    </w:p>
    <w:p w14:paraId="1050A5E1" w14:textId="77777777" w:rsidR="00855F80" w:rsidRDefault="00855F80" w:rsidP="00855F80">
      <w:pPr>
        <w:pStyle w:val="Nivel2SM"/>
      </w:pPr>
      <w:r>
        <w:t xml:space="preserve">Pero si, por cualquier razón, espera que los demás retiren su dinero, él se apresurará a retirar el suyo, y, como todos los depositantes razonan igual, se producirá un </w:t>
      </w:r>
      <w:r w:rsidRPr="002156DC">
        <w:rPr>
          <w:b/>
          <w:bCs/>
        </w:rPr>
        <w:t>pánico bancario</w:t>
      </w:r>
      <w:r>
        <w:t xml:space="preserve"> en el que todo el mundo intentará sacar todo su dinero simultáneamente, dando lugar a la quiebra del banco. Sólo los primeros depositantes en exigir su dinero podrán recuperarlo, pero los más rezagados se quedarán sin su dinero tras la quiebra del banco.</w:t>
      </w:r>
    </w:p>
    <w:p w14:paraId="00F853FA" w14:textId="77777777" w:rsidR="00855F80" w:rsidRDefault="00855F80" w:rsidP="00855F80">
      <w:pPr>
        <w:pStyle w:val="Nivel1SM"/>
        <w:keepNext/>
        <w:spacing w:after="0"/>
      </w:pPr>
      <w:r>
        <w:t>Así, da igual que el banco esté completamente sano y sea rentable: un evento que varíe las expectativas de los individuos es suficiente para alcanzar el equilibrio de pánico bancario, es decir, la mera creencia de sus depositantes de que el resto va a retirar su dinero hace que quiebre.</w:t>
      </w:r>
    </w:p>
    <w:p w14:paraId="51BA49E1" w14:textId="77777777" w:rsidR="00855F80" w:rsidRPr="00C45ADC" w:rsidRDefault="00855F80" w:rsidP="00855F80">
      <w:pPr>
        <w:pStyle w:val="Nivel2SM"/>
        <w:rPr>
          <w:spacing w:val="-2"/>
        </w:rPr>
      </w:pPr>
      <w:r w:rsidRPr="00C45ADC">
        <w:rPr>
          <w:spacing w:val="-2"/>
        </w:rPr>
        <w:t xml:space="preserve">A esto en economía a veces se le conoce como </w:t>
      </w:r>
      <w:hyperlink r:id="rId25" w:history="1">
        <w:r w:rsidRPr="001C12C3">
          <w:rPr>
            <w:rStyle w:val="Hipervnculo"/>
            <w:color w:val="auto"/>
            <w:spacing w:val="-2"/>
            <w:u w:val="none"/>
          </w:rPr>
          <w:t>equilibrio de manchas solares</w:t>
        </w:r>
      </w:hyperlink>
      <w:r w:rsidRPr="00C45ADC">
        <w:rPr>
          <w:spacing w:val="-2"/>
        </w:rPr>
        <w:t xml:space="preserve"> (</w:t>
      </w:r>
      <w:proofErr w:type="spellStart"/>
      <w:r w:rsidRPr="00C45ADC">
        <w:rPr>
          <w:i/>
          <w:iCs/>
          <w:spacing w:val="-2"/>
        </w:rPr>
        <w:t>sunspot</w:t>
      </w:r>
      <w:proofErr w:type="spellEnd"/>
      <w:r w:rsidRPr="00C45ADC">
        <w:rPr>
          <w:i/>
          <w:iCs/>
          <w:spacing w:val="-2"/>
        </w:rPr>
        <w:t xml:space="preserve"> </w:t>
      </w:r>
      <w:proofErr w:type="spellStart"/>
      <w:r w:rsidRPr="00C45ADC">
        <w:rPr>
          <w:i/>
          <w:iCs/>
          <w:spacing w:val="-2"/>
        </w:rPr>
        <w:t>equilibrium</w:t>
      </w:r>
      <w:proofErr w:type="spellEnd"/>
      <w:r w:rsidRPr="00C45ADC">
        <w:rPr>
          <w:spacing w:val="-2"/>
        </w:rPr>
        <w:t>).</w:t>
      </w:r>
    </w:p>
    <w:p w14:paraId="72B10F15" w14:textId="77777777" w:rsidR="00855F80" w:rsidRDefault="00855F80" w:rsidP="00855F80">
      <w:pPr>
        <w:pStyle w:val="Nivel2SM"/>
      </w:pPr>
      <w:r>
        <w:t xml:space="preserve">Es, por tanto, un modelo con </w:t>
      </w:r>
      <w:r>
        <w:rPr>
          <w:i/>
          <w:iCs/>
        </w:rPr>
        <w:t>profecías autocumplidas</w:t>
      </w:r>
      <w:r>
        <w:t xml:space="preserve"> (pues el incentivo de cada depositante a retirar sus fondos depende de lo que cree que van a hacer los demás).</w:t>
      </w:r>
    </w:p>
    <w:p w14:paraId="0D9C95D6" w14:textId="77777777" w:rsidR="00855F80" w:rsidRDefault="00855F80" w:rsidP="00855F80">
      <w:pPr>
        <w:pStyle w:val="Nivel1SM"/>
        <w:keepNext/>
        <w:spacing w:after="0"/>
      </w:pPr>
      <w:r>
        <w:t>Nótese que en términos de bienestar se produce la siguiente situación:</w:t>
      </w:r>
    </w:p>
    <w:p w14:paraId="4B2CFA4C" w14:textId="77777777" w:rsidR="00855F80" w:rsidRDefault="00000000" w:rsidP="00855F80">
      <w:pPr>
        <w:pStyle w:val="Nivel2SM"/>
        <w:numPr>
          <w:ilvl w:val="0"/>
          <w:numId w:val="0"/>
        </w:numPr>
        <w:ind w:left="567"/>
      </w:pPr>
      <m:oMathPara>
        <m:oMath>
          <m:sSubSup>
            <m:sSubSupPr>
              <m:ctrlPr>
                <w:rPr>
                  <w:rFonts w:ascii="Cambria Math" w:hAnsi="Cambria Math"/>
                  <w:i/>
                </w:rPr>
              </m:ctrlPr>
            </m:sSubSupPr>
            <m:e>
              <m:r>
                <m:rPr>
                  <m:nor/>
                </m:rPr>
                <w:rPr>
                  <w:i/>
                </w:rPr>
                <m:t>U</m:t>
              </m:r>
            </m:e>
            <m:sub>
              <m:r>
                <m:rPr>
                  <m:nor/>
                </m:rPr>
                <w:rPr>
                  <w:i/>
                </w:rPr>
                <m:t>pánico bancario</m:t>
              </m:r>
            </m:sub>
            <m:sup>
              <m:r>
                <m:rPr>
                  <m:nor/>
                </m:rPr>
                <w:rPr>
                  <w:i/>
                </w:rPr>
                <m:t>bancos compet.</m:t>
              </m:r>
            </m:sup>
          </m:sSubSup>
          <m:r>
            <w:rPr>
              <w:rFonts w:ascii="Cambria Math" w:hAnsi="Cambria Math"/>
            </w:rPr>
            <m:t>&lt;</m:t>
          </m:r>
          <m:sSub>
            <m:sSubPr>
              <m:ctrlPr>
                <w:rPr>
                  <w:rFonts w:ascii="Cambria Math" w:hAnsi="Cambria Math"/>
                  <w:i/>
                </w:rPr>
              </m:ctrlPr>
            </m:sSubPr>
            <m:e>
              <m:r>
                <m:rPr>
                  <m:nor/>
                </m:rPr>
                <w:rPr>
                  <w:i/>
                </w:rPr>
                <m:t>U</m:t>
              </m:r>
            </m:e>
            <m:sub>
              <m:r>
                <m:rPr>
                  <m:nor/>
                </m:rPr>
                <w:rPr>
                  <w:i/>
                </w:rPr>
                <m:t>autarquía</m:t>
              </m:r>
            </m:sub>
          </m:sSub>
          <m:r>
            <w:rPr>
              <w:rFonts w:ascii="Cambria Math" w:hAnsi="Cambria Math"/>
            </w:rPr>
            <m:t>&lt;</m:t>
          </m:r>
          <m:sSub>
            <m:sSubPr>
              <m:ctrlPr>
                <w:rPr>
                  <w:rFonts w:ascii="Cambria Math" w:hAnsi="Cambria Math"/>
                  <w:i/>
                </w:rPr>
              </m:ctrlPr>
            </m:sSubPr>
            <m:e>
              <m:r>
                <m:rPr>
                  <m:nor/>
                </m:rPr>
                <w:rPr>
                  <w:i/>
                </w:rPr>
                <m:t>U</m:t>
              </m:r>
            </m:e>
            <m:sub>
              <m:eqArr>
                <m:eqArrPr>
                  <m:ctrlPr>
                    <w:rPr>
                      <w:rFonts w:ascii="Cambria Math" w:hAnsi="Cambria Math"/>
                      <w:i/>
                    </w:rPr>
                  </m:ctrlPr>
                </m:eqArrPr>
                <m:e>
                  <m:r>
                    <m:rPr>
                      <m:nor/>
                    </m:rPr>
                    <w:rPr>
                      <w:i/>
                    </w:rPr>
                    <m:t>mdo. finan.</m:t>
                  </m:r>
                </m:e>
                <m:e>
                  <m:r>
                    <m:rPr>
                      <m:nor/>
                    </m:rPr>
                    <w:rPr>
                      <w:i/>
                    </w:rPr>
                    <m:t>en T</m:t>
                  </m:r>
                  <m:r>
                    <w:rPr>
                      <w:rFonts w:ascii="Cambria Math" w:hAnsi="Cambria Math"/>
                    </w:rPr>
                    <m:t>=</m:t>
                  </m:r>
                  <m:r>
                    <m:rPr>
                      <m:nor/>
                    </m:rPr>
                    <w:rPr>
                      <w:i/>
                    </w:rPr>
                    <m:t>1</m:t>
                  </m:r>
                </m:e>
              </m:eqArr>
            </m:sub>
          </m:sSub>
          <m:r>
            <w:rPr>
              <w:rFonts w:ascii="Cambria Math" w:hAnsi="Cambria Math"/>
            </w:rPr>
            <m:t>&lt;</m:t>
          </m:r>
          <m:limLow>
            <m:limLowPr>
              <m:ctrlPr>
                <w:rPr>
                  <w:rFonts w:ascii="Cambria Math" w:hAnsi="Cambria Math"/>
                  <w:i/>
                </w:rPr>
              </m:ctrlPr>
            </m:limLowPr>
            <m:e>
              <m:groupChr>
                <m:groupChrPr>
                  <m:ctrlPr>
                    <w:rPr>
                      <w:rFonts w:ascii="Cambria Math" w:hAnsi="Cambria Math"/>
                      <w:i/>
                    </w:rPr>
                  </m:ctrlPr>
                </m:groupChrPr>
                <m:e>
                  <m:sSubSup>
                    <m:sSubSupPr>
                      <m:ctrlPr>
                        <w:rPr>
                          <w:rFonts w:ascii="Cambria Math" w:hAnsi="Cambria Math"/>
                          <w:i/>
                        </w:rPr>
                      </m:ctrlPr>
                    </m:sSubSupPr>
                    <m:e>
                      <m:r>
                        <m:rPr>
                          <m:nor/>
                        </m:rPr>
                        <w:rPr>
                          <w:i/>
                        </w:rPr>
                        <m:t>U</m:t>
                      </m:r>
                    </m:e>
                    <m:sub>
                      <m:r>
                        <m:rPr>
                          <m:nor/>
                        </m:rPr>
                        <w:rPr>
                          <w:i/>
                        </w:rPr>
                        <m:t>eq. óptimo</m:t>
                      </m:r>
                    </m:sub>
                    <m:sup>
                      <m:r>
                        <m:rPr>
                          <m:nor/>
                        </m:rPr>
                        <w:rPr>
                          <w:i/>
                        </w:rPr>
                        <m:t>bancos compet.</m:t>
                      </m:r>
                    </m:sup>
                  </m:sSubSup>
                </m:e>
              </m:groupChr>
            </m:e>
            <m:lim>
              <w:bookmarkStart w:id="62" w:name="_Hlk143258300"/>
              <m:sSub>
                <m:sSubPr>
                  <m:ctrlPr>
                    <w:rPr>
                      <w:rFonts w:ascii="Cambria Math" w:hAnsi="Cambria Math"/>
                      <w:i/>
                    </w:rPr>
                  </m:ctrlPr>
                </m:sSubPr>
                <m:e>
                  <m:r>
                    <m:rPr>
                      <m:nor/>
                    </m:rPr>
                    <w:rPr>
                      <w:i/>
                    </w:rPr>
                    <m:t>U</m:t>
                  </m:r>
                </m:e>
                <m:sub>
                  <m:r>
                    <m:rPr>
                      <m:nor/>
                    </m:rPr>
                    <w:rPr>
                      <w:i/>
                    </w:rPr>
                    <m:t>óptima</m:t>
                  </m:r>
                </m:sub>
              </m:sSub>
              <w:bookmarkEnd w:id="62"/>
            </m:lim>
          </m:limLow>
        </m:oMath>
      </m:oMathPara>
    </w:p>
    <w:p w14:paraId="178B215C" w14:textId="77777777" w:rsidR="00855F80" w:rsidRDefault="00855F80" w:rsidP="00855F80">
      <w:pPr>
        <w:keepNext/>
        <w:keepLines/>
        <w:spacing w:before="40" w:after="0"/>
        <w:ind w:left="851"/>
        <w:rPr>
          <w:i/>
          <w:iCs/>
          <w:color w:val="5F2987"/>
          <w:u w:val="dash"/>
        </w:rPr>
      </w:pPr>
      <w:r>
        <w:rPr>
          <w:i/>
          <w:iCs/>
          <w:color w:val="5F2987"/>
          <w:u w:val="dash"/>
        </w:rPr>
        <w:t>Implicaciones</w:t>
      </w:r>
    </w:p>
    <w:p w14:paraId="4F8B818A" w14:textId="77777777" w:rsidR="00855F80" w:rsidRDefault="00855F80" w:rsidP="00855F80">
      <w:pPr>
        <w:pStyle w:val="Nivel1SM"/>
        <w:keepNext/>
        <w:spacing w:before="0" w:after="0"/>
      </w:pPr>
      <w:r>
        <w:t>Los gobiernos pueden combatir el pánico bancario de 3 formas:</w:t>
      </w:r>
    </w:p>
    <w:p w14:paraId="35F57109" w14:textId="77777777" w:rsidR="00855F80" w:rsidRDefault="00855F80">
      <w:pPr>
        <w:pStyle w:val="Letra"/>
        <w:numPr>
          <w:ilvl w:val="0"/>
          <w:numId w:val="46"/>
        </w:numPr>
        <w:spacing w:after="0"/>
        <w:ind w:left="567" w:hanging="227"/>
      </w:pPr>
      <w:r w:rsidRPr="00036282">
        <w:rPr>
          <w:i/>
          <w:iCs/>
        </w:rPr>
        <w:t>Asegurar los depósitos de los individuos en caso de quiebra del banco</w:t>
      </w:r>
      <w:r>
        <w:t xml:space="preserve">, con un fondo específico para ello (en España (y en la Unión Europea en general), hasta 100.000 €; en Estados Unidos, tras los pánicos bancarios de la Gran Depresión se creó la </w:t>
      </w:r>
      <w:r w:rsidRPr="00036282">
        <w:rPr>
          <w:i/>
          <w:iCs/>
        </w:rPr>
        <w:t xml:space="preserve">Federal </w:t>
      </w:r>
      <w:proofErr w:type="spellStart"/>
      <w:r w:rsidRPr="00036282">
        <w:rPr>
          <w:i/>
          <w:iCs/>
        </w:rPr>
        <w:t>Deposit</w:t>
      </w:r>
      <w:proofErr w:type="spellEnd"/>
      <w:r w:rsidRPr="00036282">
        <w:rPr>
          <w:i/>
          <w:iCs/>
        </w:rPr>
        <w:t xml:space="preserve"> </w:t>
      </w:r>
      <w:proofErr w:type="spellStart"/>
      <w:r w:rsidRPr="00036282">
        <w:rPr>
          <w:i/>
          <w:iCs/>
        </w:rPr>
        <w:t>Insurance</w:t>
      </w:r>
      <w:proofErr w:type="spellEnd"/>
      <w:r w:rsidRPr="00036282">
        <w:rPr>
          <w:i/>
          <w:iCs/>
        </w:rPr>
        <w:t xml:space="preserve"> </w:t>
      </w:r>
      <w:proofErr w:type="spellStart"/>
      <w:r w:rsidRPr="00036282">
        <w:rPr>
          <w:i/>
          <w:iCs/>
        </w:rPr>
        <w:t>Corporation</w:t>
      </w:r>
      <w:proofErr w:type="spellEnd"/>
      <w:r>
        <w:t>). De esta manera, como los depositantes saben que van a recuperar su dinero incluso si el banco quiebra, no retiran sus fondos, por lo que esta medida, en caso de ser creíble, le sale “gratis” al Gobierno.</w:t>
      </w:r>
    </w:p>
    <w:p w14:paraId="23FE414F" w14:textId="77777777" w:rsidR="00855F80" w:rsidRDefault="00855F80" w:rsidP="00855F80">
      <w:pPr>
        <w:pStyle w:val="Letra"/>
        <w:keepNext/>
        <w:spacing w:after="0"/>
        <w:ind w:left="567"/>
      </w:pPr>
      <w:r>
        <w:rPr>
          <w:i/>
          <w:iCs/>
        </w:rPr>
        <w:t>Suspender la retirada de efectivo temporalmente</w:t>
      </w:r>
      <w:r>
        <w:t>, mientras el banco recupera parte de sus préstamos para poder hacer frente a las retiradas (como ocurrió en Grecia, donde en la primera mitad del año 2015 salieron 50.000 millones de euros, lo que obligó al Gobierno griego a imponer un “corralito” a finales de junio de ese año).</w:t>
      </w:r>
    </w:p>
    <w:p w14:paraId="6C1C41C6" w14:textId="77777777" w:rsidR="00855F80" w:rsidRDefault="00855F80" w:rsidP="00855F80">
      <w:pPr>
        <w:pStyle w:val="Nivel3SM"/>
      </w:pPr>
      <w:r>
        <w:t xml:space="preserve">Esto en la práctica es económicamente costoso (algunas personas realmente necesitan sus fondos inmediatamente) y no evita el pánico bancario </w:t>
      </w:r>
      <w:r>
        <w:rPr>
          <w:i/>
          <w:iCs/>
        </w:rPr>
        <w:t>per se</w:t>
      </w:r>
      <w:r>
        <w:t>, pero es efectivo a la hora de prevenir crisis de liquidez que fuercen a los bancos a declararse insolventes.</w:t>
      </w:r>
    </w:p>
    <w:p w14:paraId="13142D1D" w14:textId="77777777" w:rsidR="00855F80" w:rsidRDefault="00855F80" w:rsidP="00855F80">
      <w:pPr>
        <w:pStyle w:val="Letra"/>
        <w:keepNext/>
        <w:spacing w:after="0"/>
        <w:ind w:left="567"/>
      </w:pPr>
      <w:r>
        <w:t>El Banco Central puede actuar como prestamista de última instancia (</w:t>
      </w:r>
      <w:proofErr w:type="spellStart"/>
      <w:r>
        <w:rPr>
          <w:i/>
          <w:iCs/>
        </w:rPr>
        <w:t>Lender</w:t>
      </w:r>
      <w:proofErr w:type="spellEnd"/>
      <w:r>
        <w:rPr>
          <w:i/>
          <w:iCs/>
        </w:rPr>
        <w:t xml:space="preserve"> </w:t>
      </w:r>
      <w:proofErr w:type="spellStart"/>
      <w:r>
        <w:rPr>
          <w:i/>
          <w:iCs/>
        </w:rPr>
        <w:t>of</w:t>
      </w:r>
      <w:proofErr w:type="spellEnd"/>
      <w:r>
        <w:rPr>
          <w:i/>
          <w:iCs/>
        </w:rPr>
        <w:t xml:space="preserve"> </w:t>
      </w:r>
      <w:proofErr w:type="spellStart"/>
      <w:r>
        <w:rPr>
          <w:i/>
          <w:iCs/>
        </w:rPr>
        <w:t>Last</w:t>
      </w:r>
      <w:proofErr w:type="spellEnd"/>
      <w:r>
        <w:rPr>
          <w:i/>
          <w:iCs/>
        </w:rPr>
        <w:t xml:space="preserve"> Resort</w:t>
      </w:r>
      <w:r>
        <w:t>) creando reservas para hacer frente a los pagos. Si los bancos se quedan sin liquidez para hacer frente a la demanda de retirada de efectivo, podrían solicitar fondos al Banco Central.</w:t>
      </w:r>
    </w:p>
    <w:p w14:paraId="08135F78" w14:textId="77777777" w:rsidR="00855F80" w:rsidRDefault="00855F80" w:rsidP="00855F80">
      <w:pPr>
        <w:pStyle w:val="Nivel3SM"/>
        <w:keepNext/>
      </w:pPr>
      <w:r>
        <w:t>Esto se llevó a cabo en la Gran Depresión, pero no acabó con la crisis debido a 2 principales problemas:</w:t>
      </w:r>
    </w:p>
    <w:p w14:paraId="6A423F54" w14:textId="77777777" w:rsidR="00855F80" w:rsidRDefault="00855F80" w:rsidP="00855F80">
      <w:pPr>
        <w:pStyle w:val="Nivel4"/>
        <w:ind w:left="1474"/>
      </w:pPr>
      <w:r>
        <w:t>El estigma que generaba para los bancos, que no querían pedir prestado a la Reserva Federal por miedo a quedar expuestos como débiles.</w:t>
      </w:r>
    </w:p>
    <w:p w14:paraId="0A847753" w14:textId="77777777" w:rsidR="00855F80" w:rsidRDefault="00855F80" w:rsidP="00855F80">
      <w:pPr>
        <w:pStyle w:val="Nivel4"/>
        <w:keepNext/>
        <w:ind w:left="1474"/>
      </w:pPr>
      <w:r>
        <w:t xml:space="preserve">Tal y como exponen </w:t>
      </w:r>
      <w:hyperlink r:id="rId26" w:history="1">
        <w:r w:rsidRPr="0061163D">
          <w:rPr>
            <w:rStyle w:val="Hipervnculo"/>
            <w:smallCaps/>
            <w:color w:val="auto"/>
            <w:u w:val="none"/>
          </w:rPr>
          <w:t>Friedman</w:t>
        </w:r>
        <w:r w:rsidRPr="0061163D">
          <w:rPr>
            <w:rStyle w:val="Hipervnculo"/>
            <w:color w:val="auto"/>
            <w:u w:val="none"/>
          </w:rPr>
          <w:t xml:space="preserve"> y </w:t>
        </w:r>
        <w:r w:rsidRPr="0061163D">
          <w:rPr>
            <w:rStyle w:val="Hipervnculo"/>
            <w:smallCaps/>
            <w:color w:val="auto"/>
            <w:u w:val="none"/>
          </w:rPr>
          <w:t>Schwartz</w:t>
        </w:r>
      </w:hyperlink>
      <w:r>
        <w:t>, l</w:t>
      </w:r>
      <w:r w:rsidRPr="005B260C">
        <w:t>a</w:t>
      </w:r>
      <w:r>
        <w:t xml:space="preserve"> Reserva Federal no entendió su rol y sus poderes.</w:t>
      </w:r>
    </w:p>
    <w:p w14:paraId="16E25DA8" w14:textId="77777777" w:rsidR="00855F80" w:rsidRPr="00712745" w:rsidRDefault="00855F80" w:rsidP="00855F80">
      <w:pPr>
        <w:pStyle w:val="Nivel5"/>
        <w:ind w:left="1871"/>
      </w:pPr>
      <w:r>
        <w:rPr>
          <w:smallCaps/>
        </w:rPr>
        <w:t>Friedman</w:t>
      </w:r>
      <w:r>
        <w:t xml:space="preserve"> y </w:t>
      </w:r>
      <w:r>
        <w:rPr>
          <w:smallCaps/>
        </w:rPr>
        <w:t>Schwartz</w:t>
      </w:r>
      <w:r>
        <w:t xml:space="preserve"> argumentaron que la Reserva Federal podría haber </w:t>
      </w:r>
      <w:r w:rsidRPr="00A92D27">
        <w:rPr>
          <w:rStyle w:val="Nivel5Car"/>
        </w:rPr>
        <w:t>reducido</w:t>
      </w:r>
      <w:r>
        <w:t xml:space="preserve"> la severidad de la Depresión mediante una política monetaria más acomodaticia, pero no lo hizo</w:t>
      </w:r>
      <w:r>
        <w:rPr>
          <w:rStyle w:val="Refdenotaalpie"/>
        </w:rPr>
        <w:footnoteReference w:id="24"/>
      </w:r>
      <w:r>
        <w:t>.</w:t>
      </w:r>
    </w:p>
    <w:p w14:paraId="052FB9D8" w14:textId="77777777" w:rsidR="00855F80" w:rsidRDefault="00855F80" w:rsidP="00855F80">
      <w:pPr>
        <w:keepNext/>
        <w:keepLines/>
        <w:spacing w:before="120" w:after="60"/>
        <w:rPr>
          <w:b/>
          <w:bCs/>
          <w:color w:val="5F2987"/>
          <w:u w:val="single"/>
        </w:rPr>
      </w:pPr>
      <w:r>
        <w:rPr>
          <w:b/>
          <w:bCs/>
          <w:color w:val="5F2987"/>
          <w:u w:val="single"/>
        </w:rPr>
        <w:lastRenderedPageBreak/>
        <w:t>Extensiones</w:t>
      </w:r>
    </w:p>
    <w:p w14:paraId="12F955B5" w14:textId="77777777" w:rsidR="00855F80" w:rsidRDefault="00855F80" w:rsidP="00855F80">
      <w:pPr>
        <w:pStyle w:val="Nivel1SM"/>
        <w:keepNext/>
        <w:spacing w:before="0" w:after="0"/>
      </w:pPr>
      <w:r>
        <w:t>Su influencia hasta el día de hoy ha sido enorme. En la actualidad se usa para:</w:t>
      </w:r>
    </w:p>
    <w:p w14:paraId="0259CA1D" w14:textId="77777777" w:rsidR="00855F80" w:rsidRDefault="00855F80" w:rsidP="00855F80">
      <w:pPr>
        <w:pStyle w:val="Nivel2SM"/>
      </w:pPr>
      <w:r>
        <w:t>Estudio del papel del banco central como prestamista de última instancia.</w:t>
      </w:r>
    </w:p>
    <w:p w14:paraId="49AB6758" w14:textId="77777777" w:rsidR="00855F80" w:rsidRDefault="00855F80" w:rsidP="00855F80">
      <w:pPr>
        <w:pStyle w:val="Nivel2SM"/>
      </w:pPr>
      <w:r>
        <w:t>Posible efecto disciplinador de los pánicos bancarios (estas teorías argumentan que los pánicos bancarios no siempre son negativos, sino que podrían tener efectos positivos).</w:t>
      </w:r>
    </w:p>
    <w:p w14:paraId="4FA86646" w14:textId="77777777" w:rsidR="00855F80" w:rsidRDefault="00855F80" w:rsidP="00855F80">
      <w:pPr>
        <w:pStyle w:val="Nivel2SM"/>
      </w:pPr>
      <w:r>
        <w:t>Estudio de pánicos bancarios basados en información (a diferencia del modelo básico, basado en la creencia de que otros agentes retirarán sus depósitos).</w:t>
      </w:r>
    </w:p>
    <w:p w14:paraId="0A686AF8" w14:textId="77777777" w:rsidR="00855F80" w:rsidRPr="003F2B19" w:rsidRDefault="00855F80" w:rsidP="00855F80">
      <w:pPr>
        <w:pStyle w:val="Nivel2SM"/>
      </w:pPr>
      <w:r>
        <w:t>Incluso para el estudio de la introducción de moneda digital de los bancos centrales.</w:t>
      </w:r>
    </w:p>
    <w:p w14:paraId="62DC4FE8" w14:textId="77777777" w:rsidR="00855F80" w:rsidRDefault="00855F80" w:rsidP="00855F80">
      <w:pPr>
        <w:keepNext/>
        <w:keepLines/>
        <w:spacing w:before="120" w:after="60"/>
        <w:rPr>
          <w:b/>
          <w:bCs/>
          <w:color w:val="5F2987"/>
          <w:u w:val="single"/>
        </w:rPr>
      </w:pPr>
      <w:r>
        <w:rPr>
          <w:b/>
          <w:bCs/>
          <w:color w:val="5F2987"/>
          <w:u w:val="single"/>
        </w:rPr>
        <w:t>Evidencia empírica</w:t>
      </w:r>
    </w:p>
    <w:p w14:paraId="38F270BE" w14:textId="77777777" w:rsidR="00855F80" w:rsidRPr="00712745" w:rsidRDefault="00855F80" w:rsidP="00855F80">
      <w:pPr>
        <w:keepNext/>
        <w:keepLines/>
        <w:spacing w:before="120" w:after="60"/>
        <w:rPr>
          <w:b/>
          <w:bCs/>
          <w:color w:val="5F2987"/>
          <w:u w:val="single"/>
        </w:rPr>
      </w:pPr>
      <w:r>
        <w:rPr>
          <w:b/>
          <w:bCs/>
          <w:color w:val="5F2987"/>
          <w:u w:val="single"/>
        </w:rPr>
        <w:t>Valoración</w:t>
      </w:r>
      <w:bookmarkEnd w:id="61"/>
    </w:p>
    <w:p w14:paraId="47DBED5C" w14:textId="77777777" w:rsidR="00855F80" w:rsidRDefault="00855F80" w:rsidP="00855F80">
      <w:pPr>
        <w:pStyle w:val="Nivel1SM"/>
        <w:keepNext/>
        <w:spacing w:before="0" w:after="0"/>
      </w:pPr>
      <w:r>
        <w:rPr>
          <w:i/>
          <w:iCs/>
        </w:rPr>
        <w:t>Solución</w:t>
      </w:r>
      <w:r w:rsidRPr="006D0F9A">
        <w:t>:</w:t>
      </w:r>
      <w:r>
        <w:t xml:space="preserve"> Creación de Fondos de Garantías de Depósitos para evitar pánicos bancarios.</w:t>
      </w:r>
    </w:p>
    <w:p w14:paraId="5B2DAF12" w14:textId="77777777" w:rsidR="00855F80" w:rsidRDefault="00855F80" w:rsidP="00855F80">
      <w:pPr>
        <w:pStyle w:val="Nivel2SM"/>
      </w:pPr>
      <w:r>
        <w:t>Junto a la normativa prudencial para garantizar la dotación de recursos propios suficientes por las entidades, el regulador introduce medidas para hacer frente al impacto sistémico de la crisis de una entidad financiera. Por un lado, es necesario establecer un orden de prelación claro en el derecho de cobro por parte de los acreedores (depositantes, tenedores de deuda y accionistas). En este sentido, la especial sensibilidad de los depositantes como clientes minoristas ha conducido a la dotación de fondos de garantía de depósitos, los cuales garantizan un mínimo derecho de reintegro a favor de los depositantes en crisis</w:t>
      </w:r>
      <w:r>
        <w:rPr>
          <w:rStyle w:val="Refdenotaalpie"/>
        </w:rPr>
        <w:footnoteReference w:id="25"/>
      </w:r>
      <w:r>
        <w:t>.</w:t>
      </w:r>
    </w:p>
    <w:p w14:paraId="12829829" w14:textId="02A23EC7" w:rsidR="00712745" w:rsidRPr="00712745" w:rsidRDefault="00855F80" w:rsidP="00855F80">
      <w:pPr>
        <w:pStyle w:val="Nivel2SM"/>
        <w:rPr>
          <w:b/>
          <w:bCs/>
          <w:color w:val="5F2987"/>
          <w:u w:val="single"/>
        </w:rPr>
      </w:pPr>
      <w:r>
        <w:t>Además, a raíz de la reciente crisis financiera, se está impulsando la elaboración de planes de resolución por las entidades en las que se prevean los pasos a seguir, en primer lugar, para tratar de mantener a flote la entidad (</w:t>
      </w:r>
      <w:proofErr w:type="spellStart"/>
      <w:r>
        <w:rPr>
          <w:i/>
          <w:iCs/>
        </w:rPr>
        <w:t>going</w:t>
      </w:r>
      <w:proofErr w:type="spellEnd"/>
      <w:r>
        <w:rPr>
          <w:i/>
          <w:iCs/>
        </w:rPr>
        <w:t xml:space="preserve"> </w:t>
      </w:r>
      <w:proofErr w:type="spellStart"/>
      <w:r>
        <w:rPr>
          <w:i/>
          <w:iCs/>
        </w:rPr>
        <w:t>concern</w:t>
      </w:r>
      <w:proofErr w:type="spellEnd"/>
      <w:r>
        <w:t>) y, eventualmente, para organizar la disolución ordenada de la misma (</w:t>
      </w:r>
      <w:proofErr w:type="spellStart"/>
      <w:r>
        <w:rPr>
          <w:i/>
          <w:iCs/>
        </w:rPr>
        <w:t>gone</w:t>
      </w:r>
      <w:proofErr w:type="spellEnd"/>
      <w:r>
        <w:rPr>
          <w:i/>
          <w:iCs/>
        </w:rPr>
        <w:t xml:space="preserve"> </w:t>
      </w:r>
      <w:proofErr w:type="spellStart"/>
      <w:r>
        <w:rPr>
          <w:i/>
          <w:iCs/>
        </w:rPr>
        <w:t>concern</w:t>
      </w:r>
      <w:proofErr w:type="spellEnd"/>
      <w:r>
        <w:t>) en caso de que resulte imposible cubrir las necesidades de capital con recursos propios, acudiendo al mercado (ampliaciones de capital, emisiones de deuda) o aplicando pérdidas a los acreedores (</w:t>
      </w:r>
      <w:proofErr w:type="spellStart"/>
      <w:r>
        <w:rPr>
          <w:i/>
          <w:iCs/>
        </w:rPr>
        <w:t>bail</w:t>
      </w:r>
      <w:proofErr w:type="spellEnd"/>
      <w:r>
        <w:rPr>
          <w:i/>
          <w:iCs/>
        </w:rPr>
        <w:t>-in</w:t>
      </w:r>
      <w:r w:rsidRPr="00224E7F">
        <w:rPr>
          <w:rStyle w:val="Refdenotaalpie"/>
        </w:rPr>
        <w:footnoteReference w:id="26"/>
      </w:r>
      <w:r>
        <w:t>).</w:t>
      </w:r>
    </w:p>
    <w:sectPr w:rsidR="00712745" w:rsidRPr="00712745" w:rsidSect="005578B5">
      <w:headerReference w:type="even" r:id="rId27"/>
      <w:headerReference w:type="default" r:id="rId28"/>
      <w:footerReference w:type="even" r:id="rId29"/>
      <w:footerReference w:type="default" r:id="rId30"/>
      <w:headerReference w:type="first" r:id="rId31"/>
      <w:footerReference w:type="first" r:id="rId32"/>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5CFF2A" w14:textId="77777777" w:rsidR="00EB346E" w:rsidRDefault="00EB346E" w:rsidP="00B77C0F">
      <w:r>
        <w:separator/>
      </w:r>
    </w:p>
  </w:endnote>
  <w:endnote w:type="continuationSeparator" w:id="0">
    <w:p w14:paraId="012A8477" w14:textId="77777777" w:rsidR="00EB346E" w:rsidRDefault="00EB346E"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D2702C" w:rsidRPr="00C44422" w14:paraId="3E0618B5" w14:textId="77777777" w:rsidTr="00B777D0">
      <w:trPr>
        <w:trHeight w:val="138"/>
        <w:jc w:val="center"/>
      </w:trPr>
      <w:tc>
        <w:tcPr>
          <w:tcW w:w="1134" w:type="dxa"/>
        </w:tcPr>
        <w:p w14:paraId="066AB6D5" w14:textId="77777777" w:rsidR="00D2702C" w:rsidRPr="005578B5" w:rsidRDefault="00D2702C" w:rsidP="007C5B3D">
          <w:pPr>
            <w:pStyle w:val="Encabezado"/>
            <w:tabs>
              <w:tab w:val="clear" w:pos="4252"/>
              <w:tab w:val="clear" w:pos="8504"/>
              <w:tab w:val="right" w:pos="924"/>
              <w:tab w:val="center" w:pos="1310"/>
            </w:tabs>
            <w:spacing w:after="0"/>
            <w:contextualSpacing/>
            <w:jc w:val="left"/>
            <w:rPr>
              <w:i/>
              <w:iCs/>
              <w:color w:val="5F2987"/>
              <w:sz w:val="18"/>
              <w:szCs w:val="18"/>
            </w:rPr>
          </w:pPr>
          <w:r w:rsidRPr="005578B5">
            <w:rPr>
              <w:b/>
              <w:bCs/>
              <w:i/>
              <w:iCs/>
              <w:color w:val="5F2987"/>
              <w:spacing w:val="-6"/>
              <w:sz w:val="18"/>
              <w:szCs w:val="18"/>
            </w:rPr>
            <w:fldChar w:fldCharType="begin"/>
          </w:r>
          <w:r w:rsidRPr="005578B5">
            <w:rPr>
              <w:b/>
              <w:bCs/>
              <w:i/>
              <w:iCs/>
              <w:color w:val="5F2987"/>
              <w:spacing w:val="-6"/>
              <w:sz w:val="18"/>
              <w:szCs w:val="18"/>
            </w:rPr>
            <w:instrText>PAGE  \* Arabic  \* MERGEFORMAT</w:instrText>
          </w:r>
          <w:r w:rsidRPr="005578B5">
            <w:rPr>
              <w:b/>
              <w:bCs/>
              <w:i/>
              <w:iCs/>
              <w:color w:val="5F2987"/>
              <w:spacing w:val="-6"/>
              <w:sz w:val="18"/>
              <w:szCs w:val="18"/>
            </w:rPr>
            <w:fldChar w:fldCharType="separate"/>
          </w:r>
          <w:r w:rsidRPr="005578B5">
            <w:rPr>
              <w:b/>
              <w:bCs/>
              <w:i/>
              <w:iCs/>
              <w:color w:val="5F2987"/>
              <w:spacing w:val="-6"/>
              <w:sz w:val="18"/>
              <w:szCs w:val="18"/>
            </w:rPr>
            <w:t>2</w:t>
          </w:r>
          <w:r w:rsidRPr="005578B5">
            <w:rPr>
              <w:b/>
              <w:bCs/>
              <w:i/>
              <w:iCs/>
              <w:color w:val="5F2987"/>
              <w:spacing w:val="-6"/>
              <w:sz w:val="18"/>
              <w:szCs w:val="18"/>
            </w:rPr>
            <w:fldChar w:fldCharType="end"/>
          </w:r>
          <w:r w:rsidRPr="005578B5">
            <w:rPr>
              <w:b/>
              <w:bCs/>
              <w:i/>
              <w:iCs/>
              <w:color w:val="5F2987"/>
              <w:spacing w:val="-6"/>
              <w:sz w:val="18"/>
              <w:szCs w:val="18"/>
            </w:rPr>
            <w:t>/</w:t>
          </w:r>
          <w:r w:rsidRPr="005578B5">
            <w:rPr>
              <w:b/>
              <w:bCs/>
              <w:i/>
              <w:iCs/>
              <w:color w:val="5F2987"/>
              <w:spacing w:val="-6"/>
              <w:sz w:val="18"/>
              <w:szCs w:val="18"/>
            </w:rPr>
            <w:fldChar w:fldCharType="begin"/>
          </w:r>
          <w:r w:rsidRPr="005578B5">
            <w:rPr>
              <w:b/>
              <w:bCs/>
              <w:i/>
              <w:iCs/>
              <w:color w:val="5F2987"/>
              <w:spacing w:val="-6"/>
              <w:sz w:val="18"/>
              <w:szCs w:val="18"/>
            </w:rPr>
            <w:instrText>NUMPAGES  \* Arabic  \* MERGEFORMAT</w:instrText>
          </w:r>
          <w:r w:rsidRPr="005578B5">
            <w:rPr>
              <w:b/>
              <w:bCs/>
              <w:i/>
              <w:iCs/>
              <w:color w:val="5F2987"/>
              <w:spacing w:val="-6"/>
              <w:sz w:val="18"/>
              <w:szCs w:val="18"/>
            </w:rPr>
            <w:fldChar w:fldCharType="separate"/>
          </w:r>
          <w:r w:rsidRPr="005578B5">
            <w:rPr>
              <w:b/>
              <w:bCs/>
              <w:i/>
              <w:iCs/>
              <w:color w:val="5F2987"/>
              <w:spacing w:val="-6"/>
              <w:sz w:val="18"/>
              <w:szCs w:val="18"/>
            </w:rPr>
            <w:t>9</w:t>
          </w:r>
          <w:r w:rsidRPr="005578B5">
            <w:rPr>
              <w:b/>
              <w:bCs/>
              <w:i/>
              <w:iCs/>
              <w:color w:val="5F2987"/>
              <w:spacing w:val="-6"/>
              <w:sz w:val="18"/>
              <w:szCs w:val="18"/>
            </w:rPr>
            <w:fldChar w:fldCharType="end"/>
          </w:r>
        </w:p>
      </w:tc>
      <w:tc>
        <w:tcPr>
          <w:tcW w:w="7088" w:type="dxa"/>
          <w:vAlign w:val="center"/>
        </w:tcPr>
        <w:p w14:paraId="46F4CF70" w14:textId="77777777" w:rsidR="00D2702C" w:rsidRPr="005578B5" w:rsidRDefault="00D2702C" w:rsidP="007C5B3D">
          <w:pPr>
            <w:pStyle w:val="Encabezado"/>
            <w:spacing w:after="0"/>
            <w:ind w:right="-110"/>
            <w:contextualSpacing/>
            <w:jc w:val="center"/>
            <w:rPr>
              <w:i/>
              <w:iCs/>
              <w:color w:val="5F2987"/>
              <w:sz w:val="18"/>
              <w:szCs w:val="18"/>
            </w:rPr>
          </w:pPr>
        </w:p>
      </w:tc>
      <w:tc>
        <w:tcPr>
          <w:tcW w:w="2551" w:type="dxa"/>
          <w:vAlign w:val="center"/>
        </w:tcPr>
        <w:p w14:paraId="38C6CF29" w14:textId="77777777" w:rsidR="00D2702C" w:rsidRPr="005578B5" w:rsidRDefault="00D2702C" w:rsidP="007C5B3D">
          <w:pPr>
            <w:pStyle w:val="Encabezado"/>
            <w:spacing w:after="0"/>
            <w:contextualSpacing/>
            <w:jc w:val="right"/>
            <w:rPr>
              <w:b/>
              <w:bCs/>
              <w:i/>
              <w:iCs/>
              <w:color w:val="5F2987"/>
              <w:spacing w:val="-6"/>
              <w:sz w:val="18"/>
              <w:szCs w:val="18"/>
            </w:rPr>
          </w:pPr>
        </w:p>
      </w:tc>
    </w:tr>
  </w:tbl>
  <w:p w14:paraId="0AEEB62B" w14:textId="77777777" w:rsidR="00D2702C" w:rsidRPr="00500B85" w:rsidRDefault="00D2702C" w:rsidP="007C5B3D">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D2702C" w:rsidRPr="00C44422" w14:paraId="7F27CB52" w14:textId="77777777" w:rsidTr="0078055F">
          <w:trPr>
            <w:trHeight w:val="138"/>
            <w:jc w:val="center"/>
          </w:trPr>
          <w:tc>
            <w:tcPr>
              <w:tcW w:w="1134" w:type="dxa"/>
              <w:vAlign w:val="center"/>
            </w:tcPr>
            <w:p w14:paraId="47A7412C" w14:textId="77777777" w:rsidR="00D2702C" w:rsidRPr="005578B5" w:rsidRDefault="00D2702C" w:rsidP="00D96D0A">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67C0EF8" w14:textId="77777777" w:rsidR="00D2702C" w:rsidRPr="005578B5" w:rsidRDefault="00D2702C" w:rsidP="00D96D0A">
              <w:pPr>
                <w:pStyle w:val="Encabezado"/>
                <w:spacing w:after="0"/>
                <w:ind w:right="-110"/>
                <w:contextualSpacing/>
                <w:jc w:val="center"/>
                <w:rPr>
                  <w:i/>
                  <w:iCs/>
                  <w:color w:val="5F2987"/>
                  <w:sz w:val="18"/>
                  <w:szCs w:val="18"/>
                </w:rPr>
              </w:pPr>
            </w:p>
          </w:tc>
          <w:tc>
            <w:tcPr>
              <w:tcW w:w="2551" w:type="dxa"/>
              <w:vAlign w:val="center"/>
            </w:tcPr>
            <w:p w14:paraId="10574612" w14:textId="77777777" w:rsidR="00D2702C" w:rsidRPr="005578B5" w:rsidRDefault="00D2702C" w:rsidP="00D96D0A">
              <w:pPr>
                <w:pStyle w:val="Encabezado"/>
                <w:spacing w:after="0"/>
                <w:contextualSpacing/>
                <w:jc w:val="right"/>
                <w:rPr>
                  <w:b/>
                  <w:bCs/>
                  <w:i/>
                  <w:iCs/>
                  <w:color w:val="5F2987"/>
                  <w:spacing w:val="-6"/>
                  <w:sz w:val="18"/>
                  <w:szCs w:val="18"/>
                </w:rPr>
              </w:pPr>
              <w:r w:rsidRPr="005578B5">
                <w:rPr>
                  <w:b/>
                  <w:bCs/>
                  <w:i/>
                  <w:iCs/>
                  <w:color w:val="5F2987"/>
                  <w:spacing w:val="-6"/>
                  <w:sz w:val="18"/>
                  <w:szCs w:val="18"/>
                </w:rPr>
                <w:fldChar w:fldCharType="begin"/>
              </w:r>
              <w:r w:rsidRPr="005578B5">
                <w:rPr>
                  <w:b/>
                  <w:bCs/>
                  <w:i/>
                  <w:iCs/>
                  <w:color w:val="5F2987"/>
                  <w:spacing w:val="-6"/>
                  <w:sz w:val="18"/>
                  <w:szCs w:val="18"/>
                </w:rPr>
                <w:instrText>PAGE  \* Arabic  \* MERGEFORMAT</w:instrText>
              </w:r>
              <w:r w:rsidRPr="005578B5">
                <w:rPr>
                  <w:b/>
                  <w:bCs/>
                  <w:i/>
                  <w:iCs/>
                  <w:color w:val="5F2987"/>
                  <w:spacing w:val="-6"/>
                  <w:sz w:val="18"/>
                  <w:szCs w:val="18"/>
                </w:rPr>
                <w:fldChar w:fldCharType="separate"/>
              </w:r>
              <w:r w:rsidRPr="005578B5">
                <w:rPr>
                  <w:b/>
                  <w:bCs/>
                  <w:i/>
                  <w:iCs/>
                  <w:color w:val="5F2987"/>
                  <w:spacing w:val="-6"/>
                  <w:sz w:val="18"/>
                  <w:szCs w:val="18"/>
                </w:rPr>
                <w:t>1</w:t>
              </w:r>
              <w:r w:rsidRPr="005578B5">
                <w:rPr>
                  <w:b/>
                  <w:bCs/>
                  <w:i/>
                  <w:iCs/>
                  <w:color w:val="5F2987"/>
                  <w:spacing w:val="-6"/>
                  <w:sz w:val="18"/>
                  <w:szCs w:val="18"/>
                </w:rPr>
                <w:fldChar w:fldCharType="end"/>
              </w:r>
              <w:r w:rsidRPr="005578B5">
                <w:rPr>
                  <w:b/>
                  <w:bCs/>
                  <w:i/>
                  <w:iCs/>
                  <w:color w:val="5F2987"/>
                  <w:spacing w:val="-6"/>
                  <w:sz w:val="18"/>
                  <w:szCs w:val="18"/>
                </w:rPr>
                <w:t>/</w:t>
              </w:r>
              <w:r w:rsidRPr="005578B5">
                <w:rPr>
                  <w:b/>
                  <w:bCs/>
                  <w:i/>
                  <w:iCs/>
                  <w:color w:val="5F2987"/>
                  <w:spacing w:val="-6"/>
                  <w:sz w:val="18"/>
                  <w:szCs w:val="18"/>
                </w:rPr>
                <w:fldChar w:fldCharType="begin"/>
              </w:r>
              <w:r w:rsidRPr="005578B5">
                <w:rPr>
                  <w:b/>
                  <w:bCs/>
                  <w:i/>
                  <w:iCs/>
                  <w:color w:val="5F2987"/>
                  <w:spacing w:val="-6"/>
                  <w:sz w:val="18"/>
                  <w:szCs w:val="18"/>
                </w:rPr>
                <w:instrText>NUMPAGES  \* Arabic  \* MERGEFORMAT</w:instrText>
              </w:r>
              <w:r w:rsidRPr="005578B5">
                <w:rPr>
                  <w:b/>
                  <w:bCs/>
                  <w:i/>
                  <w:iCs/>
                  <w:color w:val="5F2987"/>
                  <w:spacing w:val="-6"/>
                  <w:sz w:val="18"/>
                  <w:szCs w:val="18"/>
                </w:rPr>
                <w:fldChar w:fldCharType="separate"/>
              </w:r>
              <w:r w:rsidRPr="005578B5">
                <w:rPr>
                  <w:b/>
                  <w:bCs/>
                  <w:i/>
                  <w:iCs/>
                  <w:color w:val="5F2987"/>
                  <w:spacing w:val="-6"/>
                  <w:sz w:val="18"/>
                  <w:szCs w:val="18"/>
                </w:rPr>
                <w:t>2</w:t>
              </w:r>
              <w:r w:rsidRPr="005578B5">
                <w:rPr>
                  <w:b/>
                  <w:bCs/>
                  <w:i/>
                  <w:iCs/>
                  <w:color w:val="5F2987"/>
                  <w:spacing w:val="-6"/>
                  <w:sz w:val="18"/>
                  <w:szCs w:val="18"/>
                </w:rPr>
                <w:fldChar w:fldCharType="end"/>
              </w:r>
            </w:p>
          </w:tc>
        </w:tr>
      </w:tbl>
      <w:p w14:paraId="34AFFE21" w14:textId="77777777" w:rsidR="00D2702C" w:rsidRPr="00C80BBD" w:rsidRDefault="00000000" w:rsidP="00D96D0A">
        <w:pPr>
          <w:spacing w:after="0" w:line="240" w:lineRule="auto"/>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733549401"/>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D2702C" w:rsidRPr="00C44422" w14:paraId="3D10ACF0" w14:textId="77777777" w:rsidTr="0078055F">
          <w:trPr>
            <w:trHeight w:val="138"/>
            <w:jc w:val="center"/>
          </w:trPr>
          <w:tc>
            <w:tcPr>
              <w:tcW w:w="1134" w:type="dxa"/>
              <w:vAlign w:val="center"/>
            </w:tcPr>
            <w:p w14:paraId="12E1D213" w14:textId="77777777" w:rsidR="00D2702C" w:rsidRPr="005578B5" w:rsidRDefault="00D2702C" w:rsidP="00FA525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C44CD88" w14:textId="77777777" w:rsidR="00D2702C" w:rsidRPr="005578B5" w:rsidRDefault="00D2702C" w:rsidP="00FA5252">
              <w:pPr>
                <w:pStyle w:val="Encabezado"/>
                <w:spacing w:after="0"/>
                <w:ind w:right="-110"/>
                <w:contextualSpacing/>
                <w:jc w:val="center"/>
                <w:rPr>
                  <w:i/>
                  <w:iCs/>
                  <w:color w:val="5F2987"/>
                  <w:sz w:val="18"/>
                  <w:szCs w:val="18"/>
                </w:rPr>
              </w:pPr>
            </w:p>
          </w:tc>
          <w:tc>
            <w:tcPr>
              <w:tcW w:w="2551" w:type="dxa"/>
              <w:vAlign w:val="center"/>
            </w:tcPr>
            <w:p w14:paraId="768DE82B" w14:textId="77777777" w:rsidR="00D2702C" w:rsidRPr="005578B5" w:rsidRDefault="00D2702C" w:rsidP="00FA5252">
              <w:pPr>
                <w:pStyle w:val="Encabezado"/>
                <w:spacing w:after="0"/>
                <w:contextualSpacing/>
                <w:jc w:val="right"/>
                <w:rPr>
                  <w:b/>
                  <w:bCs/>
                  <w:i/>
                  <w:iCs/>
                  <w:color w:val="5F2987"/>
                  <w:spacing w:val="-6"/>
                  <w:sz w:val="18"/>
                  <w:szCs w:val="18"/>
                </w:rPr>
              </w:pPr>
              <w:r w:rsidRPr="005578B5">
                <w:rPr>
                  <w:b/>
                  <w:bCs/>
                  <w:i/>
                  <w:iCs/>
                  <w:color w:val="5F2987"/>
                  <w:spacing w:val="-6"/>
                  <w:sz w:val="18"/>
                  <w:szCs w:val="18"/>
                </w:rPr>
                <w:fldChar w:fldCharType="begin"/>
              </w:r>
              <w:r w:rsidRPr="005578B5">
                <w:rPr>
                  <w:b/>
                  <w:bCs/>
                  <w:i/>
                  <w:iCs/>
                  <w:color w:val="5F2987"/>
                  <w:spacing w:val="-6"/>
                  <w:sz w:val="18"/>
                  <w:szCs w:val="18"/>
                </w:rPr>
                <w:instrText>PAGE  \* Arabic  \* MERGEFORMAT</w:instrText>
              </w:r>
              <w:r w:rsidRPr="005578B5">
                <w:rPr>
                  <w:b/>
                  <w:bCs/>
                  <w:i/>
                  <w:iCs/>
                  <w:color w:val="5F2987"/>
                  <w:spacing w:val="-6"/>
                  <w:sz w:val="18"/>
                  <w:szCs w:val="18"/>
                </w:rPr>
                <w:fldChar w:fldCharType="separate"/>
              </w:r>
              <w:r w:rsidRPr="005578B5">
                <w:rPr>
                  <w:b/>
                  <w:bCs/>
                  <w:i/>
                  <w:iCs/>
                  <w:color w:val="5F2987"/>
                  <w:spacing w:val="-6"/>
                  <w:sz w:val="18"/>
                  <w:szCs w:val="18"/>
                </w:rPr>
                <w:t>1</w:t>
              </w:r>
              <w:r w:rsidRPr="005578B5">
                <w:rPr>
                  <w:b/>
                  <w:bCs/>
                  <w:i/>
                  <w:iCs/>
                  <w:color w:val="5F2987"/>
                  <w:spacing w:val="-6"/>
                  <w:sz w:val="18"/>
                  <w:szCs w:val="18"/>
                </w:rPr>
                <w:fldChar w:fldCharType="end"/>
              </w:r>
              <w:r w:rsidRPr="005578B5">
                <w:rPr>
                  <w:b/>
                  <w:bCs/>
                  <w:i/>
                  <w:iCs/>
                  <w:color w:val="5F2987"/>
                  <w:spacing w:val="-6"/>
                  <w:sz w:val="18"/>
                  <w:szCs w:val="18"/>
                </w:rPr>
                <w:t>/</w:t>
              </w:r>
              <w:r w:rsidRPr="005578B5">
                <w:rPr>
                  <w:b/>
                  <w:bCs/>
                  <w:i/>
                  <w:iCs/>
                  <w:color w:val="5F2987"/>
                  <w:spacing w:val="-6"/>
                  <w:sz w:val="18"/>
                  <w:szCs w:val="18"/>
                </w:rPr>
                <w:fldChar w:fldCharType="begin"/>
              </w:r>
              <w:r w:rsidRPr="005578B5">
                <w:rPr>
                  <w:b/>
                  <w:bCs/>
                  <w:i/>
                  <w:iCs/>
                  <w:color w:val="5F2987"/>
                  <w:spacing w:val="-6"/>
                  <w:sz w:val="18"/>
                  <w:szCs w:val="18"/>
                </w:rPr>
                <w:instrText>NUMPAGES  \* Arabic  \* MERGEFORMAT</w:instrText>
              </w:r>
              <w:r w:rsidRPr="005578B5">
                <w:rPr>
                  <w:b/>
                  <w:bCs/>
                  <w:i/>
                  <w:iCs/>
                  <w:color w:val="5F2987"/>
                  <w:spacing w:val="-6"/>
                  <w:sz w:val="18"/>
                  <w:szCs w:val="18"/>
                </w:rPr>
                <w:fldChar w:fldCharType="separate"/>
              </w:r>
              <w:r w:rsidRPr="005578B5">
                <w:rPr>
                  <w:b/>
                  <w:bCs/>
                  <w:i/>
                  <w:iCs/>
                  <w:color w:val="5F2987"/>
                  <w:spacing w:val="-6"/>
                  <w:sz w:val="18"/>
                  <w:szCs w:val="18"/>
                </w:rPr>
                <w:t>2</w:t>
              </w:r>
              <w:r w:rsidRPr="005578B5">
                <w:rPr>
                  <w:b/>
                  <w:bCs/>
                  <w:i/>
                  <w:iCs/>
                  <w:color w:val="5F2987"/>
                  <w:spacing w:val="-6"/>
                  <w:sz w:val="18"/>
                  <w:szCs w:val="18"/>
                </w:rPr>
                <w:fldChar w:fldCharType="end"/>
              </w:r>
            </w:p>
          </w:tc>
        </w:tr>
      </w:tbl>
      <w:p w14:paraId="43C73BA5" w14:textId="77777777" w:rsidR="00D2702C" w:rsidRPr="00C80BBD" w:rsidRDefault="00000000" w:rsidP="00FA5252">
        <w:pPr>
          <w:spacing w:after="0" w:line="240" w:lineRule="auto"/>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B6E91" w14:textId="77777777" w:rsidR="00EB346E" w:rsidRPr="00417327" w:rsidRDefault="00EB346E" w:rsidP="00417327">
      <w:pPr>
        <w:spacing w:after="0" w:line="240" w:lineRule="auto"/>
        <w:rPr>
          <w:sz w:val="16"/>
          <w:szCs w:val="16"/>
        </w:rPr>
      </w:pPr>
      <w:r w:rsidRPr="00417327">
        <w:rPr>
          <w:sz w:val="16"/>
          <w:szCs w:val="16"/>
        </w:rPr>
        <w:separator/>
      </w:r>
    </w:p>
  </w:footnote>
  <w:footnote w:type="continuationSeparator" w:id="0">
    <w:p w14:paraId="1421CC20" w14:textId="77777777" w:rsidR="00EB346E" w:rsidRPr="0097473E" w:rsidRDefault="00EB346E" w:rsidP="0097473E">
      <w:pPr>
        <w:spacing w:after="0" w:line="240" w:lineRule="auto"/>
        <w:rPr>
          <w:sz w:val="16"/>
          <w:szCs w:val="16"/>
        </w:rPr>
      </w:pPr>
      <w:r w:rsidRPr="0097473E">
        <w:rPr>
          <w:sz w:val="16"/>
          <w:szCs w:val="16"/>
        </w:rPr>
        <w:continuationSeparator/>
      </w:r>
    </w:p>
  </w:footnote>
  <w:footnote w:type="continuationNotice" w:id="1">
    <w:p w14:paraId="00FA9425" w14:textId="77777777" w:rsidR="00EB346E" w:rsidRPr="0097473E" w:rsidRDefault="00EB346E" w:rsidP="0097473E">
      <w:pPr>
        <w:spacing w:after="0" w:line="192" w:lineRule="auto"/>
        <w:jc w:val="right"/>
        <w:rPr>
          <w:rFonts w:ascii="Arial" w:eastAsia="Times New Roman" w:hAnsi="Arial" w:cs="Arial"/>
          <w:color w:val="202122"/>
          <w:sz w:val="16"/>
          <w:szCs w:val="16"/>
          <w:lang w:eastAsia="es-ES"/>
        </w:rPr>
      </w:pPr>
      <w:r>
        <w:rPr>
          <w:rFonts w:ascii="Cambria Math" w:eastAsia="Times New Roman" w:hAnsi="Cambria Math" w:cs="Cambria Math"/>
          <w:color w:val="202122"/>
          <w:sz w:val="16"/>
          <w:szCs w:val="16"/>
          <w:lang w:eastAsia="es-ES"/>
        </w:rPr>
        <w:t>↪</w:t>
      </w:r>
    </w:p>
  </w:footnote>
  <w:footnote w:id="2">
    <w:p w14:paraId="361E3D37" w14:textId="77777777" w:rsidR="00E63CC3" w:rsidRDefault="00E63CC3" w:rsidP="00E63CC3">
      <w:pPr>
        <w:pStyle w:val="Textonotapie"/>
      </w:pPr>
      <w:r>
        <w:rPr>
          <w:rStyle w:val="Refdenotaalpie"/>
        </w:rPr>
        <w:footnoteRef/>
      </w:r>
      <w:r>
        <w:t xml:space="preserve"> </w:t>
      </w:r>
      <w:proofErr w:type="spellStart"/>
      <w:r>
        <w:rPr>
          <w:i/>
          <w:iCs/>
          <w:u w:val="single"/>
        </w:rPr>
        <w:t>Sudden</w:t>
      </w:r>
      <w:proofErr w:type="spellEnd"/>
      <w:r>
        <w:rPr>
          <w:i/>
          <w:iCs/>
          <w:u w:val="single"/>
        </w:rPr>
        <w:t xml:space="preserve"> stop</w:t>
      </w:r>
      <w:r>
        <w:t>: Parada súbita en las entradas de capital internacional o incluso reversión de estos movimientos (salida de capitales). Pueden suceder a pesar de no haber problemas de deuda externa.</w:t>
      </w:r>
    </w:p>
  </w:footnote>
  <w:footnote w:id="3">
    <w:p w14:paraId="24832241" w14:textId="77777777" w:rsidR="00382C18" w:rsidRDefault="00382C18" w:rsidP="00382C18">
      <w:pPr>
        <w:pStyle w:val="Textonotapie"/>
        <w:spacing w:after="0"/>
      </w:pPr>
      <w:r>
        <w:rPr>
          <w:rStyle w:val="Refdenotaalpie"/>
        </w:rPr>
        <w:footnoteRef/>
      </w:r>
      <w:r>
        <w:t xml:space="preserve"> </w:t>
      </w:r>
      <w:r w:rsidRPr="008003EE">
        <w:rPr>
          <w:i/>
          <w:iCs/>
          <w:u w:val="single"/>
        </w:rPr>
        <w:t>Disclaimer</w:t>
      </w:r>
      <w:r>
        <w:t xml:space="preserve">: </w:t>
      </w:r>
      <w:r w:rsidRPr="008003EE">
        <w:t>Definimos</w:t>
      </w:r>
      <w:r>
        <w:t xml:space="preserve"> el tipo de cambio como el </w:t>
      </w:r>
      <w:r w:rsidRPr="003B1991">
        <w:rPr>
          <w:i/>
          <w:iCs/>
        </w:rPr>
        <w:t>tipo de cambio directo</w:t>
      </w:r>
      <w:r>
        <w:t xml:space="preserve"> (o </w:t>
      </w:r>
      <w:r w:rsidRPr="003B1991">
        <w:rPr>
          <w:i/>
          <w:iCs/>
        </w:rPr>
        <w:t>europeo</w:t>
      </w:r>
      <w:r>
        <w:rPr>
          <w:i/>
          <w:iCs/>
        </w:rPr>
        <w:t xml:space="preserve"> – </w:t>
      </w:r>
      <w:r w:rsidRPr="00327740">
        <w:rPr>
          <w:i/>
          <w:iCs/>
        </w:rPr>
        <w:t xml:space="preserve">Price </w:t>
      </w:r>
      <w:proofErr w:type="spellStart"/>
      <w:r w:rsidRPr="00327740">
        <w:rPr>
          <w:i/>
          <w:iCs/>
        </w:rPr>
        <w:t>quotation</w:t>
      </w:r>
      <w:proofErr w:type="spellEnd"/>
      <w:r w:rsidRPr="00327740">
        <w:rPr>
          <w:i/>
          <w:iCs/>
        </w:rPr>
        <w:t xml:space="preserve"> </w:t>
      </w:r>
      <w:proofErr w:type="spellStart"/>
      <w:r w:rsidRPr="00327740">
        <w:rPr>
          <w:i/>
          <w:iCs/>
        </w:rPr>
        <w:t>system</w:t>
      </w:r>
      <w:proofErr w:type="spellEnd"/>
      <w:r>
        <w:t xml:space="preserve">), de forma que indicamos cuántas unidades de divisa nacional necesitamos para comprar una divisa extranjera (i.e. el </w:t>
      </w:r>
      <w:r>
        <w:rPr>
          <w:b/>
          <w:bCs/>
        </w:rPr>
        <w:t>precio</w:t>
      </w:r>
      <w:r>
        <w:t xml:space="preserve"> de la divisa extranjera en términos de divisa local). Recientemente, ha ido ganando peso la definición alternativa de tipo de cambio, </w:t>
      </w:r>
      <w:r>
        <w:rPr>
          <w:i/>
          <w:iCs/>
        </w:rPr>
        <w:t>tipo de cambio indirecto</w:t>
      </w:r>
      <w:r>
        <w:t xml:space="preserve"> (o </w:t>
      </w:r>
      <w:r w:rsidRPr="003B1991">
        <w:rPr>
          <w:i/>
          <w:iCs/>
        </w:rPr>
        <w:t>americano</w:t>
      </w:r>
      <w:r>
        <w:t xml:space="preserve"> – </w:t>
      </w:r>
      <w:proofErr w:type="spellStart"/>
      <w:r>
        <w:rPr>
          <w:i/>
          <w:iCs/>
        </w:rPr>
        <w:t>Volume</w:t>
      </w:r>
      <w:proofErr w:type="spellEnd"/>
      <w:r w:rsidRPr="00327740">
        <w:rPr>
          <w:i/>
          <w:iCs/>
        </w:rPr>
        <w:t xml:space="preserve"> </w:t>
      </w:r>
      <w:proofErr w:type="spellStart"/>
      <w:r w:rsidRPr="00327740">
        <w:rPr>
          <w:i/>
          <w:iCs/>
        </w:rPr>
        <w:t>quotation</w:t>
      </w:r>
      <w:proofErr w:type="spellEnd"/>
      <w:r w:rsidRPr="00327740">
        <w:rPr>
          <w:i/>
          <w:iCs/>
        </w:rPr>
        <w:t xml:space="preserve"> </w:t>
      </w:r>
      <w:proofErr w:type="spellStart"/>
      <w:r w:rsidRPr="00327740">
        <w:rPr>
          <w:i/>
          <w:iCs/>
        </w:rPr>
        <w:t>system</w:t>
      </w:r>
      <w:proofErr w:type="spellEnd"/>
      <w:r>
        <w:t xml:space="preserve">), que expresa cuantas unidades de divisa extranjera son necesarias para comprar una unidad de moneda local. Es por ello </w:t>
      </w:r>
      <w:proofErr w:type="gramStart"/>
      <w:r>
        <w:t>que</w:t>
      </w:r>
      <w:proofErr w:type="gramEnd"/>
      <w:r>
        <w:t xml:space="preserve"> es necesario hacer este </w:t>
      </w:r>
      <w:r w:rsidRPr="003B1991">
        <w:rPr>
          <w:i/>
          <w:iCs/>
        </w:rPr>
        <w:t>disclaimer</w:t>
      </w:r>
      <w:r>
        <w:t>, ya que los profesores que formen parte del tribunal pueden no estar habituados a esta expresión del tipo de cambio.</w:t>
      </w:r>
    </w:p>
    <w:p w14:paraId="55C5D8E0" w14:textId="77777777" w:rsidR="00382C18" w:rsidRPr="003B1991" w:rsidRDefault="00382C18" w:rsidP="00382C18">
      <w:pPr>
        <w:pStyle w:val="Textonotapie"/>
      </w:pPr>
      <w:r>
        <w:t>La definición que usamos nosotros implicará que un aumento en el tipo de cambio (</w:t>
      </w:r>
      <m:oMath>
        <m:r>
          <m:rPr>
            <m:nor/>
          </m:rPr>
          <w:rPr>
            <w:rFonts w:ascii="Times New Roman" w:hAnsi="Times New Roman" w:cs="Times New Roman"/>
            <w:i/>
          </w:rPr>
          <m:t>↑</m:t>
        </m:r>
        <m:r>
          <m:rPr>
            <m:nor/>
          </m:rPr>
          <w:rPr>
            <w:i/>
          </w:rPr>
          <m:t>E</m:t>
        </m:r>
      </m:oMath>
      <w:r>
        <w:t>) suponga una depreciación, ya que será necesaria más moneda doméstica para comprar una unidad de divisa extranjera.</w:t>
      </w:r>
    </w:p>
  </w:footnote>
  <w:footnote w:id="4">
    <w:p w14:paraId="3E5B5D9E" w14:textId="2CC9B27F" w:rsidR="006C2C78" w:rsidRDefault="006C2C78" w:rsidP="006C2C78">
      <w:pPr>
        <w:pStyle w:val="Textonotapie"/>
      </w:pPr>
      <w:r>
        <w:rPr>
          <w:rStyle w:val="Refdenotaalpie"/>
        </w:rPr>
        <w:footnoteRef/>
      </w:r>
      <w:r>
        <w:t xml:space="preserve"> </w:t>
      </w:r>
      <w:r w:rsidRPr="00E0737D">
        <w:rPr>
          <w:rFonts w:eastAsiaTheme="minorEastAsia"/>
        </w:rPr>
        <w:t xml:space="preserve">La única forma de </w:t>
      </w:r>
      <w:r w:rsidRPr="00E0737D">
        <w:rPr>
          <w:rFonts w:eastAsiaTheme="minorEastAsia"/>
          <w:b/>
          <w:bCs/>
        </w:rPr>
        <w:t>influir en el tipo de cambio nominal</w:t>
      </w:r>
      <w:r w:rsidRPr="00E0737D">
        <w:rPr>
          <w:rFonts w:eastAsiaTheme="minorEastAsia"/>
        </w:rPr>
        <w:t xml:space="preserve"> es mediante la </w:t>
      </w:r>
      <w:r w:rsidRPr="00E0737D">
        <w:rPr>
          <w:rFonts w:eastAsiaTheme="minorEastAsia"/>
          <w:b/>
          <w:bCs/>
        </w:rPr>
        <w:t xml:space="preserve">intervención </w:t>
      </w:r>
      <w:r w:rsidRPr="00E0737D">
        <w:rPr>
          <w:rFonts w:eastAsiaTheme="minorEastAsia"/>
        </w:rPr>
        <w:t>(i.e. compra-venta de moneda nacional), no</w:t>
      </w:r>
      <w:r>
        <w:rPr>
          <w:rFonts w:eastAsiaTheme="minorEastAsia"/>
        </w:rPr>
        <w:t> </w:t>
      </w:r>
      <w:r w:rsidRPr="00E0737D">
        <w:rPr>
          <w:rFonts w:eastAsiaTheme="minorEastAsia"/>
        </w:rPr>
        <w:t>mediante la regulación (i.e. controles de capitales, etc.).</w:t>
      </w:r>
    </w:p>
  </w:footnote>
  <w:footnote w:id="5">
    <w:p w14:paraId="59421952" w14:textId="77777777" w:rsidR="00342DC4" w:rsidRDefault="00342DC4" w:rsidP="00342DC4">
      <w:pPr>
        <w:pStyle w:val="Textonotapie"/>
        <w:keepNext/>
        <w:spacing w:after="0"/>
      </w:pPr>
      <w:r>
        <w:rPr>
          <w:rStyle w:val="Refdenotaalpie"/>
        </w:rPr>
        <w:footnoteRef/>
      </w:r>
      <w:r>
        <w:t xml:space="preserve"> </w:t>
      </w:r>
      <w:proofErr w:type="spellStart"/>
      <w:r>
        <w:rPr>
          <w:smallCaps/>
        </w:rPr>
        <w:t>Flood</w:t>
      </w:r>
      <w:proofErr w:type="spellEnd"/>
      <w:r>
        <w:t xml:space="preserve"> y </w:t>
      </w:r>
      <w:r>
        <w:rPr>
          <w:smallCaps/>
        </w:rPr>
        <w:t>Garber</w:t>
      </w:r>
      <w:r>
        <w:t xml:space="preserve"> estiman el momento del ataque especulativo a partir de la condición de no-arbitraje.</w:t>
      </w:r>
    </w:p>
    <w:p w14:paraId="57D23E06" w14:textId="77777777" w:rsidR="00342DC4" w:rsidRPr="00B556E5" w:rsidRDefault="00342DC4">
      <w:pPr>
        <w:pStyle w:val="Textonotapie"/>
        <w:numPr>
          <w:ilvl w:val="0"/>
          <w:numId w:val="24"/>
        </w:numPr>
        <w:spacing w:after="0"/>
        <w:ind w:left="283" w:hanging="113"/>
      </w:pPr>
      <w:r>
        <w:t xml:space="preserve">Si </w:t>
      </w:r>
      <m:oMath>
        <m:acc>
          <m:accPr>
            <m:chr m:val="̃"/>
            <m:ctrlPr>
              <w:rPr>
                <w:rFonts w:ascii="Cambria Math" w:hAnsi="Cambria Math"/>
                <w:i/>
              </w:rPr>
            </m:ctrlPr>
          </m:accPr>
          <m:e>
            <m:r>
              <m:rPr>
                <m:nor/>
              </m:rPr>
              <w:rPr>
                <w:i/>
              </w:rPr>
              <m:t>e</m:t>
            </m:r>
          </m:e>
        </m:acc>
        <m:r>
          <w:rPr>
            <w:rFonts w:ascii="Cambria Math" w:hAnsi="Cambria Math"/>
          </w:rPr>
          <m:t>&lt;</m:t>
        </m:r>
        <m:acc>
          <m:accPr>
            <m:chr m:val="̅"/>
            <m:ctrlPr>
              <w:rPr>
                <w:rFonts w:ascii="Cambria Math" w:hAnsi="Cambria Math"/>
                <w:i/>
              </w:rPr>
            </m:ctrlPr>
          </m:accPr>
          <m:e>
            <m:r>
              <m:rPr>
                <m:nor/>
              </m:rPr>
              <w:rPr>
                <w:i/>
              </w:rPr>
              <m:t>e</m:t>
            </m:r>
          </m:e>
        </m:acc>
      </m:oMath>
      <w:r>
        <w:t>, el tipo de cambio sombra estará más apreciado que el oficial, por lo que el tipo de cambio se apreciaría tras el colapso. Los especuladores racionales no atacarían porque no obtendrían beneficios por vender la divisa nacional y comprarla al tipo de cambio sombra (más apreciado).</w:t>
      </w:r>
    </w:p>
    <w:p w14:paraId="37A240D9" w14:textId="77777777" w:rsidR="00342DC4" w:rsidRPr="00B556E5" w:rsidRDefault="00342DC4">
      <w:pPr>
        <w:pStyle w:val="Textonotapie"/>
        <w:numPr>
          <w:ilvl w:val="0"/>
          <w:numId w:val="24"/>
        </w:numPr>
        <w:spacing w:after="0"/>
        <w:ind w:left="283" w:hanging="113"/>
      </w:pPr>
      <w:r>
        <w:t xml:space="preserve">Si </w:t>
      </w:r>
      <m:oMath>
        <m:acc>
          <m:accPr>
            <m:chr m:val="̃"/>
            <m:ctrlPr>
              <w:rPr>
                <w:rFonts w:ascii="Cambria Math" w:hAnsi="Cambria Math"/>
                <w:i/>
              </w:rPr>
            </m:ctrlPr>
          </m:accPr>
          <m:e>
            <m:r>
              <m:rPr>
                <m:nor/>
              </m:rPr>
              <w:rPr>
                <w:i/>
                <w:iCs/>
              </w:rPr>
              <m:t>e</m:t>
            </m:r>
          </m:e>
        </m:acc>
        <m:r>
          <w:rPr>
            <w:rFonts w:ascii="Cambria Math" w:hAnsi="Cambria Math"/>
          </w:rPr>
          <m:t>&gt;</m:t>
        </m:r>
        <m:acc>
          <m:accPr>
            <m:chr m:val="̅"/>
            <m:ctrlPr>
              <w:rPr>
                <w:rFonts w:ascii="Cambria Math" w:hAnsi="Cambria Math"/>
                <w:i/>
              </w:rPr>
            </m:ctrlPr>
          </m:accPr>
          <m:e>
            <m:r>
              <m:rPr>
                <m:nor/>
              </m:rPr>
              <w:rPr>
                <w:i/>
                <w:iCs/>
              </w:rPr>
              <m:t>e</m:t>
            </m:r>
          </m:e>
        </m:acc>
      </m:oMath>
      <w:r>
        <w:t xml:space="preserve">, en el momento en el que el tipo de cambio sombra este más depreciado que el oficial, los especuladores tratarán de obtener beneficios comprando divisas al tipo oficial </w:t>
      </w:r>
      <m:oMath>
        <m:acc>
          <m:accPr>
            <m:chr m:val="̅"/>
            <m:ctrlPr>
              <w:rPr>
                <w:rFonts w:ascii="Cambria Math" w:hAnsi="Cambria Math"/>
                <w:i/>
              </w:rPr>
            </m:ctrlPr>
          </m:accPr>
          <m:e>
            <m:r>
              <m:rPr>
                <m:nor/>
              </m:rPr>
              <w:rPr>
                <w:i/>
                <w:iCs/>
              </w:rPr>
              <m:t>e</m:t>
            </m:r>
          </m:e>
        </m:acc>
      </m:oMath>
      <w:r>
        <w:t xml:space="preserve"> para venderlas más caras cuando el país abandone el tipo de cambio fijo y la moneda fluctúe libremente al tipo de cambio sombra. La venta masiva de moneda nacional precipitaría el colapso del sistema.</w:t>
      </w:r>
    </w:p>
    <w:p w14:paraId="669EA869" w14:textId="77777777" w:rsidR="00342DC4" w:rsidRDefault="00342DC4">
      <w:pPr>
        <w:pStyle w:val="Textonotapie"/>
        <w:numPr>
          <w:ilvl w:val="0"/>
          <w:numId w:val="24"/>
        </w:numPr>
        <w:ind w:left="283" w:hanging="113"/>
      </w:pPr>
      <w:r>
        <w:t xml:space="preserve">La competencia por capturar el beneficio provocaría incentivos para anticiparse a los competidores atacando un instante antes, lo que en un contexto de previsión e información perfecta garantizará que el ataque tenga lugar en el momento en el que el beneficio sea nulo. Esto se cumplirá cuando </w:t>
      </w:r>
      <m:oMath>
        <m:acc>
          <m:accPr>
            <m:chr m:val="̃"/>
            <m:ctrlPr>
              <w:rPr>
                <w:rFonts w:ascii="Cambria Math" w:hAnsi="Cambria Math"/>
                <w:i/>
              </w:rPr>
            </m:ctrlPr>
          </m:accPr>
          <m:e>
            <m:r>
              <m:rPr>
                <m:nor/>
              </m:rPr>
              <w:rPr>
                <w:i/>
                <w:iCs/>
              </w:rPr>
              <m:t>e</m:t>
            </m:r>
          </m:e>
        </m:acc>
        <m:r>
          <w:rPr>
            <w:rFonts w:ascii="Cambria Math" w:hAnsi="Cambria Math"/>
          </w:rPr>
          <m:t>=</m:t>
        </m:r>
        <m:acc>
          <m:accPr>
            <m:chr m:val="̅"/>
            <m:ctrlPr>
              <w:rPr>
                <w:rFonts w:ascii="Cambria Math" w:hAnsi="Cambria Math"/>
                <w:i/>
              </w:rPr>
            </m:ctrlPr>
          </m:accPr>
          <m:e>
            <m:r>
              <m:rPr>
                <m:nor/>
              </m:rPr>
              <w:rPr>
                <w:i/>
                <w:iCs/>
              </w:rPr>
              <m:t>e</m:t>
            </m:r>
          </m:e>
        </m:acc>
      </m:oMath>
      <w:r>
        <w:t>.</w:t>
      </w:r>
    </w:p>
    <w:p w14:paraId="6FAFAD57" w14:textId="77777777" w:rsidR="00342DC4" w:rsidRDefault="00342DC4" w:rsidP="00342DC4">
      <w:pPr>
        <w:pStyle w:val="Textonotapie"/>
        <w:keepNext/>
        <w:spacing w:after="0"/>
      </w:pPr>
      <w:r w:rsidRPr="008A2746">
        <w:rPr>
          <w:i/>
          <w:iCs/>
        </w:rPr>
        <w:t>Ejemplo práctico</w:t>
      </w:r>
      <w:r w:rsidRPr="008A2746">
        <w:t>:</w:t>
      </w:r>
    </w:p>
    <w:p w14:paraId="4199E3B5" w14:textId="77777777" w:rsidR="00342DC4" w:rsidRDefault="00342DC4">
      <w:pPr>
        <w:pStyle w:val="Textonotapie"/>
        <w:keepNext/>
        <w:numPr>
          <w:ilvl w:val="0"/>
          <w:numId w:val="27"/>
        </w:numPr>
        <w:spacing w:after="0"/>
        <w:ind w:left="283" w:hanging="113"/>
      </w:pPr>
      <w:r>
        <w:t>A</w:t>
      </w:r>
      <w:r w:rsidRPr="008A2746">
        <w:t xml:space="preserve">ntes de </w:t>
      </w:r>
      <w:r w:rsidRPr="008A2746">
        <w:rPr>
          <w:i/>
          <w:iCs/>
        </w:rPr>
        <w:t>T</w:t>
      </w:r>
      <w:r w:rsidRPr="008A2746">
        <w:t xml:space="preserve">, </w:t>
      </w:r>
      <m:oMath>
        <m:acc>
          <m:accPr>
            <m:chr m:val="̃"/>
            <m:ctrlPr>
              <w:rPr>
                <w:rFonts w:ascii="Cambria Math" w:hAnsi="Cambria Math"/>
                <w:i/>
              </w:rPr>
            </m:ctrlPr>
          </m:accPr>
          <m:e>
            <m:r>
              <m:rPr>
                <m:nor/>
              </m:rPr>
              <w:rPr>
                <w:i/>
                <w:iCs/>
              </w:rPr>
              <m:t>e</m:t>
            </m:r>
          </m:e>
        </m:acc>
        <m:r>
          <w:rPr>
            <w:rFonts w:ascii="Cambria Math" w:hAnsi="Cambria Math"/>
          </w:rPr>
          <m:t>=</m:t>
        </m:r>
        <m:r>
          <m:rPr>
            <m:nor/>
          </m:rPr>
          <w:rPr>
            <w:i/>
            <w:iCs/>
          </w:rPr>
          <m:t>0,5</m:t>
        </m:r>
        <m:r>
          <m:rPr>
            <m:nor/>
          </m:rPr>
          <w:rPr>
            <w:rFonts w:ascii="Cambria Math"/>
            <w:i/>
            <w:iCs/>
          </w:rPr>
          <m:t> </m:t>
        </m:r>
        <m:r>
          <m:rPr>
            <m:nor/>
          </m:rPr>
          <w:rPr>
            <w:i/>
            <w:iCs/>
          </w:rPr>
          <m:t>€/$</m:t>
        </m:r>
      </m:oMath>
      <w:r w:rsidRPr="008A2746">
        <w:t xml:space="preserve"> y </w:t>
      </w:r>
      <m:oMath>
        <m:acc>
          <m:accPr>
            <m:chr m:val="̅"/>
            <m:ctrlPr>
              <w:rPr>
                <w:rFonts w:ascii="Cambria Math" w:hAnsi="Cambria Math"/>
                <w:i/>
              </w:rPr>
            </m:ctrlPr>
          </m:accPr>
          <m:e>
            <m:r>
              <m:rPr>
                <m:nor/>
              </m:rPr>
              <w:rPr>
                <w:i/>
                <w:iCs/>
              </w:rPr>
              <m:t>e</m:t>
            </m:r>
          </m:e>
        </m:acc>
        <m:r>
          <w:rPr>
            <w:rFonts w:ascii="Cambria Math" w:hAnsi="Cambria Math"/>
          </w:rPr>
          <m:t>=</m:t>
        </m:r>
        <m:r>
          <m:rPr>
            <m:nor/>
          </m:rPr>
          <w:rPr>
            <w:i/>
            <w:iCs/>
          </w:rPr>
          <m:t>1</m:t>
        </m:r>
        <m:r>
          <m:rPr>
            <m:nor/>
          </m:rPr>
          <w:rPr>
            <w:rFonts w:ascii="Cambria Math"/>
            <w:i/>
            <w:iCs/>
          </w:rPr>
          <m:t> </m:t>
        </m:r>
        <m:r>
          <m:rPr>
            <m:nor/>
          </m:rPr>
          <w:rPr>
            <w:i/>
            <w:iCs/>
          </w:rPr>
          <m:t>€/$</m:t>
        </m:r>
      </m:oMath>
      <w:r w:rsidRPr="008A2746">
        <w:t xml:space="preserve">, por lo que el especulador podría comprar </w:t>
      </w:r>
      <w:r>
        <w:t>1 $</w:t>
      </w:r>
      <w:r w:rsidRPr="008A2746">
        <w:t xml:space="preserve"> en el banco central a cambio de 1</w:t>
      </w:r>
      <w:r>
        <w:t> </w:t>
      </w:r>
      <w:r w:rsidRPr="008A2746">
        <w:t>€. Si trata de vender es</w:t>
      </w:r>
      <w:r>
        <w:t>e</w:t>
      </w:r>
      <w:r w:rsidRPr="008A2746">
        <w:t xml:space="preserve"> </w:t>
      </w:r>
      <w:r>
        <w:t>1 </w:t>
      </w:r>
      <w:r w:rsidRPr="008A2746">
        <w:t>$ en el mercado negro (i.e. al tipo de cambio sombra), sólo le darán 0,5</w:t>
      </w:r>
      <w:r>
        <w:t> </w:t>
      </w:r>
      <w:r w:rsidRPr="008A2746">
        <w:t>€, por lo que obtendrá pérdidas.</w:t>
      </w:r>
    </w:p>
    <w:p w14:paraId="47C16F65" w14:textId="77777777" w:rsidR="00342DC4" w:rsidRDefault="00342DC4">
      <w:pPr>
        <w:pStyle w:val="Textonotapie"/>
        <w:numPr>
          <w:ilvl w:val="0"/>
          <w:numId w:val="27"/>
        </w:numPr>
        <w:ind w:left="283" w:hanging="113"/>
      </w:pPr>
      <w:r w:rsidRPr="008A2746">
        <w:t xml:space="preserve">Después de </w:t>
      </w:r>
      <w:r w:rsidRPr="00E8635F">
        <w:rPr>
          <w:i/>
          <w:iCs/>
        </w:rPr>
        <w:t>T</w:t>
      </w:r>
      <w:r w:rsidRPr="008A2746">
        <w:t xml:space="preserve">, sin embargo, </w:t>
      </w:r>
      <m:oMath>
        <m:acc>
          <m:accPr>
            <m:chr m:val="̃"/>
            <m:ctrlPr>
              <w:rPr>
                <w:rFonts w:ascii="Cambria Math" w:hAnsi="Cambria Math"/>
                <w:i/>
              </w:rPr>
            </m:ctrlPr>
          </m:accPr>
          <m:e>
            <m:r>
              <m:rPr>
                <m:nor/>
              </m:rPr>
              <w:rPr>
                <w:i/>
                <w:iCs/>
              </w:rPr>
              <m:t>e</m:t>
            </m:r>
          </m:e>
        </m:acc>
        <m:r>
          <w:rPr>
            <w:rFonts w:ascii="Cambria Math" w:hAnsi="Cambria Math"/>
          </w:rPr>
          <m:t>=</m:t>
        </m:r>
        <m:r>
          <m:rPr>
            <m:nor/>
          </m:rPr>
          <w:rPr>
            <w:i/>
            <w:iCs/>
          </w:rPr>
          <m:t>2</m:t>
        </m:r>
        <m:r>
          <m:rPr>
            <m:nor/>
          </m:rPr>
          <w:rPr>
            <w:rFonts w:ascii="Cambria Math"/>
            <w:i/>
            <w:iCs/>
          </w:rPr>
          <m:t> </m:t>
        </m:r>
        <m:r>
          <m:rPr>
            <m:nor/>
          </m:rPr>
          <w:rPr>
            <w:i/>
            <w:iCs/>
          </w:rPr>
          <m:t>€/$</m:t>
        </m:r>
      </m:oMath>
      <w:r w:rsidRPr="008A2746">
        <w:t xml:space="preserve"> y </w:t>
      </w:r>
      <m:oMath>
        <m:acc>
          <m:accPr>
            <m:chr m:val="̅"/>
            <m:ctrlPr>
              <w:rPr>
                <w:rFonts w:ascii="Cambria Math" w:hAnsi="Cambria Math"/>
                <w:i/>
              </w:rPr>
            </m:ctrlPr>
          </m:accPr>
          <m:e>
            <m:r>
              <m:rPr>
                <m:nor/>
              </m:rPr>
              <w:rPr>
                <w:i/>
                <w:iCs/>
              </w:rPr>
              <m:t>e</m:t>
            </m:r>
          </m:e>
        </m:acc>
        <m:r>
          <w:rPr>
            <w:rFonts w:ascii="Cambria Math" w:hAnsi="Cambria Math"/>
          </w:rPr>
          <m:t>=</m:t>
        </m:r>
        <m:r>
          <m:rPr>
            <m:nor/>
          </m:rPr>
          <w:rPr>
            <w:i/>
            <w:iCs/>
          </w:rPr>
          <m:t>1</m:t>
        </m:r>
        <m:r>
          <m:rPr>
            <m:nor/>
          </m:rPr>
          <w:rPr>
            <w:rFonts w:ascii="Cambria Math"/>
            <w:i/>
            <w:iCs/>
          </w:rPr>
          <m:t> </m:t>
        </m:r>
        <m:r>
          <m:rPr>
            <m:nor/>
          </m:rPr>
          <w:rPr>
            <w:i/>
            <w:iCs/>
          </w:rPr>
          <m:t>€/$</m:t>
        </m:r>
      </m:oMath>
      <w:r w:rsidRPr="008A2746">
        <w:t xml:space="preserve">, por lo que el especulador podría comprar </w:t>
      </w:r>
      <w:r>
        <w:t>1 </w:t>
      </w:r>
      <w:r w:rsidRPr="008A2746">
        <w:t>$ en el banco central a cambio de 1</w:t>
      </w:r>
      <w:r>
        <w:t> </w:t>
      </w:r>
      <w:r w:rsidRPr="008A2746">
        <w:t>€ y vender es</w:t>
      </w:r>
      <w:r>
        <w:t>e</w:t>
      </w:r>
      <w:r w:rsidRPr="008A2746">
        <w:t xml:space="preserve"> </w:t>
      </w:r>
      <w:r>
        <w:t>1 </w:t>
      </w:r>
      <w:r w:rsidRPr="008A2746">
        <w:t>$ en el mercado negro por 2</w:t>
      </w:r>
      <w:r>
        <w:t> </w:t>
      </w:r>
      <w:r w:rsidRPr="008A2746">
        <w:t>€, por lo que obtendrá beneficios.</w:t>
      </w:r>
    </w:p>
  </w:footnote>
  <w:footnote w:id="6">
    <w:p w14:paraId="59E63638" w14:textId="2C3F1D90" w:rsidR="00373D09" w:rsidRDefault="00373D09">
      <w:pPr>
        <w:pStyle w:val="Textonotapie"/>
      </w:pPr>
      <w:r>
        <w:rPr>
          <w:rStyle w:val="Refdenotaalpie"/>
        </w:rPr>
        <w:footnoteRef/>
      </w:r>
      <w:r>
        <w:t xml:space="preserve"> Para ver el contagio en este tipo de situaciones podemos mencionar el ejemplo de la peseta española y el escudo portugués. </w:t>
      </w:r>
      <w:r w:rsidR="00AE7FB9">
        <w:t xml:space="preserve">Los ataques a la peseta española en 1992 y su posterior devaluación afectaron también a Portugal por los estrechos </w:t>
      </w:r>
      <w:r w:rsidR="00AE7FB9" w:rsidRPr="00AE7FB9">
        <w:rPr>
          <w:i/>
          <w:iCs/>
        </w:rPr>
        <w:t>lazos comerciales</w:t>
      </w:r>
      <w:r w:rsidR="00AE7FB9">
        <w:t xml:space="preserve"> provocando la devaluación del escudo portugués.</w:t>
      </w:r>
    </w:p>
  </w:footnote>
  <w:footnote w:id="7">
    <w:p w14:paraId="5688D5BF" w14:textId="1DF429FC" w:rsidR="00DD2524" w:rsidRDefault="00DD2524">
      <w:pPr>
        <w:pStyle w:val="Textonotapie"/>
      </w:pPr>
      <w:r>
        <w:rPr>
          <w:rStyle w:val="Refdenotaalpie"/>
        </w:rPr>
        <w:footnoteRef/>
      </w:r>
      <w:r>
        <w:t xml:space="preserve"> Los vínculos de causalidad entre ambas crisis no son unidireccionales y por tanto los modelos de </w:t>
      </w:r>
      <w:r w:rsidR="00FE5AE6">
        <w:t>3ª </w:t>
      </w:r>
      <w:r>
        <w:t>generación son heterogéneos en función de que nexo de la causalidad quieren enfatizar.</w:t>
      </w:r>
    </w:p>
  </w:footnote>
  <w:footnote w:id="8">
    <w:p w14:paraId="08B904D0" w14:textId="46C62A11" w:rsidR="0022612F" w:rsidRDefault="0022612F" w:rsidP="0022612F">
      <w:pPr>
        <w:pStyle w:val="Textonotapie"/>
        <w:spacing w:after="0"/>
      </w:pPr>
      <w:r>
        <w:rPr>
          <w:rStyle w:val="Refdenotaalpie"/>
        </w:rPr>
        <w:footnoteRef/>
      </w:r>
      <w:r>
        <w:t xml:space="preserve"> En su artículo </w:t>
      </w:r>
      <w:r w:rsidRPr="0022612F">
        <w:rPr>
          <w:i/>
          <w:iCs/>
        </w:rPr>
        <w:t>“</w:t>
      </w:r>
      <w:proofErr w:type="spellStart"/>
      <w:r w:rsidRPr="0022612F">
        <w:rPr>
          <w:i/>
          <w:iCs/>
        </w:rPr>
        <w:t>Currency</w:t>
      </w:r>
      <w:proofErr w:type="spellEnd"/>
      <w:r w:rsidRPr="0022612F">
        <w:rPr>
          <w:i/>
          <w:iCs/>
        </w:rPr>
        <w:t xml:space="preserve"> </w:t>
      </w:r>
      <w:proofErr w:type="spellStart"/>
      <w:r w:rsidRPr="0022612F">
        <w:rPr>
          <w:i/>
          <w:iCs/>
        </w:rPr>
        <w:t>Mismatches</w:t>
      </w:r>
      <w:proofErr w:type="spellEnd"/>
      <w:r w:rsidRPr="0022612F">
        <w:rPr>
          <w:i/>
          <w:iCs/>
        </w:rPr>
        <w:t xml:space="preserve">, </w:t>
      </w:r>
      <w:proofErr w:type="spellStart"/>
      <w:r w:rsidRPr="0022612F">
        <w:rPr>
          <w:i/>
          <w:iCs/>
        </w:rPr>
        <w:t>Debt</w:t>
      </w:r>
      <w:proofErr w:type="spellEnd"/>
      <w:r w:rsidRPr="0022612F">
        <w:rPr>
          <w:i/>
          <w:iCs/>
        </w:rPr>
        <w:t xml:space="preserve"> </w:t>
      </w:r>
      <w:proofErr w:type="spellStart"/>
      <w:r w:rsidRPr="0022612F">
        <w:rPr>
          <w:i/>
          <w:iCs/>
        </w:rPr>
        <w:t>Intolerance</w:t>
      </w:r>
      <w:proofErr w:type="spellEnd"/>
      <w:r w:rsidRPr="0022612F">
        <w:rPr>
          <w:i/>
          <w:iCs/>
        </w:rPr>
        <w:t xml:space="preserve"> and Original Sin: </w:t>
      </w:r>
      <w:proofErr w:type="spellStart"/>
      <w:r w:rsidRPr="0022612F">
        <w:rPr>
          <w:i/>
          <w:iCs/>
        </w:rPr>
        <w:t>Why</w:t>
      </w:r>
      <w:proofErr w:type="spellEnd"/>
      <w:r w:rsidRPr="0022612F">
        <w:rPr>
          <w:i/>
          <w:iCs/>
        </w:rPr>
        <w:t xml:space="preserve"> </w:t>
      </w:r>
      <w:proofErr w:type="spellStart"/>
      <w:r w:rsidRPr="0022612F">
        <w:rPr>
          <w:i/>
          <w:iCs/>
        </w:rPr>
        <w:t>They</w:t>
      </w:r>
      <w:proofErr w:type="spellEnd"/>
      <w:r w:rsidRPr="0022612F">
        <w:rPr>
          <w:i/>
          <w:iCs/>
        </w:rPr>
        <w:t xml:space="preserve"> Are </w:t>
      </w:r>
      <w:proofErr w:type="spellStart"/>
      <w:r w:rsidRPr="0022612F">
        <w:rPr>
          <w:i/>
          <w:iCs/>
        </w:rPr>
        <w:t>Not</w:t>
      </w:r>
      <w:proofErr w:type="spellEnd"/>
      <w:r w:rsidRPr="0022612F">
        <w:rPr>
          <w:i/>
          <w:iCs/>
        </w:rPr>
        <w:t xml:space="preserve"> </w:t>
      </w:r>
      <w:proofErr w:type="spellStart"/>
      <w:r w:rsidRPr="0022612F">
        <w:rPr>
          <w:i/>
          <w:iCs/>
        </w:rPr>
        <w:t>the</w:t>
      </w:r>
      <w:proofErr w:type="spellEnd"/>
      <w:r w:rsidRPr="0022612F">
        <w:rPr>
          <w:i/>
          <w:iCs/>
        </w:rPr>
        <w:t xml:space="preserve"> </w:t>
      </w:r>
      <w:proofErr w:type="spellStart"/>
      <w:r w:rsidRPr="0022612F">
        <w:rPr>
          <w:i/>
          <w:iCs/>
        </w:rPr>
        <w:t>Same</w:t>
      </w:r>
      <w:proofErr w:type="spellEnd"/>
      <w:r w:rsidRPr="0022612F">
        <w:rPr>
          <w:i/>
          <w:iCs/>
        </w:rPr>
        <w:t xml:space="preserve"> and </w:t>
      </w:r>
      <w:proofErr w:type="spellStart"/>
      <w:r w:rsidRPr="0022612F">
        <w:rPr>
          <w:i/>
          <w:iCs/>
        </w:rPr>
        <w:t>Why</w:t>
      </w:r>
      <w:proofErr w:type="spellEnd"/>
      <w:r w:rsidRPr="0022612F">
        <w:rPr>
          <w:i/>
          <w:iCs/>
        </w:rPr>
        <w:t xml:space="preserve"> </w:t>
      </w:r>
      <w:proofErr w:type="spellStart"/>
      <w:r w:rsidRPr="0022612F">
        <w:rPr>
          <w:i/>
          <w:iCs/>
        </w:rPr>
        <w:t>It</w:t>
      </w:r>
      <w:proofErr w:type="spellEnd"/>
      <w:r w:rsidRPr="0022612F">
        <w:rPr>
          <w:i/>
          <w:iCs/>
        </w:rPr>
        <w:t xml:space="preserve"> </w:t>
      </w:r>
      <w:proofErr w:type="spellStart"/>
      <w:r w:rsidRPr="0022612F">
        <w:rPr>
          <w:i/>
          <w:iCs/>
        </w:rPr>
        <w:t>Matters</w:t>
      </w:r>
      <w:proofErr w:type="spellEnd"/>
      <w:r w:rsidRPr="0022612F">
        <w:rPr>
          <w:i/>
          <w:iCs/>
        </w:rPr>
        <w:t>”</w:t>
      </w:r>
      <w:r>
        <w:t xml:space="preserve">, </w:t>
      </w:r>
      <w:proofErr w:type="spellStart"/>
      <w:r w:rsidRPr="0022612F">
        <w:rPr>
          <w:smallCaps/>
        </w:rPr>
        <w:t>Eichengreen</w:t>
      </w:r>
      <w:proofErr w:type="spellEnd"/>
      <w:r>
        <w:t xml:space="preserve"> y </w:t>
      </w:r>
      <w:r w:rsidRPr="0022612F">
        <w:rPr>
          <w:smallCaps/>
        </w:rPr>
        <w:t>Hausmann</w:t>
      </w:r>
      <w:r>
        <w:t xml:space="preserve"> discuten 3 conceptos ampliamente utilizados en la literatura sobre factores de hoja de balance en crisis financieras de mercados emergentes: “</w:t>
      </w:r>
      <w:r w:rsidRPr="0022612F">
        <w:rPr>
          <w:i/>
          <w:iCs/>
        </w:rPr>
        <w:t>pecado original</w:t>
      </w:r>
      <w:r>
        <w:t>”, “</w:t>
      </w:r>
      <w:r w:rsidRPr="0022612F">
        <w:rPr>
          <w:i/>
          <w:iCs/>
        </w:rPr>
        <w:t>intolerancia a la deuda</w:t>
      </w:r>
      <w:r>
        <w:t>” y “</w:t>
      </w:r>
      <w:proofErr w:type="spellStart"/>
      <w:r>
        <w:rPr>
          <w:i/>
          <w:iCs/>
        </w:rPr>
        <w:t>currency</w:t>
      </w:r>
      <w:proofErr w:type="spellEnd"/>
      <w:r>
        <w:rPr>
          <w:i/>
          <w:iCs/>
        </w:rPr>
        <w:t xml:space="preserve"> </w:t>
      </w:r>
      <w:proofErr w:type="spellStart"/>
      <w:r>
        <w:rPr>
          <w:i/>
          <w:iCs/>
        </w:rPr>
        <w:t>mismatches</w:t>
      </w:r>
      <w:proofErr w:type="spellEnd"/>
      <w:r>
        <w:t>”.</w:t>
      </w:r>
    </w:p>
    <w:p w14:paraId="744951CE" w14:textId="77777777" w:rsidR="0022612F" w:rsidRDefault="0022612F">
      <w:pPr>
        <w:pStyle w:val="Textonotapie"/>
        <w:keepNext/>
        <w:numPr>
          <w:ilvl w:val="0"/>
          <w:numId w:val="25"/>
        </w:numPr>
        <w:spacing w:after="0"/>
        <w:ind w:left="283" w:hanging="113"/>
      </w:pPr>
      <w:r>
        <w:t xml:space="preserve">Según </w:t>
      </w:r>
      <w:r w:rsidRPr="0022612F">
        <w:rPr>
          <w:smallCaps/>
        </w:rPr>
        <w:t>Eichengreen</w:t>
      </w:r>
      <w:r>
        <w:t xml:space="preserve"> y </w:t>
      </w:r>
      <w:r w:rsidRPr="0022612F">
        <w:rPr>
          <w:smallCaps/>
        </w:rPr>
        <w:t>Hausmann</w:t>
      </w:r>
      <w:r>
        <w:t xml:space="preserve">, los </w:t>
      </w:r>
      <w:r w:rsidRPr="0022612F">
        <w:t>conceptos de “pecado original” e “intolerancia a la deuda” buscan explicar el mismo fenómeno: la volatilidad de las economías emergentes y la difi</w:t>
      </w:r>
      <w:r>
        <w:t>cultad que tienen estos países para pagar y reembolsar sus deudas.</w:t>
      </w:r>
    </w:p>
    <w:p w14:paraId="232929DC" w14:textId="371B1199" w:rsidR="0022612F" w:rsidRDefault="0022612F">
      <w:pPr>
        <w:pStyle w:val="Textonotapie"/>
        <w:numPr>
          <w:ilvl w:val="1"/>
          <w:numId w:val="25"/>
        </w:numPr>
        <w:spacing w:after="0"/>
        <w:ind w:left="567" w:hanging="113"/>
      </w:pPr>
      <w:r>
        <w:t xml:space="preserve">La escuela del </w:t>
      </w:r>
      <w:r w:rsidRPr="0022612F">
        <w:rPr>
          <w:i/>
          <w:iCs/>
          <w:u w:val="single"/>
        </w:rPr>
        <w:t>pecado original</w:t>
      </w:r>
      <w:r>
        <w:t xml:space="preserve"> atribuye el problema a la estructura de las carteras globales y los mercados financieros internacionales.</w:t>
      </w:r>
    </w:p>
    <w:p w14:paraId="4CEC10EF" w14:textId="7C5BAB86" w:rsidR="0022612F" w:rsidRDefault="0022612F">
      <w:pPr>
        <w:pStyle w:val="Textonotapie"/>
        <w:numPr>
          <w:ilvl w:val="1"/>
          <w:numId w:val="25"/>
        </w:numPr>
        <w:spacing w:after="0"/>
        <w:ind w:left="567" w:hanging="113"/>
      </w:pPr>
      <w:r>
        <w:t xml:space="preserve">Por su parte, la escuela de </w:t>
      </w:r>
      <w:r w:rsidRPr="0022612F">
        <w:rPr>
          <w:i/>
          <w:iCs/>
          <w:u w:val="single"/>
        </w:rPr>
        <w:t>intolerancia a la deuda</w:t>
      </w:r>
      <w:r>
        <w:t xml:space="preserve"> atribuye el problema a las debilidades institucionales de las economías emergentes que conducen a políticas débiles e </w:t>
      </w:r>
      <w:proofErr w:type="spellStart"/>
      <w:r>
        <w:t>inconfiables</w:t>
      </w:r>
      <w:proofErr w:type="spellEnd"/>
      <w:r>
        <w:t>.</w:t>
      </w:r>
    </w:p>
    <w:p w14:paraId="270D2AAC" w14:textId="77777777" w:rsidR="0022612F" w:rsidRDefault="0022612F">
      <w:pPr>
        <w:pStyle w:val="Textonotapie"/>
        <w:numPr>
          <w:ilvl w:val="0"/>
          <w:numId w:val="25"/>
        </w:numPr>
        <w:spacing w:after="0"/>
        <w:ind w:left="283" w:hanging="113"/>
      </w:pPr>
      <w:r>
        <w:t xml:space="preserve">Por otro lado, la literatura sobre </w:t>
      </w:r>
      <w:proofErr w:type="spellStart"/>
      <w:r w:rsidRPr="0022612F">
        <w:rPr>
          <w:i/>
          <w:iCs/>
          <w:u w:val="single"/>
        </w:rPr>
        <w:t>currency</w:t>
      </w:r>
      <w:proofErr w:type="spellEnd"/>
      <w:r w:rsidRPr="0022612F">
        <w:rPr>
          <w:i/>
          <w:iCs/>
          <w:u w:val="single"/>
        </w:rPr>
        <w:t xml:space="preserve"> </w:t>
      </w:r>
      <w:proofErr w:type="spellStart"/>
      <w:r w:rsidRPr="0022612F">
        <w:rPr>
          <w:i/>
          <w:iCs/>
          <w:u w:val="single"/>
        </w:rPr>
        <w:t>mismatches</w:t>
      </w:r>
      <w:proofErr w:type="spellEnd"/>
      <w:r>
        <w:t xml:space="preserve"> se preocupa por las consecuencias de estos problemas y cómo son gestionados por las autoridades macroeconómicas y financieras.</w:t>
      </w:r>
    </w:p>
    <w:p w14:paraId="70F7C65A" w14:textId="2015BC9B" w:rsidR="0022612F" w:rsidRDefault="0022612F" w:rsidP="0022612F">
      <w:pPr>
        <w:pStyle w:val="Textonotapie"/>
      </w:pPr>
      <w:r>
        <w:t>Por lo tanto, las hipótesis y problemas a los que se refieren estos 3 términos son analíticamente distintos. La tendencia a usarlos sinónimamente ha sido una fuente innecesaria de confusión.</w:t>
      </w:r>
    </w:p>
  </w:footnote>
  <w:footnote w:id="9">
    <w:p w14:paraId="3FBFB4F4" w14:textId="6889A7CF" w:rsidR="006F5B8D" w:rsidRPr="0086161B" w:rsidRDefault="006F5B8D" w:rsidP="0086161B">
      <w:pPr>
        <w:pStyle w:val="Textonotapie"/>
        <w:tabs>
          <w:tab w:val="left" w:pos="1102"/>
        </w:tabs>
      </w:pPr>
      <w:r>
        <w:rPr>
          <w:rStyle w:val="Refdenotaalpie"/>
        </w:rPr>
        <w:footnoteRef/>
      </w:r>
      <w:r>
        <w:t xml:space="preserve"> </w:t>
      </w:r>
      <w:r w:rsidR="0086161B">
        <w:rPr>
          <w:smallCaps/>
        </w:rPr>
        <w:t>Douglas Diamond</w:t>
      </w:r>
      <w:r w:rsidR="0086161B">
        <w:t xml:space="preserve"> y </w:t>
      </w:r>
      <w:r w:rsidR="0086161B">
        <w:rPr>
          <w:smallCaps/>
        </w:rPr>
        <w:t>Philip H. Dybvig</w:t>
      </w:r>
      <w:r w:rsidR="0086161B">
        <w:t xml:space="preserve"> fueron galardonados con el Premio Nobel de Economía en 2022 </w:t>
      </w:r>
      <w:r w:rsidR="007B14A5">
        <w:t xml:space="preserve">junto con </w:t>
      </w:r>
      <w:r w:rsidR="007B14A5">
        <w:rPr>
          <w:smallCaps/>
        </w:rPr>
        <w:t>Ben Bernanke</w:t>
      </w:r>
      <w:r w:rsidR="007B14A5" w:rsidRPr="007B14A5">
        <w:t xml:space="preserve"> </w:t>
      </w:r>
      <w:r w:rsidR="0086161B">
        <w:t>“</w:t>
      </w:r>
      <w:r w:rsidR="0086161B" w:rsidRPr="0086161B">
        <w:t>por sus investigaciones sobre bancos y crisis financieras</w:t>
      </w:r>
      <w:r w:rsidR="0086161B">
        <w:t>”.</w:t>
      </w:r>
    </w:p>
  </w:footnote>
  <w:footnote w:id="10">
    <w:p w14:paraId="74DFBBFF" w14:textId="7C94D743" w:rsidR="004B2A34" w:rsidRDefault="004B2A34" w:rsidP="004B2A34">
      <w:pPr>
        <w:pStyle w:val="Textonotapie"/>
      </w:pPr>
      <w:r>
        <w:rPr>
          <w:rStyle w:val="Refdenotaalpie"/>
        </w:rPr>
        <w:footnoteRef/>
      </w:r>
      <w:r>
        <w:t xml:space="preserve"> El </w:t>
      </w:r>
      <w:proofErr w:type="spellStart"/>
      <w:r w:rsidRPr="004B2A34">
        <w:rPr>
          <w:i/>
          <w:iCs/>
        </w:rPr>
        <w:t>liquidity</w:t>
      </w:r>
      <w:proofErr w:type="spellEnd"/>
      <w:r w:rsidRPr="004B2A34">
        <w:rPr>
          <w:i/>
          <w:iCs/>
        </w:rPr>
        <w:t xml:space="preserve"> </w:t>
      </w:r>
      <w:proofErr w:type="spellStart"/>
      <w:r w:rsidRPr="004B2A34">
        <w:rPr>
          <w:i/>
          <w:iCs/>
        </w:rPr>
        <w:t>mismatch</w:t>
      </w:r>
      <w:proofErr w:type="spellEnd"/>
      <w:r>
        <w:t xml:space="preserve"> se refiere a una situación en la que los activos y pasivos de una entidad financiera no coinciden en términos de vencimiento. Esto puede crear vulnerabilidades si la entidad no puede liquidar sus activos a corto plazo para cumplir con las obligaciones de sus pasivos a corto plazo.</w:t>
      </w:r>
    </w:p>
    <w:p w14:paraId="121326FC" w14:textId="75131069" w:rsidR="004B2A34" w:rsidRDefault="004B2A34" w:rsidP="004B2A34">
      <w:pPr>
        <w:pStyle w:val="Textonotapie"/>
      </w:pPr>
      <w:r>
        <w:t xml:space="preserve">Por otro lado, el </w:t>
      </w:r>
      <w:proofErr w:type="spellStart"/>
      <w:r w:rsidRPr="004B2A34">
        <w:rPr>
          <w:i/>
          <w:iCs/>
        </w:rPr>
        <w:t>currency</w:t>
      </w:r>
      <w:proofErr w:type="spellEnd"/>
      <w:r w:rsidRPr="004B2A34">
        <w:rPr>
          <w:i/>
          <w:iCs/>
        </w:rPr>
        <w:t xml:space="preserve"> </w:t>
      </w:r>
      <w:proofErr w:type="spellStart"/>
      <w:r w:rsidRPr="004B2A34">
        <w:rPr>
          <w:i/>
          <w:iCs/>
        </w:rPr>
        <w:t>mismatch</w:t>
      </w:r>
      <w:proofErr w:type="spellEnd"/>
      <w:r>
        <w:t xml:space="preserve"> se refiere a una situación en la que un prestatario financia sus operaciones en una moneda mientras que los ingresos derivados de estas operaciones se acumulan en otra moneda. Esto puede crear riesgos si hay fluctuaciones en los tipos de cambio entre las dos monedas.</w:t>
      </w:r>
    </w:p>
  </w:footnote>
  <w:footnote w:id="11">
    <w:p w14:paraId="5FD06FA5" w14:textId="77777777" w:rsidR="0000689E" w:rsidRDefault="0000689E" w:rsidP="0000689E">
      <w:pPr>
        <w:pStyle w:val="Textonotapie"/>
        <w:keepNext/>
        <w:spacing w:after="0"/>
      </w:pPr>
      <w:r>
        <w:rPr>
          <w:rStyle w:val="Refdenotaalpie"/>
        </w:rPr>
        <w:footnoteRef/>
      </w:r>
      <w:r>
        <w:t xml:space="preserve"> Realmente, lo que estamos haciendo aquí es lo siguiente:</w:t>
      </w:r>
    </w:p>
    <w:p w14:paraId="5A57E6C7" w14:textId="77777777" w:rsidR="0000689E" w:rsidRPr="000350A2" w:rsidRDefault="00000000" w:rsidP="0000689E">
      <w:pPr>
        <w:pStyle w:val="Textonotapie"/>
        <w:rPr>
          <w:szCs w:val="16"/>
        </w:rPr>
      </w:pPr>
      <m:oMathPara>
        <m:oMath>
          <m:m>
            <m:mPr>
              <m:mcs>
                <m:mc>
                  <m:mcPr>
                    <m:count m:val="1"/>
                    <m:mcJc m:val="center"/>
                  </m:mcPr>
                </m:mc>
              </m:mcs>
              <m:ctrlPr>
                <w:rPr>
                  <w:rFonts w:ascii="Cambria Math" w:hAnsi="Cambria Math"/>
                  <w:i/>
                  <w:iCs/>
                  <w:szCs w:val="16"/>
                </w:rPr>
              </m:ctrlPr>
            </m:mPr>
            <m:mr>
              <m:e>
                <m:sSub>
                  <m:sSubPr>
                    <m:ctrlPr>
                      <w:rPr>
                        <w:rFonts w:ascii="Cambria Math" w:hAnsi="Cambria Math"/>
                        <w:i/>
                        <w:iCs/>
                        <w:szCs w:val="16"/>
                      </w:rPr>
                    </m:ctrlPr>
                  </m:sSubPr>
                  <m:e>
                    <m:r>
                      <m:rPr>
                        <m:nor/>
                      </m:rPr>
                      <w:rPr>
                        <w:i/>
                        <w:iCs/>
                        <w:szCs w:val="16"/>
                      </w:rPr>
                      <m:t>I</m:t>
                    </m:r>
                  </m:e>
                  <m:sub>
                    <m:r>
                      <m:rPr>
                        <m:nor/>
                      </m:rPr>
                      <w:rPr>
                        <w:i/>
                        <w:iCs/>
                        <w:szCs w:val="16"/>
                      </w:rPr>
                      <m:t>F</m:t>
                    </m:r>
                  </m:sub>
                </m:sSub>
                <m:r>
                  <w:rPr>
                    <w:rFonts w:ascii="Cambria Math" w:eastAsiaTheme="minorEastAsia"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r>
                      <m:rPr>
                        <m:nor/>
                      </m:rPr>
                      <w:rPr>
                        <w:i/>
                        <w:szCs w:val="16"/>
                      </w:rPr>
                      <m:t>θ</m:t>
                    </m:r>
                  </m:e>
                </m:d>
                <m:r>
                  <w:rPr>
                    <w:rFonts w:ascii="Cambria Math" w:eastAsiaTheme="minorEastAsia" w:hAnsi="Cambria Math"/>
                    <w:szCs w:val="16"/>
                  </w:rPr>
                  <m:t>∙</m:t>
                </m:r>
                <m:limLow>
                  <m:limLowPr>
                    <m:ctrlPr>
                      <w:rPr>
                        <w:rFonts w:ascii="Cambria Math" w:hAnsi="Cambria Math"/>
                        <w:i/>
                        <w:iCs/>
                        <w:szCs w:val="16"/>
                      </w:rPr>
                    </m:ctrlPr>
                  </m:limLowPr>
                  <m:e>
                    <m:groupChr>
                      <m:groupChrPr>
                        <m:ctrlPr>
                          <w:rPr>
                            <w:rFonts w:ascii="Cambria Math" w:hAnsi="Cambria Math"/>
                            <w:i/>
                            <w:iCs/>
                            <w:szCs w:val="16"/>
                          </w:rPr>
                        </m:ctrlPr>
                      </m:groupChrPr>
                      <m:e>
                        <m:r>
                          <m:rPr>
                            <m:nor/>
                          </m:rPr>
                          <w:rPr>
                            <w:i/>
                            <w:iCs/>
                            <w:szCs w:val="16"/>
                          </w:rPr>
                          <m:t>W</m:t>
                        </m:r>
                      </m:e>
                    </m:groupChr>
                  </m:e>
                  <m:lim>
                    <m:r>
                      <m:rPr>
                        <m:nor/>
                      </m:rPr>
                      <w:rPr>
                        <w:i/>
                        <w:iCs/>
                        <w:szCs w:val="16"/>
                      </w:rPr>
                      <m:t>α</m:t>
                    </m:r>
                    <m:r>
                      <w:rPr>
                        <w:rFonts w:ascii="Cambria Math" w:hAnsi="Cambria Math"/>
                        <w:szCs w:val="16"/>
                      </w:rPr>
                      <m:t>∙</m:t>
                    </m:r>
                    <m:r>
                      <m:rPr>
                        <m:nor/>
                      </m:rPr>
                      <w:rPr>
                        <w:i/>
                        <w:iCs/>
                        <w:szCs w:val="16"/>
                      </w:rPr>
                      <m:t>Y</m:t>
                    </m:r>
                    <m:r>
                      <w:rPr>
                        <w:rFonts w:ascii="Cambria Math" w:hAnsi="Cambria Math"/>
                        <w:szCs w:val="16"/>
                      </w:rPr>
                      <m:t>-</m:t>
                    </m:r>
                    <m:d>
                      <m:dPr>
                        <m:ctrlPr>
                          <w:rPr>
                            <w:rFonts w:ascii="Cambria Math" w:eastAsiaTheme="minorEastAsia" w:hAnsi="Cambria Math"/>
                            <w:szCs w:val="16"/>
                          </w:rPr>
                        </m:ctrlPr>
                      </m:dPr>
                      <m:e>
                        <m:r>
                          <m:rPr>
                            <m:nor/>
                          </m:rPr>
                          <w:rPr>
                            <w:i/>
                            <w:iCs/>
                            <w:szCs w:val="16"/>
                          </w:rPr>
                          <m:t>D</m:t>
                        </m:r>
                        <m:r>
                          <w:rPr>
                            <w:rFonts w:ascii="Cambria Math" w:eastAsiaTheme="minorEastAsia" w:hAnsi="Cambria Math"/>
                            <w:szCs w:val="16"/>
                          </w:rPr>
                          <m:t>+</m:t>
                        </m:r>
                        <m:limLow>
                          <m:limLowPr>
                            <m:ctrlPr>
                              <w:rPr>
                                <w:rFonts w:ascii="Cambria Math" w:hAnsi="Cambria Math"/>
                                <w:i/>
                                <w:iCs/>
                                <w:szCs w:val="16"/>
                              </w:rPr>
                            </m:ctrlPr>
                          </m:limLowPr>
                          <m:e>
                            <m:groupChr>
                              <m:groupChrPr>
                                <m:ctrlPr>
                                  <w:rPr>
                                    <w:rFonts w:ascii="Cambria Math" w:hAnsi="Cambria Math"/>
                                    <w:i/>
                                    <w:iCs/>
                                    <w:szCs w:val="16"/>
                                  </w:rPr>
                                </m:ctrlPr>
                              </m:groupChrPr>
                              <m:e>
                                <m:r>
                                  <m:rPr>
                                    <m:nor/>
                                  </m:rPr>
                                  <w:rPr>
                                    <w:i/>
                                    <w:iCs/>
                                    <w:szCs w:val="16"/>
                                  </w:rPr>
                                  <m:t>ϰ</m:t>
                                </m:r>
                              </m:e>
                            </m:groupChr>
                          </m:e>
                          <m:lim>
                            <m:f>
                              <m:fPr>
                                <m:ctrlPr>
                                  <w:rPr>
                                    <w:rFonts w:ascii="Cambria Math" w:eastAsiaTheme="minorEastAsia" w:hAnsi="Cambria Math"/>
                                    <w:i/>
                                    <w:iCs/>
                                    <w:szCs w:val="16"/>
                                  </w:rPr>
                                </m:ctrlPr>
                              </m:fPr>
                              <m:num>
                                <m:r>
                                  <m:rPr>
                                    <m:nor/>
                                  </m:rPr>
                                  <w:rPr>
                                    <w:i/>
                                    <w:iCs/>
                                    <w:szCs w:val="16"/>
                                  </w:rPr>
                                  <m:t>Y</m:t>
                                </m:r>
                                <m:r>
                                  <w:rPr>
                                    <w:rFonts w:ascii="Cambria Math" w:hAnsi="Cambria Math"/>
                                    <w:szCs w:val="16"/>
                                  </w:rPr>
                                  <m:t>∙</m:t>
                                </m:r>
                                <m:d>
                                  <m:dPr>
                                    <m:begChr m:val="["/>
                                    <m:endChr m:val="]"/>
                                    <m:ctrlPr>
                                      <w:rPr>
                                        <w:rFonts w:ascii="Cambria Math" w:hAnsi="Cambria Math"/>
                                        <w:i/>
                                        <w:iCs/>
                                        <w:szCs w:val="16"/>
                                      </w:rPr>
                                    </m:ctrlPr>
                                  </m:dPr>
                                  <m:e>
                                    <m:r>
                                      <m:rPr>
                                        <m:nor/>
                                      </m:rPr>
                                      <w:rPr>
                                        <w:i/>
                                        <w:szCs w:val="16"/>
                                      </w:rPr>
                                      <m:t>1</m:t>
                                    </m:r>
                                    <m:r>
                                      <w:rPr>
                                        <w:rFonts w:ascii="Cambria Math" w:hAnsi="Cambria Math"/>
                                        <w:szCs w:val="16"/>
                                      </w:rPr>
                                      <m:t>-</m:t>
                                    </m:r>
                                    <m:d>
                                      <m:dPr>
                                        <m:ctrlPr>
                                          <w:rPr>
                                            <w:rFonts w:ascii="Cambria Math" w:hAnsi="Cambria Math"/>
                                            <w:i/>
                                            <w:iCs/>
                                            <w:szCs w:val="16"/>
                                          </w:rPr>
                                        </m:ctrlPr>
                                      </m:dPr>
                                      <m:e>
                                        <m:r>
                                          <m:rPr>
                                            <m:nor/>
                                          </m:rPr>
                                          <w:rPr>
                                            <w:i/>
                                            <w:szCs w:val="16"/>
                                          </w:rPr>
                                          <m:t>1</m:t>
                                        </m:r>
                                        <m:r>
                                          <w:rPr>
                                            <w:rFonts w:ascii="Cambria Math" w:hAnsi="Cambria Math"/>
                                            <w:szCs w:val="16"/>
                                          </w:rPr>
                                          <m:t>-</m:t>
                                        </m:r>
                                        <m:r>
                                          <m:rPr>
                                            <m:nor/>
                                          </m:rPr>
                                          <w:rPr>
                                            <w:i/>
                                            <w:szCs w:val="16"/>
                                          </w:rPr>
                                          <m:t>β</m:t>
                                        </m:r>
                                      </m:e>
                                    </m:d>
                                    <m:r>
                                      <w:rPr>
                                        <w:rFonts w:ascii="Cambria Math" w:hAnsi="Cambria Math"/>
                                        <w:szCs w:val="16"/>
                                      </w:rPr>
                                      <m:t>∙</m:t>
                                    </m:r>
                                    <m:d>
                                      <m:dPr>
                                        <m:ctrlPr>
                                          <w:rPr>
                                            <w:rFonts w:ascii="Cambria Math" w:hAnsi="Cambria Math"/>
                                            <w:i/>
                                            <w:szCs w:val="16"/>
                                          </w:rPr>
                                        </m:ctrlPr>
                                      </m:dPr>
                                      <m:e>
                                        <m:r>
                                          <m:rPr>
                                            <m:nor/>
                                          </m:rPr>
                                          <w:rPr>
                                            <w:i/>
                                            <w:szCs w:val="16"/>
                                          </w:rPr>
                                          <m:t>1</m:t>
                                        </m:r>
                                        <m:r>
                                          <w:rPr>
                                            <w:rFonts w:ascii="Cambria Math" w:hAnsi="Cambria Math"/>
                                            <w:szCs w:val="16"/>
                                          </w:rPr>
                                          <m:t>-</m:t>
                                        </m:r>
                                        <m:r>
                                          <m:rPr>
                                            <m:nor/>
                                          </m:rPr>
                                          <w:rPr>
                                            <w:i/>
                                            <w:szCs w:val="16"/>
                                          </w:rPr>
                                          <m:t>α</m:t>
                                        </m:r>
                                      </m:e>
                                    </m:d>
                                  </m:e>
                                </m:d>
                                <m:r>
                                  <w:rPr>
                                    <w:rFonts w:ascii="Cambria Math" w:hAnsi="Cambria Math"/>
                                    <w:szCs w:val="16"/>
                                  </w:rPr>
                                  <m:t>-</m:t>
                                </m:r>
                                <m:d>
                                  <m:dPr>
                                    <m:ctrlPr>
                                      <w:rPr>
                                        <w:rFonts w:ascii="Cambria Math" w:hAnsi="Cambria Math"/>
                                        <w:i/>
                                        <w:iCs/>
                                        <w:szCs w:val="16"/>
                                      </w:rPr>
                                    </m:ctrlPr>
                                  </m:dPr>
                                  <m:e>
                                    <m:r>
                                      <m:rPr>
                                        <m:nor/>
                                      </m:rPr>
                                      <w:rPr>
                                        <w:i/>
                                        <w:szCs w:val="16"/>
                                      </w:rPr>
                                      <m:t>1</m:t>
                                    </m:r>
                                    <m:r>
                                      <w:rPr>
                                        <w:rFonts w:ascii="Cambria Math" w:hAnsi="Cambria Math"/>
                                        <w:szCs w:val="16"/>
                                      </w:rPr>
                                      <m:t>-</m:t>
                                    </m:r>
                                    <m:r>
                                      <m:rPr>
                                        <m:nor/>
                                      </m:rPr>
                                      <w:rPr>
                                        <w:i/>
                                        <w:szCs w:val="16"/>
                                      </w:rPr>
                                      <m:t>β</m:t>
                                    </m:r>
                                  </m:e>
                                </m:d>
                                <m:r>
                                  <w:rPr>
                                    <w:rFonts w:ascii="Cambria Math" w:hAnsi="Cambria Math"/>
                                    <w:szCs w:val="16"/>
                                  </w:rPr>
                                  <m:t>∙</m:t>
                                </m:r>
                                <m:r>
                                  <m:rPr>
                                    <m:nor/>
                                  </m:rPr>
                                  <w:rPr>
                                    <w:i/>
                                    <w:iCs/>
                                    <w:szCs w:val="16"/>
                                  </w:rPr>
                                  <m:t>I</m:t>
                                </m:r>
                              </m:num>
                              <m:den>
                                <m:r>
                                  <m:rPr>
                                    <m:nor/>
                                  </m:rPr>
                                  <w:rPr>
                                    <w:i/>
                                    <w:iCs/>
                                    <w:szCs w:val="16"/>
                                  </w:rPr>
                                  <m:t>XN</m:t>
                                </m:r>
                              </m:den>
                            </m:f>
                          </m:lim>
                        </m:limLow>
                        <m:r>
                          <w:rPr>
                            <w:rFonts w:ascii="Cambria Math" w:hAnsi="Cambria Math"/>
                            <w:szCs w:val="16"/>
                          </w:rPr>
                          <m:t>∙</m:t>
                        </m:r>
                        <m:r>
                          <m:rPr>
                            <m:nor/>
                          </m:rPr>
                          <w:rPr>
                            <w:i/>
                            <w:iCs/>
                            <w:szCs w:val="16"/>
                          </w:rPr>
                          <m:t>D*</m:t>
                        </m:r>
                      </m:e>
                    </m:d>
                  </m:lim>
                </m:limLow>
              </m:e>
            </m:mr>
            <m:mr>
              <m:e>
                <m:r>
                  <w:rPr>
                    <w:rFonts w:ascii="Cambria Math" w:hAnsi="Cambria Math"/>
                    <w:szCs w:val="16"/>
                  </w:rPr>
                  <m:t>⇓</m:t>
                </m:r>
              </m:e>
            </m:mr>
            <m:mr>
              <m:e>
                <m:sSub>
                  <m:sSubPr>
                    <m:ctrlPr>
                      <w:rPr>
                        <w:rFonts w:ascii="Cambria Math" w:hAnsi="Cambria Math"/>
                        <w:i/>
                        <w:iCs/>
                        <w:szCs w:val="16"/>
                      </w:rPr>
                    </m:ctrlPr>
                  </m:sSubPr>
                  <m:e>
                    <m:r>
                      <m:rPr>
                        <m:nor/>
                      </m:rPr>
                      <w:rPr>
                        <w:i/>
                        <w:iCs/>
                        <w:szCs w:val="16"/>
                      </w:rPr>
                      <m:t>I</m:t>
                    </m:r>
                  </m:e>
                  <m:sub>
                    <m:r>
                      <m:rPr>
                        <m:nor/>
                      </m:rPr>
                      <w:rPr>
                        <w:i/>
                        <w:iCs/>
                        <w:szCs w:val="16"/>
                      </w:rPr>
                      <m:t>F</m:t>
                    </m:r>
                  </m:sub>
                </m:sSub>
                <m:r>
                  <w:rPr>
                    <w:rFonts w:ascii="Cambria Math" w:eastAsiaTheme="minorEastAsia"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r>
                      <m:rPr>
                        <m:nor/>
                      </m:rPr>
                      <w:rPr>
                        <w:i/>
                        <w:szCs w:val="16"/>
                      </w:rPr>
                      <m:t>θ</m:t>
                    </m:r>
                  </m:e>
                </m:d>
                <m:r>
                  <w:rPr>
                    <w:rFonts w:ascii="Cambria Math" w:eastAsiaTheme="minorEastAsia" w:hAnsi="Cambria Math"/>
                    <w:szCs w:val="16"/>
                  </w:rPr>
                  <m:t>∙</m:t>
                </m:r>
                <m:d>
                  <m:dPr>
                    <m:begChr m:val="["/>
                    <m:endChr m:val="]"/>
                    <m:ctrlPr>
                      <w:rPr>
                        <w:rFonts w:ascii="Cambria Math" w:hAnsi="Cambria Math"/>
                        <w:i/>
                        <w:iCs/>
                        <w:szCs w:val="16"/>
                      </w:rPr>
                    </m:ctrlPr>
                  </m:dPr>
                  <m:e>
                    <m:r>
                      <m:rPr>
                        <m:nor/>
                      </m:rPr>
                      <w:rPr>
                        <w:i/>
                        <w:iCs/>
                        <w:szCs w:val="16"/>
                      </w:rPr>
                      <m:t>α</m:t>
                    </m:r>
                    <m:r>
                      <w:rPr>
                        <w:rFonts w:ascii="Cambria Math" w:hAnsi="Cambria Math"/>
                        <w:szCs w:val="16"/>
                      </w:rPr>
                      <m:t>∙</m:t>
                    </m:r>
                    <m:r>
                      <m:rPr>
                        <m:nor/>
                      </m:rPr>
                      <w:rPr>
                        <w:i/>
                        <w:iCs/>
                        <w:szCs w:val="16"/>
                      </w:rPr>
                      <m:t>Y</m:t>
                    </m:r>
                    <m:r>
                      <w:rPr>
                        <w:rFonts w:ascii="Cambria Math" w:hAnsi="Cambria Math"/>
                        <w:szCs w:val="16"/>
                      </w:rPr>
                      <m:t>-</m:t>
                    </m:r>
                    <m:d>
                      <m:dPr>
                        <m:ctrlPr>
                          <w:rPr>
                            <w:rFonts w:ascii="Cambria Math" w:eastAsiaTheme="minorEastAsia" w:hAnsi="Cambria Math"/>
                            <w:szCs w:val="16"/>
                          </w:rPr>
                        </m:ctrlPr>
                      </m:dPr>
                      <m:e>
                        <m:r>
                          <m:rPr>
                            <m:nor/>
                          </m:rPr>
                          <w:rPr>
                            <w:i/>
                            <w:iCs/>
                            <w:szCs w:val="16"/>
                          </w:rPr>
                          <m:t>D</m:t>
                        </m:r>
                        <m:r>
                          <w:rPr>
                            <w:rFonts w:ascii="Cambria Math" w:eastAsiaTheme="minorEastAsia" w:hAnsi="Cambria Math"/>
                            <w:szCs w:val="16"/>
                          </w:rPr>
                          <m:t>+</m:t>
                        </m:r>
                        <m:f>
                          <m:fPr>
                            <m:ctrlPr>
                              <w:rPr>
                                <w:rFonts w:ascii="Cambria Math" w:eastAsiaTheme="minorEastAsia" w:hAnsi="Cambria Math"/>
                                <w:i/>
                                <w:iCs/>
                                <w:szCs w:val="16"/>
                              </w:rPr>
                            </m:ctrlPr>
                          </m:fPr>
                          <m:num>
                            <m:r>
                              <m:rPr>
                                <m:nor/>
                              </m:rPr>
                              <w:rPr>
                                <w:i/>
                                <w:iCs/>
                                <w:szCs w:val="16"/>
                              </w:rPr>
                              <m:t>Y</m:t>
                            </m:r>
                            <m:r>
                              <w:rPr>
                                <w:rFonts w:ascii="Cambria Math" w:hAnsi="Cambria Math"/>
                                <w:szCs w:val="16"/>
                              </w:rPr>
                              <m:t>∙</m:t>
                            </m:r>
                            <m:d>
                              <m:dPr>
                                <m:begChr m:val="["/>
                                <m:endChr m:val="]"/>
                                <m:ctrlPr>
                                  <w:rPr>
                                    <w:rFonts w:ascii="Cambria Math" w:hAnsi="Cambria Math"/>
                                    <w:i/>
                                    <w:iCs/>
                                    <w:szCs w:val="16"/>
                                  </w:rPr>
                                </m:ctrlPr>
                              </m:dPr>
                              <m:e>
                                <m:r>
                                  <m:rPr>
                                    <m:nor/>
                                  </m:rPr>
                                  <w:rPr>
                                    <w:i/>
                                    <w:szCs w:val="16"/>
                                  </w:rPr>
                                  <m:t>1</m:t>
                                </m:r>
                                <m:r>
                                  <w:rPr>
                                    <w:rFonts w:ascii="Cambria Math" w:hAnsi="Cambria Math"/>
                                    <w:szCs w:val="16"/>
                                  </w:rPr>
                                  <m:t>-</m:t>
                                </m:r>
                                <m:d>
                                  <m:dPr>
                                    <m:ctrlPr>
                                      <w:rPr>
                                        <w:rFonts w:ascii="Cambria Math" w:hAnsi="Cambria Math"/>
                                        <w:i/>
                                        <w:iCs/>
                                        <w:szCs w:val="16"/>
                                      </w:rPr>
                                    </m:ctrlPr>
                                  </m:dPr>
                                  <m:e>
                                    <m:r>
                                      <m:rPr>
                                        <m:nor/>
                                      </m:rPr>
                                      <w:rPr>
                                        <w:i/>
                                        <w:szCs w:val="16"/>
                                      </w:rPr>
                                      <m:t>1</m:t>
                                    </m:r>
                                    <m:r>
                                      <w:rPr>
                                        <w:rFonts w:ascii="Cambria Math" w:hAnsi="Cambria Math"/>
                                        <w:szCs w:val="16"/>
                                      </w:rPr>
                                      <m:t>-</m:t>
                                    </m:r>
                                    <m:r>
                                      <m:rPr>
                                        <m:nor/>
                                      </m:rPr>
                                      <w:rPr>
                                        <w:i/>
                                        <w:szCs w:val="16"/>
                                      </w:rPr>
                                      <m:t>β</m:t>
                                    </m:r>
                                  </m:e>
                                </m:d>
                                <m:r>
                                  <w:rPr>
                                    <w:rFonts w:ascii="Cambria Math" w:hAnsi="Cambria Math"/>
                                    <w:szCs w:val="16"/>
                                  </w:rPr>
                                  <m:t>∙</m:t>
                                </m:r>
                                <m:d>
                                  <m:dPr>
                                    <m:ctrlPr>
                                      <w:rPr>
                                        <w:rFonts w:ascii="Cambria Math" w:hAnsi="Cambria Math"/>
                                        <w:i/>
                                        <w:szCs w:val="16"/>
                                      </w:rPr>
                                    </m:ctrlPr>
                                  </m:dPr>
                                  <m:e>
                                    <m:r>
                                      <m:rPr>
                                        <m:nor/>
                                      </m:rPr>
                                      <w:rPr>
                                        <w:i/>
                                        <w:szCs w:val="16"/>
                                      </w:rPr>
                                      <m:t>1</m:t>
                                    </m:r>
                                    <m:r>
                                      <w:rPr>
                                        <w:rFonts w:ascii="Cambria Math" w:hAnsi="Cambria Math"/>
                                        <w:szCs w:val="16"/>
                                      </w:rPr>
                                      <m:t>-</m:t>
                                    </m:r>
                                    <m:r>
                                      <m:rPr>
                                        <m:nor/>
                                      </m:rPr>
                                      <w:rPr>
                                        <w:i/>
                                        <w:szCs w:val="16"/>
                                      </w:rPr>
                                      <m:t>α</m:t>
                                    </m:r>
                                  </m:e>
                                </m:d>
                              </m:e>
                            </m:d>
                            <m:r>
                              <w:rPr>
                                <w:rFonts w:ascii="Cambria Math" w:hAnsi="Cambria Math"/>
                                <w:szCs w:val="16"/>
                              </w:rPr>
                              <m:t>-</m:t>
                            </m:r>
                            <m:d>
                              <m:dPr>
                                <m:ctrlPr>
                                  <w:rPr>
                                    <w:rFonts w:ascii="Cambria Math" w:hAnsi="Cambria Math"/>
                                    <w:i/>
                                    <w:iCs/>
                                    <w:szCs w:val="16"/>
                                  </w:rPr>
                                </m:ctrlPr>
                              </m:dPr>
                              <m:e>
                                <m:r>
                                  <m:rPr>
                                    <m:nor/>
                                  </m:rPr>
                                  <w:rPr>
                                    <w:i/>
                                    <w:szCs w:val="16"/>
                                  </w:rPr>
                                  <m:t>1</m:t>
                                </m:r>
                                <m:r>
                                  <w:rPr>
                                    <w:rFonts w:ascii="Cambria Math" w:hAnsi="Cambria Math"/>
                                    <w:szCs w:val="16"/>
                                  </w:rPr>
                                  <m:t>-</m:t>
                                </m:r>
                                <m:r>
                                  <m:rPr>
                                    <m:nor/>
                                  </m:rPr>
                                  <w:rPr>
                                    <w:i/>
                                    <w:szCs w:val="16"/>
                                  </w:rPr>
                                  <m:t>β</m:t>
                                </m:r>
                              </m:e>
                            </m:d>
                            <m:r>
                              <w:rPr>
                                <w:rFonts w:ascii="Cambria Math" w:hAnsi="Cambria Math"/>
                                <w:szCs w:val="16"/>
                              </w:rPr>
                              <m:t>∙</m:t>
                            </m:r>
                            <m:r>
                              <m:rPr>
                                <m:nor/>
                              </m:rPr>
                              <w:rPr>
                                <w:i/>
                                <w:iCs/>
                                <w:szCs w:val="16"/>
                              </w:rPr>
                              <m:t>I</m:t>
                            </m:r>
                          </m:num>
                          <m:den>
                            <m:r>
                              <m:rPr>
                                <m:nor/>
                              </m:rPr>
                              <w:rPr>
                                <w:i/>
                                <w:iCs/>
                                <w:szCs w:val="16"/>
                              </w:rPr>
                              <m:t>XN</m:t>
                            </m:r>
                          </m:den>
                        </m:f>
                        <m:r>
                          <w:rPr>
                            <w:rFonts w:ascii="Cambria Math" w:hAnsi="Cambria Math"/>
                            <w:szCs w:val="16"/>
                          </w:rPr>
                          <m:t>∙</m:t>
                        </m:r>
                        <m:r>
                          <m:rPr>
                            <m:nor/>
                          </m:rPr>
                          <w:rPr>
                            <w:i/>
                            <w:iCs/>
                            <w:szCs w:val="16"/>
                          </w:rPr>
                          <m:t>D*</m:t>
                        </m:r>
                      </m:e>
                    </m:d>
                  </m:e>
                </m:d>
                <m:r>
                  <w:rPr>
                    <w:rFonts w:ascii="Cambria Math" w:hAnsi="Cambria Math"/>
                    <w:szCs w:val="16"/>
                  </w:rPr>
                  <m:t>⟹</m:t>
                </m:r>
                <m:f>
                  <m:fPr>
                    <m:ctrlPr>
                      <w:rPr>
                        <w:rFonts w:ascii="Cambria Math" w:hAnsi="Cambria Math"/>
                        <w:i/>
                      </w:rPr>
                    </m:ctrlPr>
                  </m:fPr>
                  <m:num>
                    <m:r>
                      <m:rPr>
                        <m:nor/>
                      </m:rPr>
                      <w:rPr>
                        <w:i/>
                        <w:iCs/>
                      </w:rPr>
                      <m:t>∂</m:t>
                    </m:r>
                    <m:sSub>
                      <m:sSubPr>
                        <m:ctrlPr>
                          <w:rPr>
                            <w:rFonts w:ascii="Cambria Math" w:hAnsi="Cambria Math"/>
                            <w:i/>
                            <w:iCs/>
                          </w:rPr>
                        </m:ctrlPr>
                      </m:sSubPr>
                      <m:e>
                        <m:r>
                          <m:rPr>
                            <m:nor/>
                          </m:rPr>
                          <w:rPr>
                            <w:i/>
                            <w:iCs/>
                          </w:rPr>
                          <m:t>I</m:t>
                        </m:r>
                      </m:e>
                      <m:sub>
                        <m:r>
                          <m:rPr>
                            <m:nor/>
                          </m:rPr>
                          <w:rPr>
                            <w:i/>
                            <w:iCs/>
                          </w:rPr>
                          <m:t>F</m:t>
                        </m:r>
                      </m:sub>
                    </m:sSub>
                  </m:num>
                  <m:den>
                    <m:r>
                      <m:rPr>
                        <m:nor/>
                      </m:rPr>
                      <w:rPr>
                        <w:i/>
                        <w:iCs/>
                      </w:rPr>
                      <m:t>∂I</m:t>
                    </m:r>
                  </m:den>
                </m:f>
                <m:r>
                  <w:rPr>
                    <w:rFonts w:ascii="Cambria Math" w:eastAsiaTheme="minorEastAsia" w:hAnsi="Cambria Math"/>
                  </w:rPr>
                  <m:t>=</m:t>
                </m:r>
                <m:f>
                  <m:fPr>
                    <m:ctrlPr>
                      <w:rPr>
                        <w:rFonts w:ascii="Cambria Math" w:eastAsiaTheme="minorEastAsia" w:hAnsi="Cambria Math"/>
                        <w:i/>
                        <w:iCs/>
                      </w:rPr>
                    </m:ctrlPr>
                  </m:fPr>
                  <m:num>
                    <m:d>
                      <m:dPr>
                        <m:ctrlPr>
                          <w:rPr>
                            <w:rFonts w:ascii="Cambria Math" w:hAnsi="Cambria Math"/>
                            <w:i/>
                            <w:iCs/>
                          </w:rPr>
                        </m:ctrlPr>
                      </m:dPr>
                      <m:e>
                        <m:r>
                          <m:rPr>
                            <m:nor/>
                          </m:rPr>
                          <w:rPr>
                            <w:i/>
                            <w:iCs/>
                          </w:rPr>
                          <m:t>1</m:t>
                        </m:r>
                        <m:r>
                          <w:rPr>
                            <w:rFonts w:ascii="Cambria Math" w:hAnsi="Cambria Math"/>
                          </w:rPr>
                          <m:t>+</m:t>
                        </m:r>
                        <m:r>
                          <m:rPr>
                            <m:nor/>
                          </m:rPr>
                          <w:rPr>
                            <w:i/>
                          </w:rPr>
                          <m:t>θ</m:t>
                        </m:r>
                      </m:e>
                    </m:d>
                    <m:r>
                      <w:rPr>
                        <w:rFonts w:ascii="Cambria Math" w:hAnsi="Cambria Math"/>
                      </w:rPr>
                      <m:t>∙</m:t>
                    </m:r>
                    <m:d>
                      <m:dPr>
                        <m:ctrlPr>
                          <w:rPr>
                            <w:rFonts w:ascii="Cambria Math" w:hAnsi="Cambria Math"/>
                            <w:i/>
                            <w:iCs/>
                          </w:rPr>
                        </m:ctrlPr>
                      </m:dPr>
                      <m:e>
                        <m:r>
                          <m:rPr>
                            <m:nor/>
                          </m:rPr>
                          <w:rPr>
                            <w:i/>
                          </w:rPr>
                          <m:t>1</m:t>
                        </m:r>
                        <m:r>
                          <w:rPr>
                            <w:rFonts w:ascii="Cambria Math" w:hAnsi="Cambria Math"/>
                          </w:rPr>
                          <m:t>-</m:t>
                        </m:r>
                        <m:r>
                          <m:rPr>
                            <m:nor/>
                          </m:rPr>
                          <w:rPr>
                            <w:i/>
                          </w:rPr>
                          <m:t>β</m:t>
                        </m:r>
                      </m:e>
                    </m:d>
                    <m:r>
                      <w:rPr>
                        <w:rFonts w:ascii="Cambria Math" w:hAnsi="Cambria Math"/>
                      </w:rPr>
                      <m:t>∙</m:t>
                    </m:r>
                    <m:r>
                      <m:rPr>
                        <m:nor/>
                      </m:rPr>
                      <w:rPr>
                        <w:i/>
                        <w:iCs/>
                      </w:rPr>
                      <m:t>D*</m:t>
                    </m:r>
                  </m:num>
                  <m:den>
                    <m:r>
                      <m:rPr>
                        <m:nor/>
                      </m:rPr>
                      <w:rPr>
                        <w:i/>
                        <w:iCs/>
                      </w:rPr>
                      <m:t>XN</m:t>
                    </m:r>
                  </m:den>
                </m:f>
              </m:e>
            </m:mr>
          </m:m>
        </m:oMath>
      </m:oMathPara>
    </w:p>
  </w:footnote>
  <w:footnote w:id="12">
    <w:p w14:paraId="743BF2E4" w14:textId="2A62C93B" w:rsidR="004524A6" w:rsidRDefault="004524A6" w:rsidP="004524A6">
      <w:pPr>
        <w:pStyle w:val="Textonotapie"/>
      </w:pPr>
      <w:r>
        <w:rPr>
          <w:rStyle w:val="Refdenotaalpie"/>
        </w:rPr>
        <w:footnoteRef/>
      </w:r>
      <w:r>
        <w:t xml:space="preserve"> Todas las economías afectadas por la crisis asiática presentaban un alto ni</w:t>
      </w:r>
      <w:r w:rsidR="00626578">
        <w:t>v</w:t>
      </w:r>
      <w:r>
        <w:t>el de apalancamiento durante las décadas anteriores a la crisis, y en los años</w:t>
      </w:r>
      <w:r w:rsidR="004D7D10">
        <w:t> </w:t>
      </w:r>
      <w:r>
        <w:t>90, con el proceso de apertura de la cuenta financiera, empezaron a endeudarse en moneda extranjera.</w:t>
      </w:r>
    </w:p>
  </w:footnote>
  <w:footnote w:id="13">
    <w:p w14:paraId="5704F1A9" w14:textId="6A644DB9" w:rsidR="00A92D27" w:rsidRDefault="00A92D27">
      <w:pPr>
        <w:pStyle w:val="Textonotapie"/>
      </w:pPr>
      <w:r>
        <w:rPr>
          <w:rStyle w:val="Refdenotaalpie"/>
        </w:rPr>
        <w:footnoteRef/>
      </w:r>
      <w:r>
        <w:t xml:space="preserve"> </w:t>
      </w:r>
      <w:r w:rsidRPr="00A92D27">
        <w:t xml:space="preserve">También es deseable un </w:t>
      </w:r>
      <w:r w:rsidRPr="00A92D27">
        <w:rPr>
          <w:i/>
          <w:iCs/>
        </w:rPr>
        <w:t>mayor grado de desarrollo de los mercados financieros</w:t>
      </w:r>
      <w:r w:rsidRPr="00A92D27">
        <w:t xml:space="preserve"> (recordemos que en las crisis financieras asiáticas las empresas y hogares pedían prestado en base a instrumentos de deuda en vez de capital).</w:t>
      </w:r>
    </w:p>
  </w:footnote>
  <w:footnote w:id="14">
    <w:p w14:paraId="7A8A1526" w14:textId="41FBFF3A" w:rsidR="00C1040F" w:rsidRPr="00C1040F" w:rsidRDefault="00C1040F">
      <w:pPr>
        <w:pStyle w:val="Textonotapie"/>
      </w:pPr>
      <w:r>
        <w:rPr>
          <w:rStyle w:val="Refdenotaalpie"/>
        </w:rPr>
        <w:footnoteRef/>
      </w:r>
      <w:r>
        <w:t xml:space="preserve"> </w:t>
      </w:r>
      <w:r>
        <w:rPr>
          <w:smallCaps/>
        </w:rPr>
        <w:t>Eichengreen</w:t>
      </w:r>
      <w:r>
        <w:t xml:space="preserve"> </w:t>
      </w:r>
      <w:r>
        <w:rPr>
          <w:i/>
          <w:iCs/>
        </w:rPr>
        <w:t>et al</w:t>
      </w:r>
      <w:r>
        <w:t xml:space="preserve"> (1996) definen el </w:t>
      </w:r>
      <w:r w:rsidRPr="00C1040F">
        <w:rPr>
          <w:b/>
          <w:bCs/>
        </w:rPr>
        <w:t>contagio</w:t>
      </w:r>
      <w:r>
        <w:t xml:space="preserve"> como la situación en la que la crisis de un país incrementa la probabilidad de ocurrencia de crisis en otros países. De acuerdo con esta definición, hablaremos de contagio cuando la crisis de un país ponga en marcha una serie de mecanismos de transmisión que hagan que aumente por sí misma la probabilidad de crisis en otro país. Esto significa que no basta con la simultaneidad de las crisis, que podría venir dada por pura coincidencia o por la existencia de una causa común, sino que es necesario que exista un </w:t>
      </w:r>
      <w:r>
        <w:rPr>
          <w:i/>
          <w:iCs/>
        </w:rPr>
        <w:t>vínculo de causalidad</w:t>
      </w:r>
      <w:r>
        <w:t xml:space="preserve"> entre ellas.</w:t>
      </w:r>
    </w:p>
  </w:footnote>
  <w:footnote w:id="15">
    <w:p w14:paraId="5D606B71" w14:textId="080C9AF9" w:rsidR="005E50F6" w:rsidRDefault="005E50F6">
      <w:pPr>
        <w:pStyle w:val="Textonotapie"/>
      </w:pPr>
      <w:r>
        <w:rPr>
          <w:rStyle w:val="Refdenotaalpie"/>
        </w:rPr>
        <w:footnoteRef/>
      </w:r>
      <w:r>
        <w:t xml:space="preserve"> A nivel de la Unión Europea, la integración financiera ha amplificado los efectos de contagio entre Estados miembros.</w:t>
      </w:r>
    </w:p>
  </w:footnote>
  <w:footnote w:id="16">
    <w:p w14:paraId="7CAA5457" w14:textId="77777777" w:rsidR="00CC0985" w:rsidRDefault="00CC0985" w:rsidP="00CC0985">
      <w:pPr>
        <w:pStyle w:val="Textonotapie"/>
      </w:pPr>
      <w:r>
        <w:rPr>
          <w:rStyle w:val="Refdenotaalpie"/>
        </w:rPr>
        <w:footnoteRef/>
      </w:r>
      <w:r>
        <w:t xml:space="preserve"> </w:t>
      </w:r>
      <w:hyperlink r:id="rId1" w:history="1">
        <w:r w:rsidRPr="00F01ACC">
          <w:rPr>
            <w:rStyle w:val="Hipervnculo"/>
          </w:rPr>
          <w:t>https://eleconomista.com.ar/politica/uruguayos-rememoran-su-crisis-2002-poder-olvidar-argentina-n55165</w:t>
        </w:r>
      </w:hyperlink>
    </w:p>
  </w:footnote>
  <w:footnote w:id="17">
    <w:p w14:paraId="542A6F41" w14:textId="77777777" w:rsidR="00D26B3B" w:rsidRDefault="00D26B3B" w:rsidP="00D26B3B">
      <w:pPr>
        <w:pStyle w:val="Textonotapie"/>
      </w:pPr>
      <w:r>
        <w:rPr>
          <w:rStyle w:val="Refdenotaalpie"/>
        </w:rPr>
        <w:footnoteRef/>
      </w:r>
      <w:r>
        <w:t xml:space="preserve"> </w:t>
      </w:r>
      <w:proofErr w:type="spellStart"/>
      <w:r>
        <w:rPr>
          <w:smallCaps/>
        </w:rPr>
        <w:t>Schinasi</w:t>
      </w:r>
      <w:proofErr w:type="spellEnd"/>
      <w:r>
        <w:t xml:space="preserve"> y </w:t>
      </w:r>
      <w:r>
        <w:rPr>
          <w:smallCaps/>
        </w:rPr>
        <w:t>Smith</w:t>
      </w:r>
      <w:r w:rsidRPr="005E50F6">
        <w:t xml:space="preserve"> </w:t>
      </w:r>
      <w:r>
        <w:t>(2001) utilizan la teoría de carteras para explicar el contagio como una decisión óptima de reajuste de cartera por parte de los agentes en respuesta a la crisis financiera en un país. Muestran cómo un shock adverso en la distribución del rendimiento de un activo podría conducir a la reducción óptima de la exposición en activos con riesgo en otros países si la regla de gestión así lo determina.</w:t>
      </w:r>
    </w:p>
  </w:footnote>
  <w:footnote w:id="18">
    <w:p w14:paraId="0C2266CD" w14:textId="231078D8" w:rsidR="006D0728" w:rsidRDefault="006D0728">
      <w:pPr>
        <w:pStyle w:val="Textonotapie"/>
      </w:pPr>
      <w:r>
        <w:rPr>
          <w:rStyle w:val="Refdenotaalpie"/>
        </w:rPr>
        <w:footnoteRef/>
      </w:r>
      <w:r>
        <w:t xml:space="preserve"> </w:t>
      </w:r>
      <w:r w:rsidRPr="006D0728">
        <w:t>En economía, un equilibrio de manchas solares es un equilibrio económico en el que el resultado del mercado o la asignación de recursos varía de una manera no relacionada con los fundamentos económicos. En otras palabras, el resultado depende de una variable aleatoria "extrínseca", es decir, una influencia aleatoria que importa sólo porque la gente piensa que es importante.</w:t>
      </w:r>
    </w:p>
  </w:footnote>
  <w:footnote w:id="19">
    <w:p w14:paraId="5A23D6B9" w14:textId="2247959B" w:rsidR="008C0AEB" w:rsidRDefault="008C0AEB">
      <w:pPr>
        <w:pStyle w:val="Textonotapie"/>
      </w:pPr>
      <w:r>
        <w:rPr>
          <w:rStyle w:val="Refdenotaalpie"/>
        </w:rPr>
        <w:footnoteRef/>
      </w:r>
      <w:r>
        <w:t xml:space="preserve"> El desencadenante de esta pérdida de confianza fue que la entidad BNP </w:t>
      </w:r>
      <w:proofErr w:type="spellStart"/>
      <w:r>
        <w:t>Paribas</w:t>
      </w:r>
      <w:proofErr w:type="spellEnd"/>
      <w:r>
        <w:t xml:space="preserve"> afirmó que no tenía ape</w:t>
      </w:r>
      <w:r w:rsidR="0094421D">
        <w:t>n</w:t>
      </w:r>
      <w:r>
        <w:t>as exposición, pero una semana más tarde congeló 3</w:t>
      </w:r>
      <w:r w:rsidR="00DC4DF2">
        <w:t> </w:t>
      </w:r>
      <w:r>
        <w:t>fondos que invertían en títulos subprime.</w:t>
      </w:r>
    </w:p>
  </w:footnote>
  <w:footnote w:id="20">
    <w:p w14:paraId="121A5EC7" w14:textId="77777777" w:rsidR="009A2030" w:rsidRDefault="009A2030" w:rsidP="009A2030">
      <w:pPr>
        <w:pStyle w:val="Textonotapie"/>
        <w:keepNext/>
        <w:spacing w:after="0"/>
      </w:pPr>
      <w:r>
        <w:rPr>
          <w:rStyle w:val="Refdenotaalpie"/>
        </w:rPr>
        <w:footnoteRef/>
      </w:r>
      <w:r>
        <w:t xml:space="preserve"> La Unión Bancaria persigue romper el </w:t>
      </w:r>
      <w:proofErr w:type="spellStart"/>
      <w:r w:rsidRPr="009A2030">
        <w:rPr>
          <w:i/>
          <w:iCs/>
        </w:rPr>
        <w:t>doom-loop</w:t>
      </w:r>
      <w:proofErr w:type="spellEnd"/>
      <w:r>
        <w:t>:</w:t>
      </w:r>
    </w:p>
    <w:p w14:paraId="18B2ADA5" w14:textId="77777777" w:rsidR="009A2030" w:rsidRDefault="009A2030">
      <w:pPr>
        <w:pStyle w:val="Textonotapie"/>
        <w:numPr>
          <w:ilvl w:val="0"/>
          <w:numId w:val="42"/>
        </w:numPr>
        <w:spacing w:after="0"/>
        <w:ind w:left="283" w:hanging="113"/>
      </w:pPr>
      <w:r>
        <w:t>Si el sistema bancario entra en una situación de riesgo de insolvencia, el seguro de depósitos era nacional. Por lo tanto, una crisis del sector bancario ponía en riesgo la solvencia del Estado.</w:t>
      </w:r>
    </w:p>
    <w:p w14:paraId="19BC5302" w14:textId="77777777" w:rsidR="009A2030" w:rsidRDefault="009A2030">
      <w:pPr>
        <w:pStyle w:val="Textonotapie"/>
        <w:numPr>
          <w:ilvl w:val="0"/>
          <w:numId w:val="42"/>
        </w:numPr>
        <w:spacing w:after="0"/>
        <w:ind w:left="283" w:hanging="113"/>
      </w:pPr>
      <w:r>
        <w:t>El riesgo de insolvencia del Estado pone en riesgo la salud del sistema bancario, ya que todos los bancos nacionales suelen tener en el balance bonos de los Tesoros de los propios Estados.</w:t>
      </w:r>
    </w:p>
    <w:p w14:paraId="47AD7B39" w14:textId="68C932D0" w:rsidR="009A2030" w:rsidRDefault="009A2030" w:rsidP="009A2030">
      <w:pPr>
        <w:pStyle w:val="Textonotapie"/>
      </w:pPr>
      <w:r>
        <w:t>En definitiva, todo el sistema estaba en riesgo, independientemente del origen del problema.</w:t>
      </w:r>
    </w:p>
  </w:footnote>
  <w:footnote w:id="21">
    <w:p w14:paraId="7F7659A7" w14:textId="77777777" w:rsidR="00855F80" w:rsidRPr="0086161B" w:rsidRDefault="00855F80" w:rsidP="00855F80">
      <w:pPr>
        <w:pStyle w:val="Textonotapie"/>
        <w:tabs>
          <w:tab w:val="left" w:pos="1102"/>
        </w:tabs>
      </w:pPr>
      <w:r>
        <w:rPr>
          <w:rStyle w:val="Refdenotaalpie"/>
        </w:rPr>
        <w:footnoteRef/>
      </w:r>
      <w:r>
        <w:t xml:space="preserve"> </w:t>
      </w:r>
      <w:r>
        <w:rPr>
          <w:smallCaps/>
        </w:rPr>
        <w:t>Douglas Diamond</w:t>
      </w:r>
      <w:r>
        <w:t xml:space="preserve"> y </w:t>
      </w:r>
      <w:r>
        <w:rPr>
          <w:smallCaps/>
        </w:rPr>
        <w:t>Philip H. Dybvig</w:t>
      </w:r>
      <w:r>
        <w:t xml:space="preserve"> fueron galardonados con el Premio Nobel de Economía en 2022 “</w:t>
      </w:r>
      <w:r w:rsidRPr="0086161B">
        <w:t>por sus investigaciones sobre bancos y crisis financieras</w:t>
      </w:r>
      <w:r>
        <w:t xml:space="preserve">”. </w:t>
      </w:r>
      <w:hyperlink r:id="rId2" w:history="1">
        <w:r w:rsidRPr="0076755C">
          <w:rPr>
            <w:rStyle w:val="Hipervnculo"/>
          </w:rPr>
          <w:t>https://www.fundacionareces.es/fundacionareces/es/actividades/premios-nobel-de-economia-2022-crisis-financieras-y-el-papel-de-los-bancos.html</w:t>
        </w:r>
      </w:hyperlink>
    </w:p>
  </w:footnote>
  <w:footnote w:id="22">
    <w:p w14:paraId="7A5A4996" w14:textId="77777777" w:rsidR="00855F80" w:rsidRDefault="00855F80" w:rsidP="00855F80">
      <w:pPr>
        <w:pStyle w:val="Textonotapie"/>
      </w:pPr>
      <w:r>
        <w:rPr>
          <w:rStyle w:val="Refdenotaalpie"/>
        </w:rPr>
        <w:footnoteRef/>
      </w:r>
      <w:r>
        <w:t xml:space="preserve"> Con incertidumbre agregada esto sería más complicado, pero la esencia sería la misma.</w:t>
      </w:r>
    </w:p>
  </w:footnote>
  <w:footnote w:id="23">
    <w:p w14:paraId="74C5EB50" w14:textId="77777777" w:rsidR="00855F80" w:rsidRDefault="00855F80" w:rsidP="00855F80">
      <w:pPr>
        <w:pStyle w:val="Textonotapie"/>
      </w:pPr>
      <w:r>
        <w:rPr>
          <w:rStyle w:val="Refdenotaalpie"/>
        </w:rPr>
        <w:footnoteRef/>
      </w:r>
      <w:r>
        <w:t xml:space="preserve"> El caso en que nos preocupa que las inversiones que lleva a cabo el banco no van a salir bien requiere incertidumbre agregada que complicaría el análisis, pero es importante en la vida real.</w:t>
      </w:r>
    </w:p>
  </w:footnote>
  <w:footnote w:id="24">
    <w:p w14:paraId="67E14496" w14:textId="77777777" w:rsidR="00855F80" w:rsidRPr="005B260C" w:rsidRDefault="00855F80" w:rsidP="00855F80">
      <w:pPr>
        <w:pStyle w:val="Textonotapie"/>
        <w:keepNext/>
        <w:spacing w:after="0"/>
        <w:rPr>
          <w:lang w:val="en-US"/>
        </w:rPr>
      </w:pPr>
      <w:r>
        <w:rPr>
          <w:rStyle w:val="Refdenotaalpie"/>
        </w:rPr>
        <w:footnoteRef/>
      </w:r>
      <w:r w:rsidRPr="005B260C">
        <w:rPr>
          <w:lang w:val="en-US"/>
        </w:rPr>
        <w:t xml:space="preserve"> </w:t>
      </w:r>
      <w:r w:rsidRPr="005B260C">
        <w:rPr>
          <w:i/>
          <w:iCs/>
          <w:lang w:val="en-US"/>
        </w:rPr>
        <w:t>“Let me end my talk by abusing slightly my status as an official representative of the Federal Reserve. I would like to say to Milton and Anna: Regarding the Great Depression, you're right. We did it. We're very sorry. But thanks to you, we won't do it again.”</w:t>
      </w:r>
    </w:p>
    <w:p w14:paraId="48111751" w14:textId="77777777" w:rsidR="00855F80" w:rsidRPr="00A73B07" w:rsidRDefault="00855F80" w:rsidP="00855F80">
      <w:pPr>
        <w:pStyle w:val="Textonotapie"/>
        <w:jc w:val="right"/>
      </w:pPr>
      <w:r w:rsidRPr="00A73B07">
        <w:t>— Ben S. Bernanke</w:t>
      </w:r>
    </w:p>
  </w:footnote>
  <w:footnote w:id="25">
    <w:p w14:paraId="52B85CAF" w14:textId="77777777" w:rsidR="00855F80" w:rsidRDefault="00855F80" w:rsidP="00855F80">
      <w:pPr>
        <w:pStyle w:val="Textonotapie"/>
        <w:tabs>
          <w:tab w:val="left" w:pos="8653"/>
        </w:tabs>
      </w:pPr>
      <w:r>
        <w:rPr>
          <w:rStyle w:val="Refdenotaalpie"/>
        </w:rPr>
        <w:footnoteRef/>
      </w:r>
      <w:r>
        <w:t xml:space="preserve"> En la Unión Europea, el fondo de garantía de depósitos está armonizado en 100.000 € por depositante y entidad. Hay dos modelos fundamentales de financiación de los fondos de garantía de depósitos: por un lado, vía presupuestos (caso alemán); por otro lado, vía contribución de las entidades financieras (caso español).</w:t>
      </w:r>
    </w:p>
  </w:footnote>
  <w:footnote w:id="26">
    <w:p w14:paraId="05C892C0" w14:textId="77777777" w:rsidR="00855F80" w:rsidRPr="00224E7F" w:rsidRDefault="00855F80" w:rsidP="00855F80">
      <w:pPr>
        <w:pStyle w:val="Textonotapie"/>
      </w:pPr>
      <w:r>
        <w:rPr>
          <w:rStyle w:val="Refdenotaalpie"/>
        </w:rPr>
        <w:footnoteRef/>
      </w:r>
      <w:r>
        <w:t xml:space="preserve"> </w:t>
      </w:r>
      <w:proofErr w:type="spellStart"/>
      <w:r>
        <w:rPr>
          <w:i/>
          <w:iCs/>
        </w:rPr>
        <w:t>Bail</w:t>
      </w:r>
      <w:proofErr w:type="spellEnd"/>
      <w:r>
        <w:rPr>
          <w:i/>
          <w:iCs/>
        </w:rPr>
        <w:t>-in</w:t>
      </w:r>
      <w:r>
        <w:t>: Aplicación de pérdidas a acreedores de una entidad insolvente como alternativa al recurso a fondos públicos (</w:t>
      </w:r>
      <w:proofErr w:type="spellStart"/>
      <w:r>
        <w:rPr>
          <w:i/>
          <w:iCs/>
        </w:rPr>
        <w:t>bail-out</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D2702C" w:rsidRPr="00C44422" w14:paraId="7EABC485"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22DFD16" w14:textId="29E268CD" w:rsidR="00D2702C" w:rsidRPr="00C44422" w:rsidRDefault="000A13F4"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3.B.17</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19531B92" w14:textId="581EDE8F" w:rsidR="00D2702C" w:rsidRPr="00C44422" w:rsidRDefault="005015D1" w:rsidP="00C80BBD">
              <w:pPr>
                <w:pStyle w:val="Encabezado"/>
                <w:spacing w:after="0"/>
                <w:ind w:right="-110"/>
                <w:contextualSpacing/>
                <w:jc w:val="center"/>
                <w:rPr>
                  <w:i/>
                  <w:iCs/>
                  <w:color w:val="5F2987"/>
                  <w:sz w:val="18"/>
                  <w:szCs w:val="18"/>
                </w:rPr>
              </w:pPr>
              <w:r>
                <w:rPr>
                  <w:i/>
                  <w:iCs/>
                  <w:color w:val="5F2987"/>
                  <w:sz w:val="18"/>
                  <w:szCs w:val="18"/>
                </w:rPr>
                <w:t>Teorías explicativas de las crisis de balanza de pagos.</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4557D11" w14:textId="77777777" w:rsidR="00D2702C" w:rsidRPr="00C44422" w:rsidRDefault="00D2702C" w:rsidP="00C80BB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58FAFE34" w14:textId="77777777" w:rsidR="002756C0" w:rsidRPr="00B70943" w:rsidRDefault="002756C0" w:rsidP="005015D1">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D2702C" w:rsidRPr="00C44422" w14:paraId="2756E43B" w14:textId="77777777" w:rsidTr="0078055F">
      <w:trPr>
        <w:trHeight w:val="136"/>
        <w:jc w:val="center"/>
      </w:trPr>
      <w:bookmarkStart w:id="63" w:name="_Hlk72149218" w:displacedByCustomXml="next"/>
      <w:sdt>
        <w:sdtPr>
          <w:rPr>
            <w:b/>
            <w:bCs/>
            <w:i/>
            <w:iCs/>
            <w:caps/>
            <w:color w:val="5F2987"/>
            <w:sz w:val="18"/>
            <w:szCs w:val="18"/>
          </w:rPr>
          <w:alias w:val="Title"/>
          <w:tag w:val=""/>
          <w:id w:val="1951967178"/>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12D319B" w14:textId="12E54395" w:rsidR="00D2702C" w:rsidRPr="00C44422" w:rsidRDefault="000A13F4"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3.B.17</w:t>
              </w:r>
            </w:p>
          </w:tc>
        </w:sdtContent>
      </w:sdt>
      <w:tc>
        <w:tcPr>
          <w:tcW w:w="7088" w:type="dxa"/>
          <w:vAlign w:val="center"/>
        </w:tcPr>
        <w:sdt>
          <w:sdtPr>
            <w:rPr>
              <w:i/>
              <w:iCs/>
              <w:color w:val="5F2987"/>
              <w:sz w:val="18"/>
              <w:szCs w:val="18"/>
            </w:rPr>
            <w:alias w:val="Subject"/>
            <w:tag w:val=""/>
            <w:id w:val="1562288216"/>
            <w:dataBinding w:prefixMappings="xmlns:ns0='http://purl.org/dc/elements/1.1/' xmlns:ns1='http://schemas.openxmlformats.org/package/2006/metadata/core-properties' " w:xpath="/ns1:coreProperties[1]/ns0:subject[1]" w:storeItemID="{6C3C8BC8-F283-45AE-878A-BAB7291924A1}"/>
            <w:text/>
          </w:sdtPr>
          <w:sdtContent>
            <w:p w14:paraId="7DD4D48E" w14:textId="2C984A09" w:rsidR="00D2702C" w:rsidRPr="00C44422" w:rsidRDefault="005015D1" w:rsidP="00C80BBD">
              <w:pPr>
                <w:pStyle w:val="Encabezado"/>
                <w:spacing w:after="0"/>
                <w:ind w:right="-110"/>
                <w:contextualSpacing/>
                <w:jc w:val="center"/>
                <w:rPr>
                  <w:i/>
                  <w:iCs/>
                  <w:color w:val="5F2987"/>
                  <w:sz w:val="18"/>
                  <w:szCs w:val="18"/>
                </w:rPr>
              </w:pPr>
              <w:r>
                <w:rPr>
                  <w:i/>
                  <w:iCs/>
                  <w:color w:val="5F2987"/>
                  <w:sz w:val="18"/>
                  <w:szCs w:val="18"/>
                </w:rPr>
                <w:t>Teorías explicativas de las crisis de balanza de pagos.</w:t>
              </w:r>
            </w:p>
          </w:sdtContent>
        </w:sdt>
      </w:tc>
      <w:sdt>
        <w:sdtPr>
          <w:rPr>
            <w:b/>
            <w:bCs/>
            <w:i/>
            <w:iCs/>
            <w:color w:val="5F2987"/>
            <w:spacing w:val="-6"/>
            <w:sz w:val="18"/>
            <w:szCs w:val="18"/>
          </w:rPr>
          <w:alias w:val="Author"/>
          <w:tag w:val=""/>
          <w:id w:val="-1620837726"/>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68EB5633" w14:textId="77777777" w:rsidR="00D2702C" w:rsidRPr="00C44422" w:rsidRDefault="00D2702C" w:rsidP="00C80BB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63"/>
  </w:tbl>
  <w:p w14:paraId="33CB267C" w14:textId="77777777" w:rsidR="008274D7" w:rsidRPr="004C465C" w:rsidRDefault="008274D7" w:rsidP="005015D1">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D2702C" w:rsidRPr="00BE1B62" w14:paraId="5265A5D9" w14:textId="77777777" w:rsidTr="005578B5">
      <w:tc>
        <w:tcPr>
          <w:tcW w:w="3261" w:type="dxa"/>
          <w:tcBorders>
            <w:bottom w:val="thickThinSmallGap" w:sz="12" w:space="0" w:color="5F2987"/>
          </w:tcBorders>
        </w:tcPr>
        <w:p w14:paraId="172ECB4B" w14:textId="05507F4F" w:rsidR="00D2702C" w:rsidRPr="00BE1B62" w:rsidRDefault="00D2702C" w:rsidP="005578B5">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9A4A5C">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7939C333" w14:textId="77777777" w:rsidR="00D2702C" w:rsidRPr="00BE1B62" w:rsidRDefault="00D2702C" w:rsidP="005578B5">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94FACA12791F41AFADF2B01E3928C1DD"/>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38027C41" w14:textId="41659AB4" w:rsidR="00D2702C" w:rsidRPr="00BE1B62" w:rsidRDefault="000A13F4" w:rsidP="005578B5">
              <w:pPr>
                <w:pStyle w:val="Encabezado"/>
                <w:spacing w:after="0"/>
                <w:jc w:val="right"/>
                <w:rPr>
                  <w:i/>
                  <w:iCs/>
                  <w:color w:val="5F2987"/>
                  <w:spacing w:val="-6"/>
                  <w:sz w:val="18"/>
                  <w:szCs w:val="18"/>
                </w:rPr>
              </w:pPr>
              <w:r>
                <w:rPr>
                  <w:i/>
                  <w:iCs/>
                  <w:color w:val="5F2987"/>
                  <w:spacing w:val="-6"/>
                  <w:sz w:val="20"/>
                  <w:szCs w:val="20"/>
                </w:rPr>
                <w:t>3.B.17</w:t>
              </w:r>
            </w:p>
          </w:tc>
        </w:sdtContent>
      </w:sdt>
    </w:tr>
  </w:tbl>
  <w:p w14:paraId="209866AD" w14:textId="77777777" w:rsidR="00D2702C" w:rsidRPr="00C80BBD" w:rsidRDefault="00D2702C" w:rsidP="005578B5">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54D5A"/>
    <w:multiLevelType w:val="hybridMultilevel"/>
    <w:tmpl w:val="CA16298C"/>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2" w15:restartNumberingAfterBreak="0">
    <w:nsid w:val="0FB243DC"/>
    <w:multiLevelType w:val="hybridMultilevel"/>
    <w:tmpl w:val="247AC2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3124269"/>
    <w:multiLevelType w:val="hybridMultilevel"/>
    <w:tmpl w:val="72DCD1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4F1115F"/>
    <w:multiLevelType w:val="hybridMultilevel"/>
    <w:tmpl w:val="A790CD16"/>
    <w:lvl w:ilvl="0" w:tplc="43744E6A">
      <w:start w:val="1"/>
      <w:numFmt w:val="decimal"/>
      <w:lvlText w:val="%1)"/>
      <w:lvlJc w:val="right"/>
      <w:pPr>
        <w:ind w:left="720" w:hanging="360"/>
      </w:pPr>
      <w:rPr>
        <w:rFonts w:hint="default"/>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534113D"/>
    <w:multiLevelType w:val="hybridMultilevel"/>
    <w:tmpl w:val="050C0228"/>
    <w:lvl w:ilvl="0" w:tplc="2A22C416">
      <w:start w:val="1"/>
      <w:numFmt w:val="lowerLetter"/>
      <w:lvlText w:val="%1)"/>
      <w:lvlJc w:val="left"/>
      <w:pPr>
        <w:ind w:left="720" w:hanging="360"/>
      </w:pPr>
      <w:rPr>
        <w:rFonts w:hint="default"/>
        <w:color w:val="240F33"/>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54061DD"/>
    <w:multiLevelType w:val="hybridMultilevel"/>
    <w:tmpl w:val="52F610BC"/>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57E25D1"/>
    <w:multiLevelType w:val="hybridMultilevel"/>
    <w:tmpl w:val="81949CA2"/>
    <w:lvl w:ilvl="0" w:tplc="FB0A65B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B1A7CF7"/>
    <w:multiLevelType w:val="hybridMultilevel"/>
    <w:tmpl w:val="11D68456"/>
    <w:lvl w:ilvl="0" w:tplc="6394BD5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D6C7407"/>
    <w:multiLevelType w:val="hybridMultilevel"/>
    <w:tmpl w:val="A754AA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FCE6BDD"/>
    <w:multiLevelType w:val="hybridMultilevel"/>
    <w:tmpl w:val="91FAA8F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4BE4531"/>
    <w:multiLevelType w:val="hybridMultilevel"/>
    <w:tmpl w:val="6F768B2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5" w15:restartNumberingAfterBreak="0">
    <w:nsid w:val="28AD34F9"/>
    <w:multiLevelType w:val="hybridMultilevel"/>
    <w:tmpl w:val="050E3CA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C086043"/>
    <w:multiLevelType w:val="hybridMultilevel"/>
    <w:tmpl w:val="5CCEAD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E4F583B"/>
    <w:multiLevelType w:val="hybridMultilevel"/>
    <w:tmpl w:val="3016402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02D5855"/>
    <w:multiLevelType w:val="hybridMultilevel"/>
    <w:tmpl w:val="CDF4C200"/>
    <w:lvl w:ilvl="0" w:tplc="FFFFFFFF">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18C178A"/>
    <w:multiLevelType w:val="hybridMultilevel"/>
    <w:tmpl w:val="7A78C954"/>
    <w:lvl w:ilvl="0" w:tplc="0C0A000F">
      <w:start w:val="1"/>
      <w:numFmt w:val="decimal"/>
      <w:lvlText w:val="%1."/>
      <w:lvlJc w:val="left"/>
      <w:pPr>
        <w:ind w:left="720" w:hanging="360"/>
      </w:pPr>
    </w:lvl>
    <w:lvl w:ilvl="1" w:tplc="59EC0F38">
      <w:start w:val="1"/>
      <w:numFmt w:val="lowerLetter"/>
      <w:lvlText w:val="%2)"/>
      <w:lvlJc w:val="left"/>
      <w:pPr>
        <w:ind w:left="1440" w:hanging="360"/>
      </w:pPr>
      <w:rPr>
        <w:rFonts w:hint="default"/>
      </w:rPr>
    </w:lvl>
    <w:lvl w:ilvl="2" w:tplc="77068BA6">
      <w:start w:val="1"/>
      <w:numFmt w:val="lowerRoman"/>
      <w:lvlText w:val="%3."/>
      <w:lvlJc w:val="right"/>
      <w:pPr>
        <w:ind w:left="2160" w:hanging="180"/>
      </w:pPr>
      <w:rPr>
        <w:i/>
        <w:iCs/>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23A1193"/>
    <w:multiLevelType w:val="hybridMultilevel"/>
    <w:tmpl w:val="BAD29B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9C74E6D"/>
    <w:multiLevelType w:val="hybridMultilevel"/>
    <w:tmpl w:val="D1CC1BFC"/>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C3461FE"/>
    <w:multiLevelType w:val="hybridMultilevel"/>
    <w:tmpl w:val="363624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CED08FC"/>
    <w:multiLevelType w:val="hybridMultilevel"/>
    <w:tmpl w:val="7A78C954"/>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0CC126C"/>
    <w:multiLevelType w:val="hybridMultilevel"/>
    <w:tmpl w:val="F24875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1437496"/>
    <w:multiLevelType w:val="hybridMultilevel"/>
    <w:tmpl w:val="E820B83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65D2B30"/>
    <w:multiLevelType w:val="hybridMultilevel"/>
    <w:tmpl w:val="46DCBF0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900505B"/>
    <w:multiLevelType w:val="hybridMultilevel"/>
    <w:tmpl w:val="167C125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53F1E4A"/>
    <w:multiLevelType w:val="hybridMultilevel"/>
    <w:tmpl w:val="CBC00A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5D21FDF"/>
    <w:multiLevelType w:val="hybridMultilevel"/>
    <w:tmpl w:val="B804244C"/>
    <w:lvl w:ilvl="0" w:tplc="DFE4C51A">
      <w:start w:val="1"/>
      <w:numFmt w:val="decimal"/>
      <w:lvlText w:val="%1)"/>
      <w:lvlJc w:val="left"/>
      <w:pPr>
        <w:ind w:left="720" w:hanging="360"/>
      </w:pPr>
      <w:rPr>
        <w:rFonts w:hint="default"/>
        <w:i w:val="0"/>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8405A94"/>
    <w:multiLevelType w:val="hybridMultilevel"/>
    <w:tmpl w:val="3016402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DEF6055"/>
    <w:multiLevelType w:val="hybridMultilevel"/>
    <w:tmpl w:val="1320188C"/>
    <w:lvl w:ilvl="0" w:tplc="FFFFFFFF">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2B44F65"/>
    <w:multiLevelType w:val="hybridMultilevel"/>
    <w:tmpl w:val="2C8EB74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7DA6D48"/>
    <w:multiLevelType w:val="hybridMultilevel"/>
    <w:tmpl w:val="89F29C3E"/>
    <w:lvl w:ilvl="0" w:tplc="0C0A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7" w15:restartNumberingAfterBreak="0">
    <w:nsid w:val="6A190FE0"/>
    <w:multiLevelType w:val="hybridMultilevel"/>
    <w:tmpl w:val="B8A2CD0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379446D"/>
    <w:multiLevelType w:val="hybridMultilevel"/>
    <w:tmpl w:val="8AD45D8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81C28AA"/>
    <w:multiLevelType w:val="hybridMultilevel"/>
    <w:tmpl w:val="C3AA05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B2A5553"/>
    <w:multiLevelType w:val="hybridMultilevel"/>
    <w:tmpl w:val="1F26646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B542A4A"/>
    <w:multiLevelType w:val="hybridMultilevel"/>
    <w:tmpl w:val="1F2664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7BFD6C1F"/>
    <w:multiLevelType w:val="hybridMultilevel"/>
    <w:tmpl w:val="CFCEBD06"/>
    <w:lvl w:ilvl="0" w:tplc="FFFFFFFF">
      <w:start w:val="1"/>
      <w:numFmt w:val="bullet"/>
      <w:lvlText w:val=""/>
      <w:lvlJc w:val="left"/>
      <w:pPr>
        <w:ind w:left="720" w:hanging="360"/>
      </w:pPr>
      <w:rPr>
        <w:rFonts w:ascii="Symbol" w:hAnsi="Symbol" w:hint="default"/>
      </w:rPr>
    </w:lvl>
    <w:lvl w:ilvl="1" w:tplc="41CEF0D2">
      <w:start w:val="1"/>
      <w:numFmt w:val="bullet"/>
      <w:lvlText w:val=""/>
      <w:lvlJc w:val="right"/>
      <w:pPr>
        <w:ind w:left="1440" w:hanging="360"/>
      </w:pPr>
      <w:rPr>
        <w:rFonts w:ascii="Symbol" w:hAnsi="Symbol" w:hint="default"/>
        <w:sz w:val="14"/>
        <w:szCs w:val="1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BFE05B7"/>
    <w:multiLevelType w:val="hybridMultilevel"/>
    <w:tmpl w:val="43EC0C5C"/>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84645926">
    <w:abstractNumId w:val="1"/>
  </w:num>
  <w:num w:numId="2" w16cid:durableId="2144541019">
    <w:abstractNumId w:val="40"/>
  </w:num>
  <w:num w:numId="3" w16cid:durableId="386496125">
    <w:abstractNumId w:val="13"/>
  </w:num>
  <w:num w:numId="4" w16cid:durableId="230390007">
    <w:abstractNumId w:val="36"/>
  </w:num>
  <w:num w:numId="5" w16cid:durableId="1398551267">
    <w:abstractNumId w:val="14"/>
  </w:num>
  <w:num w:numId="6" w16cid:durableId="1444419259">
    <w:abstractNumId w:val="26"/>
  </w:num>
  <w:num w:numId="7" w16cid:durableId="585578637">
    <w:abstractNumId w:val="8"/>
  </w:num>
  <w:num w:numId="8" w16cid:durableId="1214003813">
    <w:abstractNumId w:val="19"/>
  </w:num>
  <w:num w:numId="9" w16cid:durableId="1282540829">
    <w:abstractNumId w:val="11"/>
  </w:num>
  <w:num w:numId="10" w16cid:durableId="999384609">
    <w:abstractNumId w:val="37"/>
  </w:num>
  <w:num w:numId="11" w16cid:durableId="1542091208">
    <w:abstractNumId w:val="29"/>
  </w:num>
  <w:num w:numId="12" w16cid:durableId="1181429159">
    <w:abstractNumId w:val="6"/>
  </w:num>
  <w:num w:numId="13" w16cid:durableId="854684410">
    <w:abstractNumId w:val="30"/>
  </w:num>
  <w:num w:numId="14" w16cid:durableId="1704404654">
    <w:abstractNumId w:val="31"/>
  </w:num>
  <w:num w:numId="15" w16cid:durableId="946622529">
    <w:abstractNumId w:val="27"/>
  </w:num>
  <w:num w:numId="16" w16cid:durableId="882443626">
    <w:abstractNumId w:val="39"/>
  </w:num>
  <w:num w:numId="17" w16cid:durableId="1026174616">
    <w:abstractNumId w:val="3"/>
  </w:num>
  <w:num w:numId="18" w16cid:durableId="336270917">
    <w:abstractNumId w:val="15"/>
  </w:num>
  <w:num w:numId="19" w16cid:durableId="1782912240">
    <w:abstractNumId w:val="23"/>
  </w:num>
  <w:num w:numId="20" w16cid:durableId="1418939200">
    <w:abstractNumId w:val="42"/>
  </w:num>
  <w:num w:numId="21" w16cid:durableId="289360538">
    <w:abstractNumId w:val="41"/>
  </w:num>
  <w:num w:numId="22" w16cid:durableId="1885480674">
    <w:abstractNumId w:val="9"/>
  </w:num>
  <w:num w:numId="23" w16cid:durableId="516424542">
    <w:abstractNumId w:val="7"/>
  </w:num>
  <w:num w:numId="24" w16cid:durableId="1917011450">
    <w:abstractNumId w:val="21"/>
  </w:num>
  <w:num w:numId="25" w16cid:durableId="644698467">
    <w:abstractNumId w:val="0"/>
  </w:num>
  <w:num w:numId="26" w16cid:durableId="65038959">
    <w:abstractNumId w:val="33"/>
  </w:num>
  <w:num w:numId="27" w16cid:durableId="1090927000">
    <w:abstractNumId w:val="16"/>
  </w:num>
  <w:num w:numId="28" w16cid:durableId="420565470">
    <w:abstractNumId w:val="17"/>
  </w:num>
  <w:num w:numId="29" w16cid:durableId="1352681033">
    <w:abstractNumId w:val="12"/>
  </w:num>
  <w:num w:numId="30" w16cid:durableId="353698278">
    <w:abstractNumId w:val="38"/>
  </w:num>
  <w:num w:numId="31" w16cid:durableId="2139105377">
    <w:abstractNumId w:val="24"/>
  </w:num>
  <w:num w:numId="32" w16cid:durableId="698623576">
    <w:abstractNumId w:val="25"/>
  </w:num>
  <w:num w:numId="33" w16cid:durableId="58525714">
    <w:abstractNumId w:val="28"/>
  </w:num>
  <w:num w:numId="34" w16cid:durableId="1050375363">
    <w:abstractNumId w:val="20"/>
  </w:num>
  <w:num w:numId="35" w16cid:durableId="1879392316">
    <w:abstractNumId w:val="32"/>
  </w:num>
  <w:num w:numId="36" w16cid:durableId="1326058240">
    <w:abstractNumId w:val="22"/>
  </w:num>
  <w:num w:numId="37" w16cid:durableId="1094597511">
    <w:abstractNumId w:val="44"/>
  </w:num>
  <w:num w:numId="38" w16cid:durableId="1909345837">
    <w:abstractNumId w:val="18"/>
  </w:num>
  <w:num w:numId="39" w16cid:durableId="678317750">
    <w:abstractNumId w:val="43"/>
  </w:num>
  <w:num w:numId="40" w16cid:durableId="714160900">
    <w:abstractNumId w:val="35"/>
  </w:num>
  <w:num w:numId="41" w16cid:durableId="269556661">
    <w:abstractNumId w:val="4"/>
  </w:num>
  <w:num w:numId="42" w16cid:durableId="1278412766">
    <w:abstractNumId w:val="2"/>
  </w:num>
  <w:num w:numId="43" w16cid:durableId="281613334">
    <w:abstractNumId w:val="34"/>
  </w:num>
  <w:num w:numId="44" w16cid:durableId="1507669370">
    <w:abstractNumId w:val="10"/>
  </w:num>
  <w:num w:numId="45" w16cid:durableId="921186155">
    <w:abstractNumId w:val="5"/>
  </w:num>
  <w:num w:numId="46" w16cid:durableId="413744921">
    <w:abstractNumId w:val="36"/>
    <w:lvlOverride w:ilvl="0">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7D2"/>
    <w:rsid w:val="000002B3"/>
    <w:rsid w:val="0000689E"/>
    <w:rsid w:val="00010FBD"/>
    <w:rsid w:val="00016389"/>
    <w:rsid w:val="0002549F"/>
    <w:rsid w:val="00025C43"/>
    <w:rsid w:val="00030212"/>
    <w:rsid w:val="00031799"/>
    <w:rsid w:val="00031D43"/>
    <w:rsid w:val="00032468"/>
    <w:rsid w:val="00032AD4"/>
    <w:rsid w:val="00034A05"/>
    <w:rsid w:val="000350A2"/>
    <w:rsid w:val="0003540D"/>
    <w:rsid w:val="00035C29"/>
    <w:rsid w:val="00041E59"/>
    <w:rsid w:val="00044055"/>
    <w:rsid w:val="0005496A"/>
    <w:rsid w:val="00064BC4"/>
    <w:rsid w:val="0006593D"/>
    <w:rsid w:val="0007752D"/>
    <w:rsid w:val="000872F7"/>
    <w:rsid w:val="000922F2"/>
    <w:rsid w:val="00093C75"/>
    <w:rsid w:val="000A13F4"/>
    <w:rsid w:val="000A3137"/>
    <w:rsid w:val="000B3839"/>
    <w:rsid w:val="000B5E4C"/>
    <w:rsid w:val="000C5474"/>
    <w:rsid w:val="000C6A0E"/>
    <w:rsid w:val="000D3A97"/>
    <w:rsid w:val="000E3517"/>
    <w:rsid w:val="000E447B"/>
    <w:rsid w:val="000F7C84"/>
    <w:rsid w:val="00101F35"/>
    <w:rsid w:val="001024FE"/>
    <w:rsid w:val="00107EF3"/>
    <w:rsid w:val="001109FB"/>
    <w:rsid w:val="00113555"/>
    <w:rsid w:val="00113C8E"/>
    <w:rsid w:val="0011648E"/>
    <w:rsid w:val="001235AF"/>
    <w:rsid w:val="001251B5"/>
    <w:rsid w:val="001308F1"/>
    <w:rsid w:val="00133F6D"/>
    <w:rsid w:val="00140CFE"/>
    <w:rsid w:val="0014123E"/>
    <w:rsid w:val="0014630B"/>
    <w:rsid w:val="0015013E"/>
    <w:rsid w:val="00160C77"/>
    <w:rsid w:val="001625EC"/>
    <w:rsid w:val="0016795D"/>
    <w:rsid w:val="00167D45"/>
    <w:rsid w:val="001745F6"/>
    <w:rsid w:val="001755A1"/>
    <w:rsid w:val="00180EC4"/>
    <w:rsid w:val="0018277B"/>
    <w:rsid w:val="001841D7"/>
    <w:rsid w:val="001869B6"/>
    <w:rsid w:val="00190F99"/>
    <w:rsid w:val="00192908"/>
    <w:rsid w:val="001957CC"/>
    <w:rsid w:val="001B154A"/>
    <w:rsid w:val="001C2F5A"/>
    <w:rsid w:val="001C55A0"/>
    <w:rsid w:val="001D2FB9"/>
    <w:rsid w:val="001D7194"/>
    <w:rsid w:val="00202595"/>
    <w:rsid w:val="00203659"/>
    <w:rsid w:val="00206F3F"/>
    <w:rsid w:val="00212E0B"/>
    <w:rsid w:val="002156DC"/>
    <w:rsid w:val="0021774E"/>
    <w:rsid w:val="002253B7"/>
    <w:rsid w:val="0022612F"/>
    <w:rsid w:val="0023678C"/>
    <w:rsid w:val="00252466"/>
    <w:rsid w:val="00254714"/>
    <w:rsid w:val="00263DDA"/>
    <w:rsid w:val="002756C0"/>
    <w:rsid w:val="002900E9"/>
    <w:rsid w:val="00294AD7"/>
    <w:rsid w:val="002A1386"/>
    <w:rsid w:val="002A17D0"/>
    <w:rsid w:val="002A3679"/>
    <w:rsid w:val="002A433E"/>
    <w:rsid w:val="002A51E0"/>
    <w:rsid w:val="002A7603"/>
    <w:rsid w:val="002B4B93"/>
    <w:rsid w:val="002C3172"/>
    <w:rsid w:val="002C6439"/>
    <w:rsid w:val="002D1F4C"/>
    <w:rsid w:val="002D31EB"/>
    <w:rsid w:val="002E0928"/>
    <w:rsid w:val="002E0C48"/>
    <w:rsid w:val="002E1630"/>
    <w:rsid w:val="002E5F5F"/>
    <w:rsid w:val="002F7FA3"/>
    <w:rsid w:val="00302A0E"/>
    <w:rsid w:val="00307C23"/>
    <w:rsid w:val="0031762E"/>
    <w:rsid w:val="00324402"/>
    <w:rsid w:val="0033554E"/>
    <w:rsid w:val="003359BA"/>
    <w:rsid w:val="00342648"/>
    <w:rsid w:val="00342DC4"/>
    <w:rsid w:val="0034504F"/>
    <w:rsid w:val="0034739E"/>
    <w:rsid w:val="00366248"/>
    <w:rsid w:val="00373335"/>
    <w:rsid w:val="003739CC"/>
    <w:rsid w:val="003739F7"/>
    <w:rsid w:val="00373D09"/>
    <w:rsid w:val="00382C18"/>
    <w:rsid w:val="003847B1"/>
    <w:rsid w:val="00384A28"/>
    <w:rsid w:val="00391AAE"/>
    <w:rsid w:val="00391DCC"/>
    <w:rsid w:val="003B04F7"/>
    <w:rsid w:val="003B6794"/>
    <w:rsid w:val="003C0120"/>
    <w:rsid w:val="003C2FEA"/>
    <w:rsid w:val="003C393A"/>
    <w:rsid w:val="003D6D6B"/>
    <w:rsid w:val="003E7343"/>
    <w:rsid w:val="003E77BB"/>
    <w:rsid w:val="003F529B"/>
    <w:rsid w:val="004005AD"/>
    <w:rsid w:val="00411A26"/>
    <w:rsid w:val="00417327"/>
    <w:rsid w:val="004263AB"/>
    <w:rsid w:val="00431AE3"/>
    <w:rsid w:val="004464AC"/>
    <w:rsid w:val="00447376"/>
    <w:rsid w:val="004503F7"/>
    <w:rsid w:val="004524A6"/>
    <w:rsid w:val="004567F5"/>
    <w:rsid w:val="0046199A"/>
    <w:rsid w:val="00465071"/>
    <w:rsid w:val="00477E31"/>
    <w:rsid w:val="00481E21"/>
    <w:rsid w:val="00485E32"/>
    <w:rsid w:val="004967E2"/>
    <w:rsid w:val="004971A2"/>
    <w:rsid w:val="004A6BE1"/>
    <w:rsid w:val="004B0F8D"/>
    <w:rsid w:val="004B2A34"/>
    <w:rsid w:val="004C0C34"/>
    <w:rsid w:val="004C465C"/>
    <w:rsid w:val="004C5DE5"/>
    <w:rsid w:val="004D2A26"/>
    <w:rsid w:val="004D7D10"/>
    <w:rsid w:val="004E4A18"/>
    <w:rsid w:val="004F1508"/>
    <w:rsid w:val="004F2B89"/>
    <w:rsid w:val="005000D4"/>
    <w:rsid w:val="005003D6"/>
    <w:rsid w:val="005015D1"/>
    <w:rsid w:val="00502A72"/>
    <w:rsid w:val="00505318"/>
    <w:rsid w:val="00510FB5"/>
    <w:rsid w:val="00514549"/>
    <w:rsid w:val="00521764"/>
    <w:rsid w:val="0052273D"/>
    <w:rsid w:val="00525F77"/>
    <w:rsid w:val="00536EFA"/>
    <w:rsid w:val="00547EFD"/>
    <w:rsid w:val="00550E4F"/>
    <w:rsid w:val="00553DC7"/>
    <w:rsid w:val="00554E7A"/>
    <w:rsid w:val="00556F6E"/>
    <w:rsid w:val="005578B5"/>
    <w:rsid w:val="00572176"/>
    <w:rsid w:val="005818BC"/>
    <w:rsid w:val="005868BA"/>
    <w:rsid w:val="00594683"/>
    <w:rsid w:val="005A0192"/>
    <w:rsid w:val="005A0870"/>
    <w:rsid w:val="005A118D"/>
    <w:rsid w:val="005A358F"/>
    <w:rsid w:val="005A49EE"/>
    <w:rsid w:val="005A7381"/>
    <w:rsid w:val="005B260C"/>
    <w:rsid w:val="005B4FE2"/>
    <w:rsid w:val="005C131B"/>
    <w:rsid w:val="005D1D79"/>
    <w:rsid w:val="005E1C44"/>
    <w:rsid w:val="005E50F6"/>
    <w:rsid w:val="005E53B9"/>
    <w:rsid w:val="005F0C11"/>
    <w:rsid w:val="005F1063"/>
    <w:rsid w:val="00602888"/>
    <w:rsid w:val="00604D0F"/>
    <w:rsid w:val="0060664A"/>
    <w:rsid w:val="00606E13"/>
    <w:rsid w:val="00610EEC"/>
    <w:rsid w:val="00616BEE"/>
    <w:rsid w:val="006225DE"/>
    <w:rsid w:val="00626578"/>
    <w:rsid w:val="00626CAF"/>
    <w:rsid w:val="006300CE"/>
    <w:rsid w:val="00630D0B"/>
    <w:rsid w:val="00636938"/>
    <w:rsid w:val="00637513"/>
    <w:rsid w:val="00647206"/>
    <w:rsid w:val="00651CB4"/>
    <w:rsid w:val="006653AB"/>
    <w:rsid w:val="006838CF"/>
    <w:rsid w:val="00684229"/>
    <w:rsid w:val="0068426C"/>
    <w:rsid w:val="006877B7"/>
    <w:rsid w:val="006912C0"/>
    <w:rsid w:val="00693B21"/>
    <w:rsid w:val="00693E74"/>
    <w:rsid w:val="006A55AC"/>
    <w:rsid w:val="006A771F"/>
    <w:rsid w:val="006C1F0C"/>
    <w:rsid w:val="006C242E"/>
    <w:rsid w:val="006C2C78"/>
    <w:rsid w:val="006C69B3"/>
    <w:rsid w:val="006D0728"/>
    <w:rsid w:val="006D2939"/>
    <w:rsid w:val="006D58C4"/>
    <w:rsid w:val="006D6DEC"/>
    <w:rsid w:val="006E0BE9"/>
    <w:rsid w:val="006E1B54"/>
    <w:rsid w:val="006E1CC7"/>
    <w:rsid w:val="006F02DE"/>
    <w:rsid w:val="006F1D2D"/>
    <w:rsid w:val="006F5B8D"/>
    <w:rsid w:val="007031F1"/>
    <w:rsid w:val="00710FA9"/>
    <w:rsid w:val="00712745"/>
    <w:rsid w:val="0071565D"/>
    <w:rsid w:val="00715BA8"/>
    <w:rsid w:val="00734383"/>
    <w:rsid w:val="00740AF6"/>
    <w:rsid w:val="00741B8A"/>
    <w:rsid w:val="00742BF4"/>
    <w:rsid w:val="0077575B"/>
    <w:rsid w:val="00780D26"/>
    <w:rsid w:val="007A52E1"/>
    <w:rsid w:val="007A633D"/>
    <w:rsid w:val="007B14A5"/>
    <w:rsid w:val="007C5B3D"/>
    <w:rsid w:val="007C6F48"/>
    <w:rsid w:val="007D7B56"/>
    <w:rsid w:val="007E230D"/>
    <w:rsid w:val="007E4A7C"/>
    <w:rsid w:val="00801A5B"/>
    <w:rsid w:val="00812700"/>
    <w:rsid w:val="008142B0"/>
    <w:rsid w:val="0081544B"/>
    <w:rsid w:val="0082171E"/>
    <w:rsid w:val="008233F9"/>
    <w:rsid w:val="00823C2A"/>
    <w:rsid w:val="008274D7"/>
    <w:rsid w:val="00827955"/>
    <w:rsid w:val="00830672"/>
    <w:rsid w:val="0083122C"/>
    <w:rsid w:val="00832BC1"/>
    <w:rsid w:val="00841146"/>
    <w:rsid w:val="00855C70"/>
    <w:rsid w:val="00855F80"/>
    <w:rsid w:val="00856C38"/>
    <w:rsid w:val="00860823"/>
    <w:rsid w:val="0086161B"/>
    <w:rsid w:val="008653F0"/>
    <w:rsid w:val="00865A75"/>
    <w:rsid w:val="00872420"/>
    <w:rsid w:val="00874546"/>
    <w:rsid w:val="008764F9"/>
    <w:rsid w:val="00876F59"/>
    <w:rsid w:val="00880683"/>
    <w:rsid w:val="0088122E"/>
    <w:rsid w:val="00884ED2"/>
    <w:rsid w:val="00884F99"/>
    <w:rsid w:val="00891E53"/>
    <w:rsid w:val="008937DA"/>
    <w:rsid w:val="008A242F"/>
    <w:rsid w:val="008A2746"/>
    <w:rsid w:val="008A75A3"/>
    <w:rsid w:val="008A7E8A"/>
    <w:rsid w:val="008B0DD6"/>
    <w:rsid w:val="008C014C"/>
    <w:rsid w:val="008C03CE"/>
    <w:rsid w:val="008C0AEB"/>
    <w:rsid w:val="008E2DA4"/>
    <w:rsid w:val="008E5500"/>
    <w:rsid w:val="008E5F4D"/>
    <w:rsid w:val="008E7FB3"/>
    <w:rsid w:val="008F18E1"/>
    <w:rsid w:val="00900D26"/>
    <w:rsid w:val="009010E7"/>
    <w:rsid w:val="00910A70"/>
    <w:rsid w:val="0094305D"/>
    <w:rsid w:val="0094421D"/>
    <w:rsid w:val="00945915"/>
    <w:rsid w:val="00945EB6"/>
    <w:rsid w:val="00957CF8"/>
    <w:rsid w:val="0096481D"/>
    <w:rsid w:val="00971031"/>
    <w:rsid w:val="00971ECB"/>
    <w:rsid w:val="0097473E"/>
    <w:rsid w:val="00981A85"/>
    <w:rsid w:val="00987099"/>
    <w:rsid w:val="009A2030"/>
    <w:rsid w:val="009A4A5C"/>
    <w:rsid w:val="009A73BD"/>
    <w:rsid w:val="009B3665"/>
    <w:rsid w:val="009B52B4"/>
    <w:rsid w:val="009B7CCA"/>
    <w:rsid w:val="009C69E8"/>
    <w:rsid w:val="009D0980"/>
    <w:rsid w:val="009D4161"/>
    <w:rsid w:val="009D6B05"/>
    <w:rsid w:val="009E25C7"/>
    <w:rsid w:val="009E3CF8"/>
    <w:rsid w:val="009E69D5"/>
    <w:rsid w:val="009F04F7"/>
    <w:rsid w:val="009F421F"/>
    <w:rsid w:val="009F63B3"/>
    <w:rsid w:val="009F6615"/>
    <w:rsid w:val="00A02E94"/>
    <w:rsid w:val="00A07AAF"/>
    <w:rsid w:val="00A116B6"/>
    <w:rsid w:val="00A13937"/>
    <w:rsid w:val="00A15354"/>
    <w:rsid w:val="00A178C5"/>
    <w:rsid w:val="00A234D9"/>
    <w:rsid w:val="00A273E7"/>
    <w:rsid w:val="00A34823"/>
    <w:rsid w:val="00A3631E"/>
    <w:rsid w:val="00A36C7C"/>
    <w:rsid w:val="00A42628"/>
    <w:rsid w:val="00A443E0"/>
    <w:rsid w:val="00A51B24"/>
    <w:rsid w:val="00A54398"/>
    <w:rsid w:val="00A6220E"/>
    <w:rsid w:val="00A6505E"/>
    <w:rsid w:val="00A711F2"/>
    <w:rsid w:val="00A73A52"/>
    <w:rsid w:val="00A73FB7"/>
    <w:rsid w:val="00A81222"/>
    <w:rsid w:val="00A868EB"/>
    <w:rsid w:val="00A868EC"/>
    <w:rsid w:val="00A92D27"/>
    <w:rsid w:val="00AC16AC"/>
    <w:rsid w:val="00AC644C"/>
    <w:rsid w:val="00AD4399"/>
    <w:rsid w:val="00AD472E"/>
    <w:rsid w:val="00AD4844"/>
    <w:rsid w:val="00AD4CCA"/>
    <w:rsid w:val="00AD5A8C"/>
    <w:rsid w:val="00AE7FB9"/>
    <w:rsid w:val="00AF2B6D"/>
    <w:rsid w:val="00AF5C69"/>
    <w:rsid w:val="00B0080A"/>
    <w:rsid w:val="00B035B7"/>
    <w:rsid w:val="00B3066C"/>
    <w:rsid w:val="00B41CB9"/>
    <w:rsid w:val="00B50D06"/>
    <w:rsid w:val="00B53294"/>
    <w:rsid w:val="00B54CA9"/>
    <w:rsid w:val="00B556E5"/>
    <w:rsid w:val="00B70943"/>
    <w:rsid w:val="00B74475"/>
    <w:rsid w:val="00B75046"/>
    <w:rsid w:val="00B77C0F"/>
    <w:rsid w:val="00B90132"/>
    <w:rsid w:val="00B901AA"/>
    <w:rsid w:val="00B901B8"/>
    <w:rsid w:val="00B9022F"/>
    <w:rsid w:val="00B939A3"/>
    <w:rsid w:val="00B949A4"/>
    <w:rsid w:val="00BA1B2E"/>
    <w:rsid w:val="00BA706E"/>
    <w:rsid w:val="00BB44B8"/>
    <w:rsid w:val="00BB5EBA"/>
    <w:rsid w:val="00BC4C0A"/>
    <w:rsid w:val="00BC6713"/>
    <w:rsid w:val="00BC749E"/>
    <w:rsid w:val="00BD6A25"/>
    <w:rsid w:val="00BE00A9"/>
    <w:rsid w:val="00BE557B"/>
    <w:rsid w:val="00BF5900"/>
    <w:rsid w:val="00C06096"/>
    <w:rsid w:val="00C062BD"/>
    <w:rsid w:val="00C1040F"/>
    <w:rsid w:val="00C162E9"/>
    <w:rsid w:val="00C171AB"/>
    <w:rsid w:val="00C2225F"/>
    <w:rsid w:val="00C307D2"/>
    <w:rsid w:val="00C33B53"/>
    <w:rsid w:val="00C40412"/>
    <w:rsid w:val="00C4210F"/>
    <w:rsid w:val="00C42884"/>
    <w:rsid w:val="00C42D86"/>
    <w:rsid w:val="00C453C9"/>
    <w:rsid w:val="00C45D83"/>
    <w:rsid w:val="00C6481B"/>
    <w:rsid w:val="00C66727"/>
    <w:rsid w:val="00C73466"/>
    <w:rsid w:val="00C74421"/>
    <w:rsid w:val="00C81078"/>
    <w:rsid w:val="00C851DA"/>
    <w:rsid w:val="00C9252A"/>
    <w:rsid w:val="00C932F7"/>
    <w:rsid w:val="00CA6A8D"/>
    <w:rsid w:val="00CA6BEA"/>
    <w:rsid w:val="00CB2F85"/>
    <w:rsid w:val="00CC0985"/>
    <w:rsid w:val="00CD14F9"/>
    <w:rsid w:val="00CD38DE"/>
    <w:rsid w:val="00CD6EDF"/>
    <w:rsid w:val="00CE01DE"/>
    <w:rsid w:val="00CE0A9F"/>
    <w:rsid w:val="00CE400B"/>
    <w:rsid w:val="00CE7571"/>
    <w:rsid w:val="00CF636E"/>
    <w:rsid w:val="00CF6BBD"/>
    <w:rsid w:val="00CF6FE1"/>
    <w:rsid w:val="00D053C4"/>
    <w:rsid w:val="00D05D2C"/>
    <w:rsid w:val="00D14CC3"/>
    <w:rsid w:val="00D26B3B"/>
    <w:rsid w:val="00D2702C"/>
    <w:rsid w:val="00D34916"/>
    <w:rsid w:val="00D37D8B"/>
    <w:rsid w:val="00D42AD2"/>
    <w:rsid w:val="00D51AB6"/>
    <w:rsid w:val="00D53570"/>
    <w:rsid w:val="00D53BDE"/>
    <w:rsid w:val="00D564BC"/>
    <w:rsid w:val="00D65219"/>
    <w:rsid w:val="00D82280"/>
    <w:rsid w:val="00D852AF"/>
    <w:rsid w:val="00D877FB"/>
    <w:rsid w:val="00D95905"/>
    <w:rsid w:val="00D96D0A"/>
    <w:rsid w:val="00DA3D96"/>
    <w:rsid w:val="00DA723A"/>
    <w:rsid w:val="00DB3942"/>
    <w:rsid w:val="00DB40FA"/>
    <w:rsid w:val="00DC117D"/>
    <w:rsid w:val="00DC4DF2"/>
    <w:rsid w:val="00DC6F40"/>
    <w:rsid w:val="00DD2524"/>
    <w:rsid w:val="00DE0059"/>
    <w:rsid w:val="00DE664B"/>
    <w:rsid w:val="00DF0C7F"/>
    <w:rsid w:val="00DF2FE4"/>
    <w:rsid w:val="00DF45BE"/>
    <w:rsid w:val="00E0737D"/>
    <w:rsid w:val="00E14EF3"/>
    <w:rsid w:val="00E6026A"/>
    <w:rsid w:val="00E63CC3"/>
    <w:rsid w:val="00E65145"/>
    <w:rsid w:val="00E6544F"/>
    <w:rsid w:val="00E70777"/>
    <w:rsid w:val="00E7487F"/>
    <w:rsid w:val="00E74F82"/>
    <w:rsid w:val="00E778E4"/>
    <w:rsid w:val="00E8382D"/>
    <w:rsid w:val="00E8635F"/>
    <w:rsid w:val="00E92E2F"/>
    <w:rsid w:val="00E942B9"/>
    <w:rsid w:val="00E96DEE"/>
    <w:rsid w:val="00EB346E"/>
    <w:rsid w:val="00EB35D3"/>
    <w:rsid w:val="00EB4361"/>
    <w:rsid w:val="00EB707E"/>
    <w:rsid w:val="00ED646B"/>
    <w:rsid w:val="00ED7809"/>
    <w:rsid w:val="00EE05DE"/>
    <w:rsid w:val="00EE5AA3"/>
    <w:rsid w:val="00EF46A3"/>
    <w:rsid w:val="00F018F3"/>
    <w:rsid w:val="00F13E80"/>
    <w:rsid w:val="00F17F8F"/>
    <w:rsid w:val="00F2467B"/>
    <w:rsid w:val="00F25532"/>
    <w:rsid w:val="00F30BDC"/>
    <w:rsid w:val="00F31E37"/>
    <w:rsid w:val="00F328E2"/>
    <w:rsid w:val="00F810B2"/>
    <w:rsid w:val="00F81B3F"/>
    <w:rsid w:val="00F87AD1"/>
    <w:rsid w:val="00F919B8"/>
    <w:rsid w:val="00F92951"/>
    <w:rsid w:val="00F93DD8"/>
    <w:rsid w:val="00F97F5A"/>
    <w:rsid w:val="00FA39F5"/>
    <w:rsid w:val="00FA5252"/>
    <w:rsid w:val="00FB006D"/>
    <w:rsid w:val="00FB1398"/>
    <w:rsid w:val="00FB379F"/>
    <w:rsid w:val="00FD095D"/>
    <w:rsid w:val="00FD0D10"/>
    <w:rsid w:val="00FD115D"/>
    <w:rsid w:val="00FD34CE"/>
    <w:rsid w:val="00FD5E47"/>
    <w:rsid w:val="00FD7912"/>
    <w:rsid w:val="00FE0280"/>
    <w:rsid w:val="00FE0542"/>
    <w:rsid w:val="00FE1F69"/>
    <w:rsid w:val="00FE5AE6"/>
    <w:rsid w:val="00FE5CCB"/>
    <w:rsid w:val="00FF0353"/>
    <w:rsid w:val="00FF0DD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D6A15"/>
  <w15:chartTrackingRefBased/>
  <w15:docId w15:val="{AD908D18-E09E-47B9-B960-029028B97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2B9"/>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E942B9"/>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E942B9"/>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E942B9"/>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E942B9"/>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E942B9"/>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E942B9"/>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E942B9"/>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E942B9"/>
    <w:pPr>
      <w:ind w:left="993"/>
      <w:outlineLvl w:val="7"/>
    </w:pPr>
    <w:rPr>
      <w:color w:val="321547"/>
      <w:szCs w:val="22"/>
      <w:u w:val="dotDotDash"/>
    </w:rPr>
  </w:style>
  <w:style w:type="paragraph" w:styleId="Ttulo9">
    <w:name w:val="heading 9"/>
    <w:basedOn w:val="Ttulo8"/>
    <w:next w:val="Normal"/>
    <w:link w:val="Ttulo9Car"/>
    <w:uiPriority w:val="9"/>
    <w:unhideWhenUsed/>
    <w:qFormat/>
    <w:rsid w:val="00E942B9"/>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E942B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E942B9"/>
  </w:style>
  <w:style w:type="paragraph" w:styleId="Encabezado">
    <w:name w:val="header"/>
    <w:basedOn w:val="Normal"/>
    <w:link w:val="EncabezadoCar"/>
    <w:uiPriority w:val="99"/>
    <w:unhideWhenUsed/>
    <w:rsid w:val="00E942B9"/>
    <w:pPr>
      <w:tabs>
        <w:tab w:val="center" w:pos="4252"/>
        <w:tab w:val="right" w:pos="8504"/>
      </w:tabs>
    </w:pPr>
  </w:style>
  <w:style w:type="character" w:customStyle="1" w:styleId="HeaderChar">
    <w:name w:val="Header Char"/>
    <w:basedOn w:val="Fuentedeprrafopredeter"/>
    <w:uiPriority w:val="99"/>
    <w:rsid w:val="00E942B9"/>
    <w:rPr>
      <w:rFonts w:ascii="Garamond" w:hAnsi="Garamond"/>
      <w:lang w:val="es-ES"/>
    </w:rPr>
  </w:style>
  <w:style w:type="character" w:customStyle="1" w:styleId="FooterChar">
    <w:name w:val="Footer Char"/>
    <w:basedOn w:val="Fuentedeprrafopredeter"/>
    <w:uiPriority w:val="99"/>
    <w:rsid w:val="00E942B9"/>
    <w:rPr>
      <w:rFonts w:ascii="Garamond" w:hAnsi="Garamond"/>
      <w:lang w:val="es-ES"/>
    </w:rPr>
  </w:style>
  <w:style w:type="table" w:styleId="Tablaconcuadrcula">
    <w:name w:val="Table Grid"/>
    <w:basedOn w:val="Tablanormal"/>
    <w:uiPriority w:val="39"/>
    <w:rsid w:val="00E94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E942B9"/>
    <w:rPr>
      <w:color w:val="808080"/>
    </w:rPr>
  </w:style>
  <w:style w:type="paragraph" w:styleId="Ttulo">
    <w:name w:val="Title"/>
    <w:basedOn w:val="Normal"/>
    <w:next w:val="Normal"/>
    <w:link w:val="TtuloCar"/>
    <w:uiPriority w:val="10"/>
    <w:qFormat/>
    <w:rsid w:val="00E942B9"/>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E942B9"/>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E942B9"/>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E942B9"/>
    <w:pPr>
      <w:numPr>
        <w:ilvl w:val="1"/>
        <w:numId w:val="1"/>
      </w:numPr>
      <w:spacing w:after="100"/>
      <w:ind w:left="1049" w:hanging="198"/>
      <w:contextualSpacing/>
    </w:pPr>
  </w:style>
  <w:style w:type="character" w:customStyle="1" w:styleId="Heading2Char">
    <w:name w:val="Heading 2 Char"/>
    <w:basedOn w:val="Fuentedeprrafopredeter"/>
    <w:uiPriority w:val="9"/>
    <w:rsid w:val="00E942B9"/>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E942B9"/>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E942B9"/>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E942B9"/>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E942B9"/>
    <w:rPr>
      <w:color w:val="0563C1" w:themeColor="hyperlink"/>
      <w:u w:val="single"/>
    </w:rPr>
  </w:style>
  <w:style w:type="character" w:customStyle="1" w:styleId="Heading3Char">
    <w:name w:val="Heading 3 Char"/>
    <w:basedOn w:val="Fuentedeprrafopredeter"/>
    <w:uiPriority w:val="9"/>
    <w:rsid w:val="00E942B9"/>
    <w:rPr>
      <w:rFonts w:ascii="Garamond" w:hAnsi="Garamond"/>
      <w:i/>
      <w:iCs/>
      <w:color w:val="5F2987"/>
      <w:u w:val="single"/>
      <w:lang w:val="es-ES"/>
    </w:rPr>
  </w:style>
  <w:style w:type="paragraph" w:styleId="TDC3">
    <w:name w:val="toc 3"/>
    <w:basedOn w:val="Normal"/>
    <w:next w:val="FinTDC"/>
    <w:autoRedefine/>
    <w:uiPriority w:val="39"/>
    <w:unhideWhenUsed/>
    <w:rsid w:val="00E942B9"/>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E942B9"/>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E942B9"/>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E942B9"/>
    <w:rPr>
      <w:color w:val="FFFFFF" w:themeColor="text1" w:themeTint="80"/>
      <w:sz w:val="16"/>
    </w:rPr>
  </w:style>
  <w:style w:type="character" w:customStyle="1" w:styleId="NocantarChar">
    <w:name w:val="No cantar Char"/>
    <w:basedOn w:val="Fuentedeprrafopredeter"/>
    <w:link w:val="Nocantar"/>
    <w:rsid w:val="00E942B9"/>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E942B9"/>
    <w:pPr>
      <w:numPr>
        <w:numId w:val="0"/>
      </w:numPr>
      <w:ind w:firstLine="142"/>
    </w:pPr>
  </w:style>
  <w:style w:type="character" w:customStyle="1" w:styleId="IntroduccinyconclusinChar">
    <w:name w:val="Introducción y conclusión Char"/>
    <w:basedOn w:val="Ttulo1Car"/>
    <w:link w:val="Introduccinyconclusin"/>
    <w:rsid w:val="00E942B9"/>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E942B9"/>
    <w:pPr>
      <w:numPr>
        <w:numId w:val="3"/>
      </w:numPr>
    </w:pPr>
  </w:style>
  <w:style w:type="paragraph" w:customStyle="1" w:styleId="Nivel1">
    <w:name w:val="Nivel 1"/>
    <w:basedOn w:val="Normal"/>
    <w:qFormat/>
    <w:rsid w:val="00E942B9"/>
    <w:pPr>
      <w:numPr>
        <w:numId w:val="1"/>
      </w:numPr>
      <w:spacing w:before="100" w:after="100"/>
      <w:ind w:left="623" w:hanging="198"/>
    </w:pPr>
  </w:style>
  <w:style w:type="paragraph" w:customStyle="1" w:styleId="Nivel3">
    <w:name w:val="Nivel 3"/>
    <w:basedOn w:val="Nivel2"/>
    <w:link w:val="Nivel3Car"/>
    <w:qFormat/>
    <w:rsid w:val="00E942B9"/>
    <w:pPr>
      <w:numPr>
        <w:ilvl w:val="2"/>
      </w:numPr>
      <w:spacing w:after="0"/>
      <w:ind w:left="1474" w:hanging="198"/>
    </w:pPr>
  </w:style>
  <w:style w:type="paragraph" w:customStyle="1" w:styleId="Letra">
    <w:name w:val="Letra"/>
    <w:basedOn w:val="Nivel1"/>
    <w:qFormat/>
    <w:rsid w:val="00E942B9"/>
    <w:pPr>
      <w:numPr>
        <w:numId w:val="4"/>
      </w:numPr>
      <w:spacing w:before="0" w:after="40"/>
      <w:ind w:left="936" w:hanging="227"/>
    </w:pPr>
  </w:style>
  <w:style w:type="paragraph" w:customStyle="1" w:styleId="Nmero">
    <w:name w:val="Número"/>
    <w:basedOn w:val="Normal"/>
    <w:qFormat/>
    <w:rsid w:val="00E942B9"/>
    <w:pPr>
      <w:numPr>
        <w:numId w:val="5"/>
      </w:numPr>
      <w:spacing w:after="40"/>
      <w:ind w:left="936" w:hanging="227"/>
    </w:pPr>
  </w:style>
  <w:style w:type="paragraph" w:styleId="Textodeglobo">
    <w:name w:val="Balloon Text"/>
    <w:basedOn w:val="Normal"/>
    <w:link w:val="TextodegloboCar"/>
    <w:uiPriority w:val="99"/>
    <w:semiHidden/>
    <w:unhideWhenUsed/>
    <w:rsid w:val="00E942B9"/>
    <w:rPr>
      <w:rFonts w:ascii="Segoe UI" w:hAnsi="Segoe UI" w:cs="Segoe UI"/>
      <w:sz w:val="18"/>
      <w:szCs w:val="18"/>
    </w:rPr>
  </w:style>
  <w:style w:type="character" w:customStyle="1" w:styleId="BalloonTextChar">
    <w:name w:val="Balloon Text Char"/>
    <w:basedOn w:val="Fuentedeprrafopredeter"/>
    <w:uiPriority w:val="99"/>
    <w:semiHidden/>
    <w:rsid w:val="00E942B9"/>
    <w:rPr>
      <w:rFonts w:ascii="Segoe UI" w:hAnsi="Segoe UI" w:cs="Segoe UI"/>
      <w:sz w:val="18"/>
      <w:szCs w:val="18"/>
      <w:lang w:val="es-ES"/>
    </w:rPr>
  </w:style>
  <w:style w:type="paragraph" w:customStyle="1" w:styleId="Notaalopositor">
    <w:name w:val="Nota al opositor"/>
    <w:basedOn w:val="Normal"/>
    <w:link w:val="NotaalopositorChar"/>
    <w:qFormat/>
    <w:rsid w:val="00E942B9"/>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E942B9"/>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E942B9"/>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E942B9"/>
    <w:rPr>
      <w:rFonts w:ascii="Garamond" w:hAnsi="Garamond"/>
      <w:sz w:val="16"/>
      <w:szCs w:val="20"/>
      <w:lang w:val="es-ES"/>
    </w:rPr>
  </w:style>
  <w:style w:type="character" w:styleId="Refdenotaalpie">
    <w:name w:val="footnote reference"/>
    <w:basedOn w:val="Fuentedeprrafopredeter"/>
    <w:uiPriority w:val="99"/>
    <w:unhideWhenUsed/>
    <w:rsid w:val="00E942B9"/>
    <w:rPr>
      <w:vertAlign w:val="superscript"/>
    </w:rPr>
  </w:style>
  <w:style w:type="character" w:customStyle="1" w:styleId="Heading6Char">
    <w:name w:val="Heading 6 Char"/>
    <w:basedOn w:val="Fuentedeprrafopredeter"/>
    <w:uiPriority w:val="9"/>
    <w:semiHidden/>
    <w:rsid w:val="00E942B9"/>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E942B9"/>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E942B9"/>
    <w:rPr>
      <w:rFonts w:ascii="Garamond" w:eastAsiaTheme="minorEastAsia" w:hAnsi="Garamond"/>
      <w:smallCaps/>
      <w:color w:val="FFFFFF" w:themeColor="text1" w:themeTint="A5"/>
      <w:lang w:val="es-ES"/>
    </w:rPr>
  </w:style>
  <w:style w:type="paragraph" w:customStyle="1" w:styleId="Nivel1SM">
    <w:name w:val="Nivel 1 SM"/>
    <w:basedOn w:val="Nivel1"/>
    <w:qFormat/>
    <w:rsid w:val="00E942B9"/>
    <w:pPr>
      <w:ind w:left="0"/>
    </w:pPr>
  </w:style>
  <w:style w:type="paragraph" w:customStyle="1" w:styleId="Nivel2SM">
    <w:name w:val="Nivel 2 SM"/>
    <w:basedOn w:val="Nivel2"/>
    <w:qFormat/>
    <w:rsid w:val="00E942B9"/>
    <w:pPr>
      <w:ind w:left="567"/>
    </w:pPr>
  </w:style>
  <w:style w:type="paragraph" w:customStyle="1" w:styleId="Nivel3SM">
    <w:name w:val="Nivel 3 SM"/>
    <w:basedOn w:val="Nivel3"/>
    <w:qFormat/>
    <w:rsid w:val="00E942B9"/>
    <w:pPr>
      <w:ind w:left="963"/>
    </w:pPr>
  </w:style>
  <w:style w:type="paragraph" w:styleId="Encabezadodelista">
    <w:name w:val="toa heading"/>
    <w:basedOn w:val="Normal"/>
    <w:next w:val="Normal"/>
    <w:uiPriority w:val="99"/>
    <w:semiHidden/>
    <w:unhideWhenUsed/>
    <w:rsid w:val="00E942B9"/>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E942B9"/>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E942B9"/>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E942B9"/>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E942B9"/>
    <w:rPr>
      <w:rFonts w:ascii="Palatino Linotype" w:hAnsi="Palatino Linotype"/>
      <w:lang w:val="es-ES"/>
    </w:rPr>
  </w:style>
  <w:style w:type="character" w:customStyle="1" w:styleId="TtuloCar">
    <w:name w:val="Título Car"/>
    <w:basedOn w:val="Fuentedeprrafopredeter"/>
    <w:link w:val="Ttulo"/>
    <w:uiPriority w:val="10"/>
    <w:rsid w:val="00E942B9"/>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E942B9"/>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E942B9"/>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E942B9"/>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E942B9"/>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E942B9"/>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E942B9"/>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E942B9"/>
    <w:rPr>
      <w:rFonts w:ascii="Palatino Linotype" w:hAnsi="Palatino Linotype"/>
      <w:sz w:val="16"/>
      <w:szCs w:val="20"/>
      <w:lang w:val="es-ES"/>
    </w:rPr>
  </w:style>
  <w:style w:type="character" w:customStyle="1" w:styleId="Ttulo6Car">
    <w:name w:val="Título 6 Car"/>
    <w:basedOn w:val="Fuentedeprrafopredeter"/>
    <w:link w:val="Ttulo6"/>
    <w:uiPriority w:val="9"/>
    <w:rsid w:val="00E942B9"/>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E942B9"/>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E942B9"/>
    <w:rPr>
      <w:color w:val="605E5C"/>
      <w:shd w:val="clear" w:color="auto" w:fill="E1DFDD"/>
    </w:rPr>
  </w:style>
  <w:style w:type="character" w:customStyle="1" w:styleId="Ttulo7Car">
    <w:name w:val="Título 7 Car"/>
    <w:basedOn w:val="Fuentedeprrafopredeter"/>
    <w:link w:val="Ttulo7"/>
    <w:uiPriority w:val="9"/>
    <w:rsid w:val="00E942B9"/>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E942B9"/>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E942B9"/>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E942B9"/>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E942B9"/>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E942B9"/>
    <w:pPr>
      <w:spacing w:line="240" w:lineRule="auto"/>
      <w:ind w:left="567" w:hanging="567"/>
    </w:pPr>
  </w:style>
  <w:style w:type="paragraph" w:customStyle="1" w:styleId="Ttuloimagen">
    <w:name w:val="Título imagen"/>
    <w:basedOn w:val="PiedeImagen"/>
    <w:next w:val="Imagen"/>
    <w:link w:val="TtuloimagenCar"/>
    <w:qFormat/>
    <w:rsid w:val="00E942B9"/>
    <w:pPr>
      <w:keepNext/>
      <w:spacing w:after="0"/>
    </w:pPr>
    <w:rPr>
      <w:i w:val="0"/>
      <w:smallCaps/>
      <w:sz w:val="20"/>
    </w:rPr>
  </w:style>
  <w:style w:type="character" w:customStyle="1" w:styleId="TtuloimagenCar">
    <w:name w:val="Título imagen Car"/>
    <w:basedOn w:val="ImagenCar"/>
    <w:link w:val="Ttuloimagen"/>
    <w:rsid w:val="00E942B9"/>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E942B9"/>
    <w:pPr>
      <w:ind w:left="1100"/>
    </w:pPr>
  </w:style>
  <w:style w:type="paragraph" w:styleId="Sinespaciado">
    <w:name w:val="No Spacing"/>
    <w:link w:val="SinespaciadoCar"/>
    <w:uiPriority w:val="1"/>
    <w:qFormat/>
    <w:rsid w:val="00E942B9"/>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E942B9"/>
    <w:rPr>
      <w:rFonts w:eastAsiaTheme="minorEastAsia"/>
      <w:lang w:val="es-ES" w:eastAsia="es-ES"/>
    </w:rPr>
  </w:style>
  <w:style w:type="paragraph" w:styleId="Prrafodelista">
    <w:name w:val="List Paragraph"/>
    <w:basedOn w:val="Normal"/>
    <w:uiPriority w:val="34"/>
    <w:rsid w:val="00E942B9"/>
    <w:pPr>
      <w:ind w:left="720"/>
      <w:contextualSpacing/>
    </w:pPr>
  </w:style>
  <w:style w:type="paragraph" w:customStyle="1" w:styleId="Nmeroromano">
    <w:name w:val="Número romano"/>
    <w:basedOn w:val="Prrafodelista"/>
    <w:qFormat/>
    <w:rsid w:val="00E942B9"/>
    <w:pPr>
      <w:numPr>
        <w:numId w:val="43"/>
      </w:numPr>
      <w:spacing w:after="100"/>
      <w:ind w:left="567" w:hanging="113"/>
    </w:pPr>
  </w:style>
  <w:style w:type="paragraph" w:customStyle="1" w:styleId="Saltodettulos">
    <w:name w:val="Salto de títulos"/>
    <w:basedOn w:val="Normal"/>
    <w:rsid w:val="00E942B9"/>
    <w:pPr>
      <w:spacing w:after="0" w:line="240" w:lineRule="auto"/>
    </w:pPr>
    <w:rPr>
      <w:color w:val="FFFFFF"/>
      <w:sz w:val="2"/>
    </w:rPr>
  </w:style>
  <w:style w:type="paragraph" w:styleId="TDC7">
    <w:name w:val="toc 7"/>
    <w:basedOn w:val="Normal"/>
    <w:next w:val="FinTDC"/>
    <w:autoRedefine/>
    <w:uiPriority w:val="39"/>
    <w:unhideWhenUsed/>
    <w:rsid w:val="00E942B9"/>
    <w:pPr>
      <w:spacing w:after="0" w:line="20" w:lineRule="atLeast"/>
      <w:ind w:left="1418"/>
      <w:jc w:val="left"/>
    </w:pPr>
    <w:rPr>
      <w:i/>
      <w:color w:val="5F2987"/>
      <w:sz w:val="12"/>
    </w:rPr>
  </w:style>
  <w:style w:type="character" w:customStyle="1" w:styleId="Ttulo8Car">
    <w:name w:val="Título 8 Car"/>
    <w:basedOn w:val="Fuentedeprrafopredeter"/>
    <w:link w:val="Ttulo8"/>
    <w:uiPriority w:val="9"/>
    <w:rsid w:val="00E942B9"/>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E942B9"/>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E942B9"/>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E942B9"/>
    <w:pPr>
      <w:spacing w:after="0" w:line="240" w:lineRule="auto"/>
      <w:jc w:val="left"/>
    </w:pPr>
    <w:rPr>
      <w:sz w:val="15"/>
    </w:rPr>
  </w:style>
  <w:style w:type="paragraph" w:styleId="TDC9">
    <w:name w:val="toc 9"/>
    <w:basedOn w:val="TDC8"/>
    <w:next w:val="FinTDC"/>
    <w:autoRedefine/>
    <w:uiPriority w:val="39"/>
    <w:semiHidden/>
    <w:unhideWhenUsed/>
    <w:rsid w:val="00E942B9"/>
    <w:pPr>
      <w:ind w:left="1760"/>
    </w:pPr>
  </w:style>
  <w:style w:type="paragraph" w:customStyle="1" w:styleId="Apartado0">
    <w:name w:val="Apartado 0"/>
    <w:basedOn w:val="Ttulo1"/>
    <w:next w:val="Normal"/>
    <w:link w:val="Apartado0Car"/>
    <w:qFormat/>
    <w:rsid w:val="00E942B9"/>
    <w:pPr>
      <w:numPr>
        <w:numId w:val="7"/>
      </w:numPr>
      <w:ind w:left="357" w:hanging="357"/>
    </w:pPr>
  </w:style>
  <w:style w:type="character" w:customStyle="1" w:styleId="Apartado0Car">
    <w:name w:val="Apartado 0 Car"/>
    <w:basedOn w:val="Ttulo1Car"/>
    <w:link w:val="Apartado0"/>
    <w:rsid w:val="00E942B9"/>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E942B9"/>
    <w:pPr>
      <w:numPr>
        <w:ilvl w:val="3"/>
      </w:numPr>
      <w:ind w:left="1899" w:hanging="198"/>
    </w:pPr>
  </w:style>
  <w:style w:type="paragraph" w:customStyle="1" w:styleId="Nivel5">
    <w:name w:val="Nivel 5"/>
    <w:basedOn w:val="Nivel4"/>
    <w:link w:val="Nivel5Car"/>
    <w:qFormat/>
    <w:rsid w:val="00E942B9"/>
    <w:pPr>
      <w:numPr>
        <w:ilvl w:val="4"/>
      </w:numPr>
      <w:ind w:left="2155" w:hanging="170"/>
    </w:pPr>
  </w:style>
  <w:style w:type="character" w:customStyle="1" w:styleId="Nivel2Car">
    <w:name w:val="Nivel 2 Car"/>
    <w:basedOn w:val="Fuentedeprrafopredeter"/>
    <w:link w:val="Nivel2"/>
    <w:rsid w:val="00E942B9"/>
    <w:rPr>
      <w:rFonts w:ascii="Palatino Linotype" w:hAnsi="Palatino Linotype"/>
      <w:lang w:val="es-ES"/>
    </w:rPr>
  </w:style>
  <w:style w:type="character" w:customStyle="1" w:styleId="Nivel3Car">
    <w:name w:val="Nivel 3 Car"/>
    <w:basedOn w:val="Nivel2Car"/>
    <w:link w:val="Nivel3"/>
    <w:rsid w:val="00E942B9"/>
    <w:rPr>
      <w:rFonts w:ascii="Palatino Linotype" w:hAnsi="Palatino Linotype"/>
      <w:lang w:val="es-ES"/>
    </w:rPr>
  </w:style>
  <w:style w:type="character" w:customStyle="1" w:styleId="Nivel4Car">
    <w:name w:val="Nivel 4 Car"/>
    <w:basedOn w:val="Nivel3Car"/>
    <w:link w:val="Nivel4"/>
    <w:rsid w:val="00E942B9"/>
    <w:rPr>
      <w:rFonts w:ascii="Palatino Linotype" w:hAnsi="Palatino Linotype"/>
      <w:lang w:val="es-ES"/>
    </w:rPr>
  </w:style>
  <w:style w:type="paragraph" w:customStyle="1" w:styleId="Nivel6">
    <w:name w:val="Nivel 6"/>
    <w:basedOn w:val="Nivel5"/>
    <w:link w:val="Nivel6Car"/>
    <w:qFormat/>
    <w:rsid w:val="00E942B9"/>
    <w:pPr>
      <w:numPr>
        <w:ilvl w:val="5"/>
      </w:numPr>
      <w:ind w:left="2438" w:hanging="227"/>
    </w:pPr>
  </w:style>
  <w:style w:type="character" w:customStyle="1" w:styleId="Nivel5Car">
    <w:name w:val="Nivel 5 Car"/>
    <w:basedOn w:val="Nivel4Car"/>
    <w:link w:val="Nivel5"/>
    <w:rsid w:val="00E942B9"/>
    <w:rPr>
      <w:rFonts w:ascii="Palatino Linotype" w:hAnsi="Palatino Linotype"/>
      <w:lang w:val="es-ES"/>
    </w:rPr>
  </w:style>
  <w:style w:type="paragraph" w:customStyle="1" w:styleId="Nivel7">
    <w:name w:val="Nivel 7"/>
    <w:basedOn w:val="Nivel5"/>
    <w:link w:val="Nivel7Car"/>
    <w:qFormat/>
    <w:rsid w:val="00E942B9"/>
    <w:pPr>
      <w:numPr>
        <w:ilvl w:val="6"/>
      </w:numPr>
      <w:ind w:left="2722" w:hanging="170"/>
    </w:pPr>
  </w:style>
  <w:style w:type="character" w:customStyle="1" w:styleId="Nivel6Car">
    <w:name w:val="Nivel 6 Car"/>
    <w:basedOn w:val="Nivel5Car"/>
    <w:link w:val="Nivel6"/>
    <w:rsid w:val="00E942B9"/>
    <w:rPr>
      <w:rFonts w:ascii="Palatino Linotype" w:hAnsi="Palatino Linotype"/>
      <w:lang w:val="es-ES"/>
    </w:rPr>
  </w:style>
  <w:style w:type="character" w:customStyle="1" w:styleId="Nivel7Car">
    <w:name w:val="Nivel 7 Car"/>
    <w:basedOn w:val="Nivel5Car"/>
    <w:link w:val="Nivel7"/>
    <w:rsid w:val="00E942B9"/>
    <w:rPr>
      <w:rFonts w:ascii="Palatino Linotype" w:hAnsi="Palatino Linotype"/>
      <w:lang w:val="es-ES"/>
    </w:rPr>
  </w:style>
  <w:style w:type="paragraph" w:styleId="Descripcin">
    <w:name w:val="caption"/>
    <w:basedOn w:val="Normal"/>
    <w:next w:val="Normal"/>
    <w:uiPriority w:val="35"/>
    <w:unhideWhenUsed/>
    <w:qFormat/>
    <w:rsid w:val="00E942B9"/>
    <w:pPr>
      <w:spacing w:after="200" w:line="240" w:lineRule="auto"/>
    </w:pPr>
    <w:rPr>
      <w:i/>
      <w:iCs/>
      <w:color w:val="44546A" w:themeColor="text2"/>
      <w:sz w:val="18"/>
      <w:szCs w:val="18"/>
    </w:rPr>
  </w:style>
  <w:style w:type="paragraph" w:customStyle="1" w:styleId="Ttulo10">
    <w:name w:val="Título 10"/>
    <w:basedOn w:val="Ttulo9"/>
    <w:link w:val="Ttulo10Car"/>
    <w:qFormat/>
    <w:rsid w:val="00E942B9"/>
    <w:pPr>
      <w:ind w:left="1276"/>
    </w:pPr>
    <w:rPr>
      <w:w w:val="97"/>
      <w:sz w:val="20"/>
    </w:rPr>
  </w:style>
  <w:style w:type="character" w:customStyle="1" w:styleId="Ttulo10Car">
    <w:name w:val="Título 10 Car"/>
    <w:basedOn w:val="Ttulo9Car"/>
    <w:link w:val="Ttulo10"/>
    <w:rsid w:val="00E942B9"/>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E942B9"/>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E942B9"/>
    <w:pPr>
      <w:numPr>
        <w:ilvl w:val="7"/>
      </w:numPr>
      <w:ind w:left="3005" w:hanging="170"/>
    </w:pPr>
  </w:style>
  <w:style w:type="character" w:customStyle="1" w:styleId="Nivel8Car">
    <w:name w:val="Nivel 8 Car"/>
    <w:basedOn w:val="Nivel7Car"/>
    <w:link w:val="Nivel8"/>
    <w:rsid w:val="00E942B9"/>
    <w:rPr>
      <w:rFonts w:ascii="Palatino Linotype" w:hAnsi="Palatino Linotype"/>
      <w:lang w:val="es-ES"/>
    </w:rPr>
  </w:style>
  <w:style w:type="paragraph" w:customStyle="1" w:styleId="Advertencia">
    <w:name w:val="Advertencia"/>
    <w:basedOn w:val="Normal"/>
    <w:next w:val="Normal"/>
    <w:link w:val="AdvertenciaCar"/>
    <w:qFormat/>
    <w:rsid w:val="00E942B9"/>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E942B9"/>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E942B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E942B9"/>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E942B9"/>
    <w:rPr>
      <w:vertAlign w:val="superscript"/>
    </w:rPr>
  </w:style>
  <w:style w:type="paragraph" w:styleId="Piedepgina">
    <w:name w:val="footer"/>
    <w:basedOn w:val="Normal"/>
    <w:link w:val="PiedepginaCar"/>
    <w:uiPriority w:val="99"/>
    <w:unhideWhenUsed/>
    <w:qFormat/>
    <w:rsid w:val="009A20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A2030"/>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767250">
      <w:bodyDiv w:val="1"/>
      <w:marLeft w:val="0"/>
      <w:marRight w:val="0"/>
      <w:marTop w:val="0"/>
      <w:marBottom w:val="0"/>
      <w:divBdr>
        <w:top w:val="none" w:sz="0" w:space="0" w:color="auto"/>
        <w:left w:val="none" w:sz="0" w:space="0" w:color="auto"/>
        <w:bottom w:val="none" w:sz="0" w:space="0" w:color="auto"/>
        <w:right w:val="none" w:sz="0" w:space="0" w:color="auto"/>
      </w:divBdr>
    </w:div>
    <w:div w:id="492529014">
      <w:bodyDiv w:val="1"/>
      <w:marLeft w:val="0"/>
      <w:marRight w:val="0"/>
      <w:marTop w:val="0"/>
      <w:marBottom w:val="0"/>
      <w:divBdr>
        <w:top w:val="none" w:sz="0" w:space="0" w:color="auto"/>
        <w:left w:val="none" w:sz="0" w:space="0" w:color="auto"/>
        <w:bottom w:val="none" w:sz="0" w:space="0" w:color="auto"/>
        <w:right w:val="none" w:sz="0" w:space="0" w:color="auto"/>
      </w:divBdr>
    </w:div>
    <w:div w:id="1050764173">
      <w:bodyDiv w:val="1"/>
      <w:marLeft w:val="0"/>
      <w:marRight w:val="0"/>
      <w:marTop w:val="0"/>
      <w:marBottom w:val="0"/>
      <w:divBdr>
        <w:top w:val="none" w:sz="0" w:space="0" w:color="auto"/>
        <w:left w:val="none" w:sz="0" w:space="0" w:color="auto"/>
        <w:bottom w:val="none" w:sz="0" w:space="0" w:color="auto"/>
        <w:right w:val="none" w:sz="0" w:space="0" w:color="auto"/>
      </w:divBdr>
    </w:div>
    <w:div w:id="1149327110">
      <w:bodyDiv w:val="1"/>
      <w:marLeft w:val="0"/>
      <w:marRight w:val="0"/>
      <w:marTop w:val="0"/>
      <w:marBottom w:val="0"/>
      <w:divBdr>
        <w:top w:val="none" w:sz="0" w:space="0" w:color="auto"/>
        <w:left w:val="none" w:sz="0" w:space="0" w:color="auto"/>
        <w:bottom w:val="none" w:sz="0" w:space="0" w:color="auto"/>
        <w:right w:val="none" w:sz="0" w:space="0" w:color="auto"/>
      </w:divBdr>
    </w:div>
    <w:div w:id="1384325471">
      <w:bodyDiv w:val="1"/>
      <w:marLeft w:val="0"/>
      <w:marRight w:val="0"/>
      <w:marTop w:val="0"/>
      <w:marBottom w:val="0"/>
      <w:divBdr>
        <w:top w:val="none" w:sz="0" w:space="0" w:color="auto"/>
        <w:left w:val="none" w:sz="0" w:space="0" w:color="auto"/>
        <w:bottom w:val="none" w:sz="0" w:space="0" w:color="auto"/>
        <w:right w:val="none" w:sz="0" w:space="0" w:color="auto"/>
      </w:divBdr>
    </w:div>
    <w:div w:id="1498810544">
      <w:bodyDiv w:val="1"/>
      <w:marLeft w:val="0"/>
      <w:marRight w:val="0"/>
      <w:marTop w:val="0"/>
      <w:marBottom w:val="0"/>
      <w:divBdr>
        <w:top w:val="none" w:sz="0" w:space="0" w:color="auto"/>
        <w:left w:val="none" w:sz="0" w:space="0" w:color="auto"/>
        <w:bottom w:val="none" w:sz="0" w:space="0" w:color="auto"/>
        <w:right w:val="none" w:sz="0" w:space="0" w:color="auto"/>
      </w:divBdr>
    </w:div>
    <w:div w:id="1542591620">
      <w:bodyDiv w:val="1"/>
      <w:marLeft w:val="0"/>
      <w:marRight w:val="0"/>
      <w:marTop w:val="0"/>
      <w:marBottom w:val="0"/>
      <w:divBdr>
        <w:top w:val="none" w:sz="0" w:space="0" w:color="auto"/>
        <w:left w:val="none" w:sz="0" w:space="0" w:color="auto"/>
        <w:bottom w:val="none" w:sz="0" w:space="0" w:color="auto"/>
        <w:right w:val="none" w:sz="0" w:space="0" w:color="auto"/>
      </w:divBdr>
      <w:divsChild>
        <w:div w:id="1225067059">
          <w:marLeft w:val="480"/>
          <w:marRight w:val="0"/>
          <w:marTop w:val="0"/>
          <w:marBottom w:val="0"/>
          <w:divBdr>
            <w:top w:val="none" w:sz="0" w:space="0" w:color="auto"/>
            <w:left w:val="none" w:sz="0" w:space="0" w:color="auto"/>
            <w:bottom w:val="none" w:sz="0" w:space="0" w:color="auto"/>
            <w:right w:val="none" w:sz="0" w:space="0" w:color="auto"/>
          </w:divBdr>
          <w:divsChild>
            <w:div w:id="150392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96800">
      <w:bodyDiv w:val="1"/>
      <w:marLeft w:val="0"/>
      <w:marRight w:val="0"/>
      <w:marTop w:val="0"/>
      <w:marBottom w:val="0"/>
      <w:divBdr>
        <w:top w:val="none" w:sz="0" w:space="0" w:color="auto"/>
        <w:left w:val="none" w:sz="0" w:space="0" w:color="auto"/>
        <w:bottom w:val="none" w:sz="0" w:space="0" w:color="auto"/>
        <w:right w:val="none" w:sz="0" w:space="0" w:color="auto"/>
      </w:divBdr>
      <w:divsChild>
        <w:div w:id="1335843162">
          <w:marLeft w:val="0"/>
          <w:marRight w:val="0"/>
          <w:marTop w:val="0"/>
          <w:marBottom w:val="0"/>
          <w:divBdr>
            <w:top w:val="none" w:sz="0" w:space="0" w:color="auto"/>
            <w:left w:val="none" w:sz="0" w:space="0" w:color="auto"/>
            <w:bottom w:val="none" w:sz="0" w:space="0" w:color="auto"/>
            <w:right w:val="none" w:sz="0" w:space="0" w:color="auto"/>
          </w:divBdr>
        </w:div>
        <w:div w:id="977684782">
          <w:marLeft w:val="0"/>
          <w:marRight w:val="0"/>
          <w:marTop w:val="0"/>
          <w:marBottom w:val="0"/>
          <w:divBdr>
            <w:top w:val="none" w:sz="0" w:space="0" w:color="auto"/>
            <w:left w:val="none" w:sz="0" w:space="0" w:color="auto"/>
            <w:bottom w:val="none" w:sz="0" w:space="0" w:color="auto"/>
            <w:right w:val="none" w:sz="0" w:space="0" w:color="auto"/>
          </w:divBdr>
        </w:div>
        <w:div w:id="2081176726">
          <w:marLeft w:val="0"/>
          <w:marRight w:val="0"/>
          <w:marTop w:val="0"/>
          <w:marBottom w:val="0"/>
          <w:divBdr>
            <w:top w:val="none" w:sz="0" w:space="0" w:color="auto"/>
            <w:left w:val="none" w:sz="0" w:space="0" w:color="auto"/>
            <w:bottom w:val="none" w:sz="0" w:space="0" w:color="auto"/>
            <w:right w:val="none" w:sz="0" w:space="0" w:color="auto"/>
          </w:divBdr>
        </w:div>
      </w:divsChild>
    </w:div>
    <w:div w:id="1897475901">
      <w:bodyDiv w:val="1"/>
      <w:marLeft w:val="0"/>
      <w:marRight w:val="0"/>
      <w:marTop w:val="0"/>
      <w:marBottom w:val="0"/>
      <w:divBdr>
        <w:top w:val="none" w:sz="0" w:space="0" w:color="auto"/>
        <w:left w:val="none" w:sz="0" w:space="0" w:color="auto"/>
        <w:bottom w:val="none" w:sz="0" w:space="0" w:color="auto"/>
        <w:right w:val="none" w:sz="0" w:space="0" w:color="auto"/>
      </w:divBdr>
    </w:div>
    <w:div w:id="2026133338">
      <w:bodyDiv w:val="1"/>
      <w:marLeft w:val="0"/>
      <w:marRight w:val="0"/>
      <w:marTop w:val="0"/>
      <w:marBottom w:val="0"/>
      <w:divBdr>
        <w:top w:val="none" w:sz="0" w:space="0" w:color="auto"/>
        <w:left w:val="none" w:sz="0" w:space="0" w:color="auto"/>
        <w:bottom w:val="none" w:sz="0" w:space="0" w:color="auto"/>
        <w:right w:val="none" w:sz="0" w:space="0" w:color="auto"/>
      </w:divBdr>
      <w:divsChild>
        <w:div w:id="642582218">
          <w:marLeft w:val="480"/>
          <w:marRight w:val="0"/>
          <w:marTop w:val="0"/>
          <w:marBottom w:val="0"/>
          <w:divBdr>
            <w:top w:val="none" w:sz="0" w:space="0" w:color="auto"/>
            <w:left w:val="none" w:sz="0" w:space="0" w:color="auto"/>
            <w:bottom w:val="none" w:sz="0" w:space="0" w:color="auto"/>
            <w:right w:val="none" w:sz="0" w:space="0" w:color="auto"/>
          </w:divBdr>
          <w:divsChild>
            <w:div w:id="131086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147608">
      <w:bodyDiv w:val="1"/>
      <w:marLeft w:val="0"/>
      <w:marRight w:val="0"/>
      <w:marTop w:val="0"/>
      <w:marBottom w:val="0"/>
      <w:divBdr>
        <w:top w:val="none" w:sz="0" w:space="0" w:color="auto"/>
        <w:left w:val="none" w:sz="0" w:space="0" w:color="auto"/>
        <w:bottom w:val="none" w:sz="0" w:space="0" w:color="auto"/>
        <w:right w:val="none" w:sz="0" w:space="0" w:color="auto"/>
      </w:divBdr>
      <w:divsChild>
        <w:div w:id="1177962077">
          <w:marLeft w:val="480"/>
          <w:marRight w:val="0"/>
          <w:marTop w:val="0"/>
          <w:marBottom w:val="0"/>
          <w:divBdr>
            <w:top w:val="none" w:sz="0" w:space="0" w:color="auto"/>
            <w:left w:val="none" w:sz="0" w:space="0" w:color="auto"/>
            <w:bottom w:val="none" w:sz="0" w:space="0" w:color="auto"/>
            <w:right w:val="none" w:sz="0" w:space="0" w:color="auto"/>
          </w:divBdr>
          <w:divsChild>
            <w:div w:id="163598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978-3-662-49862-0" TargetMode="External"/><Relationship Id="rId18" Type="http://schemas.openxmlformats.org/officeDocument/2006/relationships/hyperlink" Target="https://www.fundacionareces.es/fundacionareces/es/actividades/premios-nobel-de-economia-2022-crisis-financieras-y-el-papel-de-los-bancos.html" TargetMode="External"/><Relationship Id="rId26" Type="http://schemas.openxmlformats.org/officeDocument/2006/relationships/hyperlink" Target="https://en.wikipedia.org/wiki/Great_Contraction" TargetMode="External"/><Relationship Id="rId3" Type="http://schemas.openxmlformats.org/officeDocument/2006/relationships/styles" Target="styles.xml"/><Relationship Id="rId21" Type="http://schemas.openxmlformats.org/officeDocument/2006/relationships/image" Target="media/image9.jpg"/><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jpg"/><Relationship Id="rId25" Type="http://schemas.openxmlformats.org/officeDocument/2006/relationships/hyperlink" Target="https://es.wikipedia.org/wiki/Equilibrio_de_manchas_solare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quia.com/quiz/6562930.html" TargetMode="External"/><Relationship Id="rId20" Type="http://schemas.openxmlformats.org/officeDocument/2006/relationships/hyperlink" Target="https://www.fundacionareces.es/fundacionareces/es/actividades/premios-nobel-de-economia-2022-crisis-financieras-y-el-papel-de-los-bancos.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fundacionareces.es/fundacionareces/es/actividades/premios-nobel-de-economia-2022-crisis-financieras-y-el-papel-de-los-bancos.html"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jpg"/><Relationship Id="rId28" Type="http://schemas.openxmlformats.org/officeDocument/2006/relationships/header" Target="header2.xml"/><Relationship Id="rId10" Type="http://schemas.openxmlformats.org/officeDocument/2006/relationships/hyperlink" Target="https://forvo.com/search/Garber/en/" TargetMode="External"/><Relationship Id="rId19" Type="http://schemas.openxmlformats.org/officeDocument/2006/relationships/image" Target="media/image8.jp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hyperlink" Target="https://www.fundacionareces.es/fundacionareces/es/actividades/premios-nobel-de-economia-2022-crisis-financieras-y-el-papel-de-los-bancos.html"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www.fundacionareces.es/fundacionareces/es/actividades/premios-nobel-de-economia-2022-crisis-financieras-y-el-papel-de-los-bancos.html" TargetMode="External"/><Relationship Id="rId1" Type="http://schemas.openxmlformats.org/officeDocument/2006/relationships/hyperlink" Target="https://eleconomista.com.ar/politica/uruguayos-rememoran-su-crisis-2002-poder-olvidar-argentina-n551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678ABFA9B5040C492EF39FE21323D40"/>
        <w:category>
          <w:name w:val="General"/>
          <w:gallery w:val="placeholder"/>
        </w:category>
        <w:types>
          <w:type w:val="bbPlcHdr"/>
        </w:types>
        <w:behaviors>
          <w:behavior w:val="content"/>
        </w:behaviors>
        <w:guid w:val="{5212E7CE-C5F7-41B3-B7F0-D26CC1D8B2D7}"/>
      </w:docPartPr>
      <w:docPartBody>
        <w:p w:rsidR="00E41075" w:rsidRDefault="00584953">
          <w:pPr>
            <w:pStyle w:val="0678ABFA9B5040C492EF39FE21323D40"/>
          </w:pPr>
          <w:r w:rsidRPr="001B5103">
            <w:rPr>
              <w:rStyle w:val="Textodelmarcadordeposicin"/>
            </w:rPr>
            <w:t>[Title]</w:t>
          </w:r>
        </w:p>
      </w:docPartBody>
    </w:docPart>
    <w:docPart>
      <w:docPartPr>
        <w:name w:val="18AE687AF4CF4023BF217C29CD6E4E88"/>
        <w:category>
          <w:name w:val="General"/>
          <w:gallery w:val="placeholder"/>
        </w:category>
        <w:types>
          <w:type w:val="bbPlcHdr"/>
        </w:types>
        <w:behaviors>
          <w:behavior w:val="content"/>
        </w:behaviors>
        <w:guid w:val="{8FC05BCF-D711-4877-BEBE-70434B9B3174}"/>
      </w:docPartPr>
      <w:docPartBody>
        <w:p w:rsidR="00E41075" w:rsidRDefault="00584953">
          <w:pPr>
            <w:pStyle w:val="18AE687AF4CF4023BF217C29CD6E4E88"/>
          </w:pPr>
          <w:r w:rsidRPr="001B5103">
            <w:rPr>
              <w:rStyle w:val="Textodelmarcadordeposicin"/>
            </w:rPr>
            <w:t>[Subject]</w:t>
          </w:r>
        </w:p>
      </w:docPartBody>
    </w:docPart>
    <w:docPart>
      <w:docPartPr>
        <w:name w:val="94FACA12791F41AFADF2B01E3928C1DD"/>
        <w:category>
          <w:name w:val="General"/>
          <w:gallery w:val="placeholder"/>
        </w:category>
        <w:types>
          <w:type w:val="bbPlcHdr"/>
        </w:types>
        <w:behaviors>
          <w:behavior w:val="content"/>
        </w:behaviors>
        <w:guid w:val="{6898A0D2-9942-4637-A3F4-C95807D3F311}"/>
      </w:docPartPr>
      <w:docPartBody>
        <w:p w:rsidR="009E428A" w:rsidRDefault="00E41075" w:rsidP="00E41075">
          <w:pPr>
            <w:pStyle w:val="94FACA12791F41AFADF2B01E3928C1DD"/>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953"/>
    <w:rsid w:val="00026136"/>
    <w:rsid w:val="000C355F"/>
    <w:rsid w:val="000E383A"/>
    <w:rsid w:val="00117BB2"/>
    <w:rsid w:val="0013245F"/>
    <w:rsid w:val="0014123E"/>
    <w:rsid w:val="001A00D5"/>
    <w:rsid w:val="002862CE"/>
    <w:rsid w:val="002A26B5"/>
    <w:rsid w:val="00321C47"/>
    <w:rsid w:val="00584953"/>
    <w:rsid w:val="00646FC9"/>
    <w:rsid w:val="006C366F"/>
    <w:rsid w:val="00857D43"/>
    <w:rsid w:val="008A5D6A"/>
    <w:rsid w:val="008C2B0E"/>
    <w:rsid w:val="00900500"/>
    <w:rsid w:val="0092007E"/>
    <w:rsid w:val="00945915"/>
    <w:rsid w:val="009514DB"/>
    <w:rsid w:val="009E428A"/>
    <w:rsid w:val="00A6464C"/>
    <w:rsid w:val="00AE676F"/>
    <w:rsid w:val="00B25EFF"/>
    <w:rsid w:val="00B41869"/>
    <w:rsid w:val="00C47EBE"/>
    <w:rsid w:val="00C83DE3"/>
    <w:rsid w:val="00C84C8B"/>
    <w:rsid w:val="00DC1379"/>
    <w:rsid w:val="00E07DAF"/>
    <w:rsid w:val="00E21B06"/>
    <w:rsid w:val="00E41075"/>
    <w:rsid w:val="00E5154D"/>
    <w:rsid w:val="00E87A9F"/>
    <w:rsid w:val="00EE41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862CE"/>
    <w:rPr>
      <w:color w:val="808080"/>
    </w:rPr>
  </w:style>
  <w:style w:type="paragraph" w:customStyle="1" w:styleId="0678ABFA9B5040C492EF39FE21323D40">
    <w:name w:val="0678ABFA9B5040C492EF39FE21323D40"/>
  </w:style>
  <w:style w:type="paragraph" w:customStyle="1" w:styleId="18AE687AF4CF4023BF217C29CD6E4E88">
    <w:name w:val="18AE687AF4CF4023BF217C29CD6E4E88"/>
  </w:style>
  <w:style w:type="paragraph" w:customStyle="1" w:styleId="94FACA12791F41AFADF2B01E3928C1DD">
    <w:name w:val="94FACA12791F41AFADF2B01E3928C1DD"/>
    <w:rsid w:val="00E410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6</TotalTime>
  <Pages>1</Pages>
  <Words>14721</Words>
  <Characters>80966</Characters>
  <Application>Microsoft Office Word</Application>
  <DocSecurity>0</DocSecurity>
  <Lines>674</Lines>
  <Paragraphs>190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3.B.17</vt:lpstr>
      <vt:lpstr>TEMA E.P.NN</vt:lpstr>
    </vt:vector>
  </TitlesOfParts>
  <Company/>
  <LinksUpToDate>false</LinksUpToDate>
  <CharactersWithSpaces>95497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3.B.17</dc:title>
  <dc:subject>Teorías explicativas de las crisis de balanza de pagos.</dc:subject>
  <dc:creator>Víctor Gutiérrez Marcos</dc:creator>
  <cp:keywords/>
  <dc:description/>
  <cp:lastModifiedBy>Víctor Gutiérrez Marcos</cp:lastModifiedBy>
  <dcterms:created xsi:type="dcterms:W3CDTF">2024-08-07T22:37:00Z</dcterms:created>
  <dcterms:modified xsi:type="dcterms:W3CDTF">2024-08-10T20:25:00Z</dcterms:modified>
</cp:coreProperties>
</file>