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FB4780" w14:textId="2952B13E" w:rsidR="00307C23" w:rsidRDefault="00000000" w:rsidP="004C0C34">
      <w:pPr>
        <w:pStyle w:val="Ttulo"/>
      </w:pPr>
      <w:sdt>
        <w:sdtPr>
          <w:rPr>
            <w:i/>
            <w:iCs w:val="0"/>
            <w:u w:val="single"/>
          </w:rPr>
          <w:alias w:val="Title"/>
          <w:tag w:val=""/>
          <w:id w:val="-780801520"/>
          <w:placeholder>
            <w:docPart w:val="D930F85A2EBA4B2FB631725042B88175"/>
          </w:placeholder>
          <w:dataBinding w:prefixMappings="xmlns:ns0='http://purl.org/dc/elements/1.1/' xmlns:ns1='http://schemas.openxmlformats.org/package/2006/metadata/core-properties' " w:xpath="/ns1:coreProperties[1]/ns0:title[1]" w:storeItemID="{6C3C8BC8-F283-45AE-878A-BAB7291924A1}"/>
          <w:text/>
        </w:sdtPr>
        <w:sdtContent>
          <w:r w:rsidR="00581AC9">
            <w:rPr>
              <w:i/>
              <w:iCs w:val="0"/>
              <w:u w:val="single"/>
            </w:rPr>
            <w:t>3.B.1</w:t>
          </w:r>
          <w:r w:rsidR="0083034C">
            <w:rPr>
              <w:i/>
              <w:iCs w:val="0"/>
              <w:u w:val="single"/>
            </w:rPr>
            <w:t>4</w:t>
          </w:r>
        </w:sdtContent>
      </w:sdt>
      <w:r w:rsidR="00C851DA">
        <w:t xml:space="preserve"> :</w:t>
      </w:r>
      <w:r w:rsidR="00C81078" w:rsidRPr="004C0C34">
        <w:t xml:space="preserve"> </w:t>
      </w:r>
      <w:sdt>
        <w:sdtPr>
          <w:alias w:val="Subject"/>
          <w:tag w:val=""/>
          <w:id w:val="-1903059896"/>
          <w:placeholder>
            <w:docPart w:val="6680564685BF4A0BBD0E3184D2AE36AA"/>
          </w:placeholder>
          <w:dataBinding w:prefixMappings="xmlns:ns0='http://purl.org/dc/elements/1.1/' xmlns:ns1='http://schemas.openxmlformats.org/package/2006/metadata/core-properties' " w:xpath="/ns1:coreProperties[1]/ns0:subject[1]" w:storeItemID="{6C3C8BC8-F283-45AE-878A-BAB7291924A1}"/>
          <w:text/>
        </w:sdtPr>
        <w:sdtContent>
          <w:r w:rsidR="00581AC9">
            <w:t>Teorías de la determinación del tipo de cambio</w:t>
          </w:r>
          <w:r w:rsidR="00111B9C">
            <w:t>.</w:t>
          </w:r>
        </w:sdtContent>
      </w:sdt>
    </w:p>
    <w:p w14:paraId="53CA27F2" w14:textId="77777777" w:rsidR="004E33A3" w:rsidRDefault="004E33A3" w:rsidP="004E33A3">
      <w:pPr>
        <w:pStyle w:val="Notaalopositor"/>
        <w:spacing w:after="0"/>
      </w:pPr>
      <w:bookmarkStart w:id="0" w:name="_Hlk111398052"/>
      <w:r>
        <w:t>Con el cambio de temario, a partir de la convocatoria de 2023 este tema pasará a ser:</w:t>
      </w:r>
    </w:p>
    <w:p w14:paraId="0D6B644B" w14:textId="4D59F7FD" w:rsidR="004E33A3" w:rsidRDefault="004E33A3" w:rsidP="004E33A3">
      <w:pPr>
        <w:pStyle w:val="Notaalopositor"/>
      </w:pPr>
      <w:r>
        <w:t>3.B.14: Teorías de la determinación del tipo de cambio.</w:t>
      </w:r>
    </w:p>
    <w:p w14:paraId="6BF3464B" w14:textId="1A6791F3" w:rsidR="004E33A3" w:rsidRDefault="004E33A3" w:rsidP="00B94B2C">
      <w:pPr>
        <w:pStyle w:val="Notaalopositor"/>
        <w:spacing w:after="0"/>
      </w:pPr>
      <w:r>
        <w:t xml:space="preserve">De este modo, con lo escrito en este documento este tema estaría </w:t>
      </w:r>
      <w:r w:rsidRPr="00461FF0">
        <w:rPr>
          <w:b/>
        </w:rPr>
        <w:t>actualizado</w:t>
      </w:r>
      <w:r>
        <w:t>.</w:t>
      </w:r>
      <w:r w:rsidR="00FD43F2">
        <w:t xml:space="preserve"> Lo que falte sacarlo del tema de ICEX-CECO.</w:t>
      </w:r>
    </w:p>
    <w:bookmarkEnd w:id="0"/>
    <w:p w14:paraId="13E503A9" w14:textId="05210847" w:rsidR="004E33A3" w:rsidRDefault="004E33A3" w:rsidP="004E33A3">
      <w:pPr>
        <w:pStyle w:val="Notaalopositor"/>
        <w:jc w:val="center"/>
      </w:pPr>
      <w:r w:rsidRPr="00DE285C">
        <w:rPr>
          <w:noProof/>
        </w:rPr>
        <w:drawing>
          <wp:inline distT="0" distB="0" distL="0" distR="0" wp14:anchorId="205FC6E9" wp14:editId="7F8EE313">
            <wp:extent cx="2880000" cy="1761846"/>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8"/>
                    <a:stretch>
                      <a:fillRect/>
                    </a:stretch>
                  </pic:blipFill>
                  <pic:spPr>
                    <a:xfrm>
                      <a:off x="0" y="0"/>
                      <a:ext cx="2880000" cy="1761846"/>
                    </a:xfrm>
                    <a:prstGeom prst="rect">
                      <a:avLst/>
                    </a:prstGeom>
                  </pic:spPr>
                </pic:pic>
              </a:graphicData>
            </a:graphic>
          </wp:inline>
        </w:drawing>
      </w:r>
    </w:p>
    <w:p w14:paraId="2DF2F642" w14:textId="0CC5C9D2" w:rsidR="0021774E" w:rsidRDefault="0021774E" w:rsidP="00E5034D">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E5034D">
        <w:t>I</w:t>
      </w:r>
      <w:r w:rsidRPr="00E5034D">
        <w:rPr>
          <w:rStyle w:val="IntroduccinyconclusinChar"/>
          <w:b/>
          <w:bCs/>
          <w:caps/>
          <w:shd w:val="clear" w:color="auto" w:fill="auto"/>
        </w:rPr>
        <w:t>NTRODUCCIÓN</w:t>
      </w:r>
      <w:bookmarkEnd w:id="1"/>
      <w:bookmarkEnd w:id="2"/>
      <w:bookmarkEnd w:id="3"/>
      <w:bookmarkEnd w:id="4"/>
    </w:p>
    <w:p w14:paraId="26CD97F1" w14:textId="2210A4C1" w:rsidR="00BC4DF7" w:rsidRDefault="006537C7" w:rsidP="006537C7">
      <w:pPr>
        <w:pStyle w:val="Notaalopositor"/>
      </w:pPr>
      <w:r>
        <w:t>En este tema es muy importante la evidencia empírica, que ha sido la que ha ido condicionando todo el desarrollo de las teorías.</w:t>
      </w:r>
      <w:r w:rsidR="00355EEA">
        <w:t xml:space="preserve"> No es necesario explicarla con detalle, pero sí deben mencionarse brevemente los principales resultados empíricos.</w:t>
      </w:r>
    </w:p>
    <w:p w14:paraId="5CDE0603" w14:textId="6B13ACB2" w:rsidR="00B77C0F" w:rsidRPr="004927E6" w:rsidRDefault="00B77C0F" w:rsidP="00C40D25">
      <w:pPr>
        <w:pStyle w:val="Nivel1"/>
        <w:keepNext/>
        <w:spacing w:before="0" w:after="0"/>
        <w:rPr>
          <w:rStyle w:val="Hipervnculo"/>
          <w:color w:val="auto"/>
          <w:u w:val="none"/>
        </w:rPr>
      </w:pPr>
      <w:r w:rsidRPr="00AC65FF">
        <w:rPr>
          <w:b/>
          <w:bCs/>
          <w:i/>
          <w:iCs/>
          <w:spacing w:val="-4"/>
        </w:rPr>
        <w:t>Enganche</w:t>
      </w:r>
      <w:r w:rsidRPr="00AC65FF">
        <w:rPr>
          <w:spacing w:val="-4"/>
        </w:rPr>
        <w:t>:</w:t>
      </w:r>
    </w:p>
    <w:p w14:paraId="4B73C2F0" w14:textId="34844914" w:rsidR="004927E6" w:rsidRDefault="007D6D03" w:rsidP="004927E6">
      <w:pPr>
        <w:pStyle w:val="Nivel2"/>
      </w:pPr>
      <w:bookmarkStart w:id="5" w:name="_Hlk122854179"/>
      <w:r>
        <w:rPr>
          <w:rStyle w:val="Hipervnculo"/>
          <w:color w:val="auto"/>
          <w:u w:val="none"/>
        </w:rPr>
        <w:t xml:space="preserve">Tal y como en su día subrayó </w:t>
      </w:r>
      <w:r>
        <w:rPr>
          <w:rStyle w:val="Hipervnculo"/>
          <w:smallCaps/>
          <w:color w:val="auto"/>
          <w:u w:val="none"/>
        </w:rPr>
        <w:t>Paul</w:t>
      </w:r>
      <w:r w:rsidR="0023036F">
        <w:rPr>
          <w:smallCaps/>
        </w:rPr>
        <w:t xml:space="preserve"> </w:t>
      </w:r>
      <w:r>
        <w:rPr>
          <w:smallCaps/>
        </w:rPr>
        <w:t>Volcker</w:t>
      </w:r>
      <w:r w:rsidR="00080F22">
        <w:rPr>
          <w:rStyle w:val="Refdenotaalpie"/>
        </w:rPr>
        <w:footnoteReference w:id="2"/>
      </w:r>
      <w:r>
        <w:t xml:space="preserve">, el </w:t>
      </w:r>
      <w:r w:rsidRPr="006E6087">
        <w:rPr>
          <w:i/>
          <w:iCs/>
          <w:u w:val="single"/>
        </w:rPr>
        <w:t>tipo de cambio</w:t>
      </w:r>
      <w:r>
        <w:t xml:space="preserve"> es quizás el precio más importante de una economía.</w:t>
      </w:r>
    </w:p>
    <w:p w14:paraId="37792D71" w14:textId="55EAE0BB" w:rsidR="00834F33" w:rsidRPr="00B96D15" w:rsidRDefault="00834F33" w:rsidP="004927E6">
      <w:pPr>
        <w:pStyle w:val="Nivel2"/>
        <w:rPr>
          <w:rStyle w:val="Hipervnculo"/>
          <w:color w:val="auto"/>
          <w:u w:val="none"/>
        </w:rPr>
      </w:pPr>
      <w:r w:rsidRPr="00834F33">
        <w:rPr>
          <w:i/>
          <w:iCs/>
          <w:u w:val="single"/>
        </w:rPr>
        <w:t>En esta exposición</w:t>
      </w:r>
      <w:r>
        <w:t xml:space="preserve">, abordaremos cómo se determina esta variable en un contexto de </w:t>
      </w:r>
      <w:r w:rsidRPr="0050592F">
        <w:rPr>
          <w:b/>
          <w:bCs/>
        </w:rPr>
        <w:t>tipos de cambio completamente flexibles</w:t>
      </w:r>
      <w:r>
        <w:t>, pues en caso de tipo de cambio fijo, la autoridad monetaria intervendrá en el mercado de divisas, determinando su evolución</w:t>
      </w:r>
      <w:r w:rsidR="002658F0" w:rsidRPr="00844EE4">
        <w:rPr>
          <w:rStyle w:val="Refdenotaalpie"/>
          <w:spacing w:val="-3"/>
        </w:rPr>
        <w:footnoteReference w:id="3"/>
      </w:r>
      <w:r>
        <w:t>.</w:t>
      </w:r>
    </w:p>
    <w:bookmarkEnd w:id="5"/>
    <w:p w14:paraId="57C23D65" w14:textId="77777777" w:rsidR="00710C73" w:rsidRDefault="00710C73" w:rsidP="00710C73">
      <w:pPr>
        <w:pStyle w:val="Nivel1"/>
        <w:keepNext/>
        <w:spacing w:after="0"/>
        <w:rPr>
          <w:spacing w:val="-4"/>
        </w:rPr>
      </w:pPr>
      <w:r w:rsidRPr="00AC65FF">
        <w:rPr>
          <w:b/>
          <w:bCs/>
          <w:i/>
          <w:iCs/>
          <w:spacing w:val="-4"/>
        </w:rPr>
        <w:t>Relevancia</w:t>
      </w:r>
      <w:r w:rsidRPr="00AC65FF">
        <w:rPr>
          <w:spacing w:val="-4"/>
        </w:rPr>
        <w:t>:</w:t>
      </w:r>
    </w:p>
    <w:p w14:paraId="58126B82" w14:textId="5377753D" w:rsidR="001705E1" w:rsidRDefault="001705E1" w:rsidP="001705E1">
      <w:pPr>
        <w:pStyle w:val="Nivel2"/>
        <w:keepNext/>
        <w:spacing w:after="0"/>
      </w:pPr>
      <w:bookmarkStart w:id="6" w:name="_Hlk122854135"/>
      <w:r>
        <w:t>Existen varias razones que prueban su relevancia:</w:t>
      </w:r>
    </w:p>
    <w:p w14:paraId="1798C330" w14:textId="05170618" w:rsidR="001705E1" w:rsidRDefault="001705E1" w:rsidP="001705E1">
      <w:pPr>
        <w:pStyle w:val="Nivel3"/>
        <w:jc w:val="left"/>
      </w:pPr>
      <w:r w:rsidRPr="001705E1">
        <w:rPr>
          <w:i/>
          <w:iCs/>
        </w:rPr>
        <w:t>A nivel microeconómico</w:t>
      </w:r>
      <w:r w:rsidRPr="001705E1">
        <w:t>, s</w:t>
      </w:r>
      <w:r w:rsidR="00710C73" w:rsidRPr="001705E1">
        <w:t xml:space="preserve">u evolución tiene efectos </w:t>
      </w:r>
      <w:r w:rsidRPr="001705E1">
        <w:t xml:space="preserve">en la </w:t>
      </w:r>
      <w:r w:rsidR="00710C73" w:rsidRPr="001705E1">
        <w:t>asignación de recursos por parte de los agentes</w:t>
      </w:r>
      <w:r>
        <w:t>.</w:t>
      </w:r>
    </w:p>
    <w:p w14:paraId="55DD69E9" w14:textId="322C18F8" w:rsidR="001705E1" w:rsidRDefault="001705E1" w:rsidP="001705E1">
      <w:pPr>
        <w:pStyle w:val="Nivel3"/>
        <w:keepNext/>
      </w:pPr>
      <w:r w:rsidRPr="001705E1">
        <w:rPr>
          <w:i/>
          <w:iCs/>
        </w:rPr>
        <w:t>A nivel macroeconómico</w:t>
      </w:r>
      <w:r>
        <w:t>,</w:t>
      </w:r>
    </w:p>
    <w:p w14:paraId="77051069" w14:textId="09F1776B" w:rsidR="001705E1" w:rsidRDefault="001705E1" w:rsidP="001705E1">
      <w:pPr>
        <w:pStyle w:val="Nivel4"/>
      </w:pPr>
      <w:r>
        <w:t>P</w:t>
      </w:r>
      <w:r w:rsidR="00710C73">
        <w:t xml:space="preserve">uede ser un </w:t>
      </w:r>
      <w:r w:rsidR="00710C73" w:rsidRPr="00266823">
        <w:rPr>
          <w:i/>
          <w:iCs/>
        </w:rPr>
        <w:t>instrumento de política macroeconómica</w:t>
      </w:r>
      <w:r w:rsidR="00710C73">
        <w:t xml:space="preserve"> (si la autoridad monetaria interviene en el mercado de divisas para manejar el tipo de cambio)</w:t>
      </w:r>
      <w:r w:rsidR="00A73F51">
        <w:t>.</w:t>
      </w:r>
    </w:p>
    <w:p w14:paraId="51BA3FD4" w14:textId="1051AFC6" w:rsidR="00710C73" w:rsidRPr="0064717B" w:rsidRDefault="001705E1" w:rsidP="001705E1">
      <w:pPr>
        <w:pStyle w:val="Nivel4"/>
        <w:rPr>
          <w:spacing w:val="-3"/>
        </w:rPr>
      </w:pPr>
      <w:r w:rsidRPr="0064717B">
        <w:rPr>
          <w:spacing w:val="-3"/>
        </w:rPr>
        <w:t>Puede ser</w:t>
      </w:r>
      <w:r w:rsidR="00710C73" w:rsidRPr="0064717B">
        <w:rPr>
          <w:spacing w:val="-3"/>
        </w:rPr>
        <w:t xml:space="preserve"> un </w:t>
      </w:r>
      <w:r w:rsidR="00710C73" w:rsidRPr="0064717B">
        <w:rPr>
          <w:i/>
          <w:iCs/>
          <w:spacing w:val="-3"/>
        </w:rPr>
        <w:t>mecanismo de transmisión de la política monetaria</w:t>
      </w:r>
      <w:r w:rsidR="00710C73" w:rsidRPr="0064717B">
        <w:rPr>
          <w:spacing w:val="-3"/>
        </w:rPr>
        <w:t xml:space="preserve"> (por ejemplo, una política monetaria expansiva tenderá a depreciar el tipo de cambio, de forma que mejorará la competitividad-precio externa y el encarecimiento de las importaciones podría generar más inflación)</w:t>
      </w:r>
      <w:r w:rsidR="00A73F51">
        <w:rPr>
          <w:spacing w:val="-3"/>
        </w:rPr>
        <w:t xml:space="preserve"> </w:t>
      </w:r>
      <w:r w:rsidR="00A73F51" w:rsidRPr="00A73F51">
        <w:rPr>
          <w:color w:val="767171" w:themeColor="background2" w:themeShade="80"/>
          <w:spacing w:val="-3"/>
          <w:sz w:val="19"/>
          <w:szCs w:val="19"/>
        </w:rPr>
        <w:t>[</w:t>
      </w:r>
      <w:r w:rsidR="00A73F51">
        <w:rPr>
          <w:color w:val="767171" w:themeColor="background2" w:themeShade="80"/>
          <w:spacing w:val="-3"/>
          <w:sz w:val="19"/>
          <w:szCs w:val="19"/>
        </w:rPr>
        <w:t>ver tema 3.A.3</w:t>
      </w:r>
      <w:r w:rsidR="004D26D9">
        <w:rPr>
          <w:color w:val="767171" w:themeColor="background2" w:themeShade="80"/>
          <w:spacing w:val="-3"/>
          <w:sz w:val="19"/>
          <w:szCs w:val="19"/>
        </w:rPr>
        <w:t>7</w:t>
      </w:r>
      <w:r w:rsidR="00A73F51" w:rsidRPr="00A73F51">
        <w:rPr>
          <w:color w:val="767171" w:themeColor="background2" w:themeShade="80"/>
          <w:spacing w:val="-3"/>
          <w:sz w:val="19"/>
          <w:szCs w:val="19"/>
        </w:rPr>
        <w:t>]</w:t>
      </w:r>
      <w:r w:rsidR="00710C73" w:rsidRPr="0064717B">
        <w:rPr>
          <w:spacing w:val="-3"/>
        </w:rPr>
        <w:t>.</w:t>
      </w:r>
    </w:p>
    <w:p w14:paraId="54774B62" w14:textId="77777777" w:rsidR="001705E1" w:rsidRDefault="001705E1" w:rsidP="00B94B2C">
      <w:pPr>
        <w:pStyle w:val="Nivel4"/>
      </w:pPr>
      <w:r>
        <w:t>Además, l</w:t>
      </w:r>
      <w:r w:rsidR="00710C73">
        <w:t xml:space="preserve">as </w:t>
      </w:r>
      <w:r w:rsidR="00710C73" w:rsidRPr="00266823">
        <w:rPr>
          <w:i/>
          <w:iCs/>
        </w:rPr>
        <w:t>fluctuaciones del tipo de cambio</w:t>
      </w:r>
      <w:r w:rsidR="00710C73">
        <w:t xml:space="preserve"> afectan a </w:t>
      </w:r>
      <w:r>
        <w:t xml:space="preserve">las principales variables e indicadores macroeconómicos de un país: </w:t>
      </w:r>
      <w:r w:rsidR="00710C73">
        <w:t xml:space="preserve">la </w:t>
      </w:r>
      <w:r w:rsidR="00710C73" w:rsidRPr="00266823">
        <w:rPr>
          <w:i/>
          <w:iCs/>
        </w:rPr>
        <w:t>inflación</w:t>
      </w:r>
      <w:r w:rsidRPr="001705E1">
        <w:t>,</w:t>
      </w:r>
      <w:r w:rsidR="00710C73">
        <w:t xml:space="preserve"> la </w:t>
      </w:r>
      <w:r w:rsidR="00710C73" w:rsidRPr="00266823">
        <w:rPr>
          <w:i/>
          <w:iCs/>
        </w:rPr>
        <w:t>estabilidad financiera</w:t>
      </w:r>
      <w:r w:rsidR="00710C73">
        <w:t xml:space="preserve"> (por ejemplo, cuando las empresas o bancos de un país están endeudadas en divisas)</w:t>
      </w:r>
      <w:r>
        <w:t>,</w:t>
      </w:r>
      <w:r w:rsidR="00710C73">
        <w:t xml:space="preserve"> la </w:t>
      </w:r>
      <w:r w:rsidR="00710C73" w:rsidRPr="00266823">
        <w:rPr>
          <w:i/>
          <w:iCs/>
        </w:rPr>
        <w:t>competitividad externa</w:t>
      </w:r>
      <w:r w:rsidR="00710C73">
        <w:t xml:space="preserve"> de una economía y la </w:t>
      </w:r>
      <w:r w:rsidR="00710C73" w:rsidRPr="00266823">
        <w:rPr>
          <w:i/>
          <w:iCs/>
        </w:rPr>
        <w:t>asignación de recursos</w:t>
      </w:r>
      <w:r w:rsidR="00710C73">
        <w:t xml:space="preserve"> entre los sectores comerciables y no comerciables.</w:t>
      </w:r>
    </w:p>
    <w:p w14:paraId="712F96AF" w14:textId="08180D11" w:rsidR="00710C73" w:rsidRDefault="00710C73" w:rsidP="001705E1">
      <w:pPr>
        <w:pStyle w:val="Nivel2"/>
        <w:numPr>
          <w:ilvl w:val="0"/>
          <w:numId w:val="0"/>
        </w:numPr>
        <w:ind w:left="1049"/>
      </w:pPr>
      <w:r>
        <w:lastRenderedPageBreak/>
        <w:t>Por estos motivos, la determinación del tipo de cambio tiene gran interés</w:t>
      </w:r>
      <w:r w:rsidR="009A07A2">
        <w:rPr>
          <w:rStyle w:val="Refdenotaalpie"/>
        </w:rPr>
        <w:footnoteReference w:id="4"/>
      </w:r>
      <w:r>
        <w:t xml:space="preserve"> tanto para los gestores de la política económica como para los inversores.</w:t>
      </w:r>
    </w:p>
    <w:p w14:paraId="49B49C47" w14:textId="442BE435" w:rsidR="00710C73" w:rsidRDefault="00710C73" w:rsidP="00710C73">
      <w:pPr>
        <w:pStyle w:val="Nivel2"/>
      </w:pPr>
      <w:r>
        <w:t xml:space="preserve">El tipo de cambio se determina en el </w:t>
      </w:r>
      <w:r w:rsidRPr="00266823">
        <w:rPr>
          <w:i/>
          <w:iCs/>
          <w:u w:val="single"/>
        </w:rPr>
        <w:t>mercado de divisas</w:t>
      </w:r>
      <w:r>
        <w:t>, que es un mercado muy líquido y profundo y el de mayor volumen de transacciones a nivel global</w:t>
      </w:r>
      <w:r w:rsidR="00080F22">
        <w:rPr>
          <w:rStyle w:val="Refdenotaalpie"/>
        </w:rPr>
        <w:footnoteReference w:id="5"/>
      </w:r>
      <w:r>
        <w:t>.</w:t>
      </w:r>
    </w:p>
    <w:bookmarkEnd w:id="6"/>
    <w:p w14:paraId="36A652CA" w14:textId="0D5AA691" w:rsidR="00A51B24" w:rsidRPr="00AC65FF" w:rsidRDefault="0029255D" w:rsidP="00F33A23">
      <w:pPr>
        <w:pStyle w:val="Nivel1"/>
        <w:keepNext/>
        <w:spacing w:after="0"/>
        <w:rPr>
          <w:spacing w:val="-4"/>
        </w:rPr>
      </w:pPr>
      <w:r w:rsidRPr="00AC65FF">
        <w:rPr>
          <w:b/>
          <w:bCs/>
          <w:i/>
          <w:iCs/>
          <w:spacing w:val="-4"/>
        </w:rPr>
        <w:t>Contextualización</w:t>
      </w:r>
      <w:r w:rsidR="00A51B24" w:rsidRPr="00AC65FF">
        <w:rPr>
          <w:spacing w:val="-4"/>
        </w:rPr>
        <w:t>:</w:t>
      </w:r>
    </w:p>
    <w:p w14:paraId="5617722A" w14:textId="1562E544" w:rsidR="007E42D5" w:rsidRDefault="007E42D5" w:rsidP="007E42D5">
      <w:pPr>
        <w:pStyle w:val="Nivel2"/>
        <w:keepNext/>
        <w:spacing w:after="0"/>
      </w:pPr>
      <w:r w:rsidRPr="007E42D5">
        <w:rPr>
          <w:i/>
          <w:iCs/>
          <w:u w:val="single"/>
        </w:rPr>
        <w:t>Desde un punto de vista histórico</w:t>
      </w:r>
      <w:r>
        <w:t>,</w:t>
      </w:r>
    </w:p>
    <w:p w14:paraId="0E28684A" w14:textId="2BCDD303" w:rsidR="00ED6815" w:rsidRDefault="007E42D5" w:rsidP="00ED6815">
      <w:pPr>
        <w:pStyle w:val="Nivel3"/>
        <w:keepNext/>
      </w:pPr>
      <w:r>
        <w:t xml:space="preserve">Las </w:t>
      </w:r>
      <w:r w:rsidRPr="00FE174E">
        <w:rPr>
          <w:b/>
          <w:bCs/>
        </w:rPr>
        <w:t>primeras aportaciones a la literatura de determinación de tipo de cambio</w:t>
      </w:r>
      <w:r>
        <w:t xml:space="preserve"> datan de la primera mitad del siglo</w:t>
      </w:r>
      <w:r w:rsidR="00C40D25">
        <w:t> </w:t>
      </w:r>
      <w:r>
        <w:t>XX.</w:t>
      </w:r>
    </w:p>
    <w:p w14:paraId="0E020FDD" w14:textId="7C2AB9D7" w:rsidR="007E42D5" w:rsidRDefault="007E42D5" w:rsidP="00ED6815">
      <w:pPr>
        <w:pStyle w:val="Nivel4"/>
      </w:pPr>
      <w:r>
        <w:t xml:space="preserve">Se trata de las </w:t>
      </w:r>
      <w:r w:rsidRPr="00FE174E">
        <w:rPr>
          <w:i/>
          <w:iCs/>
          <w:u w:val="single"/>
        </w:rPr>
        <w:t>teorías en base al arbitraje</w:t>
      </w:r>
      <w:r>
        <w:t xml:space="preserve"> que serán incluidas en la modelización de modelos futuros.</w:t>
      </w:r>
    </w:p>
    <w:p w14:paraId="78E05885" w14:textId="174B1C42" w:rsidR="00FE174E" w:rsidRDefault="00DA2810" w:rsidP="00DA2810">
      <w:pPr>
        <w:pStyle w:val="Nivel3"/>
        <w:keepNext/>
      </w:pPr>
      <w:r>
        <w:t xml:space="preserve">Sin embargo, </w:t>
      </w:r>
      <w:r w:rsidRPr="005A142C">
        <w:t>el mercado de divisas nació en su forma actual en los años</w:t>
      </w:r>
      <w:r w:rsidR="003A5B62">
        <w:t> </w:t>
      </w:r>
      <w:r w:rsidRPr="005A142C">
        <w:t xml:space="preserve">70, tras la </w:t>
      </w:r>
      <w:r w:rsidRPr="00FE174E">
        <w:rPr>
          <w:b/>
          <w:bCs/>
        </w:rPr>
        <w:t>caída del sistema de Bretton Woods (1973)</w:t>
      </w:r>
      <w:r>
        <w:t xml:space="preserve"> </w:t>
      </w:r>
      <w:r w:rsidRPr="00ED6815">
        <w:rPr>
          <w:color w:val="767171" w:themeColor="background2" w:themeShade="80"/>
          <w:sz w:val="19"/>
          <w:szCs w:val="19"/>
        </w:rPr>
        <w:t>[ver temas 3.B.2</w:t>
      </w:r>
      <w:r w:rsidR="004D26D9">
        <w:rPr>
          <w:color w:val="767171" w:themeColor="background2" w:themeShade="80"/>
          <w:sz w:val="19"/>
          <w:szCs w:val="19"/>
        </w:rPr>
        <w:t>0</w:t>
      </w:r>
      <w:r w:rsidRPr="00ED6815">
        <w:rPr>
          <w:color w:val="767171" w:themeColor="background2" w:themeShade="80"/>
          <w:sz w:val="19"/>
          <w:szCs w:val="19"/>
        </w:rPr>
        <w:t xml:space="preserve"> y 3.B.2</w:t>
      </w:r>
      <w:r w:rsidR="004D26D9">
        <w:rPr>
          <w:color w:val="767171" w:themeColor="background2" w:themeShade="80"/>
          <w:sz w:val="19"/>
          <w:szCs w:val="19"/>
        </w:rPr>
        <w:t>1]</w:t>
      </w:r>
      <w:r w:rsidRPr="005A142C">
        <w:t>.</w:t>
      </w:r>
    </w:p>
    <w:p w14:paraId="3C9E2303" w14:textId="58776EBE" w:rsidR="00DA2810" w:rsidRDefault="00DA2810" w:rsidP="00FE174E">
      <w:pPr>
        <w:pStyle w:val="Nivel4"/>
      </w:pPr>
      <w:r w:rsidRPr="005A142C">
        <w:t xml:space="preserve">Desde entonces, los modelos macroeconómicos se centran en las condiciones de </w:t>
      </w:r>
      <w:r w:rsidRPr="00FE174E">
        <w:rPr>
          <w:i/>
          <w:iCs/>
          <w:u w:val="single"/>
        </w:rPr>
        <w:t>equilibrio de stocks</w:t>
      </w:r>
      <w:r>
        <w:t xml:space="preserve"> (enfoque del mercado de activos) en contraste con los modelos anteriores basados en el </w:t>
      </w:r>
      <w:r w:rsidRPr="00FE174E">
        <w:rPr>
          <w:i/>
          <w:iCs/>
          <w:u w:val="single"/>
        </w:rPr>
        <w:t>equilibrio de flujos</w:t>
      </w:r>
      <w:r>
        <w:t xml:space="preserve"> (como el modelo IS-LM-BP de </w:t>
      </w:r>
      <w:proofErr w:type="spellStart"/>
      <w:r>
        <w:rPr>
          <w:smallCaps/>
        </w:rPr>
        <w:t>Mundell</w:t>
      </w:r>
      <w:proofErr w:type="spellEnd"/>
      <w:r>
        <w:t xml:space="preserve"> y </w:t>
      </w:r>
      <w:r>
        <w:rPr>
          <w:smallCaps/>
        </w:rPr>
        <w:t>Fleming</w:t>
      </w:r>
      <w:r>
        <w:t>)</w:t>
      </w:r>
      <w:r w:rsidRPr="005A142C">
        <w:t>.</w:t>
      </w:r>
    </w:p>
    <w:p w14:paraId="11A8C0A4" w14:textId="5180187A" w:rsidR="00DA2810" w:rsidRDefault="00DA2810" w:rsidP="00FE174E">
      <w:pPr>
        <w:pStyle w:val="Nivel5"/>
      </w:pPr>
      <w:r w:rsidRPr="005A142C">
        <w:t>El cambio de sistema monetario dio un gran impulso al desarrollo de nuevos modelos teóricos sobre el tipo de cambio a partir de mediados de los 70. En un contexto de elevada inflación y volatilidad cambiaria, se puso el énfasis en los factores monetarios como determinantes del tipo de cambio.</w:t>
      </w:r>
    </w:p>
    <w:p w14:paraId="0662BEA4" w14:textId="6FDE0E34" w:rsidR="00DA2810" w:rsidRPr="00DA2810" w:rsidRDefault="00DA2810" w:rsidP="00DA2810">
      <w:pPr>
        <w:pStyle w:val="Nivel3"/>
        <w:keepNext/>
        <w:rPr>
          <w:spacing w:val="-2"/>
        </w:rPr>
      </w:pPr>
      <w:r w:rsidRPr="00DA2810">
        <w:rPr>
          <w:spacing w:val="-2"/>
        </w:rPr>
        <w:t>En cualquier caso</w:t>
      </w:r>
      <w:r w:rsidR="007E42D5" w:rsidRPr="00DA2810">
        <w:rPr>
          <w:spacing w:val="-2"/>
        </w:rPr>
        <w:t xml:space="preserve">, los nuevos modelos se verían pronto </w:t>
      </w:r>
      <w:r w:rsidR="007E42D5" w:rsidRPr="00FE174E">
        <w:rPr>
          <w:b/>
          <w:bCs/>
          <w:spacing w:val="-2"/>
        </w:rPr>
        <w:t xml:space="preserve">cuestionados por su incapacidad para explicar diversos hechos </w:t>
      </w:r>
      <w:r w:rsidR="004D5609" w:rsidRPr="00FE174E">
        <w:rPr>
          <w:b/>
          <w:bCs/>
          <w:spacing w:val="-2"/>
        </w:rPr>
        <w:t>empíricos</w:t>
      </w:r>
      <w:r w:rsidR="007E42D5" w:rsidRPr="00FE174E">
        <w:rPr>
          <w:b/>
          <w:bCs/>
          <w:spacing w:val="-2"/>
        </w:rPr>
        <w:t xml:space="preserve"> señalados por </w:t>
      </w:r>
      <w:proofErr w:type="spellStart"/>
      <w:r w:rsidR="007E42D5" w:rsidRPr="00FE174E">
        <w:rPr>
          <w:b/>
          <w:bCs/>
          <w:smallCaps/>
          <w:spacing w:val="-2"/>
        </w:rPr>
        <w:t>Mussa</w:t>
      </w:r>
      <w:proofErr w:type="spellEnd"/>
      <w:r w:rsidR="007E42D5" w:rsidRPr="00FE174E">
        <w:rPr>
          <w:b/>
          <w:bCs/>
          <w:spacing w:val="-2"/>
        </w:rPr>
        <w:t xml:space="preserve"> (1979) y su escasa capacidad predictiva, puesta de manifiesto por </w:t>
      </w:r>
      <w:proofErr w:type="spellStart"/>
      <w:r w:rsidR="007E42D5" w:rsidRPr="00FE174E">
        <w:rPr>
          <w:b/>
          <w:bCs/>
          <w:smallCaps/>
          <w:spacing w:val="-2"/>
        </w:rPr>
        <w:t>Meese</w:t>
      </w:r>
      <w:proofErr w:type="spellEnd"/>
      <w:r w:rsidR="007E42D5" w:rsidRPr="00FE174E">
        <w:rPr>
          <w:b/>
          <w:bCs/>
          <w:spacing w:val="-2"/>
        </w:rPr>
        <w:t xml:space="preserve"> y </w:t>
      </w:r>
      <w:proofErr w:type="spellStart"/>
      <w:r w:rsidR="007E42D5" w:rsidRPr="00FE174E">
        <w:rPr>
          <w:b/>
          <w:bCs/>
          <w:smallCaps/>
          <w:spacing w:val="-2"/>
        </w:rPr>
        <w:t>Rogoff</w:t>
      </w:r>
      <w:proofErr w:type="spellEnd"/>
      <w:r w:rsidR="007E42D5" w:rsidRPr="00FE174E">
        <w:rPr>
          <w:b/>
          <w:bCs/>
          <w:spacing w:val="-2"/>
        </w:rPr>
        <w:t xml:space="preserve"> (1983)</w:t>
      </w:r>
      <w:r w:rsidRPr="00DA2810">
        <w:rPr>
          <w:spacing w:val="-2"/>
        </w:rPr>
        <w:t>, quienes hallaron que ningún modelo del tipo de cambio es capaz de predecir el tipo de cambio futuro mejor que un simple paseo aleatorio</w:t>
      </w:r>
      <w:r w:rsidR="007E42D5" w:rsidRPr="00DA2810">
        <w:rPr>
          <w:spacing w:val="-2"/>
        </w:rPr>
        <w:t>.</w:t>
      </w:r>
      <w:r w:rsidRPr="00DA2810">
        <w:rPr>
          <w:spacing w:val="-2"/>
        </w:rPr>
        <w:t xml:space="preserve"> Estos hallazgos motivaron la búsqueda de otras explicaciones alternativas para la determinación del tipo de cambio.</w:t>
      </w:r>
    </w:p>
    <w:p w14:paraId="06073056" w14:textId="6C2C9AA2" w:rsidR="005A142C" w:rsidRDefault="005A142C" w:rsidP="00DA2810">
      <w:pPr>
        <w:pStyle w:val="Nivel4"/>
      </w:pPr>
      <w:r w:rsidRPr="005A142C">
        <w:t xml:space="preserve">Por un lado, se desarrollaron modelos con una </w:t>
      </w:r>
      <w:r w:rsidRPr="00FE174E">
        <w:rPr>
          <w:i/>
          <w:iCs/>
          <w:u w:val="single"/>
        </w:rPr>
        <w:t>fundamentación microeconómica sólida</w:t>
      </w:r>
      <w:r w:rsidR="00034787">
        <w:t>, c</w:t>
      </w:r>
      <w:r w:rsidRPr="005A142C">
        <w:t xml:space="preserve">on modelos de equilibrio general, donde el tipo de cambio era el resultado de un </w:t>
      </w:r>
      <w:r w:rsidR="00E54135">
        <w:t>comportamiento</w:t>
      </w:r>
      <w:r w:rsidRPr="005A142C">
        <w:t xml:space="preserve"> </w:t>
      </w:r>
      <w:r w:rsidR="00E54135">
        <w:t>o</w:t>
      </w:r>
      <w:r w:rsidRPr="005A142C">
        <w:t>ptimizador de los agentes. Esto representó una mejora desde el punto de vista de la robustez teórica y permitió analizar factores alternativos que afectan al tipo de cambio. Sin embargo, estos modelos son más difíciles de evaluar empíricamente</w:t>
      </w:r>
      <w:r w:rsidR="00E54135">
        <w:t>. P</w:t>
      </w:r>
      <w:r w:rsidRPr="005A142C">
        <w:t>or eso, para contrastarlos normalmente es necesario emplear una forma reducida de estos modelos</w:t>
      </w:r>
      <w:r w:rsidR="00E54135">
        <w:t xml:space="preserve"> que,</w:t>
      </w:r>
      <w:r w:rsidRPr="005A142C">
        <w:t xml:space="preserve"> en muchas ocasiones termina siendo muy similar</w:t>
      </w:r>
      <w:r w:rsidR="00E54135">
        <w:t xml:space="preserve"> a</w:t>
      </w:r>
      <w:r w:rsidRPr="005A142C">
        <w:t xml:space="preserve"> la de los modelos clásicos y arroja los mismos pobres resultados e</w:t>
      </w:r>
      <w:r>
        <w:t>mpíricos</w:t>
      </w:r>
      <w:r w:rsidRPr="005A142C">
        <w:t>.</w:t>
      </w:r>
    </w:p>
    <w:p w14:paraId="5AFC42E0" w14:textId="77777777" w:rsidR="00DA2810" w:rsidRDefault="00E54135" w:rsidP="00DA2810">
      <w:pPr>
        <w:pStyle w:val="Nivel4"/>
      </w:pPr>
      <w:r w:rsidRPr="00E54135">
        <w:t xml:space="preserve">Por otra parte, se buscan </w:t>
      </w:r>
      <w:r w:rsidRPr="00FE174E">
        <w:rPr>
          <w:i/>
          <w:iCs/>
          <w:u w:val="single"/>
        </w:rPr>
        <w:t>nuevas líneas teóricas</w:t>
      </w:r>
      <w:r w:rsidRPr="00E54135">
        <w:t>. Entre ellas, podemos destacar</w:t>
      </w:r>
      <w:r w:rsidR="00DA2810">
        <w:t>:</w:t>
      </w:r>
    </w:p>
    <w:p w14:paraId="5965E1B3" w14:textId="77777777" w:rsidR="00DA2810" w:rsidRDefault="00DA2810" w:rsidP="00DA2810">
      <w:pPr>
        <w:pStyle w:val="Nivel5"/>
      </w:pPr>
      <w:r w:rsidRPr="00FE174E">
        <w:rPr>
          <w:i/>
          <w:iCs/>
        </w:rPr>
        <w:t>L</w:t>
      </w:r>
      <w:r w:rsidR="00E54135" w:rsidRPr="00FE174E">
        <w:rPr>
          <w:i/>
          <w:iCs/>
        </w:rPr>
        <w:t>a mejor modelización de la política monetaria</w:t>
      </w:r>
      <w:r w:rsidR="00E54135" w:rsidRPr="00E54135">
        <w:t>, de modo que los tipos de interés sean determinados por una regla de Taylor.</w:t>
      </w:r>
    </w:p>
    <w:p w14:paraId="2EEE6487" w14:textId="4F89E616" w:rsidR="00E54135" w:rsidRPr="001B6B74" w:rsidRDefault="00CD7E47" w:rsidP="00DA2810">
      <w:pPr>
        <w:pStyle w:val="Nivel5"/>
        <w:rPr>
          <w:spacing w:val="-2"/>
        </w:rPr>
      </w:pPr>
      <w:r>
        <w:rPr>
          <w:spacing w:val="-2"/>
        </w:rPr>
        <w:t xml:space="preserve">Introducción de </w:t>
      </w:r>
      <w:r w:rsidR="00E54135" w:rsidRPr="00CD7E47">
        <w:rPr>
          <w:i/>
          <w:iCs/>
          <w:spacing w:val="-2"/>
        </w:rPr>
        <w:t>supuestos más realistas sobre la información disponible para los agentes</w:t>
      </w:r>
      <w:r w:rsidR="00E54135" w:rsidRPr="001B6B74">
        <w:rPr>
          <w:spacing w:val="-2"/>
        </w:rPr>
        <w:t xml:space="preserve">, admitiendo que en la práctica es incompleta. Este supuesto abre la puerta a contemplar la participación de agentes heterogéneos y así es posible </w:t>
      </w:r>
      <w:r w:rsidR="00E54135" w:rsidRPr="001B6B74">
        <w:rPr>
          <w:spacing w:val="-2"/>
        </w:rPr>
        <w:lastRenderedPageBreak/>
        <w:t>considerar una microestructura más realista del mercado de divisas.</w:t>
      </w:r>
      <w:r>
        <w:rPr>
          <w:spacing w:val="-2"/>
        </w:rPr>
        <w:t xml:space="preserve"> </w:t>
      </w:r>
      <w:r w:rsidR="00E54135" w:rsidRPr="001B6B74">
        <w:rPr>
          <w:spacing w:val="-2"/>
        </w:rPr>
        <w:t>Estos nuevos enfoques presentan mejores resultados empíricos que los modelos tradicionales, particularmente a corto plazo, superando en ocasiones a un paseo aleatorio. Por tanto, son una vía de desarrollo prometedora de cara al futuro.</w:t>
      </w:r>
    </w:p>
    <w:p w14:paraId="0AD202AF" w14:textId="4DD320C3" w:rsidR="00E54135" w:rsidRDefault="00311F35" w:rsidP="001B6B74">
      <w:pPr>
        <w:pStyle w:val="Nivel3"/>
        <w:keepNext/>
      </w:pPr>
      <w:r>
        <w:t xml:space="preserve">No obstante, a pesar de la creciente elaboración y complejidad desde un punto de vista teórico, los modelos macroeconómicos de determinación del tipo de cambio continúan sin lograr </w:t>
      </w:r>
      <w:r w:rsidRPr="00FE174E">
        <w:rPr>
          <w:b/>
          <w:bCs/>
        </w:rPr>
        <w:t>resultados empíricos</w:t>
      </w:r>
      <w:r>
        <w:t xml:space="preserve"> suficientemente robustos a la hora de predecir la evolución del tipo de cambio.</w:t>
      </w:r>
    </w:p>
    <w:p w14:paraId="2A85D504" w14:textId="38E2BEE1" w:rsidR="00AD6AC9" w:rsidRDefault="00AD6AC9" w:rsidP="00FE174E">
      <w:pPr>
        <w:pStyle w:val="Nivel4"/>
        <w:keepNext/>
        <w:rPr>
          <w:spacing w:val="-2"/>
        </w:rPr>
      </w:pPr>
      <w:r>
        <w:rPr>
          <w:spacing w:val="-2"/>
        </w:rPr>
        <w:t xml:space="preserve">En relación a la determinación del </w:t>
      </w:r>
      <w:r w:rsidRPr="00AD6AC9">
        <w:rPr>
          <w:i/>
          <w:iCs/>
          <w:spacing w:val="-2"/>
          <w:u w:val="single"/>
        </w:rPr>
        <w:t>tipo de cambio nominal</w:t>
      </w:r>
      <w:r>
        <w:rPr>
          <w:spacing w:val="-2"/>
        </w:rPr>
        <w:t>,</w:t>
      </w:r>
    </w:p>
    <w:p w14:paraId="2AEF91D6" w14:textId="000A69B4" w:rsidR="00FE174E" w:rsidRPr="00AD6AC9" w:rsidRDefault="00311F35" w:rsidP="00AD6AC9">
      <w:pPr>
        <w:pStyle w:val="Nivel5"/>
      </w:pPr>
      <w:r w:rsidRPr="00AD6AC9">
        <w:t xml:space="preserve">Como posible explicación a este aparente fracaso, se desarrolla un enfoque del </w:t>
      </w:r>
      <w:r w:rsidRPr="00AD6AC9">
        <w:rPr>
          <w:i/>
          <w:iCs/>
        </w:rPr>
        <w:t>tipo de cambio como precio de un activo</w:t>
      </w:r>
      <w:r w:rsidRPr="00AD6AC9">
        <w:t xml:space="preserve">, según el cual es de esperar que el </w:t>
      </w:r>
      <w:r w:rsidR="00DC07D4" w:rsidRPr="00AD6AC9">
        <w:t>tipo de cambio</w:t>
      </w:r>
      <w:r w:rsidRPr="00AD6AC9">
        <w:t xml:space="preserve"> experimente mucha volatilidad mostrando un comportamiento que puede ser muy parecido al de un paseo aleatorio (modelos de </w:t>
      </w:r>
      <w:proofErr w:type="spellStart"/>
      <w:r w:rsidRPr="00AD6AC9">
        <w:rPr>
          <w:smallCaps/>
        </w:rPr>
        <w:t>Mussa</w:t>
      </w:r>
      <w:proofErr w:type="spellEnd"/>
      <w:r w:rsidRPr="00AD6AC9">
        <w:t xml:space="preserve">, y </w:t>
      </w:r>
      <w:r w:rsidRPr="00AD6AC9">
        <w:rPr>
          <w:smallCaps/>
        </w:rPr>
        <w:t>Engel</w:t>
      </w:r>
      <w:r w:rsidRPr="00AD6AC9">
        <w:t xml:space="preserve"> y </w:t>
      </w:r>
      <w:r w:rsidRPr="00AD6AC9">
        <w:rPr>
          <w:smallCaps/>
        </w:rPr>
        <w:t>West</w:t>
      </w:r>
      <w:r w:rsidRPr="00AD6AC9">
        <w:t>).</w:t>
      </w:r>
    </w:p>
    <w:p w14:paraId="1E1F439C" w14:textId="098769B9" w:rsidR="00FE174E" w:rsidRDefault="00311F35" w:rsidP="00AD6AC9">
      <w:pPr>
        <w:pStyle w:val="Nivel6"/>
      </w:pPr>
      <w:r>
        <w:t>De acuerdo con esta hipótesis, que un modelo no sea capaz de superar el poder predictivo de un paseo aleatorio no implica que el modelo teórico sea malo. Una forma alternativa de comprobar si el modelo teórico incorpora realmente los principales determinantes del tipo de cambio es evaluar si el tipo de cambio actual aporta información o tiene capacidad predictiva</w:t>
      </w:r>
      <w:r w:rsidR="00CA27B3">
        <w:t xml:space="preserve"> en relación a los fundamentos económicos futuros.</w:t>
      </w:r>
    </w:p>
    <w:p w14:paraId="379CB693" w14:textId="1EE04E0E" w:rsidR="00311F35" w:rsidRPr="00FE174E" w:rsidRDefault="00CA27B3" w:rsidP="00AD6AC9">
      <w:pPr>
        <w:pStyle w:val="Nivel6"/>
      </w:pPr>
      <w:r w:rsidRPr="00FE174E">
        <w:t>Varios estudios empíricos de los últimos años encuentran que efectivamente es así. Por tanto, a pesar de la limitada capacidad para predecir el tipo de cambio futuro no debemos rechazar los modelos existentes del tipo de cambio.</w:t>
      </w:r>
    </w:p>
    <w:p w14:paraId="466E0B91" w14:textId="46A5F232" w:rsidR="00CA27B3" w:rsidRDefault="00CA27B3" w:rsidP="00AD6AC9">
      <w:pPr>
        <w:pStyle w:val="Nivel5"/>
      </w:pPr>
      <w:r>
        <w:t xml:space="preserve">Alternativamente, algunos de los estudios empíricos más recientes, aplican </w:t>
      </w:r>
      <w:r w:rsidRPr="00AD6AC9">
        <w:rPr>
          <w:i/>
          <w:iCs/>
        </w:rPr>
        <w:t>criterios económicos en lugar de estadísticos</w:t>
      </w:r>
      <w:r>
        <w:t xml:space="preserve"> para valorar los modelos de tipo de cambio. Según estos trabajos, varios de los modelos de desarrollo reciente aportan valor económico a los inversores que se guían por sus predicciones.</w:t>
      </w:r>
    </w:p>
    <w:p w14:paraId="6D2ED552" w14:textId="77777777" w:rsidR="00AD6AC9" w:rsidRDefault="00CA27B3" w:rsidP="00AD6AC9">
      <w:pPr>
        <w:pStyle w:val="Nivel3"/>
        <w:keepNext/>
      </w:pPr>
      <w:r>
        <w:t xml:space="preserve">En cuanto a la </w:t>
      </w:r>
      <w:r w:rsidRPr="00AD6AC9">
        <w:rPr>
          <w:i/>
          <w:iCs/>
          <w:u w:val="single"/>
        </w:rPr>
        <w:t>determinación del tipo de cambio real</w:t>
      </w:r>
      <w:r>
        <w:t xml:space="preserve">, la </w:t>
      </w:r>
      <w:r w:rsidRPr="00AD6AC9">
        <w:rPr>
          <w:i/>
          <w:iCs/>
        </w:rPr>
        <w:t>paridad del poder adquisitivo (PPA) en su versión relativa</w:t>
      </w:r>
      <w:r>
        <w:t>, continúa estando vigente como una buena primera aproximación del tipo de cambio real a largo plazo.</w:t>
      </w:r>
    </w:p>
    <w:p w14:paraId="674950E9" w14:textId="3E154B6B" w:rsidR="00CA27B3" w:rsidRDefault="00CA27B3" w:rsidP="00052BBA">
      <w:pPr>
        <w:pStyle w:val="Nivel4"/>
      </w:pPr>
      <w:r>
        <w:t>Sin embargo, el ajuste hacia el nivel de largo plazo es más complejo de lo que tradicionalmente se pensaba y parece presentar no linealidades.</w:t>
      </w:r>
      <w:r w:rsidR="00AD6AC9">
        <w:t xml:space="preserve"> </w:t>
      </w:r>
      <w:r>
        <w:t xml:space="preserve">Por ello, la línea de trabajo más prometedora en estos momentos pasa por desarrollar </w:t>
      </w:r>
      <w:r w:rsidRPr="00AD6AC9">
        <w:rPr>
          <w:i/>
          <w:iCs/>
        </w:rPr>
        <w:t>modelos no lineales</w:t>
      </w:r>
      <w:r>
        <w:t xml:space="preserve"> que toman como referencia a largo plazo el tipo de cambio real determinado por la hipótesis de la PPA.</w:t>
      </w:r>
    </w:p>
    <w:p w14:paraId="3F06334B" w14:textId="06C58A6C" w:rsidR="00CA27B3" w:rsidRPr="00F810B2" w:rsidRDefault="00CA27B3" w:rsidP="00AD6AC9">
      <w:pPr>
        <w:pStyle w:val="Nivel3"/>
      </w:pPr>
      <w:r>
        <w:t>En la práctica, los organismos internacionales, asesores y analistas financieros deben dar una opinión sobre la evolución previsible de los tipos de cambio. Para ello suelen apoyarse en los modelos empíricos del tipo de cambio de equilibrio (</w:t>
      </w:r>
      <w:proofErr w:type="spellStart"/>
      <w:r>
        <w:rPr>
          <w:i/>
          <w:iCs/>
        </w:rPr>
        <w:t>fair</w:t>
      </w:r>
      <w:proofErr w:type="spellEnd"/>
      <w:r>
        <w:rPr>
          <w:i/>
          <w:iCs/>
        </w:rPr>
        <w:t xml:space="preserve"> </w:t>
      </w:r>
      <w:proofErr w:type="spellStart"/>
      <w:r>
        <w:rPr>
          <w:i/>
          <w:iCs/>
        </w:rPr>
        <w:t>value</w:t>
      </w:r>
      <w:proofErr w:type="spellEnd"/>
      <w:r>
        <w:t>). Estos modelos, aplican métodos econométricos tomando como variables explicativas algunas de las que aparecen con frecuencia en los modelos teóricos del tipo de cambio y, habitualmente, incorporan juicios de valor sobre los niveles de equilibrio de esos fundamentos macroeconómicos, para calcular un tipo de cambio real de equilibrio. Comparándolo con el tipo de cambio real actual, se deduce cuál será el ajuste previsible (normalmente a medio plazo) para la divisa en cuestión.</w:t>
      </w:r>
    </w:p>
    <w:p w14:paraId="203923B9" w14:textId="77777777" w:rsidR="005D7E1C" w:rsidRPr="00AC65FF" w:rsidRDefault="00B77C0F" w:rsidP="00F33A23">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5473588F" w14:textId="5DDE2357" w:rsidR="004C05F9" w:rsidRDefault="004C05F9" w:rsidP="004C05F9">
      <w:pPr>
        <w:pStyle w:val="Nivel2"/>
        <w:spacing w:after="0"/>
      </w:pPr>
      <w:r>
        <w:t>¿Por qué es importante el tipo de cambio?</w:t>
      </w:r>
    </w:p>
    <w:p w14:paraId="68193C7D" w14:textId="77777777" w:rsidR="004C05F9" w:rsidRDefault="004C05F9" w:rsidP="004C05F9">
      <w:pPr>
        <w:pStyle w:val="Nivel2"/>
        <w:spacing w:after="0"/>
      </w:pPr>
      <w:r>
        <w:t>¿Cuándo es importante conocer el tipo de cambio?</w:t>
      </w:r>
    </w:p>
    <w:p w14:paraId="2B327FBF" w14:textId="70A58121" w:rsidR="004C05F9" w:rsidRDefault="004C05F9" w:rsidP="003A67B8">
      <w:pPr>
        <w:pStyle w:val="Nivel2"/>
        <w:keepNext/>
        <w:spacing w:after="0"/>
      </w:pPr>
      <w:r>
        <w:lastRenderedPageBreak/>
        <w:t xml:space="preserve">¿Qué teorías tratan de explicar y predecir el </w:t>
      </w:r>
      <w:r w:rsidR="003A67B8">
        <w:t>tipo de cambio nominal</w:t>
      </w:r>
      <w:r>
        <w:t>?</w:t>
      </w:r>
    </w:p>
    <w:p w14:paraId="4B5B9149" w14:textId="4D817F17" w:rsidR="004C05F9" w:rsidRDefault="004C05F9" w:rsidP="004C05F9">
      <w:pPr>
        <w:pStyle w:val="Nivel3"/>
      </w:pPr>
      <w:r>
        <w:t xml:space="preserve">¿De qué depende el </w:t>
      </w:r>
      <w:r w:rsidR="003A67B8">
        <w:t>tipo de cambio nominal</w:t>
      </w:r>
      <w:r>
        <w:t>?</w:t>
      </w:r>
    </w:p>
    <w:p w14:paraId="12E181A0" w14:textId="1135235B" w:rsidR="004C05F9" w:rsidRDefault="004C05F9" w:rsidP="004C05F9">
      <w:pPr>
        <w:pStyle w:val="Nivel3"/>
      </w:pPr>
      <w:r>
        <w:t>¿Cómo influencian otros modelos?</w:t>
      </w:r>
    </w:p>
    <w:p w14:paraId="7036A460" w14:textId="70CEE1D9" w:rsidR="004C05F9" w:rsidRDefault="004C05F9" w:rsidP="004C05F9">
      <w:pPr>
        <w:pStyle w:val="Nivel3"/>
      </w:pPr>
      <w:r>
        <w:t>¿Qué aplicaciones tienen?</w:t>
      </w:r>
    </w:p>
    <w:p w14:paraId="7B4CDB20" w14:textId="1D25F6BE" w:rsidR="004C05F9" w:rsidRDefault="004C05F9" w:rsidP="003A67B8">
      <w:pPr>
        <w:pStyle w:val="Nivel2"/>
        <w:keepNext/>
        <w:spacing w:after="0"/>
      </w:pPr>
      <w:r>
        <w:t xml:space="preserve">¿En qué medida son capaces de predecir el </w:t>
      </w:r>
      <w:r w:rsidR="003A67B8">
        <w:t>tipo de cambio nominal</w:t>
      </w:r>
      <w:r>
        <w:t xml:space="preserve"> futuro?</w:t>
      </w:r>
    </w:p>
    <w:p w14:paraId="4E7F5C53" w14:textId="3E9A1A0C" w:rsidR="004C05F9" w:rsidRDefault="004C05F9" w:rsidP="004C05F9">
      <w:pPr>
        <w:pStyle w:val="Nivel3"/>
      </w:pPr>
      <w:r>
        <w:t>¿Es posible contrastar sus predicciones?</w:t>
      </w:r>
    </w:p>
    <w:p w14:paraId="0705C62E" w14:textId="38E61CD8" w:rsidR="004C05F9" w:rsidRDefault="004C05F9" w:rsidP="004C05F9">
      <w:pPr>
        <w:pStyle w:val="Nivel3"/>
      </w:pPr>
      <w:r>
        <w:t>¿Qué anomalías existen al respecto?</w:t>
      </w:r>
    </w:p>
    <w:p w14:paraId="4B1C22B5" w14:textId="6EED662E" w:rsidR="00A42628" w:rsidRPr="000A3137" w:rsidRDefault="004C05F9" w:rsidP="004C05F9">
      <w:pPr>
        <w:pStyle w:val="Nivel3"/>
      </w:pPr>
      <w:r>
        <w:t>¿Qué explicaciones se ofrecen ante las anomalías?</w:t>
      </w:r>
    </w:p>
    <w:p w14:paraId="116C63EE" w14:textId="77777777" w:rsidR="004C0D84" w:rsidRPr="00AC65FF" w:rsidRDefault="0029255D" w:rsidP="00F33A23">
      <w:pPr>
        <w:pStyle w:val="Nivel1"/>
        <w:keepNext/>
        <w:spacing w:after="0"/>
        <w:rPr>
          <w:spacing w:val="-4"/>
        </w:rPr>
      </w:pPr>
      <w:r w:rsidRPr="00AC65FF">
        <w:rPr>
          <w:b/>
          <w:bCs/>
          <w:i/>
          <w:iCs/>
          <w:spacing w:val="-4"/>
        </w:rPr>
        <w:lastRenderedPageBreak/>
        <w:t>Estructura</w:t>
      </w:r>
      <w:r w:rsidR="00B77C0F" w:rsidRPr="00AC65FF">
        <w:rPr>
          <w:spacing w:val="-4"/>
        </w:rPr>
        <w:t>:</w:t>
      </w:r>
    </w:p>
    <w:tbl>
      <w:tblPr>
        <w:tblStyle w:val="Tablaconcuadrcula"/>
        <w:tblW w:w="9071" w:type="dxa"/>
        <w:tblInd w:w="846" w:type="dxa"/>
        <w:tblLook w:val="04A0" w:firstRow="1" w:lastRow="0" w:firstColumn="1" w:lastColumn="0" w:noHBand="0" w:noVBand="1"/>
      </w:tblPr>
      <w:tblGrid>
        <w:gridCol w:w="9071"/>
      </w:tblGrid>
      <w:tr w:rsidR="0021774E" w14:paraId="40F653C3" w14:textId="77777777" w:rsidTr="00F33A23">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0A746F3" w14:textId="77777777" w:rsidR="0081544B" w:rsidRDefault="0081544B" w:rsidP="00805E5F">
      <w:pPr>
        <w:rPr>
          <w:highlight w:val="lightGray"/>
        </w:rPr>
      </w:pPr>
      <w:r>
        <w:rPr>
          <w:highlight w:val="lightGray"/>
        </w:rPr>
        <w:br w:type="page"/>
      </w:r>
    </w:p>
    <w:p w14:paraId="2C598589" w14:textId="33211C21" w:rsidR="00B52052" w:rsidRDefault="00276B39" w:rsidP="00D602FF">
      <w:pPr>
        <w:pStyle w:val="Ttulo1"/>
      </w:pPr>
      <w:bookmarkStart w:id="7" w:name="_Toc136424353"/>
      <w:r>
        <w:lastRenderedPageBreak/>
        <w:t>TEORÍAS TRADICIONALES: MODELOS DE FLUJOS</w:t>
      </w:r>
      <w:r w:rsidR="00D602FF">
        <w:t>.</w:t>
      </w:r>
      <w:r w:rsidR="00D602FF">
        <w:br/>
        <w:t>ENFOQUE BASADO EN PARIDADES o en condiciones de arbitraje.</w:t>
      </w:r>
      <w:bookmarkEnd w:id="7"/>
    </w:p>
    <w:p w14:paraId="37EBEF5C" w14:textId="0FDB49A9" w:rsidR="00564A58" w:rsidRDefault="00564A58" w:rsidP="00471325">
      <w:pPr>
        <w:pStyle w:val="Nivel1SM"/>
        <w:keepNext/>
        <w:spacing w:before="0" w:after="0"/>
      </w:pPr>
      <w:r>
        <w:t xml:space="preserve">Hasta </w:t>
      </w:r>
      <w:r w:rsidR="00434642">
        <w:t>la caída del sistema de Bretton Woods (</w:t>
      </w:r>
      <w:r>
        <w:t>1973</w:t>
      </w:r>
      <w:r w:rsidR="00434642">
        <w:t>)</w:t>
      </w:r>
      <w:r>
        <w:t xml:space="preserve">, el enfoque predominante de determinación del tipo de cambio fue el de flujos, según el cual el tipo de cambio varía para </w:t>
      </w:r>
      <w:r>
        <w:rPr>
          <w:b/>
          <w:bCs/>
        </w:rPr>
        <w:t>igualar</w:t>
      </w:r>
      <w:r>
        <w:t xml:space="preserve"> variables </w:t>
      </w:r>
      <w:r w:rsidRPr="00564A58">
        <w:rPr>
          <w:b/>
          <w:bCs/>
        </w:rPr>
        <w:t>flujo</w:t>
      </w:r>
      <w:r>
        <w:t>:</w:t>
      </w:r>
    </w:p>
    <w:p w14:paraId="41992C29" w14:textId="4EA73E7C" w:rsidR="00C34429" w:rsidRPr="00CD7E47" w:rsidRDefault="00C34429" w:rsidP="00C34429">
      <w:pPr>
        <w:pStyle w:val="Nmeroromano"/>
        <w:keepNext/>
        <w:spacing w:after="0"/>
        <w:rPr>
          <w:spacing w:val="-4"/>
        </w:rPr>
      </w:pPr>
      <w:r w:rsidRPr="00CD7E47">
        <w:rPr>
          <w:i/>
          <w:iCs/>
          <w:spacing w:val="-4"/>
          <w:u w:val="single"/>
        </w:rPr>
        <w:t>Modelo de balanza de pagos</w:t>
      </w:r>
      <w:r w:rsidRPr="00CD7E47">
        <w:rPr>
          <w:spacing w:val="-4"/>
        </w:rPr>
        <w:t xml:space="preserve">: </w:t>
      </w:r>
      <w:r w:rsidR="00B93400">
        <w:rPr>
          <w:spacing w:val="-4"/>
        </w:rPr>
        <w:t>E</w:t>
      </w:r>
      <w:r w:rsidRPr="00CD7E47">
        <w:rPr>
          <w:spacing w:val="-4"/>
        </w:rPr>
        <w:t>l tipo de cambio se ajusta para igualar la oferta y la demanda de divisas.</w:t>
      </w:r>
    </w:p>
    <w:p w14:paraId="2C3FFE08" w14:textId="77777777" w:rsidR="00C34429" w:rsidRDefault="00C34429" w:rsidP="00095648">
      <w:pPr>
        <w:pStyle w:val="Nivel3SM"/>
      </w:pPr>
      <w:r>
        <w:t>Se re</w:t>
      </w:r>
      <w:r w:rsidRPr="00CD7E47">
        <w:rPr>
          <w:rStyle w:val="Nivel4Car"/>
        </w:rPr>
        <w:t>fier</w:t>
      </w:r>
      <w:r>
        <w:t xml:space="preserve">e tanto a los flujos de </w:t>
      </w:r>
      <w:r>
        <w:rPr>
          <w:i/>
          <w:iCs/>
        </w:rPr>
        <w:t>bienes</w:t>
      </w:r>
      <w:r>
        <w:t xml:space="preserve"> como de </w:t>
      </w:r>
      <w:r>
        <w:rPr>
          <w:i/>
          <w:iCs/>
        </w:rPr>
        <w:t>capitales</w:t>
      </w:r>
      <w:r>
        <w:t>.</w:t>
      </w:r>
    </w:p>
    <w:p w14:paraId="1264BB67" w14:textId="1F1716B4" w:rsidR="00564A58" w:rsidRDefault="00A80BD4" w:rsidP="00CD7E47">
      <w:pPr>
        <w:pStyle w:val="Nmeroromano"/>
        <w:keepNext/>
        <w:spacing w:after="0"/>
      </w:pPr>
      <w:r>
        <w:rPr>
          <w:i/>
          <w:iCs/>
          <w:u w:val="single"/>
        </w:rPr>
        <w:t>Teoría</w:t>
      </w:r>
      <w:r w:rsidR="00564A58">
        <w:rPr>
          <w:i/>
          <w:iCs/>
          <w:u w:val="single"/>
        </w:rPr>
        <w:t xml:space="preserve"> de la PPA</w:t>
      </w:r>
      <w:r w:rsidR="00564A58">
        <w:t xml:space="preserve">: </w:t>
      </w:r>
      <w:r w:rsidR="00B93400">
        <w:t>E</w:t>
      </w:r>
      <w:r w:rsidR="00564A58">
        <w:t>l tipo de cambio se ajusta para igualar el poder de compra de las monedas.</w:t>
      </w:r>
    </w:p>
    <w:p w14:paraId="32F81EF3" w14:textId="09B3C8F7" w:rsidR="00564A58" w:rsidRDefault="00564A58" w:rsidP="00095648">
      <w:pPr>
        <w:pStyle w:val="Nivel3SM"/>
      </w:pPr>
      <w:r>
        <w:t>Se ref</w:t>
      </w:r>
      <w:r w:rsidRPr="00CD7E47">
        <w:rPr>
          <w:rStyle w:val="Nivel4Car"/>
        </w:rPr>
        <w:t>ier</w:t>
      </w:r>
      <w:r>
        <w:t xml:space="preserve">e a los flujos de </w:t>
      </w:r>
      <w:r>
        <w:rPr>
          <w:i/>
          <w:iCs/>
        </w:rPr>
        <w:t>bienes</w:t>
      </w:r>
      <w:r>
        <w:t>.</w:t>
      </w:r>
    </w:p>
    <w:p w14:paraId="7AF70B4F" w14:textId="738E09CD" w:rsidR="00564A58" w:rsidRDefault="00A80BD4" w:rsidP="00CD7E47">
      <w:pPr>
        <w:pStyle w:val="Nmeroromano"/>
        <w:keepNext/>
        <w:spacing w:after="0"/>
      </w:pPr>
      <w:r>
        <w:rPr>
          <w:i/>
          <w:iCs/>
          <w:u w:val="single"/>
        </w:rPr>
        <w:t>Teorías</w:t>
      </w:r>
      <w:r w:rsidR="00564A58">
        <w:rPr>
          <w:i/>
          <w:iCs/>
          <w:u w:val="single"/>
        </w:rPr>
        <w:t xml:space="preserve"> de las paridades de intereses</w:t>
      </w:r>
      <w:r w:rsidR="00564A58">
        <w:t xml:space="preserve">: </w:t>
      </w:r>
      <w:r w:rsidR="00B93400">
        <w:t>E</w:t>
      </w:r>
      <w:r w:rsidR="00564A58">
        <w:t>l tipo de cambio se ajusta para igualar las rentabilidades de inversión en activos nacionales y extranjeros.</w:t>
      </w:r>
    </w:p>
    <w:p w14:paraId="4FDD488D" w14:textId="3FFDA305" w:rsidR="00564A58" w:rsidRDefault="00564A58" w:rsidP="00095648">
      <w:pPr>
        <w:pStyle w:val="Nivel3SM"/>
      </w:pPr>
      <w:r>
        <w:t>Se re</w:t>
      </w:r>
      <w:r w:rsidRPr="00CD7E47">
        <w:rPr>
          <w:rStyle w:val="Nivel4Car"/>
        </w:rPr>
        <w:t>fier</w:t>
      </w:r>
      <w:r>
        <w:t xml:space="preserve">e a los flujos de </w:t>
      </w:r>
      <w:r>
        <w:rPr>
          <w:i/>
          <w:iCs/>
        </w:rPr>
        <w:t>capitales</w:t>
      </w:r>
      <w:r>
        <w:t>.</w:t>
      </w:r>
    </w:p>
    <w:p w14:paraId="178E499D" w14:textId="77777777" w:rsidR="00C34429" w:rsidRDefault="00C34429" w:rsidP="00C34429">
      <w:pPr>
        <w:pStyle w:val="Ttulo2"/>
      </w:pPr>
      <w:bookmarkStart w:id="8" w:name="_Toc136424354"/>
      <w:r>
        <w:t>Modelo de balanza de pagos. Flujos de bienes y de capitales.</w:t>
      </w:r>
      <w:bookmarkEnd w:id="8"/>
    </w:p>
    <w:p w14:paraId="5B9E3DF2" w14:textId="77777777" w:rsidR="00C34429" w:rsidRDefault="00C34429" w:rsidP="00471325">
      <w:pPr>
        <w:pStyle w:val="Ttulo6"/>
        <w:spacing w:before="0"/>
      </w:pPr>
      <w:bookmarkStart w:id="10" w:name="_Toc136424355"/>
      <w:bookmarkEnd w:id="9"/>
      <w:r>
        <w:t>Idea</w:t>
      </w:r>
      <w:bookmarkEnd w:id="10"/>
    </w:p>
    <w:p w14:paraId="60BB652C" w14:textId="77777777" w:rsidR="00C34429" w:rsidRDefault="00C34429" w:rsidP="00471325">
      <w:pPr>
        <w:pStyle w:val="Nivel1SM"/>
        <w:keepNext/>
        <w:spacing w:before="0" w:after="0"/>
      </w:pPr>
      <w:r>
        <w:t xml:space="preserve">Este enfoque parte de la observación de que </w:t>
      </w:r>
      <w:r w:rsidRPr="00BE1E42">
        <w:rPr>
          <w:b/>
          <w:bCs/>
        </w:rPr>
        <w:t>el tipo de cambio está determinado en el mercado de divisas mediante la oferta y la demanda de divisas extranjeras</w:t>
      </w:r>
      <w:r>
        <w:t>, y que se mueve (si asumimos un tipo de cambio libre) para igualar la oferta y la demanda de divisas y por lo tanto asegurar el equilibrio en la balanza de pagos (en ausencia de intervención).</w:t>
      </w:r>
    </w:p>
    <w:p w14:paraId="10253748" w14:textId="77777777" w:rsidR="00C34429" w:rsidRDefault="00C34429" w:rsidP="00C34429">
      <w:pPr>
        <w:pStyle w:val="Nivel2SM"/>
      </w:pPr>
      <w:r w:rsidRPr="00BE1E42">
        <w:rPr>
          <w:spacing w:val="-4"/>
        </w:rPr>
        <w:t xml:space="preserve">Que el tipo de cambio se determina en el mercado de divisas en virtud de la </w:t>
      </w:r>
      <w:r w:rsidRPr="00BE1E42">
        <w:rPr>
          <w:i/>
          <w:iCs/>
          <w:spacing w:val="-4"/>
        </w:rPr>
        <w:t>ley de la oferta y la demanda</w:t>
      </w:r>
      <w:r w:rsidRPr="00BE1E42">
        <w:rPr>
          <w:spacing w:val="-4"/>
        </w:rPr>
        <w:t xml:space="preserve"> es una </w:t>
      </w:r>
      <w:r w:rsidRPr="00BE1E42">
        <w:rPr>
          <w:i/>
          <w:iCs/>
          <w:spacing w:val="-4"/>
        </w:rPr>
        <w:t>verdad irrefutable</w:t>
      </w:r>
      <w:r w:rsidRPr="00BE1E42">
        <w:rPr>
          <w:spacing w:val="-4"/>
        </w:rPr>
        <w:t xml:space="preserve"> (si excluimos las economías con controles sobre el tipo de cambio).</w:t>
      </w:r>
      <w:r>
        <w:t xml:space="preserve"> </w:t>
      </w:r>
      <w:r w:rsidRPr="00BE1E42">
        <w:rPr>
          <w:spacing w:val="-1"/>
        </w:rPr>
        <w:t>Pero es precisamente en la determinación de esas demandas y ofertas donde surge el problema.</w:t>
      </w:r>
    </w:p>
    <w:p w14:paraId="7EC68704" w14:textId="77777777" w:rsidR="00C34429" w:rsidRDefault="00C34429" w:rsidP="00C34429">
      <w:pPr>
        <w:pStyle w:val="Nivel1SM"/>
      </w:pPr>
      <w:r>
        <w:t xml:space="preserve">El </w:t>
      </w:r>
      <w:r w:rsidRPr="00646DBE">
        <w:rPr>
          <w:i/>
          <w:iCs/>
        </w:rPr>
        <w:t>enfoque de flujos</w:t>
      </w:r>
      <w:r w:rsidRPr="00AD3AC1">
        <w:rPr>
          <w:i/>
          <w:iCs/>
        </w:rPr>
        <w:t xml:space="preserve"> tradicional</w:t>
      </w:r>
      <w:r>
        <w:t xml:space="preserve"> entiende esta oferta y demanda como puros flujos que se derivan de las importaciones y exportaciones de bienes, que a su vez dependen del tipo de cambio y (tras los modelos de corte keynesiano) de la renta nacional. La introducción de movimientos de capital como un componente adicional de la demanda y la oferta de divisas no altera este enfoque siempre y cuando estos movimientos sean vistos como puros flujos.</w:t>
      </w:r>
    </w:p>
    <w:p w14:paraId="213697B2" w14:textId="77777777" w:rsidR="00C34429" w:rsidRDefault="00C34429" w:rsidP="00C34429">
      <w:pPr>
        <w:pStyle w:val="Ttulo6"/>
      </w:pPr>
      <w:bookmarkStart w:id="11" w:name="_Toc136424356"/>
      <w:r>
        <w:t>Modelo</w:t>
      </w:r>
      <w:bookmarkEnd w:id="11"/>
    </w:p>
    <w:p w14:paraId="4666493A" w14:textId="3BD7F1EC" w:rsidR="00C34429" w:rsidRDefault="00C34429" w:rsidP="00471325">
      <w:pPr>
        <w:pStyle w:val="Ttulo7"/>
        <w:spacing w:before="0"/>
        <w:rPr>
          <w:rStyle w:val="Ttulo7Car"/>
          <w:i/>
          <w:iCs/>
        </w:rPr>
      </w:pPr>
      <w:r w:rsidRPr="00F33A23">
        <w:rPr>
          <w:rStyle w:val="Ttulo7Car"/>
          <w:i/>
          <w:iCs/>
        </w:rPr>
        <w:t>Supuestos</w:t>
      </w:r>
    </w:p>
    <w:p w14:paraId="58F4537C" w14:textId="59CF4EA7" w:rsidR="00095648" w:rsidRDefault="00095648" w:rsidP="00471325">
      <w:pPr>
        <w:pStyle w:val="Nivel1SM"/>
        <w:keepNext/>
        <w:spacing w:before="0" w:after="0"/>
      </w:pPr>
      <w:r>
        <w:t xml:space="preserve">Veámoslo con el modelo de </w:t>
      </w:r>
      <w:r>
        <w:rPr>
          <w:b/>
          <w:bCs/>
        </w:rPr>
        <w:t>demanda y oferta de divisas</w:t>
      </w:r>
      <w:r>
        <w:t>:</w:t>
      </w:r>
    </w:p>
    <w:p w14:paraId="303391C4" w14:textId="5235CB27" w:rsidR="00095648" w:rsidRDefault="00095648" w:rsidP="004F3DEE">
      <w:pPr>
        <w:pStyle w:val="Letra"/>
        <w:keepNext/>
        <w:numPr>
          <w:ilvl w:val="0"/>
          <w:numId w:val="14"/>
        </w:numPr>
        <w:spacing w:after="0"/>
        <w:ind w:left="511" w:hanging="227"/>
      </w:pPr>
      <w:r>
        <w:t xml:space="preserve">La </w:t>
      </w:r>
      <w:r w:rsidRPr="00AD3AC1">
        <w:rPr>
          <w:i/>
          <w:iCs/>
          <w:u w:val="single"/>
        </w:rPr>
        <w:t>demanda de divisas</w:t>
      </w:r>
      <w:r>
        <w:t xml:space="preserve"> que haga un país vendrá determinada por sus </w:t>
      </w:r>
      <w:r w:rsidRPr="00AD3AC1">
        <w:rPr>
          <w:i/>
          <w:iCs/>
        </w:rPr>
        <w:t>importaciones</w:t>
      </w:r>
      <w:r>
        <w:t xml:space="preserve"> (pues éstas se pagan en moneda extranjera) y por sus </w:t>
      </w:r>
      <w:r w:rsidRPr="00AD3AC1">
        <w:rPr>
          <w:i/>
          <w:iCs/>
        </w:rPr>
        <w:t>salidas de capital</w:t>
      </w:r>
      <w:r>
        <w:t xml:space="preserve"> (</w:t>
      </w:r>
      <w:r w:rsidR="00AD6AC9">
        <w:t>p</w:t>
      </w:r>
      <w:r>
        <w:t>ues los activos extranjeros se pagan en moneda extranjera).</w:t>
      </w:r>
    </w:p>
    <w:p w14:paraId="456BDE40" w14:textId="77777777" w:rsidR="00095648" w:rsidRDefault="00095648" w:rsidP="004F3DEE">
      <w:pPr>
        <w:pStyle w:val="Letra"/>
        <w:numPr>
          <w:ilvl w:val="1"/>
          <w:numId w:val="16"/>
        </w:numPr>
        <w:ind w:left="1021" w:hanging="170"/>
      </w:pPr>
      <w:r>
        <w:t xml:space="preserve">La demanda de divisas será </w:t>
      </w:r>
      <w:r>
        <w:rPr>
          <w:i/>
          <w:iCs/>
        </w:rPr>
        <w:t>decreciente con el tipo de cambio nominal directo</w:t>
      </w:r>
      <w:r>
        <w:t>, pues si la moneda nacional se devalúa frente a la divisa (</w:t>
      </w:r>
      <m:oMath>
        <m:r>
          <m:rPr>
            <m:nor/>
          </m:rPr>
          <w:rPr>
            <w:rFonts w:ascii="Times New Roman" w:hAnsi="Times New Roman" w:cs="Times New Roman"/>
            <w:i/>
            <w:iCs/>
          </w:rPr>
          <m:t>↑</m:t>
        </m:r>
        <m:r>
          <m:rPr>
            <m:nor/>
          </m:rPr>
          <w:rPr>
            <w:i/>
            <w:iCs/>
          </w:rPr>
          <m:t>E</m:t>
        </m:r>
      </m:oMath>
      <w:r>
        <w:t>), la moneda nacional tendrá menor poder adquisitivo, por lo que los bienes y activos extranjeros se encarecerán en términos de la moneda nacional. Por lo tanto, si la moneda nacional se devalúa, disminuyen las importaciones y las salidas de capital, y, por lo tanto, disminuye la demanda de divisas.</w:t>
      </w:r>
    </w:p>
    <w:p w14:paraId="563A131E" w14:textId="77777777" w:rsidR="00095648" w:rsidRDefault="00095648" w:rsidP="004F3DEE">
      <w:pPr>
        <w:pStyle w:val="Letra"/>
        <w:keepNext/>
        <w:spacing w:after="0"/>
        <w:ind w:left="511"/>
      </w:pPr>
      <w:r>
        <w:t xml:space="preserve">La </w:t>
      </w:r>
      <w:r w:rsidRPr="007A4D35">
        <w:rPr>
          <w:i/>
          <w:iCs/>
          <w:u w:val="single"/>
        </w:rPr>
        <w:t>oferta de divisas</w:t>
      </w:r>
      <w:r>
        <w:t xml:space="preserve"> que haga un país vendrá determinada por sus </w:t>
      </w:r>
      <w:r>
        <w:rPr>
          <w:i/>
          <w:iCs/>
        </w:rPr>
        <w:t>exportaciones</w:t>
      </w:r>
      <w:r>
        <w:t xml:space="preserve"> (pues no necesita divisas ya que no está importando sino exportando) y por sus </w:t>
      </w:r>
      <w:r w:rsidRPr="00D358F6">
        <w:rPr>
          <w:i/>
          <w:iCs/>
        </w:rPr>
        <w:t>entradas de capital</w:t>
      </w:r>
      <w:r>
        <w:t>.</w:t>
      </w:r>
    </w:p>
    <w:p w14:paraId="0CFC45E3" w14:textId="77777777" w:rsidR="00095648" w:rsidRDefault="00095648" w:rsidP="004F3DEE">
      <w:pPr>
        <w:pStyle w:val="Letra"/>
        <w:numPr>
          <w:ilvl w:val="1"/>
          <w:numId w:val="16"/>
        </w:numPr>
        <w:ind w:left="1021" w:hanging="170"/>
      </w:pPr>
      <w:r>
        <w:t xml:space="preserve">La oferta de divisas será </w:t>
      </w:r>
      <w:r>
        <w:rPr>
          <w:i/>
          <w:iCs/>
        </w:rPr>
        <w:t>creciente con el tipo de cambio nominal directo</w:t>
      </w:r>
      <w:r>
        <w:t>, pues si la moneda nacional se devalúa frente a la divisa (</w:t>
      </w:r>
      <m:oMath>
        <m:r>
          <m:rPr>
            <m:nor/>
          </m:rPr>
          <w:rPr>
            <w:rFonts w:ascii="Times New Roman" w:hAnsi="Times New Roman" w:cs="Times New Roman"/>
            <w:i/>
            <w:iCs/>
          </w:rPr>
          <m:t>↑</m:t>
        </m:r>
        <m:r>
          <m:rPr>
            <m:nor/>
          </m:rPr>
          <w:rPr>
            <w:i/>
            <w:iCs/>
          </w:rPr>
          <m:t>E</m:t>
        </m:r>
      </m:oMath>
      <w:r>
        <w:t>), la divisa tendrá mayor poder adquisitivo, por lo que los bienes y activos nacionales se abaratarán en términos de la divisa. Por lo tanto, si la moneda nacional se devalúa, aumentan las exportaciones y las entradas de capital, y, por lo tanto, disminuye la demanda de divisas.</w:t>
      </w:r>
    </w:p>
    <w:p w14:paraId="5D140D6F" w14:textId="77777777" w:rsidR="00C34429" w:rsidRDefault="00C34429" w:rsidP="00C34429">
      <w:pPr>
        <w:pStyle w:val="Ttulo7"/>
      </w:pPr>
      <w:r>
        <w:lastRenderedPageBreak/>
        <w:t>Desarrollo</w:t>
      </w:r>
    </w:p>
    <w:p w14:paraId="05994AC9" w14:textId="77777777" w:rsidR="00095648" w:rsidRDefault="00095648" w:rsidP="00471325">
      <w:pPr>
        <w:pStyle w:val="Nivel1SM"/>
        <w:keepNext/>
        <w:spacing w:before="0" w:after="0"/>
      </w:pPr>
      <w:r>
        <w:t xml:space="preserve">El tipo de cambio </w:t>
      </w:r>
      <w:r>
        <w:rPr>
          <w:b/>
          <w:bCs/>
        </w:rPr>
        <w:t>de vaciado</w:t>
      </w:r>
      <w:r>
        <w:t xml:space="preserve"> siempre va a asegurar el equilibrio de la balanza de pagos, pero no necesariamente el equilibrio en todas sus </w:t>
      </w:r>
      <w:proofErr w:type="spellStart"/>
      <w:r>
        <w:t>sub-balanzas</w:t>
      </w:r>
      <w:proofErr w:type="spellEnd"/>
      <w:r>
        <w:t>.</w:t>
      </w:r>
    </w:p>
    <w:p w14:paraId="64D6B3D2" w14:textId="77777777" w:rsidR="00095648" w:rsidRPr="00D358F6" w:rsidRDefault="00000000" w:rsidP="00E207DF">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oMath>
      </m:oMathPara>
    </w:p>
    <w:p w14:paraId="1BBD5EFA" w14:textId="77777777" w:rsidR="00095648" w:rsidRPr="00D358F6" w:rsidRDefault="00000000" w:rsidP="00E207DF">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r>
            <w:rPr>
              <w:rFonts w:ascii="Cambria Math" w:hAnsi="Cambria Math"/>
            </w:rPr>
            <m:t>=</m:t>
          </m:r>
          <m:r>
            <m:rPr>
              <m:nor/>
            </m:rPr>
            <w:rPr>
              <w:i/>
            </w:rPr>
            <m:t>0</m:t>
          </m:r>
        </m:oMath>
      </m:oMathPara>
    </w:p>
    <w:p w14:paraId="4AF14E93" w14:textId="77777777" w:rsidR="00095648" w:rsidRPr="00341942" w:rsidRDefault="00000000" w:rsidP="00E207DF">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r>
                        <m:rPr>
                          <m:nor/>
                        </m:rPr>
                        <w:rPr>
                          <w:i/>
                        </w:rPr>
                        <m:t>M</m:t>
                      </m:r>
                    </m:e>
                  </m:d>
                </m:e>
              </m:groupChr>
            </m:e>
            <m:lim>
              <m:r>
                <m:rPr>
                  <m:nor/>
                </m:rPr>
                <w:rPr>
                  <w:i/>
                  <w:iCs/>
                </w:rPr>
                <m:t>CC</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Salida</m:t>
                          </m:r>
                        </m:e>
                        <m:sub>
                          <m:r>
                            <m:rPr>
                              <m:nor/>
                            </m:rPr>
                            <w:rPr>
                              <w:i/>
                            </w:rPr>
                            <m:t>K</m:t>
                          </m:r>
                        </m:sub>
                      </m:sSub>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CF</m:t>
              </m:r>
            </m:lim>
          </m:limLow>
        </m:oMath>
      </m:oMathPara>
    </w:p>
    <w:p w14:paraId="26602842" w14:textId="20567647" w:rsidR="00095648" w:rsidRDefault="00095648" w:rsidP="00095648">
      <w:pPr>
        <w:pStyle w:val="Ttuloimagen"/>
      </w:pPr>
      <w:r>
        <w:t>Imagen</w:t>
      </w:r>
      <w:r w:rsidR="00C26C58">
        <w:t> </w:t>
      </w:r>
      <w:r>
        <w:fldChar w:fldCharType="begin"/>
      </w:r>
      <w:r>
        <w:instrText xml:space="preserve"> SEQ Ilustración \* ARABIC </w:instrText>
      </w:r>
      <w:r>
        <w:fldChar w:fldCharType="separate"/>
      </w:r>
      <w:r w:rsidR="00A448D4">
        <w:t>1</w:t>
      </w:r>
      <w:r>
        <w:fldChar w:fldCharType="end"/>
      </w:r>
      <w:r w:rsidRPr="00705325">
        <w:rPr>
          <w:rStyle w:val="TtuloimagenCar"/>
        </w:rPr>
        <w:t>.</w:t>
      </w:r>
      <w:r w:rsidRPr="00705325">
        <w:rPr>
          <w:smallCaps w:val="0"/>
        </w:rPr>
        <w:t xml:space="preserve">– </w:t>
      </w:r>
      <w:r>
        <w:rPr>
          <w:i/>
          <w:iCs/>
          <w:smallCaps w:val="0"/>
        </w:rPr>
        <w:t>Equilibrio de la balanza de pagos con tipo de cambio flexible</w:t>
      </w:r>
    </w:p>
    <w:p w14:paraId="51F5310F" w14:textId="77777777" w:rsidR="00095648" w:rsidRDefault="00095648" w:rsidP="00095648">
      <w:pPr>
        <w:pStyle w:val="Imagen"/>
        <w:rPr>
          <w:rFonts w:eastAsiaTheme="minorEastAsia"/>
          <w:i/>
        </w:rPr>
      </w:pPr>
      <w:r>
        <w:drawing>
          <wp:inline distT="0" distB="0" distL="0" distR="0" wp14:anchorId="029653D1" wp14:editId="5C1A33D1">
            <wp:extent cx="3101390" cy="2160000"/>
            <wp:effectExtent l="0" t="0" r="3810" b="0"/>
            <wp:docPr id="22" name="Gráfic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96DAC541-7B7A-43D3-8B79-37D633B846F1}">
                          <asvg:svgBlip xmlns:asvg="http://schemas.microsoft.com/office/drawing/2016/SVG/main" r:embed="rId10"/>
                        </a:ext>
                      </a:extLst>
                    </a:blip>
                    <a:srcRect l="12077" t="983" r="10211" b="2796"/>
                    <a:stretch/>
                  </pic:blipFill>
                  <pic:spPr bwMode="auto">
                    <a:xfrm>
                      <a:off x="0" y="0"/>
                      <a:ext cx="3101390" cy="2160000"/>
                    </a:xfrm>
                    <a:prstGeom prst="rect">
                      <a:avLst/>
                    </a:prstGeom>
                    <a:ln>
                      <a:noFill/>
                    </a:ln>
                    <a:extLst>
                      <a:ext uri="{53640926-AAD7-44D8-BBD7-CCE9431645EC}">
                        <a14:shadowObscured xmlns:a14="http://schemas.microsoft.com/office/drawing/2010/main"/>
                      </a:ext>
                    </a:extLst>
                  </pic:spPr>
                </pic:pic>
              </a:graphicData>
            </a:graphic>
          </wp:inline>
        </w:drawing>
      </w:r>
    </w:p>
    <w:p w14:paraId="4667F86C" w14:textId="77777777" w:rsidR="00095648" w:rsidRPr="003E5C22" w:rsidRDefault="00095648" w:rsidP="00095648">
      <w:pPr>
        <w:pStyle w:val="PiedeImagen"/>
        <w:rPr>
          <w:rFonts w:eastAsiaTheme="minorEastAsia"/>
          <w:i w:val="0"/>
          <w:iCs/>
        </w:rPr>
      </w:pPr>
      <w:r>
        <w:t>Fuente</w:t>
      </w:r>
      <w:r w:rsidRPr="003E5C22">
        <w:rPr>
          <w:i w:val="0"/>
          <w:iCs/>
        </w:rPr>
        <w:t>: Elaboración propia</w:t>
      </w:r>
    </w:p>
    <w:p w14:paraId="1DB21743" w14:textId="77777777" w:rsidR="00095648" w:rsidRDefault="00095648" w:rsidP="00095648">
      <w:pPr>
        <w:pStyle w:val="Nivel2SM"/>
        <w:keepNext/>
        <w:spacing w:after="0"/>
      </w:pPr>
      <w:r w:rsidRPr="00337665">
        <w:rPr>
          <w:i/>
          <w:iCs/>
        </w:rPr>
        <w:t>En caso de ausencia de movimientos internacionales de capitales</w:t>
      </w:r>
      <w:r>
        <w:t>, la flexibilidad del tipo de cambio garantiza el equilibrio en la cuenta financiera y por ende en la cuenta corriente:</w:t>
      </w:r>
    </w:p>
    <w:p w14:paraId="54331884" w14:textId="77777777" w:rsidR="00095648" w:rsidRPr="00E82F2F" w:rsidRDefault="00000000" w:rsidP="00095648">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r>
                        <m:rPr>
                          <m:nor/>
                        </m:rPr>
                        <w:rPr>
                          <w:i/>
                        </w:rPr>
                        <m:t>M</m:t>
                      </m:r>
                    </m:e>
                  </m:d>
                </m:e>
              </m:groupChr>
            </m:e>
            <m:lim>
              <m:r>
                <m:rPr>
                  <m:nor/>
                </m:rPr>
                <w:rPr>
                  <w:i/>
                  <w:iCs/>
                </w:rPr>
                <m:t>CC</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Salida</m:t>
                                  </m:r>
                                </m:e>
                                <m:sub>
                                  <m:r>
                                    <m:rPr>
                                      <m:nor/>
                                    </m:rPr>
                                    <w:rPr>
                                      <w:i/>
                                    </w:rPr>
                                    <m:t>K</m:t>
                                  </m:r>
                                </m:sub>
                              </m:sSub>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w:rPr>
                          <w:rFonts w:ascii="Cambria Math"/>
                        </w:rPr>
                        <m:t>=</m:t>
                      </m:r>
                      <m:r>
                        <m:rPr>
                          <m:nor/>
                        </m:rPr>
                        <w:rPr>
                          <w:i/>
                        </w:rPr>
                        <m:t>0</m:t>
                      </m:r>
                    </m:lim>
                  </m:limUpp>
                </m:e>
              </m:groupChr>
            </m:e>
            <m:lim>
              <m:r>
                <m:rPr>
                  <m:nor/>
                </m:rPr>
                <w:rPr>
                  <w:i/>
                  <w:iCs/>
                </w:rPr>
                <m:t>CF</m:t>
              </m:r>
            </m:lim>
          </m:limLow>
          <m:r>
            <w:rPr>
              <w:rFonts w:ascii="Cambria Math" w:eastAsiaTheme="minorEastAsia" w:hAnsi="Cambria Math"/>
            </w:rPr>
            <m:t>⇒</m:t>
          </m:r>
          <m:r>
            <m:rPr>
              <m:nor/>
            </m:rPr>
            <w:rPr>
              <w:i/>
              <w:iCs/>
            </w:rPr>
            <m:t>CC</m:t>
          </m:r>
          <m:r>
            <w:rPr>
              <w:rFonts w:ascii="Cambria Math"/>
            </w:rPr>
            <m:t>=</m:t>
          </m:r>
          <m:r>
            <m:rPr>
              <m:nor/>
            </m:rPr>
            <w:rPr>
              <w:i/>
            </w:rPr>
            <m:t>0</m:t>
          </m:r>
        </m:oMath>
      </m:oMathPara>
    </w:p>
    <w:p w14:paraId="47405C1D" w14:textId="576615D3" w:rsidR="00095648" w:rsidRDefault="00095648" w:rsidP="00095648">
      <w:pPr>
        <w:pStyle w:val="Nivel3SM"/>
      </w:pPr>
      <w:r>
        <w:t xml:space="preserve">No obstante, </w:t>
      </w:r>
      <w:r w:rsidRPr="00E82F2F">
        <w:t>como los movimientos internacionales de capitales no tuvieron lugar hasta los años</w:t>
      </w:r>
      <w:r w:rsidR="004A38C4">
        <w:t> </w:t>
      </w:r>
      <w:r w:rsidRPr="00E82F2F">
        <w:t>70, las salidas</w:t>
      </w:r>
      <w:r>
        <w:t xml:space="preserve"> y las entradas de capitales eran muy escasas hasta entonces, por lo que un tipo de cambio flexible conseguía un equilibrio comercial.</w:t>
      </w:r>
    </w:p>
    <w:p w14:paraId="0B1AAE6A" w14:textId="77777777" w:rsidR="00095648" w:rsidRPr="00337665" w:rsidRDefault="00095648" w:rsidP="00095648">
      <w:pPr>
        <w:pStyle w:val="Nivel2SM"/>
      </w:pPr>
      <w:r w:rsidRPr="00337665">
        <w:t xml:space="preserve">Sin embargo, en la actualidad, </w:t>
      </w:r>
      <w:r w:rsidRPr="00337665">
        <w:rPr>
          <w:i/>
          <w:iCs/>
        </w:rPr>
        <w:t>han ganado relevancia los movimientos internacionales de capitales</w:t>
      </w:r>
      <w:r w:rsidRPr="00337665">
        <w:t>, por lo que un tipo de cambio flexible es coherente con desequilibrios por cuenta corriente.</w:t>
      </w:r>
    </w:p>
    <w:p w14:paraId="19A1BEE0" w14:textId="77777777" w:rsidR="00095648" w:rsidRDefault="00095648" w:rsidP="00095648">
      <w:pPr>
        <w:pStyle w:val="Cajadeanotaciones"/>
        <w:pBdr>
          <w:top w:val="single" w:sz="4" w:space="0" w:color="auto" w:shadow="1"/>
        </w:pBdr>
      </w:pPr>
      <w:r>
        <w:t xml:space="preserve">Las </w:t>
      </w:r>
      <w:r w:rsidRPr="007A4D35">
        <w:rPr>
          <w:b/>
          <w:bCs/>
        </w:rPr>
        <w:t>teorí</w:t>
      </w:r>
      <w:r>
        <w:rPr>
          <w:b/>
          <w:bCs/>
        </w:rPr>
        <w:t>as de ajuste</w:t>
      </w:r>
      <w:r>
        <w:t xml:space="preserve"> de la cuenta corriente surgieron en un contexto en que los movimientos internacionales de capitales no eran significativos, por lo que era más relevante estudiar los mecanismos de ajuste bajo un régimen de </w:t>
      </w:r>
      <w:r>
        <w:rPr>
          <w:b/>
          <w:bCs/>
        </w:rPr>
        <w:t>tipos de cambio fijos</w:t>
      </w:r>
      <w:r>
        <w:t xml:space="preserve"> (que era el que imperaba bajo los acuerdos de Bretton Woods (1944-1973)).</w:t>
      </w:r>
    </w:p>
    <w:p w14:paraId="6D244AD9" w14:textId="5C03ADCC" w:rsidR="00095648" w:rsidRDefault="00095648" w:rsidP="00095648">
      <w:pPr>
        <w:pStyle w:val="Cajadeanotaciones"/>
        <w:pBdr>
          <w:top w:val="single" w:sz="4" w:space="0" w:color="auto" w:shadow="1"/>
        </w:pBdr>
      </w:pPr>
      <w:r>
        <w:t>Es por esto, que en el tema 3.B.1</w:t>
      </w:r>
      <w:r w:rsidR="004D26D9">
        <w:t>2</w:t>
      </w:r>
      <w:r>
        <w:t xml:space="preserve"> al estudiar las teorías de ajuste de la balanza de pagos usamos principalmente un tipo de cambio fijo.</w:t>
      </w:r>
    </w:p>
    <w:p w14:paraId="24585EDF" w14:textId="77777777" w:rsidR="00095648" w:rsidRDefault="00095648" w:rsidP="00095648">
      <w:pPr>
        <w:pStyle w:val="Cajadeanotaciones"/>
        <w:pBdr>
          <w:top w:val="single" w:sz="4" w:space="0" w:color="auto" w:shadow="1"/>
        </w:pBdr>
      </w:pPr>
      <w:r>
        <w:t>Sin embargo, en un contexto de tipos de cambio flexibles, si hay movimientos internacionales de capitales no tiene por qué estar equilibrada siempre la cuenta financiera y por lo tanto, tampoco la cuenta corriente.</w:t>
      </w:r>
    </w:p>
    <w:p w14:paraId="6D3C442F" w14:textId="77777777" w:rsidR="00095648" w:rsidRDefault="00095648" w:rsidP="00095648">
      <w:pPr>
        <w:pStyle w:val="Nivel1SM"/>
        <w:keepNext/>
        <w:spacing w:after="0"/>
      </w:pPr>
      <w:r>
        <w:t xml:space="preserve">Además, un </w:t>
      </w:r>
      <w:r>
        <w:rPr>
          <w:b/>
          <w:bCs/>
        </w:rPr>
        <w:t>tipo de cambio fijo</w:t>
      </w:r>
      <w:r>
        <w:t xml:space="preserve"> puede producir un </w:t>
      </w:r>
      <w:r>
        <w:rPr>
          <w:b/>
          <w:bCs/>
        </w:rPr>
        <w:t>desequilibrio en la balanza de pagos</w:t>
      </w:r>
      <w:r>
        <w:t xml:space="preserve"> si el tipo fijado no coincide con el de vaciado del mercado de divisas.</w:t>
      </w:r>
    </w:p>
    <w:p w14:paraId="3C10C19A" w14:textId="77777777" w:rsidR="00095648" w:rsidRDefault="00095648" w:rsidP="00095648">
      <w:pPr>
        <w:pStyle w:val="Nivel2SM"/>
        <w:keepNext/>
        <w:spacing w:after="0"/>
      </w:pPr>
      <w:r>
        <w:t>Así, por ejemplo, si la moneda nacional está excesivamente devaluada (</w:t>
      </w:r>
      <w:r>
        <w:rPr>
          <w:rFonts w:eastAsiaTheme="minorEastAsia"/>
        </w:rPr>
        <w:t xml:space="preserve">i.e. </w:t>
      </w:r>
      <m:oMath>
        <m:r>
          <m:rPr>
            <m:nor/>
          </m:rPr>
          <w:rPr>
            <w:i/>
            <w:iCs/>
          </w:rPr>
          <m:t>E'</m:t>
        </m:r>
        <m:r>
          <w:rPr>
            <w:rFonts w:ascii="Cambria Math" w:hAnsi="Cambria Math"/>
          </w:rPr>
          <m:t>&gt;</m:t>
        </m:r>
        <m:r>
          <m:rPr>
            <m:nor/>
          </m:rPr>
          <w:rPr>
            <w:i/>
            <w:iCs/>
          </w:rPr>
          <m:t>E*</m:t>
        </m:r>
      </m:oMath>
      <w:r>
        <w:t>), habrá un exceso de oferta de divisas (pues ésta es excesivamente cara), y se producirá un superávit comercial y/o un déficit en la cuenta financiera:</w:t>
      </w:r>
    </w:p>
    <w:p w14:paraId="69DFF49A" w14:textId="77777777" w:rsidR="00095648" w:rsidRPr="00B37F9B" w:rsidRDefault="00000000" w:rsidP="00B7147A">
      <w:pPr>
        <w:spacing w:after="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r>
            <w:rPr>
              <w:rFonts w:ascii="Cambria Math" w:hAnsi="Cambria Math"/>
            </w:rPr>
            <m:t>&gt;</m:t>
          </m:r>
          <m:r>
            <m:rPr>
              <m:nor/>
            </m:rPr>
            <w:rPr>
              <w:i/>
            </w:rPr>
            <m:t>0</m:t>
          </m:r>
        </m:oMath>
      </m:oMathPara>
    </w:p>
    <w:p w14:paraId="4FB7B8F9" w14:textId="77777777" w:rsidR="00095648" w:rsidRDefault="00095648" w:rsidP="00095648">
      <w:pPr>
        <w:pStyle w:val="Nivel2SM"/>
      </w:pPr>
      <w:r>
        <w:t>Lo contrario sucederá si la moneda nacional está excesivamente apreciada.</w:t>
      </w:r>
    </w:p>
    <w:p w14:paraId="563FFA0E" w14:textId="79296539" w:rsidR="00095648" w:rsidRPr="00564A58" w:rsidRDefault="00095648" w:rsidP="00095648">
      <w:pPr>
        <w:pStyle w:val="Cajadeanotaciones"/>
      </w:pPr>
      <w:r>
        <w:lastRenderedPageBreak/>
        <w:t xml:space="preserve">De ahí que las </w:t>
      </w:r>
      <w:r>
        <w:rPr>
          <w:i/>
          <w:iCs/>
        </w:rPr>
        <w:t>teorías de ajuste</w:t>
      </w:r>
      <w:r>
        <w:t xml:space="preserve"> de la balanza de pagos se desarrollasen para tipos de cambio </w:t>
      </w:r>
      <w:r>
        <w:rPr>
          <w:i/>
          <w:iCs/>
        </w:rPr>
        <w:t>fijos</w:t>
      </w:r>
      <w:r w:rsidRPr="00564A58">
        <w:rPr>
          <w:color w:val="767171" w:themeColor="background2" w:themeShade="80"/>
        </w:rPr>
        <w:t xml:space="preserve"> </w:t>
      </w:r>
      <w:r w:rsidRPr="00564A58">
        <w:rPr>
          <w:color w:val="767171" w:themeColor="background2" w:themeShade="80"/>
          <w:sz w:val="19"/>
          <w:szCs w:val="19"/>
        </w:rPr>
        <w:t>[</w:t>
      </w:r>
      <w:r w:rsidR="00C709D5">
        <w:rPr>
          <w:color w:val="767171" w:themeColor="background2" w:themeShade="80"/>
          <w:sz w:val="19"/>
          <w:szCs w:val="19"/>
        </w:rPr>
        <w:t>v</w:t>
      </w:r>
      <w:r w:rsidRPr="00564A58">
        <w:rPr>
          <w:color w:val="767171" w:themeColor="background2" w:themeShade="80"/>
          <w:sz w:val="19"/>
          <w:szCs w:val="19"/>
        </w:rPr>
        <w:t>er tema 3.B.1</w:t>
      </w:r>
      <w:r w:rsidR="004D26D9">
        <w:rPr>
          <w:color w:val="767171" w:themeColor="background2" w:themeShade="80"/>
          <w:sz w:val="19"/>
          <w:szCs w:val="19"/>
        </w:rPr>
        <w:t>2</w:t>
      </w:r>
      <w:r w:rsidRPr="00564A58">
        <w:rPr>
          <w:color w:val="767171" w:themeColor="background2" w:themeShade="80"/>
          <w:sz w:val="19"/>
          <w:szCs w:val="19"/>
        </w:rPr>
        <w:t>]</w:t>
      </w:r>
      <w:r>
        <w:t xml:space="preserve">, ya que es interesante ver los mecanismos a través de los que se puede lograr un equilibrio en las distintas </w:t>
      </w:r>
      <w:proofErr w:type="spellStart"/>
      <w:r>
        <w:t>sub-balanzas</w:t>
      </w:r>
      <w:proofErr w:type="spellEnd"/>
      <w:r>
        <w:t xml:space="preserve"> de la balanza de pagos.</w:t>
      </w:r>
    </w:p>
    <w:p w14:paraId="6F68BD81" w14:textId="77777777" w:rsidR="00095648" w:rsidRDefault="00095648" w:rsidP="00095648">
      <w:pPr>
        <w:pStyle w:val="Nivel1SM"/>
        <w:keepNext/>
        <w:spacing w:after="0"/>
      </w:pPr>
      <w:r>
        <w:t xml:space="preserve">Asimismo, teniendo en cuenta los determinantes de las distintas </w:t>
      </w:r>
      <w:proofErr w:type="spellStart"/>
      <w:r>
        <w:t>sub-balanzas</w:t>
      </w:r>
      <w:proofErr w:type="spellEnd"/>
      <w:r>
        <w:t>, podríamos llegar a la siguiente ecuación (</w:t>
      </w:r>
      <w:proofErr w:type="spellStart"/>
      <w:r>
        <w:rPr>
          <w:smallCaps/>
        </w:rPr>
        <w:t>Kallianiotis</w:t>
      </w:r>
      <w:proofErr w:type="spellEnd"/>
      <w:r>
        <w:t>, 2013):</w:t>
      </w:r>
    </w:p>
    <w:p w14:paraId="203AF693" w14:textId="3D3E4C9E" w:rsidR="00095648" w:rsidRPr="00024C5B" w:rsidRDefault="00000000" w:rsidP="00095648">
      <w:pPr>
        <w:keepNext/>
        <w:spacing w:after="0"/>
        <w:rPr>
          <w:rFonts w:eastAsiaTheme="minorEastAsia"/>
          <w:lang w:val="fr-FR"/>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CC</m:t>
                      </m:r>
                    </m:e>
                    <m:sub>
                      <m:r>
                        <m:rPr>
                          <m:nor/>
                        </m:rPr>
                        <w:rPr>
                          <w:i/>
                          <w:lang w:val="fr-FR"/>
                        </w:rPr>
                        <m:t>t</m:t>
                      </m:r>
                    </m:sub>
                  </m:sSub>
                </m:e>
              </m:groupChr>
            </m:e>
            <m:lim>
              <m:sSub>
                <m:sSubPr>
                  <m:ctrlPr>
                    <w:rPr>
                      <w:rFonts w:ascii="Cambria Math" w:hAnsi="Cambria Math"/>
                      <w:i/>
                    </w:rPr>
                  </m:ctrlPr>
                </m:sSubPr>
                <m:e>
                  <m:r>
                    <m:rPr>
                      <m:nor/>
                    </m:rPr>
                    <w:rPr>
                      <w:i/>
                      <w:lang w:val="fr-FR"/>
                    </w:rPr>
                    <m:t>XN</m:t>
                  </m:r>
                </m:e>
                <m:sub>
                  <m:r>
                    <m:rPr>
                      <m:nor/>
                    </m:rPr>
                    <w:rPr>
                      <w:i/>
                      <w:lang w:val="fr-FR"/>
                    </w:rPr>
                    <m:t>t</m:t>
                  </m:r>
                </m:sub>
              </m:sSub>
              <m:d>
                <m:dPr>
                  <m:ctrlPr>
                    <w:rPr>
                      <w:rFonts w:ascii="Cambria Math" w:hAnsi="Cambria Math"/>
                      <w:i/>
                    </w:rPr>
                  </m:ctrlPr>
                </m:dPr>
                <m:e>
                  <m:limLow>
                    <m:limLowPr>
                      <m:ctrlPr>
                        <w:rPr>
                          <w:rFonts w:ascii="Cambria Math" w:hAnsi="Cambria Math"/>
                          <w:i/>
                        </w:rPr>
                      </m:ctrlPr>
                    </m:limLowPr>
                    <m:e>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sSub>
                                    <m:sSubPr>
                                      <m:ctrlPr>
                                        <w:rPr>
                                          <w:rFonts w:ascii="Cambria Math" w:hAnsi="Cambria Math"/>
                                          <w:i/>
                                        </w:rPr>
                                      </m:ctrlPr>
                                    </m:sSubPr>
                                    <m:e>
                                      <m:r>
                                        <m:rPr>
                                          <m:nor/>
                                        </m:rPr>
                                        <w:rPr>
                                          <w:i/>
                                          <w:lang w:val="fr-FR"/>
                                        </w:rPr>
                                        <m:t>E</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iCs/>
                                </w:rPr>
                                <m:t>ϰ</m:t>
                              </m:r>
                            </m:e>
                            <m:sub>
                              <m:r>
                                <m:rPr>
                                  <m:nor/>
                                </m:rPr>
                                <w:rPr>
                                  <w:i/>
                                  <w:lang w:val="fr-FR"/>
                                </w:rPr>
                                <m:t>t</m:t>
                              </m:r>
                            </m:sub>
                          </m:sSub>
                        </m:lim>
                      </m:limUpp>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lang w:val="fr-FR"/>
                            </w:rPr>
                            <m:t>Y</m:t>
                          </m:r>
                        </m:e>
                        <m:sub>
                          <m:r>
                            <m:rPr>
                              <m:nor/>
                            </m:rPr>
                            <w:rPr>
                              <w:i/>
                              <w:lang w:val="fr-FR"/>
                            </w:rPr>
                            <m:t>t</m:t>
                          </m:r>
                        </m:sub>
                      </m:sSub>
                    </m:e>
                    <m:lim>
                      <w:bookmarkStart w:id="12" w:name="_Hlk122346618"/>
                      <m:r>
                        <w:rPr>
                          <w:rFonts w:ascii="Cambria Math" w:hAnsi="Cambria Math"/>
                          <w:lang w:val="fr-FR"/>
                        </w:rPr>
                        <m:t>-</m:t>
                      </m:r>
                      <w:bookmarkEnd w:id="12"/>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lang w:val="fr-FR"/>
                            </w:rPr>
                            <m:t>Y</m:t>
                          </m:r>
                          <m:r>
                            <m:rPr>
                              <m:nor/>
                            </m:rPr>
                            <w:rPr>
                              <w:i/>
                              <w:iCs/>
                              <w:lang w:val="fr-FR"/>
                            </w:rPr>
                            <m:t>*</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rPr>
                            <m:t>χ</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rPr>
                            <m:t>χ</m:t>
                          </m:r>
                          <m:r>
                            <m:rPr>
                              <m:nor/>
                            </m:rPr>
                            <w:rPr>
                              <w:i/>
                              <w:iCs/>
                              <w:lang w:val="fr-FR"/>
                            </w:rPr>
                            <m:t>*</m:t>
                          </m:r>
                        </m:e>
                        <m:sub>
                          <m:r>
                            <m:rPr>
                              <m:nor/>
                            </m:rPr>
                            <w:rPr>
                              <w:i/>
                              <w:lang w:val="fr-FR"/>
                            </w:rPr>
                            <m:t>t</m:t>
                          </m:r>
                        </m:sub>
                      </m:sSub>
                    </m:e>
                    <m:lim>
                      <m:r>
                        <w:rPr>
                          <w:rFonts w:ascii="Cambria Math" w:hAnsi="Cambria Math"/>
                          <w:lang w:val="fr-FR"/>
                        </w:rPr>
                        <m:t>-</m:t>
                      </m:r>
                    </m:lim>
                  </m:limLow>
                </m:e>
              </m:d>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CF</m:t>
                      </m:r>
                    </m:e>
                    <m:sub>
                      <m:r>
                        <m:rPr>
                          <m:nor/>
                        </m:rPr>
                        <w:rPr>
                          <w:i/>
                          <w:lang w:val="fr-FR"/>
                        </w:rPr>
                        <m:t>t</m:t>
                      </m:r>
                    </m:sub>
                  </m:sSub>
                </m:e>
              </m:groupChr>
            </m:e>
            <m:lim>
              <m:sSub>
                <m:sSubPr>
                  <m:ctrlPr>
                    <w:rPr>
                      <w:rFonts w:ascii="Cambria Math" w:hAnsi="Cambria Math"/>
                      <w:i/>
                    </w:rPr>
                  </m:ctrlPr>
                </m:sSubPr>
                <m:e>
                  <m:r>
                    <m:rPr>
                      <m:nor/>
                    </m:rPr>
                    <w:rPr>
                      <w:i/>
                      <w:lang w:val="fr-FR"/>
                    </w:rPr>
                    <m:t>Salida</m:t>
                  </m:r>
                </m:e>
                <m:sub>
                  <m:r>
                    <m:rPr>
                      <m:nor/>
                    </m:rPr>
                    <w:rPr>
                      <w:i/>
                      <w:lang w:val="fr-FR"/>
                    </w:rPr>
                    <m:t>K</m:t>
                  </m:r>
                </m:sub>
              </m:sSub>
              <m:r>
                <w:rPr>
                  <w:rFonts w:ascii="Cambria Math" w:hAnsi="Cambria Math"/>
                  <w:lang w:val="fr-FR"/>
                </w:rPr>
                <m:t>-</m:t>
              </m:r>
              <m:sSub>
                <m:sSubPr>
                  <m:ctrlPr>
                    <w:rPr>
                      <w:rFonts w:ascii="Cambria Math" w:hAnsi="Cambria Math"/>
                      <w:i/>
                    </w:rPr>
                  </m:ctrlPr>
                </m:sSubPr>
                <m:e>
                  <m:r>
                    <m:rPr>
                      <m:nor/>
                    </m:rPr>
                    <w:rPr>
                      <w:i/>
                      <w:lang w:val="fr-FR"/>
                    </w:rPr>
                    <m:t>Entrada</m:t>
                  </m:r>
                </m:e>
                <m:sub>
                  <m:r>
                    <m:rPr>
                      <m:nor/>
                    </m:rPr>
                    <w:rPr>
                      <w:i/>
                      <w:lang w:val="fr-FR"/>
                    </w:rPr>
                    <m:t>K</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r>
                            <m:rPr>
                              <m:nor/>
                            </m:rPr>
                            <w:rPr>
                              <w:i/>
                              <w:iCs/>
                              <w:lang w:val="fr-FR"/>
                            </w:rPr>
                            <m:t>*</m:t>
                          </m:r>
                        </m:e>
                        <m:sub>
                          <m:r>
                            <m:rPr>
                              <m:nor/>
                            </m:rPr>
                            <w:rPr>
                              <w:i/>
                              <w:lang w:val="fr-FR"/>
                            </w:rPr>
                            <m:t>t</m:t>
                          </m:r>
                        </m:sub>
                      </m:sSub>
                    </m:e>
                    <m:lim>
                      <m:r>
                        <w:rPr>
                          <w:rFonts w:ascii="Cambria Math" w:hAnsi="Cambria Math"/>
                          <w:lang w:val="fr-FR"/>
                        </w:rPr>
                        <m:t>-</m:t>
                      </m:r>
                    </m:lim>
                  </m:limLow>
                </m:e>
              </m:d>
            </m:lim>
          </m:limLow>
          <m:r>
            <m:rPr>
              <m:sty m:val="p"/>
            </m:rPr>
            <w:rPr>
              <w:rFonts w:eastAsiaTheme="minorEastAsia"/>
              <w:lang w:val="fr-FR"/>
            </w:rPr>
            <w:br/>
          </m:r>
        </m:oMath>
      </m:oMathPara>
      <w:r w:rsidR="00095648" w:rsidRPr="008A241B">
        <w:rPr>
          <w:rFonts w:eastAsiaTheme="minorEastAsia"/>
          <w:lang w:val="fr-FR"/>
        </w:rPr>
        <w:t>donde:</w:t>
      </w:r>
    </w:p>
    <w:p w14:paraId="111230DC" w14:textId="77777777" w:rsidR="00095648" w:rsidRPr="00024C5B" w:rsidRDefault="00000000" w:rsidP="00095648">
      <w:pPr>
        <w:pStyle w:val="Nivel2"/>
        <w:ind w:left="765"/>
      </w:pPr>
      <m:oMath>
        <m:sSub>
          <m:sSubPr>
            <m:ctrlPr>
              <w:rPr>
                <w:rFonts w:ascii="Cambria Math" w:hAnsi="Cambria Math"/>
                <w:i/>
              </w:rPr>
            </m:ctrlPr>
          </m:sSubPr>
          <m:e>
            <m:r>
              <m:rPr>
                <m:nor/>
              </m:rPr>
              <w:rPr>
                <w:i/>
                <w:iCs/>
              </w:rPr>
              <m:t>ϰ</m:t>
            </m:r>
          </m:e>
          <m:sub>
            <m:r>
              <m:rPr>
                <m:nor/>
              </m:rPr>
              <w:rPr>
                <w:i/>
              </w:rPr>
              <m:t>t</m:t>
            </m:r>
          </m:sub>
        </m:sSub>
        <m:r>
          <w:rPr>
            <w:rFonts w:ascii="Cambria Math"/>
          </w:rPr>
          <m:t>=</m:t>
        </m:r>
        <m:f>
          <m:fPr>
            <m:type m:val="lin"/>
            <m:ctrlPr>
              <w:rPr>
                <w:rFonts w:ascii="Cambria Math" w:hAnsi="Cambria Math"/>
                <w:i/>
              </w:rPr>
            </m:ctrlPr>
          </m:fPr>
          <m:num>
            <m:sSub>
              <m:sSubPr>
                <m:ctrlPr>
                  <w:rPr>
                    <w:rFonts w:ascii="Cambria Math" w:hAnsi="Cambria Math"/>
                    <w:i/>
                  </w:rPr>
                </m:ctrlPr>
              </m:sSubPr>
              <m:e>
                <m:r>
                  <m:rPr>
                    <m:nor/>
                  </m:rPr>
                  <w:rPr>
                    <w:i/>
                  </w:rPr>
                  <m:t>E</m:t>
                </m:r>
              </m:e>
              <m:sub>
                <m:r>
                  <m:rPr>
                    <m:nor/>
                  </m:rPr>
                  <w:rPr>
                    <w:i/>
                  </w:rPr>
                  <m:t>t</m:t>
                </m:r>
              </m:sub>
            </m:sSub>
            <m:r>
              <w:rPr>
                <w:rFonts w:ascii="Cambria Math" w:hAnsi="Cambria Math"/>
              </w:rPr>
              <m:t>∙</m:t>
            </m:r>
            <m:sSub>
              <m:sSubPr>
                <m:ctrlPr>
                  <w:rPr>
                    <w:rFonts w:ascii="Cambria Math" w:hAnsi="Cambria Math"/>
                    <w:i/>
                  </w:rPr>
                </m:ctrlPr>
              </m:sSubPr>
              <m:e>
                <m:r>
                  <m:rPr>
                    <m:nor/>
                  </m:rPr>
                  <w:rPr>
                    <w:i/>
                  </w:rPr>
                  <m:t>P*</m:t>
                </m:r>
              </m:e>
              <m:sub>
                <m:r>
                  <m:rPr>
                    <m:nor/>
                  </m:rPr>
                  <w:rPr>
                    <w:i/>
                  </w:rPr>
                  <m:t>t</m:t>
                </m:r>
              </m:sub>
            </m:sSub>
          </m:num>
          <m:den>
            <m:sSub>
              <m:sSubPr>
                <m:ctrlPr>
                  <w:rPr>
                    <w:rFonts w:ascii="Cambria Math" w:hAnsi="Cambria Math"/>
                    <w:i/>
                  </w:rPr>
                </m:ctrlPr>
              </m:sSubPr>
              <m:e>
                <m:r>
                  <m:rPr>
                    <m:nor/>
                  </m:rPr>
                  <w:rPr>
                    <w:i/>
                  </w:rPr>
                  <m:t>P</m:t>
                </m:r>
              </m:e>
              <m:sub>
                <m:r>
                  <m:rPr>
                    <m:nor/>
                  </m:rPr>
                  <w:rPr>
                    <w:i/>
                  </w:rPr>
                  <m:t>t</m:t>
                </m:r>
              </m:sub>
            </m:sSub>
          </m:den>
        </m:f>
      </m:oMath>
      <w:r w:rsidR="00095648">
        <w:rPr>
          <w:rFonts w:eastAsiaTheme="minorEastAsia"/>
        </w:rPr>
        <w:t xml:space="preserve"> es el tipo de cambio real;</w:t>
      </w:r>
    </w:p>
    <w:p w14:paraId="01E91808" w14:textId="77777777" w:rsidR="00095648" w:rsidRPr="00024C5B" w:rsidRDefault="00000000" w:rsidP="00095648">
      <w:pPr>
        <w:pStyle w:val="Nivel2"/>
        <w:ind w:left="765"/>
      </w:pPr>
      <m:oMath>
        <m:sSub>
          <m:sSubPr>
            <m:ctrlPr>
              <w:rPr>
                <w:rFonts w:ascii="Cambria Math" w:hAnsi="Cambria Math"/>
                <w:i/>
              </w:rPr>
            </m:ctrlPr>
          </m:sSubPr>
          <m:e>
            <m:r>
              <m:rPr>
                <m:nor/>
              </m:rPr>
              <w:rPr>
                <w:i/>
              </w:rPr>
              <m:t>E</m:t>
            </m:r>
          </m:e>
          <m:sub>
            <m:r>
              <m:rPr>
                <m:nor/>
              </m:rPr>
              <w:rPr>
                <w:i/>
              </w:rPr>
              <m:t>t</m:t>
            </m:r>
          </m:sub>
        </m:sSub>
      </m:oMath>
      <w:r w:rsidR="00095648">
        <w:rPr>
          <w:rFonts w:eastAsiaTheme="minorEastAsia"/>
        </w:rPr>
        <w:t xml:space="preserve"> es el tipo de cambio nominal;</w:t>
      </w:r>
    </w:p>
    <w:p w14:paraId="664B8F8B" w14:textId="77777777" w:rsidR="00095648" w:rsidRPr="00024C5B" w:rsidRDefault="00000000" w:rsidP="00095648">
      <w:pPr>
        <w:pStyle w:val="Nivel2"/>
        <w:ind w:left="765"/>
      </w:pPr>
      <m:oMath>
        <m:sSub>
          <m:sSubPr>
            <m:ctrlPr>
              <w:rPr>
                <w:rFonts w:ascii="Cambria Math" w:hAnsi="Cambria Math"/>
                <w:i/>
              </w:rPr>
            </m:ctrlPr>
          </m:sSubPr>
          <m:e>
            <m:r>
              <m:rPr>
                <m:nor/>
              </m:rPr>
              <w:rPr>
                <w:i/>
              </w:rPr>
              <m:t>Y</m:t>
            </m:r>
          </m:e>
          <m:sub>
            <m:r>
              <m:rPr>
                <m:nor/>
              </m:rPr>
              <w:rPr>
                <w:i/>
              </w:rPr>
              <m:t>t</m:t>
            </m:r>
          </m:sub>
        </m:sSub>
      </m:oMath>
      <w:r w:rsidR="00095648">
        <w:rPr>
          <w:rFonts w:eastAsiaTheme="minorEastAsia"/>
          <w:iCs/>
        </w:rPr>
        <w:t xml:space="preserve"> es la producción nacional e </w:t>
      </w:r>
      <m:oMath>
        <m:sSub>
          <m:sSubPr>
            <m:ctrlPr>
              <w:rPr>
                <w:rFonts w:ascii="Cambria Math" w:hAnsi="Cambria Math"/>
                <w:i/>
              </w:rPr>
            </m:ctrlPr>
          </m:sSubPr>
          <m:e>
            <m:r>
              <m:rPr>
                <m:nor/>
              </m:rPr>
              <w:rPr>
                <w:i/>
              </w:rPr>
              <m:t>Y</m:t>
            </m:r>
            <m:r>
              <m:rPr>
                <m:nor/>
              </m:rPr>
              <w:rPr>
                <w:i/>
                <w:iCs/>
              </w:rPr>
              <m:t>*</m:t>
            </m:r>
          </m:e>
          <m:sub>
            <m:r>
              <m:rPr>
                <m:nor/>
              </m:rPr>
              <w:rPr>
                <w:i/>
              </w:rPr>
              <m:t>t</m:t>
            </m:r>
          </m:sub>
        </m:sSub>
      </m:oMath>
      <w:r w:rsidR="00095648">
        <w:rPr>
          <w:rFonts w:eastAsiaTheme="minorEastAsia"/>
          <w:iCs/>
        </w:rPr>
        <w:t xml:space="preserve"> es la producción en el extranjero;</w:t>
      </w:r>
    </w:p>
    <w:p w14:paraId="7BCEC0E1" w14:textId="77777777" w:rsidR="00095648" w:rsidRPr="00A50D51" w:rsidRDefault="00000000" w:rsidP="00095648">
      <w:pPr>
        <w:pStyle w:val="Nivel2"/>
        <w:ind w:left="765"/>
      </w:pPr>
      <m:oMath>
        <m:sSub>
          <m:sSubPr>
            <m:ctrlPr>
              <w:rPr>
                <w:rFonts w:ascii="Cambria Math" w:hAnsi="Cambria Math"/>
                <w:i/>
              </w:rPr>
            </m:ctrlPr>
          </m:sSubPr>
          <m:e>
            <m:r>
              <m:rPr>
                <m:nor/>
              </m:rPr>
              <w:rPr>
                <w:i/>
              </w:rPr>
              <m:t>χ</m:t>
            </m:r>
          </m:e>
          <m:sub>
            <m:r>
              <m:rPr>
                <m:nor/>
              </m:rPr>
              <w:rPr>
                <w:i/>
              </w:rPr>
              <m:t>t</m:t>
            </m:r>
          </m:sub>
        </m:sSub>
      </m:oMath>
      <w:r w:rsidR="00095648" w:rsidRPr="00024C5B">
        <w:rPr>
          <w:rFonts w:eastAsiaTheme="minorEastAsia"/>
        </w:rPr>
        <w:t xml:space="preserve"> son l</w:t>
      </w:r>
      <w:r w:rsidR="00095648">
        <w:rPr>
          <w:rFonts w:eastAsiaTheme="minorEastAsia"/>
        </w:rPr>
        <w:t xml:space="preserve">as distorsiones al comercio </w:t>
      </w:r>
      <w:r w:rsidR="00095648" w:rsidRPr="00024C5B">
        <w:rPr>
          <w:rFonts w:eastAsiaTheme="minorEastAsia"/>
        </w:rPr>
        <w:t>(aranceles, subsidios, intervenciones, etc.)</w:t>
      </w:r>
      <w:r w:rsidR="00095648">
        <w:rPr>
          <w:rFonts w:eastAsiaTheme="minorEastAsia"/>
        </w:rPr>
        <w:t xml:space="preserve"> introducidas por el país en cuestión</w:t>
      </w:r>
      <w:r w:rsidR="00095648" w:rsidRPr="00024C5B">
        <w:rPr>
          <w:rFonts w:eastAsiaTheme="minorEastAsia"/>
        </w:rPr>
        <w:t xml:space="preserve"> y </w:t>
      </w:r>
      <m:oMath>
        <m:sSub>
          <m:sSubPr>
            <m:ctrlPr>
              <w:rPr>
                <w:rFonts w:ascii="Cambria Math" w:hAnsi="Cambria Math"/>
                <w:i/>
              </w:rPr>
            </m:ctrlPr>
          </m:sSubPr>
          <m:e>
            <m:r>
              <m:rPr>
                <m:nor/>
              </m:rPr>
              <w:rPr>
                <w:i/>
              </w:rPr>
              <m:t>χ</m:t>
            </m:r>
            <m:r>
              <m:rPr>
                <m:nor/>
              </m:rPr>
              <w:rPr>
                <w:i/>
                <w:iCs/>
              </w:rPr>
              <m:t>*</m:t>
            </m:r>
          </m:e>
          <m:sub>
            <m:r>
              <m:rPr>
                <m:nor/>
              </m:rPr>
              <w:rPr>
                <w:i/>
              </w:rPr>
              <m:t>t</m:t>
            </m:r>
          </m:sub>
        </m:sSub>
      </m:oMath>
      <w:r w:rsidR="00095648" w:rsidRPr="00024C5B">
        <w:rPr>
          <w:rFonts w:eastAsiaTheme="minorEastAsia"/>
        </w:rPr>
        <w:t xml:space="preserve"> </w:t>
      </w:r>
      <w:r w:rsidR="00095648">
        <w:rPr>
          <w:rFonts w:eastAsiaTheme="minorEastAsia"/>
        </w:rPr>
        <w:t>las introducidas por el resto del mundo;</w:t>
      </w:r>
    </w:p>
    <w:p w14:paraId="45CA7279" w14:textId="77777777" w:rsidR="00095648" w:rsidRPr="00A50D51" w:rsidRDefault="00000000" w:rsidP="00095648">
      <w:pPr>
        <w:pStyle w:val="Nivel2"/>
        <w:ind w:left="765"/>
      </w:pP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i</m:t>
            </m:r>
            <m:r>
              <m:rPr>
                <m:nor/>
              </m:rPr>
              <w:rPr>
                <w:i/>
                <w:iCs/>
              </w:rPr>
              <m:t>*</m:t>
            </m:r>
          </m:e>
          <m:sub>
            <m:r>
              <m:rPr>
                <m:nor/>
              </m:rPr>
              <w:rPr>
                <w:i/>
              </w:rPr>
              <m:t>t</m:t>
            </m:r>
          </m:sub>
        </m:sSub>
      </m:oMath>
      <w:r w:rsidR="00095648" w:rsidRPr="00A50D51">
        <w:rPr>
          <w:rFonts w:eastAsiaTheme="minorEastAsia"/>
        </w:rPr>
        <w:t xml:space="preserve"> es el difere</w:t>
      </w:r>
      <w:r w:rsidR="00095648">
        <w:rPr>
          <w:rFonts w:eastAsiaTheme="minorEastAsia"/>
        </w:rPr>
        <w:t>ncial de tipos de interés.</w:t>
      </w:r>
    </w:p>
    <w:p w14:paraId="45965AE4" w14:textId="77777777" w:rsidR="00C34429" w:rsidRDefault="00C34429" w:rsidP="00C34429">
      <w:pPr>
        <w:pStyle w:val="Ttulo7"/>
      </w:pPr>
      <w:r>
        <w:t>Implicaciones</w:t>
      </w:r>
    </w:p>
    <w:p w14:paraId="0627D151" w14:textId="77777777" w:rsidR="00095648" w:rsidRDefault="00095648" w:rsidP="00471325">
      <w:pPr>
        <w:pStyle w:val="Nivel1SM"/>
        <w:keepNext/>
        <w:spacing w:before="0" w:after="0"/>
      </w:pPr>
      <w:r>
        <w:t xml:space="preserve">Bajo un régimen de </w:t>
      </w:r>
      <w:r w:rsidRPr="00A50D51">
        <w:rPr>
          <w:b/>
          <w:bCs/>
        </w:rPr>
        <w:t>tipo de cambio flexible</w:t>
      </w:r>
      <w:r>
        <w:t xml:space="preserve">, el </w:t>
      </w:r>
      <w:r w:rsidRPr="00A50D51">
        <w:rPr>
          <w:i/>
          <w:iCs/>
        </w:rPr>
        <w:t>equilibrio de la balanza de pagos se mantiene mediante un ajuste continuo del tipo de cambio</w:t>
      </w:r>
      <w:r>
        <w:t>. Por lo tanto, si despejamos el tipo de cambio (</w:t>
      </w:r>
      <m:oMath>
        <m:r>
          <m:rPr>
            <m:nor/>
          </m:rPr>
          <w:rPr>
            <w:i/>
          </w:rPr>
          <m:t>E</m:t>
        </m:r>
      </m:oMath>
      <w:r>
        <w:t>) en esta ecuación y tomamos logaritmos neperianos para todas las variables excepto los tipos de interés (denotando los logaritmos en minúscula) obtenemos:</w:t>
      </w:r>
    </w:p>
    <w:p w14:paraId="4095C866" w14:textId="77777777" w:rsidR="00095648" w:rsidRPr="00757E46" w:rsidRDefault="00000000" w:rsidP="00241177">
      <w:pPr>
        <w:pStyle w:val="Nivel1"/>
        <w:keepNext/>
        <w:numPr>
          <w:ilvl w:val="0"/>
          <w:numId w:val="0"/>
        </w:numPr>
        <w:spacing w:before="0" w:after="0"/>
        <w:ind w:left="624"/>
        <w:rPr>
          <w:i/>
          <w:iCs/>
          <w:lang w:val="fr-FR"/>
        </w:rPr>
      </w:pPr>
      <m:oMathPara>
        <m:oMath>
          <m:borderBox>
            <m:borderBoxPr>
              <m:ctrlPr>
                <w:rPr>
                  <w:rFonts w:ascii="Cambria Math" w:hAnsi="Cambria Math"/>
                  <w:i/>
                  <w:iCs/>
                </w:rPr>
              </m:ctrlPr>
            </m:borderBoxPr>
            <m:e>
              <m:func>
                <m:funcPr>
                  <m:ctrlPr>
                    <w:rPr>
                      <w:rFonts w:ascii="Cambria Math" w:hAnsi="Cambria Math"/>
                      <w:i/>
                      <w:iCs/>
                    </w:rPr>
                  </m:ctrlPr>
                </m:funcPr>
                <m:fName>
                  <m:r>
                    <m:rPr>
                      <m:nor/>
                    </m:rPr>
                    <w:rPr>
                      <w:i/>
                      <w:iCs/>
                      <w:lang w:val="fr-FR"/>
                    </w:rPr>
                    <m:t>ln</m:t>
                  </m:r>
                </m:fName>
                <m:e>
                  <m:sSub>
                    <m:sSubPr>
                      <m:ctrlPr>
                        <w:rPr>
                          <w:rFonts w:ascii="Cambria Math" w:hAnsi="Cambria Math"/>
                          <w:i/>
                          <w:iCs/>
                        </w:rPr>
                      </m:ctrlPr>
                    </m:sSubPr>
                    <m:e>
                      <m:r>
                        <m:rPr>
                          <m:nor/>
                        </m:rPr>
                        <w:rPr>
                          <w:i/>
                          <w:iCs/>
                          <w:lang w:val="fr-FR"/>
                        </w:rPr>
                        <m:t>E</m:t>
                      </m:r>
                    </m:e>
                    <m:sub>
                      <m:r>
                        <m:rPr>
                          <m:nor/>
                        </m:rPr>
                        <w:rPr>
                          <w:i/>
                          <w:iCs/>
                          <w:lang w:val="fr-FR"/>
                        </w:rPr>
                        <m:t>t</m:t>
                      </m:r>
                    </m:sub>
                  </m:sSub>
                </m:e>
              </m:func>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P</m:t>
                                  </m:r>
                                </m:e>
                                <m:sub>
                                  <m:r>
                                    <m:rPr>
                                      <m:nor/>
                                    </m:rPr>
                                    <w:rPr>
                                      <w:i/>
                                      <w:iCs/>
                                      <w:lang w:val="fr-FR"/>
                                    </w:rPr>
                                    <m:t>t</m:t>
                                  </m:r>
                                </m:sub>
                              </m:sSub>
                            </m:num>
                            <m:den>
                              <m:sSub>
                                <m:sSubPr>
                                  <m:ctrlPr>
                                    <w:rPr>
                                      <w:rFonts w:ascii="Cambria Math" w:hAnsi="Cambria Math"/>
                                      <w:i/>
                                      <w:iCs/>
                                    </w:rPr>
                                  </m:ctrlPr>
                                </m:sSubPr>
                                <m:e>
                                  <m:r>
                                    <m:rPr>
                                      <m:nor/>
                                    </m:rPr>
                                    <w:rPr>
                                      <w:i/>
                                      <w:iCs/>
                                      <w:lang w:val="fr-FR"/>
                                    </w:rPr>
                                    <m:t>P*</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2</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Y</m:t>
                                  </m:r>
                                </m:e>
                                <m:sub>
                                  <m:r>
                                    <m:rPr>
                                      <m:nor/>
                                    </m:rPr>
                                    <w:rPr>
                                      <w:i/>
                                      <w:iCs/>
                                      <w:lang w:val="fr-FR"/>
                                    </w:rPr>
                                    <m:t>t</m:t>
                                  </m:r>
                                </m:sub>
                              </m:sSub>
                            </m:num>
                            <m:den>
                              <m:sSub>
                                <m:sSubPr>
                                  <m:ctrlPr>
                                    <w:rPr>
                                      <w:rFonts w:ascii="Cambria Math" w:hAnsi="Cambria Math"/>
                                      <w:i/>
                                      <w:iCs/>
                                    </w:rPr>
                                  </m:ctrlPr>
                                </m:sSubPr>
                                <m:e>
                                  <m:r>
                                    <m:rPr>
                                      <m:nor/>
                                    </m:rPr>
                                    <w:rPr>
                                      <w:i/>
                                      <w:iCs/>
                                      <w:lang w:val="fr-FR"/>
                                    </w:rPr>
                                    <m:t>Y*</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3</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d>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4</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χ</m:t>
                                  </m:r>
                                </m:e>
                                <m:sub>
                                  <m:r>
                                    <m:rPr>
                                      <m:nor/>
                                    </m:rPr>
                                    <w:rPr>
                                      <w:i/>
                                      <w:iCs/>
                                      <w:lang w:val="fr-FR"/>
                                    </w:rPr>
                                    <m:t>t</m:t>
                                  </m:r>
                                </m:sub>
                              </m:sSub>
                            </m:num>
                            <m:den>
                              <m:sSub>
                                <m:sSubPr>
                                  <m:ctrlPr>
                                    <w:rPr>
                                      <w:rFonts w:ascii="Cambria Math" w:hAnsi="Cambria Math"/>
                                      <w:i/>
                                      <w:iCs/>
                                    </w:rPr>
                                  </m:ctrlPr>
                                </m:sSubPr>
                                <m:e>
                                  <m:r>
                                    <m:rPr>
                                      <m:nor/>
                                    </m:rPr>
                                    <w:rPr>
                                      <w:i/>
                                      <w:iCs/>
                                    </w:rPr>
                                    <m:t>χ</m:t>
                                  </m:r>
                                  <m:r>
                                    <m:rPr>
                                      <m:nor/>
                                    </m:rPr>
                                    <w:rPr>
                                      <w:i/>
                                      <w:iCs/>
                                      <w:lang w:val="fr-FR"/>
                                    </w:rPr>
                                    <m:t>*</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sub>
              </m:sSub>
            </m:e>
          </m:borderBox>
        </m:oMath>
      </m:oMathPara>
    </w:p>
    <w:p w14:paraId="4D35BED4" w14:textId="77777777" w:rsidR="00095648" w:rsidRPr="00A50D51" w:rsidRDefault="00000000" w:rsidP="00095648">
      <w:pPr>
        <w:pStyle w:val="Nivel2SM"/>
      </w:pPr>
      <m:oMath>
        <m:sSub>
          <m:sSubPr>
            <m:ctrlPr>
              <w:rPr>
                <w:rFonts w:ascii="Cambria Math" w:hAnsi="Cambria Math"/>
                <w:i/>
              </w:rPr>
            </m:ctrlPr>
          </m:sSubPr>
          <m:e>
            <m:r>
              <m:rPr>
                <m:nor/>
              </m:rPr>
              <w:rPr>
                <w:i/>
                <w:iCs/>
              </w:rPr>
              <m:t>β</m:t>
            </m:r>
          </m:e>
          <m:sub>
            <m:r>
              <m:rPr>
                <m:nor/>
              </m:rPr>
              <w:rPr>
                <w:i/>
                <w:iCs/>
              </w:rPr>
              <m:t>1</m:t>
            </m:r>
          </m:sub>
        </m:sSub>
        <m:r>
          <w:rPr>
            <w:rFonts w:ascii="Cambria Math" w:hAnsi="Cambria Math"/>
          </w:rPr>
          <m:t>&gt;</m:t>
        </m:r>
        <m:r>
          <m:rPr>
            <m:nor/>
          </m:rPr>
          <w:rPr>
            <w:i/>
            <w:iCs/>
          </w:rPr>
          <m:t>0</m:t>
        </m:r>
      </m:oMath>
      <w:r w:rsidR="00095648" w:rsidRPr="00A50D51">
        <w:rPr>
          <w:iCs/>
        </w:rPr>
        <w:t xml:space="preserve"> porque un aumento e</w:t>
      </w:r>
      <w:r w:rsidR="00095648">
        <w:rPr>
          <w:iCs/>
        </w:rPr>
        <w:t xml:space="preserve">n </w:t>
      </w:r>
      <m:oMath>
        <m:sSub>
          <m:sSubPr>
            <m:ctrlPr>
              <w:rPr>
                <w:rFonts w:ascii="Cambria Math" w:hAnsi="Cambria Math"/>
                <w:i/>
              </w:rPr>
            </m:ctrlPr>
          </m:sSubPr>
          <m:e>
            <m:r>
              <m:rPr>
                <m:nor/>
              </m:rPr>
              <w:rPr>
                <w:i/>
              </w:rPr>
              <m:t>P</m:t>
            </m:r>
          </m:e>
          <m:sub>
            <m:r>
              <m:rPr>
                <m:nor/>
              </m:rPr>
              <w:rPr>
                <w:i/>
              </w:rPr>
              <m:t>t</m:t>
            </m:r>
          </m:sub>
        </m:sSub>
      </m:oMath>
      <w:r w:rsidR="00095648">
        <w:t xml:space="preserve"> reduce las exportaciones, deteriorando la cuenta corriente (el país pierde competitividad); esto depreciará la moneda doméstica (el tipo de cambio aumentará,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095648">
        <w:t>).</w:t>
      </w:r>
    </w:p>
    <w:p w14:paraId="21E6B9B0" w14:textId="77777777" w:rsidR="00095648" w:rsidRPr="00A50D51" w:rsidRDefault="00000000" w:rsidP="00095648">
      <w:pPr>
        <w:pStyle w:val="Nivel2SM"/>
      </w:pPr>
      <m:oMath>
        <m:sSub>
          <m:sSubPr>
            <m:ctrlPr>
              <w:rPr>
                <w:rFonts w:ascii="Cambria Math" w:hAnsi="Cambria Math"/>
                <w:i/>
              </w:rPr>
            </m:ctrlPr>
          </m:sSubPr>
          <m:e>
            <m:r>
              <m:rPr>
                <m:nor/>
              </m:rPr>
              <w:rPr>
                <w:i/>
                <w:iCs/>
              </w:rPr>
              <m:t>β</m:t>
            </m:r>
          </m:e>
          <m:sub>
            <m:r>
              <m:rPr>
                <m:nor/>
              </m:rPr>
              <w:rPr>
                <w:i/>
                <w:iCs/>
              </w:rPr>
              <m:t>2</m:t>
            </m:r>
          </m:sub>
        </m:sSub>
        <m:r>
          <w:rPr>
            <w:rFonts w:ascii="Cambria Math" w:hAnsi="Cambria Math"/>
          </w:rPr>
          <m:t>&gt;</m:t>
        </m:r>
        <m:r>
          <m:rPr>
            <m:nor/>
          </m:rPr>
          <w:rPr>
            <w:i/>
            <w:iCs/>
          </w:rPr>
          <m:t>0</m:t>
        </m:r>
      </m:oMath>
      <w:r w:rsidR="00095648" w:rsidRPr="00A50D51">
        <w:rPr>
          <w:iCs/>
        </w:rPr>
        <w:t xml:space="preserve"> porque un aumento e</w:t>
      </w:r>
      <w:r w:rsidR="00095648">
        <w:rPr>
          <w:iCs/>
        </w:rPr>
        <w:t xml:space="preserve">n </w:t>
      </w:r>
      <m:oMath>
        <m:sSub>
          <m:sSubPr>
            <m:ctrlPr>
              <w:rPr>
                <w:rFonts w:ascii="Cambria Math" w:hAnsi="Cambria Math"/>
                <w:i/>
              </w:rPr>
            </m:ctrlPr>
          </m:sSubPr>
          <m:e>
            <m:r>
              <m:rPr>
                <m:nor/>
              </m:rPr>
              <w:rPr>
                <w:i/>
              </w:rPr>
              <m:t>Y</m:t>
            </m:r>
          </m:e>
          <m:sub>
            <m:r>
              <m:rPr>
                <m:nor/>
              </m:rPr>
              <w:rPr>
                <w:i/>
              </w:rPr>
              <m:t>t</m:t>
            </m:r>
          </m:sub>
        </m:sSub>
      </m:oMath>
      <w:r w:rsidR="00095648">
        <w:t xml:space="preserve"> aumenta las importaciones, deteriorando la cuenta corriente; esto depreciará la moneda doméstica (el tipo de cambio aumentará,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095648">
        <w:t>).</w:t>
      </w:r>
    </w:p>
    <w:p w14:paraId="2B6E5348" w14:textId="77777777" w:rsidR="00095648" w:rsidRPr="00A50D51" w:rsidRDefault="00000000" w:rsidP="00095648">
      <w:pPr>
        <w:pStyle w:val="Nivel2SM"/>
      </w:pPr>
      <m:oMath>
        <m:sSub>
          <m:sSubPr>
            <m:ctrlPr>
              <w:rPr>
                <w:rFonts w:ascii="Cambria Math" w:hAnsi="Cambria Math"/>
                <w:i/>
              </w:rPr>
            </m:ctrlPr>
          </m:sSubPr>
          <m:e>
            <m:r>
              <m:rPr>
                <m:nor/>
              </m:rPr>
              <w:rPr>
                <w:i/>
                <w:iCs/>
              </w:rPr>
              <m:t>β</m:t>
            </m:r>
          </m:e>
          <m:sub>
            <m:r>
              <m:rPr>
                <m:nor/>
              </m:rPr>
              <w:rPr>
                <w:i/>
                <w:iCs/>
              </w:rPr>
              <m:t>3</m:t>
            </m:r>
          </m:sub>
        </m:sSub>
        <m:r>
          <w:rPr>
            <w:rFonts w:ascii="Cambria Math" w:hAnsi="Cambria Math"/>
          </w:rPr>
          <m:t>&lt;</m:t>
        </m:r>
        <m:r>
          <m:rPr>
            <m:nor/>
          </m:rPr>
          <w:rPr>
            <w:i/>
            <w:iCs/>
          </w:rPr>
          <m:t>0</m:t>
        </m:r>
      </m:oMath>
      <w:r w:rsidR="00095648" w:rsidRPr="00A50D51">
        <w:rPr>
          <w:iCs/>
        </w:rPr>
        <w:t xml:space="preserve"> porque un aumento e</w:t>
      </w:r>
      <w:r w:rsidR="00095648">
        <w:rPr>
          <w:iCs/>
        </w:rPr>
        <w:t xml:space="preserve">n el diferencial del tipo de interés </w:t>
      </w:r>
      <m:oMath>
        <m:d>
          <m:dPr>
            <m:ctrlPr>
              <w:rPr>
                <w:rFonts w:ascii="Cambria Math" w:hAnsi="Cambria Math"/>
                <w:i/>
              </w:rPr>
            </m:ctrlPr>
          </m:dPr>
          <m:e>
            <m:sSub>
              <m:sSubPr>
                <m:ctrlPr>
                  <w:rPr>
                    <w:rFonts w:ascii="Cambria Math" w:hAnsi="Cambria Math"/>
                    <w:i/>
                  </w:rPr>
                </m:ctrlPr>
              </m:sSubPr>
              <m:e>
                <m:r>
                  <m:rPr>
                    <m:nor/>
                  </m:rPr>
                  <w:rPr>
                    <w:i/>
                    <w:iCs/>
                  </w:rPr>
                  <m:t>i</m:t>
                </m:r>
              </m:e>
              <m:sub>
                <m:r>
                  <m:rPr>
                    <m:nor/>
                  </m:rPr>
                  <w:rPr>
                    <w:i/>
                  </w:rPr>
                  <m:t>t</m:t>
                </m:r>
              </m:sub>
            </m:sSub>
            <m:r>
              <w:rPr>
                <w:rFonts w:ascii="Cambria Math" w:hAnsi="Cambria Math"/>
              </w:rPr>
              <m:t>-</m:t>
            </m:r>
            <m:sSub>
              <m:sSubPr>
                <m:ctrlPr>
                  <w:rPr>
                    <w:rFonts w:ascii="Cambria Math" w:hAnsi="Cambria Math"/>
                    <w:i/>
                  </w:rPr>
                </m:ctrlPr>
              </m:sSubPr>
              <m:e>
                <m:r>
                  <m:rPr>
                    <m:nor/>
                  </m:rPr>
                  <w:rPr>
                    <w:i/>
                    <w:iCs/>
                  </w:rPr>
                  <m:t>i</m:t>
                </m:r>
                <m:r>
                  <m:rPr>
                    <m:nor/>
                  </m:rPr>
                  <w:rPr>
                    <w:i/>
                  </w:rPr>
                  <m:t>*</m:t>
                </m:r>
              </m:e>
              <m:sub>
                <m:r>
                  <m:rPr>
                    <m:nor/>
                  </m:rPr>
                  <w:rPr>
                    <w:i/>
                  </w:rPr>
                  <m:t>t</m:t>
                </m:r>
              </m:sub>
            </m:sSub>
          </m:e>
        </m:d>
      </m:oMath>
      <w:r w:rsidR="00095648">
        <w:t xml:space="preserve"> causa entradas de capital en el país que aumentarán la demanda de moneda doméstica causando su apreciación (el tipo de cambio disminuirá,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095648">
        <w:t>).</w:t>
      </w:r>
    </w:p>
    <w:p w14:paraId="427DA96D" w14:textId="77777777" w:rsidR="00095648" w:rsidRPr="00646DBE" w:rsidRDefault="00000000" w:rsidP="00095648">
      <w:pPr>
        <w:pStyle w:val="Nivel2SM"/>
        <w:keepNext/>
        <w:spacing w:after="0"/>
      </w:pPr>
      <m:oMath>
        <m:sSub>
          <m:sSubPr>
            <m:ctrlPr>
              <w:rPr>
                <w:rFonts w:ascii="Cambria Math" w:hAnsi="Cambria Math"/>
                <w:i/>
              </w:rPr>
            </m:ctrlPr>
          </m:sSubPr>
          <m:e>
            <m:r>
              <m:rPr>
                <m:nor/>
              </m:rPr>
              <w:rPr>
                <w:i/>
                <w:iCs/>
              </w:rPr>
              <m:t>β</m:t>
            </m:r>
          </m:e>
          <m:sub>
            <m:r>
              <m:rPr>
                <m:nor/>
              </m:rPr>
              <w:rPr>
                <w:i/>
                <w:iCs/>
              </w:rPr>
              <m:t>4</m:t>
            </m:r>
          </m:sub>
        </m:sSub>
        <m:r>
          <w:rPr>
            <w:rFonts w:ascii="Cambria Math" w:hAnsi="Cambria Math"/>
          </w:rPr>
          <m:t>&lt;</m:t>
        </m:r>
        <m:r>
          <m:rPr>
            <m:nor/>
          </m:rPr>
          <w:rPr>
            <w:i/>
            <w:iCs/>
          </w:rPr>
          <m:t>0</m:t>
        </m:r>
      </m:oMath>
      <w:r w:rsidR="00095648" w:rsidRPr="00A50D51">
        <w:rPr>
          <w:iCs/>
        </w:rPr>
        <w:t xml:space="preserve"> porque </w:t>
      </w:r>
      <w:r w:rsidR="00095648">
        <w:rPr>
          <w:iCs/>
        </w:rPr>
        <w:t xml:space="preserve">cualquier política comercial doméstica dirigida a mejorar la cuenta corriente generará un aumento de las exportaciones netas, causando un aumento de la demanda de la moneda nacional </w:t>
      </w:r>
      <w:r w:rsidR="00095648">
        <w:t xml:space="preserve">y su apreciación (el tipo de cambio disminuirá,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095648">
        <w:t>).</w:t>
      </w:r>
    </w:p>
    <w:p w14:paraId="69D9A43F" w14:textId="23E6BE8C" w:rsidR="00095648" w:rsidRDefault="00095648" w:rsidP="00095648">
      <w:pPr>
        <w:pStyle w:val="Nivel3SM"/>
      </w:pPr>
      <w:r>
        <w:t>Además, est</w:t>
      </w:r>
      <w:r w:rsidR="00C47216">
        <w:t>a</w:t>
      </w:r>
      <w:r>
        <w:t xml:space="preserve"> ecuación </w:t>
      </w:r>
      <w:r w:rsidRPr="00646DBE">
        <w:rPr>
          <w:i/>
          <w:iCs/>
        </w:rPr>
        <w:t>se podría extender para usar otros pares de variables</w:t>
      </w:r>
      <w:r>
        <w:t xml:space="preserve"> como por ejemplo el diferencial de deuda nacional </w:t>
      </w:r>
      <m:oMath>
        <m:d>
          <m:dPr>
            <m:ctrlPr>
              <w:rPr>
                <w:rFonts w:ascii="Cambria Math" w:hAnsi="Cambria Math"/>
                <w:i/>
              </w:rPr>
            </m:ctrlPr>
          </m:dPr>
          <m:e>
            <m:sSub>
              <m:sSubPr>
                <m:ctrlPr>
                  <w:rPr>
                    <w:rFonts w:ascii="Cambria Math" w:hAnsi="Cambria Math"/>
                    <w:i/>
                  </w:rPr>
                </m:ctrlPr>
              </m:sSubPr>
              <m:e>
                <m:r>
                  <m:rPr>
                    <m:nor/>
                  </m:rPr>
                  <w:rPr>
                    <w:i/>
                  </w:rPr>
                  <m:t>D</m:t>
                </m:r>
              </m:e>
              <m:sub>
                <m:r>
                  <m:rPr>
                    <m:nor/>
                  </m:rPr>
                  <w:rPr>
                    <w:i/>
                  </w:rPr>
                  <m:t>t</m:t>
                </m:r>
              </m:sub>
            </m:sSub>
            <m:r>
              <w:rPr>
                <w:rFonts w:ascii="Cambria Math" w:hAnsi="Cambria Math"/>
              </w:rPr>
              <m:t>-</m:t>
            </m:r>
            <m:sSub>
              <m:sSubPr>
                <m:ctrlPr>
                  <w:rPr>
                    <w:rFonts w:ascii="Cambria Math" w:hAnsi="Cambria Math"/>
                    <w:i/>
                  </w:rPr>
                </m:ctrlPr>
              </m:sSubPr>
              <m:e>
                <m:r>
                  <m:rPr>
                    <m:nor/>
                  </m:rPr>
                  <w:rPr>
                    <w:i/>
                  </w:rPr>
                  <m:t>D*</m:t>
                </m:r>
              </m:e>
              <m:sub>
                <m:r>
                  <m:rPr>
                    <m:nor/>
                  </m:rPr>
                  <w:rPr>
                    <w:i/>
                  </w:rPr>
                  <m:t>t</m:t>
                </m:r>
              </m:sub>
            </m:sSub>
          </m:e>
        </m:d>
      </m:oMath>
      <w:r>
        <w:t xml:space="preserve">, diferencial de inversión </w:t>
      </w:r>
      <m:oMath>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e>
        </m:d>
      </m:oMath>
      <w:r>
        <w:t xml:space="preserve">, diferencial de ahorro </w:t>
      </w:r>
      <m:oMath>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r>
              <w:rPr>
                <w:rFonts w:ascii="Cambria Math" w:hAnsi="Cambria Math"/>
              </w:rPr>
              <m:t>-</m:t>
            </m:r>
            <m:sSub>
              <m:sSubPr>
                <m:ctrlPr>
                  <w:rPr>
                    <w:rFonts w:ascii="Cambria Math" w:hAnsi="Cambria Math"/>
                    <w:i/>
                  </w:rPr>
                </m:ctrlPr>
              </m:sSubPr>
              <m:e>
                <m:r>
                  <m:rPr>
                    <m:nor/>
                  </m:rPr>
                  <w:rPr>
                    <w:i/>
                  </w:rPr>
                  <m:t>S*</m:t>
                </m:r>
              </m:e>
              <m:sub>
                <m:r>
                  <m:rPr>
                    <m:nor/>
                  </m:rPr>
                  <w:rPr>
                    <w:i/>
                  </w:rPr>
                  <m:t>t</m:t>
                </m:r>
              </m:sub>
            </m:sSub>
          </m:e>
        </m:d>
      </m:oMath>
      <w:r>
        <w:t xml:space="preserve"> o diferencial de salarios reales </w:t>
      </w:r>
      <m:oMath>
        <m:d>
          <m:dPr>
            <m:ctrlPr>
              <w:rPr>
                <w:rFonts w:ascii="Cambria Math" w:hAnsi="Cambria Math"/>
                <w:i/>
              </w:rPr>
            </m:ctrlPr>
          </m:dPr>
          <m:e>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w*</m:t>
                </m:r>
              </m:e>
              <m:sub>
                <m:r>
                  <m:rPr>
                    <m:nor/>
                  </m:rPr>
                  <w:rPr>
                    <w:i/>
                  </w:rPr>
                  <m:t>t</m:t>
                </m:r>
              </m:sub>
            </m:sSub>
          </m:e>
        </m:d>
      </m:oMath>
      <w:r>
        <w:t>.</w:t>
      </w:r>
    </w:p>
    <w:p w14:paraId="54975A60" w14:textId="77777777" w:rsidR="00C34429" w:rsidRDefault="00C34429" w:rsidP="00C34429">
      <w:pPr>
        <w:pStyle w:val="Ttulo6"/>
      </w:pPr>
      <w:bookmarkStart w:id="13" w:name="_Toc136424357"/>
      <w:r>
        <w:t>Valoración</w:t>
      </w:r>
      <w:bookmarkEnd w:id="13"/>
    </w:p>
    <w:p w14:paraId="1533A901" w14:textId="77777777" w:rsidR="00095648" w:rsidRDefault="00095648" w:rsidP="00471325">
      <w:pPr>
        <w:pStyle w:val="Nivel1SM"/>
        <w:keepNext/>
        <w:spacing w:before="0" w:after="0"/>
      </w:pPr>
      <w:r>
        <w:t>Este enfoque puede ser criticado por varios defectos, ente los cuales está el hecho de que hace caso omiso de los ajustes de stocks.</w:t>
      </w:r>
    </w:p>
    <w:p w14:paraId="79E75577" w14:textId="77777777" w:rsidR="00095648" w:rsidRPr="00120DD1" w:rsidRDefault="00095648" w:rsidP="00095648">
      <w:pPr>
        <w:pStyle w:val="Nivel2SM"/>
        <w:rPr>
          <w:spacing w:val="-3"/>
        </w:rPr>
      </w:pPr>
      <w:r w:rsidRPr="00D66239">
        <w:rPr>
          <w:spacing w:val="-3"/>
        </w:rPr>
        <w:t>En cualquier caso, debemos matizar que, si bien esta crítica nos debe hacer considerar este modelo inapropiado para estudiar los determinantes de la demanda y la oferta de divisas, no afecta al hecho de que es la interacción entre la oferta y la demanda lo que determina el tipo de cambio.</w:t>
      </w:r>
    </w:p>
    <w:p w14:paraId="323CB5A9" w14:textId="77777777" w:rsidR="00A12206" w:rsidRDefault="00A12206" w:rsidP="00A12206">
      <w:pPr>
        <w:pStyle w:val="Ttulo2"/>
      </w:pPr>
      <w:bookmarkStart w:id="14" w:name="_Toc136424358"/>
      <w:r>
        <w:lastRenderedPageBreak/>
        <w:t>Paridad de Poder Adquisitivo (PPA). Flujos de bienes.</w:t>
      </w:r>
      <w:bookmarkEnd w:id="14"/>
    </w:p>
    <w:p w14:paraId="5E11E338" w14:textId="77777777" w:rsidR="00A12206" w:rsidRDefault="00A12206" w:rsidP="00384A7C">
      <w:pPr>
        <w:pStyle w:val="Ttulo6"/>
        <w:spacing w:before="0"/>
      </w:pPr>
      <w:bookmarkStart w:id="15" w:name="_Toc136424359"/>
      <w:r>
        <w:t>Idea</w:t>
      </w:r>
      <w:bookmarkEnd w:id="15"/>
    </w:p>
    <w:p w14:paraId="5A114BE2" w14:textId="77777777" w:rsidR="002A5E1A" w:rsidRDefault="00A12206" w:rsidP="00471325">
      <w:pPr>
        <w:pStyle w:val="Nivel1SM"/>
        <w:keepNext/>
        <w:spacing w:before="0" w:after="0"/>
      </w:pPr>
      <w:r>
        <w:t xml:space="preserve">Posiblemente, la teoría más antigua de determinación de tipo de cambio es la </w:t>
      </w:r>
      <w:r w:rsidRPr="00384A7C">
        <w:rPr>
          <w:i/>
          <w:iCs/>
        </w:rPr>
        <w:t>teoría de la Paridad de Poder Adquisitivo</w:t>
      </w:r>
      <w:r>
        <w:t xml:space="preserve"> (PPA).</w:t>
      </w:r>
    </w:p>
    <w:p w14:paraId="6F46B87A" w14:textId="1DDD5017" w:rsidR="00A12206" w:rsidRPr="00FF7B59" w:rsidRDefault="00A12206" w:rsidP="002A5E1A">
      <w:pPr>
        <w:pStyle w:val="Nivel2SM"/>
      </w:pPr>
      <w:r>
        <w:t xml:space="preserve">El origen remoto de esta teoría se encuentra en la </w:t>
      </w:r>
      <w:r w:rsidRPr="00A12206">
        <w:rPr>
          <w:b/>
          <w:bCs/>
        </w:rPr>
        <w:t>Escuela de Salamanca</w:t>
      </w:r>
      <w:bookmarkStart w:id="16" w:name="_Hlk110850139"/>
      <w:r w:rsidR="00A22479" w:rsidRPr="002808DF">
        <w:rPr>
          <w:rStyle w:val="Refdenotaalpie"/>
          <w:spacing w:val="-2"/>
        </w:rPr>
        <w:footnoteReference w:id="6"/>
      </w:r>
      <w:bookmarkEnd w:id="16"/>
      <w:r>
        <w:t xml:space="preserve">, sin embargo, ha sido comúnmente atribuida a </w:t>
      </w:r>
      <w:r w:rsidRPr="00A02C0A">
        <w:rPr>
          <w:smallCaps/>
        </w:rPr>
        <w:t>Gustav</w:t>
      </w:r>
      <w:r>
        <w:t xml:space="preserve"> </w:t>
      </w:r>
      <w:proofErr w:type="spellStart"/>
      <w:r>
        <w:rPr>
          <w:smallCaps/>
        </w:rPr>
        <w:t>Cassel</w:t>
      </w:r>
      <w:proofErr w:type="spellEnd"/>
      <w:r>
        <w:t xml:space="preserve"> (1918), quien señaló que una </w:t>
      </w:r>
      <w:r w:rsidRPr="00FF7B59">
        <w:rPr>
          <w:b/>
          <w:bCs/>
        </w:rPr>
        <w:t>misma</w:t>
      </w:r>
      <w:r>
        <w:t xml:space="preserve"> </w:t>
      </w:r>
      <w:r>
        <w:rPr>
          <w:b/>
          <w:bCs/>
        </w:rPr>
        <w:t>cesta</w:t>
      </w:r>
      <w:r>
        <w:t xml:space="preserve"> de bienes </w:t>
      </w:r>
      <w:r w:rsidRPr="00FF7B59">
        <w:rPr>
          <w:b/>
          <w:bCs/>
        </w:rPr>
        <w:t>debería costar lo mismo</w:t>
      </w:r>
      <w:r>
        <w:t xml:space="preserve"> en todos los países</w:t>
      </w:r>
      <w:r w:rsidR="00384A7C">
        <w:t>, y</w:t>
      </w:r>
      <w:r>
        <w:t xml:space="preserve"> </w:t>
      </w:r>
      <w:r w:rsidR="00384A7C">
        <w:t>p</w:t>
      </w:r>
      <w:r>
        <w:t>or tanto, el tipo de cambio nominal debería depender de los niveles de precios en los diferentes países. Es decir, el tipo de cambio nominal se ajusta para igualas el poder de compra de las diferentes monedas.</w:t>
      </w:r>
    </w:p>
    <w:p w14:paraId="0720180F" w14:textId="77777777" w:rsidR="00A12206" w:rsidRDefault="00A12206" w:rsidP="00384A7C">
      <w:pPr>
        <w:pStyle w:val="Ttulo6"/>
        <w:spacing w:after="0"/>
      </w:pPr>
      <w:bookmarkStart w:id="17" w:name="_Toc136424360"/>
      <w:r>
        <w:t>Modelo</w:t>
      </w:r>
      <w:bookmarkEnd w:id="17"/>
    </w:p>
    <w:p w14:paraId="7547B51D" w14:textId="560A9D47" w:rsidR="00A12206" w:rsidRDefault="00A12206" w:rsidP="00471325">
      <w:pPr>
        <w:pStyle w:val="Ttulo7"/>
        <w:spacing w:before="0"/>
      </w:pPr>
      <w:r>
        <w:t>Supuestos</w:t>
      </w:r>
    </w:p>
    <w:p w14:paraId="70408C53" w14:textId="0E8D626F" w:rsidR="00F60552" w:rsidRPr="00F60552" w:rsidRDefault="00F60552" w:rsidP="00471325">
      <w:pPr>
        <w:pStyle w:val="Nivel1SM"/>
        <w:spacing w:before="0" w:after="0"/>
      </w:pPr>
      <w:r>
        <w:t>La teoría de la Paridad de Poder Adquisitivo parte de los siguientes supuestos:</w:t>
      </w:r>
    </w:p>
    <w:p w14:paraId="0C0F5022" w14:textId="3623E657" w:rsidR="00F92A40" w:rsidRPr="007F02D6" w:rsidRDefault="00F92A40">
      <w:pPr>
        <w:pStyle w:val="Nmero"/>
        <w:numPr>
          <w:ilvl w:val="0"/>
          <w:numId w:val="7"/>
        </w:numPr>
        <w:spacing w:after="0"/>
        <w:ind w:left="567" w:hanging="283"/>
      </w:pPr>
      <w:r w:rsidRPr="007F02D6">
        <w:t>Libre movilidad de bienes</w:t>
      </w:r>
      <w:r>
        <w:t xml:space="preserve"> (i.e. no hay barreras al comercio)</w:t>
      </w:r>
      <w:r w:rsidRPr="007F02D6">
        <w:t>;</w:t>
      </w:r>
    </w:p>
    <w:p w14:paraId="5C04158C" w14:textId="27EB372F" w:rsidR="00A12206" w:rsidRDefault="00A12206" w:rsidP="008956FA">
      <w:pPr>
        <w:pStyle w:val="Nmero"/>
        <w:numPr>
          <w:ilvl w:val="0"/>
          <w:numId w:val="7"/>
        </w:numPr>
        <w:spacing w:after="0"/>
        <w:ind w:left="567" w:hanging="283"/>
      </w:pPr>
      <w:r>
        <w:t>Mercados perfectamente competitivos (i.e. las empresas no tienen poder de mercado y, por lo tanto, no pueden recurrir a estrategias como la discriminación de precios)</w:t>
      </w:r>
      <w:r w:rsidR="008956FA">
        <w:t>; y</w:t>
      </w:r>
    </w:p>
    <w:p w14:paraId="59C99B57" w14:textId="2EB2BB53" w:rsidR="008956FA" w:rsidRDefault="008956FA" w:rsidP="008956FA">
      <w:pPr>
        <w:pStyle w:val="Nmero"/>
        <w:numPr>
          <w:ilvl w:val="0"/>
          <w:numId w:val="7"/>
        </w:numPr>
        <w:spacing w:after="0"/>
        <w:ind w:left="567" w:hanging="283"/>
      </w:pPr>
      <w:r>
        <w:t>Un único bien homogéneo y comercializable.</w:t>
      </w:r>
    </w:p>
    <w:p w14:paraId="23BB7327" w14:textId="77777777" w:rsidR="00A12206" w:rsidRDefault="00A12206" w:rsidP="00A12206">
      <w:pPr>
        <w:pStyle w:val="Ttulo7"/>
      </w:pPr>
      <w:r>
        <w:t>Desarrollo</w:t>
      </w:r>
    </w:p>
    <w:p w14:paraId="693D6A18" w14:textId="365CE00B" w:rsidR="00A12206" w:rsidRDefault="00A12206" w:rsidP="00471325">
      <w:pPr>
        <w:pStyle w:val="Nivel1SM"/>
        <w:spacing w:before="0"/>
      </w:pPr>
      <w:r>
        <w:t xml:space="preserve">Existen </w:t>
      </w:r>
      <w:r w:rsidR="00471325">
        <w:t>2 </w:t>
      </w:r>
      <w:r>
        <w:t xml:space="preserve">versiones de la PPA: la versión </w:t>
      </w:r>
      <w:r>
        <w:rPr>
          <w:i/>
          <w:iCs/>
        </w:rPr>
        <w:t>absoluta</w:t>
      </w:r>
      <w:r>
        <w:t xml:space="preserve"> y la versión </w:t>
      </w:r>
      <w:r>
        <w:rPr>
          <w:i/>
          <w:iCs/>
        </w:rPr>
        <w:t>relativa</w:t>
      </w:r>
      <w:r>
        <w:t>.</w:t>
      </w:r>
    </w:p>
    <w:p w14:paraId="741C0D22" w14:textId="520728E0" w:rsidR="00A12206" w:rsidRDefault="00A12206" w:rsidP="00384A7C">
      <w:pPr>
        <w:pStyle w:val="Ttulo8"/>
        <w:spacing w:before="0"/>
      </w:pPr>
      <w:r>
        <w:t>Versión absoluta de la PPA</w:t>
      </w:r>
    </w:p>
    <w:p w14:paraId="77B80BCA" w14:textId="7A776DA3" w:rsidR="00A12206" w:rsidRPr="00844EE4" w:rsidRDefault="00A12206" w:rsidP="00471325">
      <w:pPr>
        <w:pStyle w:val="Nivel1SM"/>
        <w:keepNext/>
        <w:spacing w:before="0" w:after="0"/>
        <w:rPr>
          <w:spacing w:val="-3"/>
        </w:rPr>
      </w:pPr>
      <w:r w:rsidRPr="00844EE4">
        <w:rPr>
          <w:spacing w:val="-3"/>
        </w:rPr>
        <w:t xml:space="preserve">Dados los anteriores supuestos, </w:t>
      </w:r>
      <w:r w:rsidRPr="00844EE4">
        <w:rPr>
          <w:b/>
          <w:bCs/>
          <w:spacing w:val="-3"/>
        </w:rPr>
        <w:t>no habría oportunidades de arbitraje</w:t>
      </w:r>
      <w:r w:rsidRPr="00844EE4">
        <w:rPr>
          <w:spacing w:val="-3"/>
        </w:rPr>
        <w:t xml:space="preserve">, por lo que se impone la </w:t>
      </w:r>
      <w:r w:rsidRPr="00844EE4">
        <w:rPr>
          <w:b/>
          <w:bCs/>
          <w:spacing w:val="-3"/>
        </w:rPr>
        <w:t>“ley del precio único”</w:t>
      </w:r>
      <w:r w:rsidR="00384A7C">
        <w:rPr>
          <w:spacing w:val="-3"/>
        </w:rPr>
        <w:t>.</w:t>
      </w:r>
      <w:r w:rsidRPr="00844EE4">
        <w:rPr>
          <w:spacing w:val="-3"/>
        </w:rPr>
        <w:t xml:space="preserve"> </w:t>
      </w:r>
      <w:r w:rsidR="00384A7C">
        <w:rPr>
          <w:spacing w:val="-3"/>
        </w:rPr>
        <w:t>L</w:t>
      </w:r>
      <w:r w:rsidRPr="00844EE4">
        <w:rPr>
          <w:spacing w:val="-3"/>
        </w:rPr>
        <w:t>os niveles de precios ajustados por el tipo de cambio serán iguales en todos los países:</w:t>
      </w:r>
    </w:p>
    <w:p w14:paraId="7F1331A7" w14:textId="636340C5" w:rsidR="00A12206" w:rsidRPr="00A12206" w:rsidRDefault="00675EA9" w:rsidP="00A91828">
      <w:pPr>
        <w:spacing w:after="0"/>
        <w:rPr>
          <w:rFonts w:eastAsiaTheme="minorEastAsia"/>
          <w:i/>
          <w:iCs/>
        </w:rPr>
      </w:pPr>
      <m:oMathPara>
        <m:oMath>
          <m:r>
            <m:rPr>
              <m:nor/>
            </m:rPr>
            <w:rPr>
              <w:i/>
              <w:iCs/>
            </w:rPr>
            <m:t>P</m:t>
          </m:r>
          <m:r>
            <w:rPr>
              <w:rFonts w:ascii="Cambria Math" w:hAnsi="Cambria Math"/>
            </w:rPr>
            <m:t>=</m:t>
          </m:r>
          <m:r>
            <m:rPr>
              <m:nor/>
            </m:rPr>
            <w:rPr>
              <w:i/>
              <w:iCs/>
            </w:rPr>
            <m:t>E</m:t>
          </m:r>
          <m:r>
            <w:rPr>
              <w:rFonts w:ascii="Cambria Math" w:hAnsi="Cambria Math"/>
            </w:rPr>
            <m:t>∙</m:t>
          </m:r>
          <m:r>
            <m:rPr>
              <m:nor/>
            </m:rPr>
            <w:rPr>
              <w:i/>
              <w:iCs/>
            </w:rPr>
            <m:t>P*</m:t>
          </m:r>
          <m:r>
            <w:rPr>
              <w:rFonts w:ascii="Cambria Math" w:hAnsi="Cambria Math" w:cs="Cambria Math"/>
            </w:rPr>
            <m:t>⇒</m:t>
          </m:r>
          <m:borderBox>
            <m:borderBoxPr>
              <m:ctrlPr>
                <w:rPr>
                  <w:rFonts w:ascii="Cambria Math" w:hAnsi="Cambria Math"/>
                  <w:i/>
                  <w:iCs/>
                  <w:color w:val="5F2987"/>
                </w:rPr>
              </m:ctrlPr>
            </m:borderBoxPr>
            <m:e>
              <m:r>
                <m:rPr>
                  <m:nor/>
                </m:rPr>
                <w:rPr>
                  <w:i/>
                  <w:iCs/>
                  <w:color w:val="5F2987"/>
                </w:rPr>
                <m:t>E</m:t>
              </m:r>
              <m:r>
                <w:rPr>
                  <w:rFonts w:ascii="Cambria Math" w:hAnsi="Cambria Math"/>
                  <w:color w:val="5F2987"/>
                </w:rPr>
                <m:t>=</m:t>
              </m:r>
              <m:f>
                <m:fPr>
                  <m:ctrlPr>
                    <w:rPr>
                      <w:rFonts w:ascii="Cambria Math" w:hAnsi="Cambria Math"/>
                      <w:i/>
                      <w:iCs/>
                      <w:color w:val="5F2987"/>
                    </w:rPr>
                  </m:ctrlPr>
                </m:fPr>
                <m:num>
                  <m:r>
                    <m:rPr>
                      <m:nor/>
                    </m:rPr>
                    <w:rPr>
                      <w:i/>
                      <w:iCs/>
                      <w:color w:val="5F2987"/>
                    </w:rPr>
                    <m:t>P</m:t>
                  </m:r>
                </m:num>
                <m:den>
                  <m:r>
                    <m:rPr>
                      <m:nor/>
                    </m:rPr>
                    <w:rPr>
                      <w:i/>
                      <w:iCs/>
                      <w:color w:val="5F2987"/>
                    </w:rPr>
                    <m:t>P*</m:t>
                  </m:r>
                </m:den>
              </m:f>
            </m:e>
          </m:borderBox>
          <m:r>
            <w:rPr>
              <w:rFonts w:ascii="Cambria Math" w:hAnsi="Cambria Math" w:cs="Cambria Math"/>
            </w:rPr>
            <m:t>⇒</m:t>
          </m:r>
          <m:r>
            <m:rPr>
              <m:nor/>
            </m:rPr>
            <w:rPr>
              <w:i/>
              <w:iCs/>
            </w:rPr>
            <m:t>ϰ</m:t>
          </m:r>
          <m:r>
            <w:rPr>
              <w:rFonts w:ascii="Cambria Math" w:hAnsi="Cambria Math"/>
            </w:rPr>
            <m:t>=</m:t>
          </m:r>
          <m:f>
            <m:fPr>
              <m:ctrlPr>
                <w:rPr>
                  <w:rFonts w:ascii="Cambria Math" w:hAnsi="Cambria Math"/>
                  <w:i/>
                  <w:iCs/>
                </w:rPr>
              </m:ctrlPr>
            </m:fPr>
            <m:num>
              <m:r>
                <m:rPr>
                  <m:nor/>
                </m:rPr>
                <w:rPr>
                  <w:i/>
                  <w:iCs/>
                </w:rPr>
                <m:t>E</m:t>
              </m:r>
              <m:r>
                <w:rPr>
                  <w:rFonts w:ascii="Cambria Math" w:hAnsi="Cambria Math"/>
                </w:rPr>
                <m:t>∙</m:t>
              </m:r>
              <m:r>
                <m:rPr>
                  <m:nor/>
                </m:rPr>
                <w:rPr>
                  <w:i/>
                  <w:iCs/>
                </w:rPr>
                <m:t>P*</m:t>
              </m:r>
            </m:num>
            <m:den>
              <m:r>
                <m:rPr>
                  <m:nor/>
                </m:rPr>
                <w:rPr>
                  <w:i/>
                  <w:iCs/>
                </w:rPr>
                <m:t>P</m:t>
              </m:r>
            </m:den>
          </m:f>
          <m:r>
            <w:rPr>
              <w:rFonts w:ascii="Cambria Math" w:hAnsi="Cambria Math"/>
            </w:rPr>
            <m:t>=</m:t>
          </m:r>
          <m:r>
            <m:rPr>
              <m:nor/>
            </m:rPr>
            <w:rPr>
              <w:i/>
              <w:iCs/>
            </w:rPr>
            <m:t>1</m:t>
          </m:r>
        </m:oMath>
      </m:oMathPara>
    </w:p>
    <w:p w14:paraId="5A0C9932" w14:textId="68380625" w:rsidR="00A12206" w:rsidRDefault="00A12206" w:rsidP="002F56F9">
      <w:pPr>
        <w:pStyle w:val="Nivel2SM"/>
      </w:pPr>
      <w:r>
        <w:t xml:space="preserve">Esto se puede </w:t>
      </w:r>
      <w:r>
        <w:rPr>
          <w:i/>
          <w:iCs/>
        </w:rPr>
        <w:t>interpretar</w:t>
      </w:r>
      <w:r>
        <w:t xml:space="preserve"> de forma que cuanto mayor sea el nivel de precios relativo de un país, más depreciada deberá estar su moneda para mantener la igualdad del poder adquisitivo.</w:t>
      </w:r>
    </w:p>
    <w:p w14:paraId="4850A497" w14:textId="78F08793" w:rsidR="00C720EB" w:rsidRDefault="00C720EB" w:rsidP="002F56F9">
      <w:pPr>
        <w:pStyle w:val="Nivel2SM"/>
      </w:pPr>
      <w:r>
        <w:t>Además, la versión absoluta de la PPA implica que el tipo de cambio real es constante e igual a uno.</w:t>
      </w:r>
    </w:p>
    <w:p w14:paraId="603892F3" w14:textId="2A75C505" w:rsidR="00A12206" w:rsidRDefault="00A12206" w:rsidP="002F56F9">
      <w:pPr>
        <w:pStyle w:val="Nivel1SM"/>
        <w:keepNext/>
        <w:spacing w:after="0"/>
      </w:pPr>
      <w:r>
        <w:t xml:space="preserve">La versión absoluta, sin embargo, es demasiado </w:t>
      </w:r>
      <w:r>
        <w:rPr>
          <w:b/>
          <w:bCs/>
        </w:rPr>
        <w:t>restrictiva</w:t>
      </w:r>
      <w:r>
        <w:t>, ya que en la práctica los supuestos antes mencionados no se dan (existen barreras al comercio, los bienes no son homogéneos…).</w:t>
      </w:r>
    </w:p>
    <w:p w14:paraId="03141CDF" w14:textId="3DD7239F" w:rsidR="002F56F9" w:rsidRPr="00A12206" w:rsidRDefault="002F56F9" w:rsidP="002F56F9">
      <w:pPr>
        <w:pStyle w:val="Nivel2SM"/>
      </w:pPr>
      <w:r>
        <w:t>De hecho, la evidencia empírica no respalda el cumplimiento de la PPA en su versión absoluta.</w:t>
      </w:r>
    </w:p>
    <w:p w14:paraId="7330B933" w14:textId="28B216F4" w:rsidR="00A12206" w:rsidRDefault="00A12206" w:rsidP="00A12206">
      <w:pPr>
        <w:pStyle w:val="Ttulo8"/>
      </w:pPr>
      <w:r>
        <w:t>Versión relativa de la PPA</w:t>
      </w:r>
    </w:p>
    <w:p w14:paraId="532751C7" w14:textId="700274E9" w:rsidR="00A12206" w:rsidRDefault="00A12206" w:rsidP="00471325">
      <w:pPr>
        <w:pStyle w:val="Nivel1SM"/>
        <w:spacing w:before="0"/>
      </w:pPr>
      <w:r>
        <w:t xml:space="preserve">Para solucionar los problemas de la versión absoluta de la PPA se plantea una </w:t>
      </w:r>
      <w:r w:rsidRPr="00A12206">
        <w:rPr>
          <w:b/>
          <w:bCs/>
        </w:rPr>
        <w:t>versión relativa</w:t>
      </w:r>
      <w:r>
        <w:t>.</w:t>
      </w:r>
    </w:p>
    <w:p w14:paraId="067CECFA" w14:textId="7ABB21FB" w:rsidR="00A12206" w:rsidRDefault="00A12206" w:rsidP="002F56F9">
      <w:pPr>
        <w:pStyle w:val="Nivel1SM"/>
        <w:keepNext/>
        <w:spacing w:after="0"/>
      </w:pPr>
      <w:r>
        <w:t xml:space="preserve">En la medida en que las limitaciones mencionadas permanezcan </w:t>
      </w:r>
      <w:r>
        <w:rPr>
          <w:i/>
          <w:iCs/>
        </w:rPr>
        <w:t>constantes</w:t>
      </w:r>
      <w:r>
        <w:t xml:space="preserve"> a lo largo del tiempo, los diferenciales de inflación determinarán las variaciones del tipo de cambio:</w:t>
      </w:r>
    </w:p>
    <w:p w14:paraId="181468AE" w14:textId="0DD2BA0C" w:rsidR="00A12206" w:rsidRPr="00325B00" w:rsidRDefault="00C720EB" w:rsidP="006247CC">
      <w:pPr>
        <w:spacing w:after="0"/>
        <w:jc w:val="center"/>
        <w:rPr>
          <w:rFonts w:eastAsiaTheme="minorEastAsia"/>
        </w:rPr>
      </w:pPr>
      <w:proofErr w:type="spellStart"/>
      <m:oMathPara>
        <m:oMath>
          <m:r>
            <m:rPr>
              <m:nor/>
            </m:rPr>
            <w:rPr>
              <w:rFonts w:cs="Cambria"/>
              <w:i/>
              <w:iCs/>
            </w:rPr>
            <w:lastRenderedPageBreak/>
            <m:t>γ</m:t>
          </m:r>
          <m:r>
            <m:rPr>
              <m:nor/>
            </m:rPr>
            <w:rPr>
              <w:i/>
              <w:iCs/>
            </w:rPr>
            <m:t>P</m:t>
          </m:r>
          <w:proofErr w:type="spellEnd"/>
          <m:r>
            <w:rPr>
              <w:rFonts w:ascii="Cambria Math" w:hAnsi="Cambria Math"/>
            </w:rPr>
            <m:t>=</m:t>
          </m:r>
          <m:r>
            <m:rPr>
              <m:nor/>
            </m:rPr>
            <w:rPr>
              <w:rFonts w:cs="Cambria"/>
              <w:i/>
              <w:iCs/>
            </w:rPr>
            <m:t>γ</m:t>
          </m:r>
          <m:r>
            <m:rPr>
              <m:nor/>
            </m:rPr>
            <w:rPr>
              <w:i/>
              <w:iCs/>
            </w:rPr>
            <m:t>E</m:t>
          </m:r>
          <m:r>
            <w:rPr>
              <w:rFonts w:ascii="Cambria Math" w:hAnsi="Cambria Math"/>
            </w:rPr>
            <m:t>+</m:t>
          </m:r>
          <m:r>
            <m:rPr>
              <m:nor/>
            </m:rPr>
            <w:rPr>
              <w:rFonts w:cs="Cambria"/>
              <w:i/>
              <w:iCs/>
            </w:rPr>
            <m:t>γ</m:t>
          </m:r>
          <m:r>
            <m:rPr>
              <m:nor/>
            </m:rPr>
            <w:rPr>
              <w:i/>
              <w:iCs/>
            </w:rPr>
            <m:t>P*</m:t>
          </m:r>
          <m:r>
            <w:rPr>
              <w:rFonts w:ascii="Cambria Math" w:hAnsi="Cambria Math"/>
            </w:rPr>
            <m:t>⟹</m:t>
          </m:r>
          <m:r>
            <m:rPr>
              <m:nor/>
            </m:rPr>
            <w:rPr>
              <w:i/>
            </w:rPr>
            <m:t>π</m:t>
          </m:r>
          <m:r>
            <w:rPr>
              <w:rFonts w:ascii="Cambria Math" w:hAnsi="Cambria Math"/>
            </w:rPr>
            <m:t>=</m:t>
          </m:r>
          <m:r>
            <m:rPr>
              <m:nor/>
            </m:rPr>
            <w:rPr>
              <w:rFonts w:cs="Cambria"/>
              <w:i/>
              <w:iCs/>
            </w:rPr>
            <m:t>γ</m:t>
          </m:r>
          <m:r>
            <m:rPr>
              <m:nor/>
            </m:rPr>
            <w:rPr>
              <w:i/>
              <w:iCs/>
            </w:rPr>
            <m:t>E</m:t>
          </m:r>
          <m:r>
            <w:rPr>
              <w:rFonts w:ascii="Cambria Math" w:hAnsi="Cambria Math"/>
            </w:rPr>
            <m:t>+</m:t>
          </m:r>
          <m:r>
            <m:rPr>
              <m:nor/>
            </m:rPr>
            <w:rPr>
              <w:i/>
            </w:rPr>
            <m:t>π</m:t>
          </m:r>
          <m:r>
            <m:rPr>
              <m:nor/>
            </m:rPr>
            <w:rPr>
              <w:i/>
              <w:iCs/>
            </w:rPr>
            <m:t>*</m:t>
          </m:r>
          <m:r>
            <w:rPr>
              <w:rFonts w:ascii="Cambria Math" w:hAnsi="Cambria Math"/>
            </w:rPr>
            <m:t>⟹</m:t>
          </m:r>
          <m:borderBox>
            <m:borderBoxPr>
              <m:ctrlPr>
                <w:rPr>
                  <w:rFonts w:ascii="Cambria Math" w:hAnsi="Cambria Math"/>
                  <w:i/>
                  <w:iCs/>
                  <w:color w:val="5F2987"/>
                </w:rPr>
              </m:ctrlPr>
            </m:borderBoxPr>
            <m:e>
              <m:r>
                <m:rPr>
                  <m:nor/>
                </m:rPr>
                <w:rPr>
                  <w:rFonts w:cs="Cambria"/>
                  <w:i/>
                  <w:iCs/>
                  <w:color w:val="5F2987"/>
                </w:rPr>
                <m:t>γ</m:t>
              </m:r>
              <m:r>
                <m:rPr>
                  <m:nor/>
                </m:rPr>
                <w:rPr>
                  <w:i/>
                  <w:iCs/>
                  <w:color w:val="5F2987"/>
                </w:rPr>
                <m:t>E</m:t>
              </m:r>
              <m:r>
                <w:rPr>
                  <w:rFonts w:ascii="Cambria Math" w:hAnsi="Cambria Math"/>
                  <w:color w:val="5F2987"/>
                </w:rPr>
                <m:t>=</m:t>
              </m:r>
              <m:r>
                <m:rPr>
                  <m:nor/>
                </m:rPr>
                <w:rPr>
                  <w:i/>
                  <w:color w:val="5F2987"/>
                </w:rPr>
                <m:t>π</m:t>
              </m:r>
              <m:r>
                <w:rPr>
                  <w:rFonts w:ascii="Cambria Math" w:hAnsi="Cambria Math"/>
                  <w:color w:val="5F2987"/>
                </w:rPr>
                <m:t>-</m:t>
              </m:r>
              <m:r>
                <m:rPr>
                  <m:nor/>
                </m:rPr>
                <w:rPr>
                  <w:i/>
                  <w:color w:val="5F2987"/>
                </w:rPr>
                <m:t>π</m:t>
              </m:r>
              <m:r>
                <m:rPr>
                  <m:nor/>
                </m:rPr>
                <w:rPr>
                  <w:i/>
                  <w:iCs/>
                  <w:color w:val="5F2987"/>
                </w:rPr>
                <m:t>*</m:t>
              </m:r>
            </m:e>
          </m:borderBox>
          <m:r>
            <m:rPr>
              <m:sty m:val="p"/>
            </m:rPr>
            <w:rPr>
              <w:rFonts w:ascii="Cambria Math" w:eastAsiaTheme="minorEastAsia" w:hAnsi="Cambria Math"/>
            </w:rPr>
            <w:br/>
          </m:r>
        </m:oMath>
        <m:oMath>
          <m:r>
            <m:rPr>
              <m:nor/>
            </m:rPr>
            <w:rPr>
              <w:i/>
              <w:iCs/>
            </w:rPr>
            <m:t>ϰ</m:t>
          </m:r>
          <m:r>
            <w:rPr>
              <w:rFonts w:ascii="Cambria Math"/>
            </w:rPr>
            <m:t>=</m:t>
          </m:r>
          <m:r>
            <m:rPr>
              <m:nor/>
            </m:rPr>
            <w:rPr>
              <w:rFonts w:ascii="Cambria Math"/>
            </w:rPr>
            <m:t xml:space="preserve"> </m:t>
          </m:r>
          <m:f>
            <m:fPr>
              <m:ctrlPr>
                <w:rPr>
                  <w:rFonts w:ascii="Cambria Math" w:hAnsi="Cambria Math"/>
                  <w:i/>
                  <w:iCs/>
                </w:rPr>
              </m:ctrlPr>
            </m:fPr>
            <m:num>
              <m:r>
                <m:rPr>
                  <m:nor/>
                </m:rPr>
                <w:rPr>
                  <w:i/>
                  <w:iCs/>
                </w:rPr>
                <m:t>E</m:t>
              </m:r>
              <m:r>
                <w:rPr>
                  <w:rFonts w:ascii="Cambria Math" w:hAnsi="Cambria Math"/>
                </w:rPr>
                <m:t>∙</m:t>
              </m:r>
              <m:r>
                <m:rPr>
                  <m:nor/>
                </m:rPr>
                <w:rPr>
                  <w:i/>
                  <w:iCs/>
                </w:rPr>
                <m:t>P*</m:t>
              </m:r>
            </m:num>
            <m:den>
              <m:r>
                <m:rPr>
                  <m:nor/>
                </m:rPr>
                <w:rPr>
                  <w:i/>
                  <w:iCs/>
                </w:rPr>
                <m:t>P</m:t>
              </m:r>
            </m:den>
          </m:f>
          <m:box>
            <m:boxPr>
              <m:opEmu m:val="1"/>
              <m:ctrlPr>
                <w:rPr>
                  <w:rFonts w:ascii="Cambria Math" w:hAnsi="Cambria Math" w:cs="Cambria Math"/>
                  <w:i/>
                  <w:iCs/>
                </w:rPr>
              </m:ctrlPr>
            </m:boxPr>
            <m:e>
              <m:groupChr>
                <m:groupChrPr>
                  <m:chr m:val="⇒"/>
                  <m:vertJc m:val="bot"/>
                  <m:ctrlPr>
                    <w:rPr>
                      <w:rFonts w:ascii="Cambria Math" w:hAnsi="Cambria Math" w:cs="Cambria Math"/>
                      <w:i/>
                      <w:iCs/>
                    </w:rPr>
                  </m:ctrlPr>
                </m:groupChrPr>
                <m:e>
                  <m:r>
                    <m:rPr>
                      <m:nor/>
                    </m:rPr>
                    <w:rPr>
                      <w:rFonts w:cs="Cambria Math"/>
                      <w:iCs/>
                    </w:rPr>
                    <m:t xml:space="preserve">   </m:t>
                  </m:r>
                  <m:r>
                    <m:rPr>
                      <m:nor/>
                    </m:rPr>
                    <w:rPr>
                      <w:rFonts w:cs="Cambria Math"/>
                      <w:i/>
                    </w:rPr>
                    <m:t xml:space="preserve">ln   </m:t>
                  </m:r>
                </m:e>
              </m:groupChr>
            </m:e>
          </m:box>
          <m:func>
            <m:funcPr>
              <m:ctrlPr>
                <w:rPr>
                  <w:rFonts w:ascii="Cambria Math" w:hAnsi="Cambria Math"/>
                  <w:i/>
                  <w:iCs/>
                </w:rPr>
              </m:ctrlPr>
            </m:funcPr>
            <m:fName>
              <m:r>
                <m:rPr>
                  <m:nor/>
                </m:rPr>
                <w:rPr>
                  <w:i/>
                  <w:iCs/>
                </w:rPr>
                <m:t>ln</m:t>
              </m:r>
            </m:fName>
            <m:e>
              <m:r>
                <m:rPr>
                  <m:nor/>
                </m:rPr>
                <w:rPr>
                  <w:i/>
                  <w:iCs/>
                </w:rPr>
                <m:t>ϰ</m:t>
              </m:r>
            </m:e>
          </m:func>
          <m:r>
            <w:rPr>
              <w:rFonts w:ascii="Cambria Math" w:hAnsi="Cambria Math" w:cs="Cambria Math"/>
            </w:rPr>
            <m:t>=</m:t>
          </m:r>
          <m:func>
            <m:funcPr>
              <m:ctrlPr>
                <w:rPr>
                  <w:rFonts w:ascii="Cambria Math" w:hAnsi="Cambria Math"/>
                  <w:i/>
                  <w:iCs/>
                </w:rPr>
              </m:ctrlPr>
            </m:funcPr>
            <m:fName>
              <m:r>
                <m:rPr>
                  <m:nor/>
                </m:rPr>
                <w:rPr>
                  <w:i/>
                  <w:iCs/>
                </w:rPr>
                <m:t>ln</m:t>
              </m:r>
            </m:fName>
            <m:e>
              <m:r>
                <m:rPr>
                  <m:nor/>
                </m:rPr>
                <w:rPr>
                  <w:i/>
                  <w:iCs/>
                </w:rPr>
                <m:t>E</m:t>
              </m:r>
            </m:e>
          </m:func>
          <m:r>
            <w:rPr>
              <w:rFonts w:ascii="Cambria Math" w:hAnsi="Cambria Math"/>
            </w:rPr>
            <m:t>+</m:t>
          </m:r>
          <m:func>
            <m:funcPr>
              <m:ctrlPr>
                <w:rPr>
                  <w:rFonts w:ascii="Cambria Math" w:hAnsi="Cambria Math"/>
                  <w:i/>
                  <w:iCs/>
                </w:rPr>
              </m:ctrlPr>
            </m:funcPr>
            <m:fName>
              <m:r>
                <m:rPr>
                  <m:nor/>
                </m:rPr>
                <w:rPr>
                  <w:i/>
                  <w:iCs/>
                </w:rPr>
                <m:t>ln</m:t>
              </m:r>
            </m:fName>
            <m:e>
              <m:r>
                <m:rPr>
                  <m:nor/>
                </m:rPr>
                <w:rPr>
                  <w:i/>
                  <w:iCs/>
                </w:rPr>
                <m:t>P*</m:t>
              </m:r>
            </m:e>
          </m:func>
          <m:r>
            <w:rPr>
              <w:rFonts w:ascii="Cambria Math" w:hAnsi="Cambria Math"/>
            </w:rPr>
            <m:t>-</m:t>
          </m:r>
          <m:func>
            <m:funcPr>
              <m:ctrlPr>
                <w:rPr>
                  <w:rFonts w:ascii="Cambria Math" w:hAnsi="Cambria Math"/>
                  <w:i/>
                  <w:iCs/>
                </w:rPr>
              </m:ctrlPr>
            </m:funcPr>
            <m:fName>
              <m:r>
                <m:rPr>
                  <m:nor/>
                </m:rPr>
                <w:rPr>
                  <w:i/>
                  <w:iCs/>
                </w:rPr>
                <m:t>ln</m:t>
              </m:r>
            </m:fName>
            <m:e>
              <m:r>
                <m:rPr>
                  <m:nor/>
                </m:rPr>
                <w:rPr>
                  <w:i/>
                  <w:iCs/>
                </w:rPr>
                <m:t>P</m:t>
              </m:r>
            </m:e>
          </m:func>
          <m:groupChr>
            <m:groupChrPr>
              <m:chr m:val="⇒"/>
              <m:vertJc m:val="bot"/>
              <m:ctrlPr>
                <w:rPr>
                  <w:rFonts w:ascii="Cambria Math" w:hAnsi="Cambria Math" w:cs="Cambria Math"/>
                  <w:i/>
                  <w:iCs/>
                </w:rPr>
              </m:ctrlPr>
            </m:groupChrPr>
            <m:e>
              <m:r>
                <m:rPr>
                  <m:nor/>
                </m:rPr>
                <w:rPr>
                  <w:rFonts w:cs="Cambria Math"/>
                  <w:iCs/>
                </w:rPr>
                <m:t xml:space="preserve">   </m:t>
              </m:r>
              <m:r>
                <m:rPr>
                  <m:nor/>
                </m:rPr>
                <w:rPr>
                  <w:rFonts w:cs="Cambria Math"/>
                  <w:i/>
                  <w:iCs/>
                </w:rPr>
                <m:t>∂t</m:t>
              </m:r>
              <m:r>
                <m:rPr>
                  <m:nor/>
                </m:rPr>
                <w:rPr>
                  <w:rFonts w:cs="Cambria Math"/>
                  <w:i/>
                </w:rPr>
                <m:t xml:space="preserve">   </m:t>
              </m:r>
            </m:e>
          </m:groupCh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iCs/>
                            </w:rPr>
                            <m:t>ϰ</m:t>
                          </m:r>
                        </m:e>
                      </m:acc>
                    </m:num>
                    <m:den>
                      <m:r>
                        <m:rPr>
                          <m:nor/>
                        </m:rPr>
                        <w:rPr>
                          <w:i/>
                          <w:iCs/>
                        </w:rPr>
                        <m:t>ϰ</m:t>
                      </m:r>
                    </m:den>
                  </m:f>
                </m:e>
              </m:groupChr>
            </m:e>
            <m:lim>
              <m:r>
                <m:rPr>
                  <m:nor/>
                </m:rPr>
                <w:rPr>
                  <w:i/>
                  <w:iCs/>
                </w:rPr>
                <m:t>γϰ</m:t>
              </m:r>
            </m:lim>
          </m:limLow>
          <m:r>
            <w:rPr>
              <w:rFonts w:ascii="Cambria Math" w:hAnsi="Cambria Math" w:cs="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iCs/>
                            </w:rPr>
                            <m:t>E</m:t>
                          </m:r>
                        </m:e>
                      </m:acc>
                    </m:num>
                    <m:den>
                      <m:r>
                        <m:rPr>
                          <m:nor/>
                        </m:rPr>
                        <w:rPr>
                          <w:i/>
                          <w:iCs/>
                        </w:rPr>
                        <m:t>E</m:t>
                      </m:r>
                    </m:den>
                  </m:f>
                </m:e>
              </m:groupChr>
            </m:e>
            <m:lim>
              <m:r>
                <m:rPr>
                  <m:nor/>
                </m:rPr>
                <w:rPr>
                  <w:i/>
                  <w:iCs/>
                </w:rPr>
                <m:t>γE</m:t>
              </m:r>
            </m:lim>
          </m:limLow>
          <m:r>
            <w:rPr>
              <w:rFonts w:asci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iCs/>
                            </w:rPr>
                            <m:t>P*</m:t>
                          </m:r>
                        </m:e>
                      </m:acc>
                    </m:num>
                    <m:den>
                      <m:r>
                        <m:rPr>
                          <m:nor/>
                        </m:rPr>
                        <w:rPr>
                          <w:i/>
                          <w:iCs/>
                        </w:rPr>
                        <m:t>P*</m:t>
                      </m:r>
                    </m:den>
                  </m:f>
                </m:e>
              </m:groupChr>
            </m:e>
            <m:lim>
              <m:r>
                <m:rPr>
                  <m:nor/>
                </m:rPr>
                <w:rPr>
                  <w:i/>
                </w:rPr>
                <m:t>π</m:t>
              </m:r>
              <m:r>
                <m:rPr>
                  <m:nor/>
                </m:rPr>
                <w:rPr>
                  <w:i/>
                  <w:iCs/>
                </w:rPr>
                <m:t>*</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iCs/>
                            </w:rPr>
                            <m:t>P</m:t>
                          </m:r>
                        </m:e>
                      </m:acc>
                    </m:num>
                    <m:den>
                      <m:r>
                        <m:rPr>
                          <m:nor/>
                        </m:rPr>
                        <w:rPr>
                          <w:i/>
                          <w:iCs/>
                        </w:rPr>
                        <m:t>P</m:t>
                      </m:r>
                    </m:den>
                  </m:f>
                </m:e>
              </m:groupChr>
            </m:e>
            <m:lim>
              <m:r>
                <m:rPr>
                  <m:nor/>
                </m:rPr>
                <w:rPr>
                  <w:i/>
                </w:rPr>
                <m:t>π</m:t>
              </m:r>
            </m:lim>
          </m:limLow>
          <m:r>
            <w:rPr>
              <w:rFonts w:ascii="Cambria Math" w:hAnsi="Cambria Math"/>
            </w:rPr>
            <m:t>⟹</m:t>
          </m:r>
          <m:r>
            <m:rPr>
              <m:sty m:val="p"/>
            </m:rPr>
            <w:rPr>
              <w:rFonts w:ascii="Cambria Math" w:hAnsi="Cambria Math"/>
            </w:rPr>
            <w:br/>
          </m:r>
        </m:oMath>
      </m:oMathPara>
      <m:oMath>
        <m:r>
          <w:rPr>
            <w:rFonts w:ascii="Cambria Math" w:hAnsi="Cambria Math"/>
          </w:rPr>
          <m:t>⟹</m:t>
        </m:r>
        <m:r>
          <m:rPr>
            <m:nor/>
          </m:rPr>
          <w:rPr>
            <w:rFonts w:cs="Cambria"/>
            <w:i/>
            <w:iCs/>
          </w:rPr>
          <m:t>γϰ</m:t>
        </m:r>
        <m:r>
          <w:rPr>
            <w:rFonts w:ascii="Cambria Math" w:hAnsi="Cambria Math"/>
          </w:rPr>
          <m:t>=</m:t>
        </m:r>
        <m:r>
          <m:rPr>
            <m:nor/>
          </m:rPr>
          <w:rPr>
            <w:rFonts w:cs="Cambria"/>
            <w:i/>
            <w:iCs/>
          </w:rPr>
          <m:t>γ</m:t>
        </m:r>
        <m:r>
          <m:rPr>
            <m:nor/>
          </m:rPr>
          <w:rPr>
            <w:i/>
            <w:iCs/>
          </w:rPr>
          <m:t>E</m:t>
        </m:r>
        <m:r>
          <w:rPr>
            <w:rFonts w:ascii="Cambria Math" w:hAnsi="Cambria Math"/>
          </w:rPr>
          <m:t>+</m:t>
        </m:r>
        <m:r>
          <m:rPr>
            <m:nor/>
          </m:rPr>
          <w:rPr>
            <w:i/>
          </w:rPr>
          <m:t>π</m:t>
        </m:r>
        <m:r>
          <m:rPr>
            <m:nor/>
          </m:rPr>
          <w:rPr>
            <w:i/>
            <w:iCs/>
          </w:rPr>
          <m:t>*</m:t>
        </m:r>
        <m:r>
          <w:rPr>
            <w:rFonts w:ascii="Cambria Math" w:hAnsi="Cambria Math"/>
          </w:rPr>
          <m:t>-</m:t>
        </m:r>
        <m:r>
          <m:rPr>
            <m:nor/>
          </m:rPr>
          <w:rPr>
            <w:i/>
          </w:rPr>
          <m:t>π</m:t>
        </m:r>
        <m:r>
          <w:rPr>
            <w:rFonts w:ascii="Cambria Math" w:hAnsi="Cambria Math"/>
          </w:rPr>
          <m:t>=</m:t>
        </m:r>
        <m:r>
          <m:rPr>
            <m:nor/>
          </m:rPr>
          <w:rPr>
            <w:i/>
          </w:rPr>
          <m:t>0</m:t>
        </m:r>
      </m:oMath>
      <w:r w:rsidR="00893793">
        <w:rPr>
          <w:rStyle w:val="Refdenotaalpie"/>
          <w:rFonts w:eastAsiaTheme="minorEastAsia"/>
        </w:rPr>
        <w:footnoteReference w:id="7"/>
      </w:r>
    </w:p>
    <w:p w14:paraId="49FF83C1" w14:textId="10ABF296" w:rsidR="00325B00" w:rsidRDefault="00325B00" w:rsidP="002F56F9">
      <w:pPr>
        <w:pStyle w:val="Nivel2SM"/>
      </w:pPr>
      <w:r>
        <w:t xml:space="preserve">Se llega a esta expresión partiendo de la expresión del tipo de cambio </w:t>
      </w:r>
      <w:r w:rsidR="00832523">
        <w:t>real. Se halla la tasa de variación porce</w:t>
      </w:r>
      <w:r w:rsidR="00D418CD">
        <w:t>ntual del tipo de cambio real</w:t>
      </w:r>
      <w:r>
        <w:t xml:space="preserve"> </w:t>
      </w:r>
      <w:r w:rsidR="00D418CD">
        <w:t>(</w:t>
      </w:r>
      <w:r>
        <w:t>tomando logaritmos neperianos y diferenciando con respecto al tiempo</w:t>
      </w:r>
      <w:r w:rsidR="00D418CD">
        <w:t>) y se iguala a cero</w:t>
      </w:r>
      <w:r>
        <w:t>.</w:t>
      </w:r>
    </w:p>
    <w:p w14:paraId="3BD6871C" w14:textId="723E1F52" w:rsidR="00325B00" w:rsidRDefault="00325B00" w:rsidP="002F56F9">
      <w:pPr>
        <w:pStyle w:val="Nivel2SM"/>
      </w:pPr>
      <w:r>
        <w:t>Así, la variación porcentual del t</w:t>
      </w:r>
      <w:r w:rsidR="009226A9">
        <w:t>i</w:t>
      </w:r>
      <w:r>
        <w:t>po de cambio va a depender de la diferencia entre las variaciones porcentuales de los precios (i.e. de los diferenciales de inflación).</w:t>
      </w:r>
    </w:p>
    <w:p w14:paraId="63AE2BC8" w14:textId="36C7A1C5" w:rsidR="00C720EB" w:rsidRDefault="00C720EB" w:rsidP="00C720EB">
      <w:pPr>
        <w:pStyle w:val="Nivel2SM"/>
      </w:pPr>
      <w:r>
        <w:t>Además, la versión relativa de la PPA implica que el tipo de cambio real es constante</w:t>
      </w:r>
      <w:bookmarkStart w:id="18" w:name="_Ref122333739"/>
      <w:r w:rsidR="00987FB4">
        <w:rPr>
          <w:rStyle w:val="Refdenotaalpie"/>
        </w:rPr>
        <w:footnoteReference w:id="8"/>
      </w:r>
      <w:bookmarkEnd w:id="18"/>
      <w:r>
        <w:t>.</w:t>
      </w:r>
    </w:p>
    <w:p w14:paraId="7B9BE265" w14:textId="6FB0588D" w:rsidR="00325B00" w:rsidRDefault="00325B00" w:rsidP="008F6B84">
      <w:pPr>
        <w:pStyle w:val="Nivel1SM"/>
      </w:pPr>
      <w:r>
        <w:t>Por tanto, según esta versión, con altas tasas de inflación (comparadas con el resto del mundo)</w:t>
      </w:r>
      <w:r w:rsidR="006A31EB">
        <w:t xml:space="preserve"> el tipo de cambio nominal tenderá a subir, es decir, se depreciará la moneda nacional para mantener constante el tipo de cambio real.</w:t>
      </w:r>
    </w:p>
    <w:p w14:paraId="2E95D045" w14:textId="77777777" w:rsidR="00FD74B7" w:rsidRDefault="00FD74B7" w:rsidP="00FD74B7">
      <w:pPr>
        <w:pStyle w:val="Ttulo7"/>
      </w:pPr>
      <w:r>
        <w:t>Implicaciones</w:t>
      </w:r>
    </w:p>
    <w:p w14:paraId="4463A88E" w14:textId="7BBB5AC6" w:rsidR="00FD74B7" w:rsidRDefault="00FD74B7" w:rsidP="00C26C58">
      <w:pPr>
        <w:pStyle w:val="Nivel1SM"/>
        <w:keepNext/>
        <w:spacing w:before="0" w:after="0"/>
      </w:pPr>
      <w:r>
        <w:t xml:space="preserve">Según el modelo de la paridad del poder adquisitivo, </w:t>
      </w:r>
      <w:r w:rsidRPr="008F6B84">
        <w:rPr>
          <w:i/>
          <w:iCs/>
        </w:rPr>
        <w:t>los determinantes del tipo de cambio nominal son los niveles</w:t>
      </w:r>
      <w:r>
        <w:rPr>
          <w:i/>
          <w:iCs/>
        </w:rPr>
        <w:t xml:space="preserve"> de precios</w:t>
      </w:r>
      <w:r>
        <w:t xml:space="preserve"> (versión absoluta)</w:t>
      </w:r>
      <w:r w:rsidRPr="008F6B84">
        <w:rPr>
          <w:i/>
          <w:iCs/>
        </w:rPr>
        <w:t xml:space="preserve"> o las variaciones porcentuales de los precios</w:t>
      </w:r>
      <w:r w:rsidRPr="00DC2CDC">
        <w:t xml:space="preserve"> </w:t>
      </w:r>
      <w:r>
        <w:t>(versión relativa).</w:t>
      </w:r>
    </w:p>
    <w:p w14:paraId="0BA607B3" w14:textId="1FFFDC40" w:rsidR="00FB2586" w:rsidRPr="00FB2586" w:rsidRDefault="00FB2586" w:rsidP="00FB2586">
      <w:pPr>
        <w:pStyle w:val="Nivel2SM"/>
      </w:pPr>
      <w:r w:rsidRPr="00FB2586">
        <w:t xml:space="preserve">Ante una desviación del </w:t>
      </w:r>
      <w:r>
        <w:t>tipo de cambio</w:t>
      </w:r>
      <w:r w:rsidRPr="00FB2586">
        <w:t xml:space="preserve"> por un shock, éste presentará </w:t>
      </w:r>
      <w:r w:rsidRPr="00FB2586">
        <w:rPr>
          <w:i/>
          <w:iCs/>
        </w:rPr>
        <w:t>reversión a la media</w:t>
      </w:r>
      <w:r w:rsidRPr="00FB2586">
        <w:t>.</w:t>
      </w:r>
    </w:p>
    <w:p w14:paraId="71723CB7" w14:textId="72C33DFE" w:rsidR="00A12206" w:rsidRDefault="00A12206" w:rsidP="00A12206">
      <w:pPr>
        <w:pStyle w:val="Ttulo6"/>
      </w:pPr>
      <w:bookmarkStart w:id="19" w:name="_Toc136424361"/>
      <w:r>
        <w:t>Evidencia empírica</w:t>
      </w:r>
      <w:bookmarkEnd w:id="19"/>
    </w:p>
    <w:p w14:paraId="2A72FA77" w14:textId="416FDE02" w:rsidR="00A12206" w:rsidRDefault="00A12206" w:rsidP="00C26C58">
      <w:pPr>
        <w:pStyle w:val="Nivel1SM"/>
        <w:keepNext/>
        <w:spacing w:before="0" w:after="0"/>
      </w:pPr>
      <w:r>
        <w:t>Existe una amplísima literatura empírica sobre la PPA</w:t>
      </w:r>
      <w:r w:rsidR="00C5426C">
        <w:t xml:space="preserve"> </w:t>
      </w:r>
      <w:r w:rsidR="00C5426C" w:rsidRPr="00C5426C">
        <w:rPr>
          <w:color w:val="767171" w:themeColor="background2" w:themeShade="80"/>
          <w:sz w:val="19"/>
          <w:szCs w:val="19"/>
        </w:rPr>
        <w:t>[</w:t>
      </w:r>
      <w:r w:rsidR="00C5426C">
        <w:rPr>
          <w:i/>
          <w:iCs/>
          <w:color w:val="767171" w:themeColor="background2" w:themeShade="80"/>
          <w:sz w:val="19"/>
          <w:szCs w:val="19"/>
        </w:rPr>
        <w:t>ver anexo</w:t>
      </w:r>
      <w:r w:rsidR="008B12E1">
        <w:rPr>
          <w:i/>
          <w:iCs/>
          <w:color w:val="767171" w:themeColor="background2" w:themeShade="80"/>
          <w:sz w:val="19"/>
          <w:szCs w:val="19"/>
        </w:rPr>
        <w:t> </w:t>
      </w:r>
      <w:r w:rsidR="00C5426C">
        <w:rPr>
          <w:i/>
          <w:iCs/>
          <w:color w:val="767171" w:themeColor="background2" w:themeShade="80"/>
          <w:sz w:val="19"/>
          <w:szCs w:val="19"/>
        </w:rPr>
        <w:fldChar w:fldCharType="begin"/>
      </w:r>
      <w:r w:rsidR="00C5426C">
        <w:rPr>
          <w:i/>
          <w:iCs/>
          <w:color w:val="767171" w:themeColor="background2" w:themeShade="80"/>
          <w:sz w:val="19"/>
          <w:szCs w:val="19"/>
        </w:rPr>
        <w:instrText xml:space="preserve"> REF _Ref112946050 \r \h </w:instrText>
      </w:r>
      <w:r w:rsidR="00C5426C">
        <w:rPr>
          <w:i/>
          <w:iCs/>
          <w:color w:val="767171" w:themeColor="background2" w:themeShade="80"/>
          <w:sz w:val="19"/>
          <w:szCs w:val="19"/>
        </w:rPr>
      </w:r>
      <w:r w:rsidR="00C5426C">
        <w:rPr>
          <w:i/>
          <w:iCs/>
          <w:color w:val="767171" w:themeColor="background2" w:themeShade="80"/>
          <w:sz w:val="19"/>
          <w:szCs w:val="19"/>
        </w:rPr>
        <w:fldChar w:fldCharType="separate"/>
      </w:r>
      <w:r w:rsidR="00A448D4">
        <w:rPr>
          <w:i/>
          <w:iCs/>
          <w:color w:val="767171" w:themeColor="background2" w:themeShade="80"/>
          <w:sz w:val="19"/>
          <w:szCs w:val="19"/>
        </w:rPr>
        <w:t>A.1</w:t>
      </w:r>
      <w:r w:rsidR="00C5426C">
        <w:rPr>
          <w:i/>
          <w:iCs/>
          <w:color w:val="767171" w:themeColor="background2" w:themeShade="80"/>
          <w:sz w:val="19"/>
          <w:szCs w:val="19"/>
        </w:rPr>
        <w:fldChar w:fldCharType="end"/>
      </w:r>
      <w:r w:rsidR="00C5426C" w:rsidRPr="00C5426C">
        <w:rPr>
          <w:color w:val="767171" w:themeColor="background2" w:themeShade="80"/>
          <w:sz w:val="19"/>
          <w:szCs w:val="19"/>
        </w:rPr>
        <w:t>]</w:t>
      </w:r>
      <w:r>
        <w:t>. La volatilidad de los tipos de cambio nominales comparada con la relativa estabilidad de los índices generales de precios hace evidente que el tipo de cambio real no es constante y, por tanto, la paridad de poder adquisitivo no se cumple de manera continua. Se producen desviaciones considerables, al menos en el corto plazo. Ante esta evidencia, los estudios empíricos se han centrado en el largo plazo.</w:t>
      </w:r>
    </w:p>
    <w:p w14:paraId="452C6517" w14:textId="151D2DE7" w:rsidR="00825DC4" w:rsidRDefault="00825DC4" w:rsidP="001410D0">
      <w:pPr>
        <w:pStyle w:val="Nivel2SM"/>
      </w:pPr>
      <w:r>
        <w:t xml:space="preserve">Por ejemplo, los estudios de </w:t>
      </w:r>
      <w:r>
        <w:rPr>
          <w:smallCaps/>
        </w:rPr>
        <w:t>Taylor</w:t>
      </w:r>
      <w:r>
        <w:t xml:space="preserve"> y </w:t>
      </w:r>
      <w:r>
        <w:rPr>
          <w:smallCaps/>
        </w:rPr>
        <w:t>Taylor</w:t>
      </w:r>
      <w:r w:rsidRPr="00AD654E">
        <w:t xml:space="preserve"> </w:t>
      </w:r>
      <w:r>
        <w:t xml:space="preserve">(2004) </w:t>
      </w:r>
      <w:r w:rsidRPr="00DC2CDC">
        <w:rPr>
          <w:b/>
          <w:bCs/>
        </w:rPr>
        <w:t>rechazan las dos versiones de la PPA en el corto plazo, pero apoyan la versión relativa en el largo plazo</w:t>
      </w:r>
      <w:r>
        <w:t xml:space="preserve">, de manera que en el largo plazo la tasa de variación del tipo de cambio </w:t>
      </w:r>
      <w:r>
        <w:rPr>
          <w:i/>
          <w:iCs/>
        </w:rPr>
        <w:t>nominal</w:t>
      </w:r>
      <w:r>
        <w:t xml:space="preserve"> se explica por los diferenciales de inflación (que es lo mismo que decir que el tipo de cambio </w:t>
      </w:r>
      <w:r>
        <w:rPr>
          <w:i/>
          <w:iCs/>
        </w:rPr>
        <w:t>real</w:t>
      </w:r>
      <w:r>
        <w:t xml:space="preserve"> se mantiene constante)</w:t>
      </w:r>
      <w:r w:rsidR="00601761">
        <w:rPr>
          <w:rStyle w:val="Refdenotaalpie"/>
        </w:rPr>
        <w:footnoteReference w:id="9"/>
      </w:r>
      <w:r>
        <w:t>.</w:t>
      </w:r>
    </w:p>
    <w:p w14:paraId="4EB1EAF2" w14:textId="77777777" w:rsidR="002B2D78" w:rsidRPr="00321FB6" w:rsidRDefault="002B2D78" w:rsidP="002B2D78">
      <w:pPr>
        <w:pStyle w:val="Cajadeanotaciones"/>
        <w:keepNext/>
        <w:spacing w:after="60"/>
        <w:jc w:val="center"/>
        <w:rPr>
          <w:b/>
          <w:bCs/>
          <w:i/>
          <w:iCs/>
        </w:rPr>
      </w:pPr>
      <w:r>
        <w:rPr>
          <w:b/>
          <w:bCs/>
          <w:i/>
          <w:iCs/>
        </w:rPr>
        <w:lastRenderedPageBreak/>
        <w:t>Índice Big Mac</w:t>
      </w:r>
    </w:p>
    <w:p w14:paraId="1A8F1C89" w14:textId="77777777" w:rsidR="002B2D78" w:rsidRDefault="002B2D78" w:rsidP="00C11884">
      <w:pPr>
        <w:pStyle w:val="Cajadeanotaciones"/>
        <w:keepNext/>
      </w:pPr>
      <w:r>
        <w:t xml:space="preserve">El Índice Big Mac es un índice publicado por la revista </w:t>
      </w:r>
      <w:proofErr w:type="spellStart"/>
      <w:r>
        <w:rPr>
          <w:i/>
          <w:iCs/>
        </w:rPr>
        <w:t>The</w:t>
      </w:r>
      <w:proofErr w:type="spellEnd"/>
      <w:r>
        <w:rPr>
          <w:i/>
          <w:iCs/>
        </w:rPr>
        <w:t xml:space="preserve"> Economist</w:t>
      </w:r>
      <w:r>
        <w:t xml:space="preserve"> desde 1986</w:t>
      </w:r>
      <w:r w:rsidRPr="00321FB6">
        <w:t>, que pe</w:t>
      </w:r>
      <w:r>
        <w:t>rmite comparar el poder adquisitivo de distintos países donde se vende la hamburguesa Big Mac de McDonald’s.</w:t>
      </w:r>
    </w:p>
    <w:p w14:paraId="7F466658" w14:textId="77777777" w:rsidR="002B2D78" w:rsidRDefault="002B2D78" w:rsidP="002B2D78">
      <w:pPr>
        <w:pStyle w:val="Cajadeanotaciones"/>
      </w:pPr>
      <w:r>
        <w:t>El índice basa su sistema en la teoría de la Paridad del Poder Adquisitivo, que sostiene el concepto de que “el dólar debe comprar la misma cantidad de bienes o servicios en todos los países”</w:t>
      </w:r>
      <w:r>
        <w:rPr>
          <w:rStyle w:val="Refdenotaalpie"/>
        </w:rPr>
        <w:footnoteReference w:id="10"/>
      </w:r>
      <w:r>
        <w:t>.</w:t>
      </w:r>
    </w:p>
    <w:p w14:paraId="4AD12F1C" w14:textId="77777777" w:rsidR="002B2D78" w:rsidRDefault="002B2D78" w:rsidP="002B2D78">
      <w:pPr>
        <w:pStyle w:val="Cajadeanotaciones"/>
      </w:pPr>
      <w:r w:rsidRPr="00321FB6">
        <w:t>El «bien y servicio» propuesto por el índice es una hamburguesa Big Mac. De esta manera, la PPA Big Mac manifiesta el tipo de cambio que lograría significar que dicha hamburguesa costase lo mismo en los Estados Unidos y en el extranjero. Al comparar el cambio real con la PPA, se llega a observar una subvaluación o sobrevaloración de la moneda del país que se analiza.</w:t>
      </w:r>
    </w:p>
    <w:p w14:paraId="560929CD" w14:textId="77777777" w:rsidR="002B2D78" w:rsidRDefault="002B2D78" w:rsidP="002B2D78">
      <w:pPr>
        <w:pStyle w:val="Cajadeanotaciones"/>
      </w:pPr>
      <w:r>
        <w:t>La finalidad del índice es comparar, mediante el valor referencial de venta de la hamburguesa Big Mac perteneciente a la cadena de comida rápida McDonald's, el costo de vida de los países donde se vende la hamburguesa, junto con establecer si las monedas locales están sobrevaloradas en relación al dólar estadounidense. El nombre del índice, por lo tanto, se toma a partir del nombre de la hamburguesa.</w:t>
      </w:r>
    </w:p>
    <w:p w14:paraId="70EDA1F3" w14:textId="7796DB9C" w:rsidR="00C11884" w:rsidRPr="00C11884" w:rsidRDefault="00C11884" w:rsidP="00C11884">
      <w:pPr>
        <w:pStyle w:val="Cajadeanotaciones"/>
        <w:keepNext/>
        <w:spacing w:after="0"/>
        <w:jc w:val="center"/>
        <w:rPr>
          <w:color w:val="3B3838" w:themeColor="background2" w:themeShade="40"/>
          <w:sz w:val="20"/>
          <w:szCs w:val="20"/>
        </w:rPr>
      </w:pPr>
      <w:r w:rsidRPr="00C11884">
        <w:rPr>
          <w:smallCaps/>
          <w:color w:val="3B3838" w:themeColor="background2" w:themeShade="40"/>
          <w:sz w:val="20"/>
          <w:szCs w:val="20"/>
        </w:rPr>
        <w:t xml:space="preserve">Imagen </w:t>
      </w:r>
      <w:r w:rsidRPr="00C11884">
        <w:rPr>
          <w:smallCaps/>
          <w:color w:val="3B3838" w:themeColor="background2" w:themeShade="40"/>
          <w:sz w:val="20"/>
          <w:szCs w:val="20"/>
        </w:rPr>
        <w:fldChar w:fldCharType="begin"/>
      </w:r>
      <w:r w:rsidRPr="00C11884">
        <w:rPr>
          <w:smallCaps/>
          <w:color w:val="3B3838" w:themeColor="background2" w:themeShade="40"/>
          <w:sz w:val="20"/>
          <w:szCs w:val="20"/>
        </w:rPr>
        <w:instrText xml:space="preserve"> SEQ Ilustración \* ARABIC </w:instrText>
      </w:r>
      <w:r w:rsidRPr="00C11884">
        <w:rPr>
          <w:smallCaps/>
          <w:color w:val="3B3838" w:themeColor="background2" w:themeShade="40"/>
          <w:sz w:val="20"/>
          <w:szCs w:val="20"/>
        </w:rPr>
        <w:fldChar w:fldCharType="separate"/>
      </w:r>
      <w:r w:rsidR="00A448D4">
        <w:rPr>
          <w:smallCaps/>
          <w:noProof/>
          <w:color w:val="3B3838" w:themeColor="background2" w:themeShade="40"/>
          <w:sz w:val="20"/>
          <w:szCs w:val="20"/>
        </w:rPr>
        <w:t>2</w:t>
      </w:r>
      <w:r w:rsidRPr="00C11884">
        <w:rPr>
          <w:smallCaps/>
          <w:color w:val="3B3838" w:themeColor="background2" w:themeShade="40"/>
          <w:sz w:val="20"/>
          <w:szCs w:val="20"/>
        </w:rPr>
        <w:fldChar w:fldCharType="end"/>
      </w:r>
      <w:r w:rsidRPr="00C11884">
        <w:rPr>
          <w:color w:val="3B3838" w:themeColor="background2" w:themeShade="40"/>
          <w:sz w:val="20"/>
          <w:szCs w:val="20"/>
        </w:rPr>
        <w:t xml:space="preserve">.– </w:t>
      </w:r>
      <w:r w:rsidRPr="00C11884">
        <w:rPr>
          <w:i/>
          <w:iCs/>
          <w:color w:val="3B3838" w:themeColor="background2" w:themeShade="40"/>
          <w:sz w:val="20"/>
          <w:szCs w:val="20"/>
        </w:rPr>
        <w:t>Índice Big Mac</w:t>
      </w:r>
    </w:p>
    <w:p w14:paraId="666C7B1D" w14:textId="31350567" w:rsidR="002B2D78" w:rsidRDefault="002B2D78" w:rsidP="00C11884">
      <w:pPr>
        <w:pStyle w:val="Cajadeanotaciones"/>
        <w:keepNext/>
        <w:spacing w:after="0"/>
        <w:jc w:val="center"/>
      </w:pPr>
      <w:r>
        <w:rPr>
          <w:noProof/>
        </w:rPr>
        <w:drawing>
          <wp:inline distT="0" distB="0" distL="0" distR="0" wp14:anchorId="58BBAD7C" wp14:editId="08E303D1">
            <wp:extent cx="3767155" cy="5940000"/>
            <wp:effectExtent l="0" t="0" r="5080" b="3810"/>
            <wp:docPr id="17" name="Imagen 17" descr="El Índice Big Mac en 2022 – Las divisas más infravaloradas del mundo  (tabla) | FXSSI - Indicador de Sentimiento de For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Índice Big Mac en 2022 – Las divisas más infravaloradas del mundo  (tabla) | FXSSI - Indicador de Sentimiento de Fore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7155" cy="5940000"/>
                    </a:xfrm>
                    <a:prstGeom prst="rect">
                      <a:avLst/>
                    </a:prstGeom>
                    <a:noFill/>
                    <a:ln>
                      <a:noFill/>
                    </a:ln>
                  </pic:spPr>
                </pic:pic>
              </a:graphicData>
            </a:graphic>
          </wp:inline>
        </w:drawing>
      </w:r>
    </w:p>
    <w:p w14:paraId="5A1D0979" w14:textId="33C04877" w:rsidR="00C11884" w:rsidRPr="00C11884" w:rsidRDefault="00C11884" w:rsidP="002B2D78">
      <w:pPr>
        <w:pStyle w:val="Cajadeanotaciones"/>
        <w:jc w:val="center"/>
        <w:rPr>
          <w:color w:val="3B3838" w:themeColor="background2" w:themeShade="40"/>
          <w:sz w:val="15"/>
          <w:szCs w:val="15"/>
        </w:rPr>
      </w:pPr>
      <w:r>
        <w:rPr>
          <w:i/>
          <w:iCs/>
          <w:color w:val="3B3838" w:themeColor="background2" w:themeShade="40"/>
          <w:sz w:val="15"/>
          <w:szCs w:val="15"/>
        </w:rPr>
        <w:t>Fuente</w:t>
      </w:r>
      <w:r>
        <w:rPr>
          <w:color w:val="3B3838" w:themeColor="background2" w:themeShade="40"/>
          <w:sz w:val="15"/>
          <w:szCs w:val="15"/>
        </w:rPr>
        <w:t xml:space="preserve">: </w:t>
      </w:r>
      <w:r w:rsidR="0069405C" w:rsidRPr="0069405C">
        <w:rPr>
          <w:color w:val="3B3838" w:themeColor="background2" w:themeShade="40"/>
          <w:sz w:val="15"/>
          <w:szCs w:val="15"/>
          <w:highlight w:val="yellow"/>
        </w:rPr>
        <w:t>…</w:t>
      </w:r>
    </w:p>
    <w:p w14:paraId="2082C214" w14:textId="77777777" w:rsidR="00A12206" w:rsidRDefault="00A12206" w:rsidP="00A12206">
      <w:pPr>
        <w:pStyle w:val="Ttulo6"/>
      </w:pPr>
      <w:bookmarkStart w:id="20" w:name="_Toc136424362"/>
      <w:r>
        <w:lastRenderedPageBreak/>
        <w:t>Valoración</w:t>
      </w:r>
      <w:bookmarkEnd w:id="20"/>
    </w:p>
    <w:p w14:paraId="2E2B35A7" w14:textId="1AF9E7E9" w:rsidR="00825DC4" w:rsidRDefault="00A12206" w:rsidP="00C26C58">
      <w:pPr>
        <w:pStyle w:val="Nivel1SM"/>
        <w:keepNext/>
        <w:spacing w:before="0" w:after="0"/>
      </w:pPr>
      <w:r>
        <w:t xml:space="preserve">Estas desviaciones que hacen que la teoría de la PPA </w:t>
      </w:r>
      <w:r w:rsidRPr="00825DC4">
        <w:rPr>
          <w:i/>
          <w:iCs/>
        </w:rPr>
        <w:t>no sea aplicable en el corto plazo</w:t>
      </w:r>
      <w:r>
        <w:t>, fueron uno de los motivos que indujeron a la mayoría de los economistas a abandonar este enfoque.</w:t>
      </w:r>
      <w:r w:rsidR="00825DC4">
        <w:t xml:space="preserve"> Asimismo, la </w:t>
      </w:r>
      <w:r w:rsidR="00825DC4" w:rsidRPr="00825DC4">
        <w:rPr>
          <w:i/>
          <w:iCs/>
        </w:rPr>
        <w:t>evidencia empírica en favor de la PPA en el largo plazo es pobre</w:t>
      </w:r>
      <w:r w:rsidR="00825DC4">
        <w:t xml:space="preserve"> y </w:t>
      </w:r>
      <w:r w:rsidR="00825DC4" w:rsidRPr="00825DC4">
        <w:t>en los casos en los que el tipo de cambio muestra una tendencia a revertir hacia su valor de PPA de largo plazo tras un shock, se ha demostrado que esta reversión no es monotónica</w:t>
      </w:r>
      <w:r w:rsidR="00FB2586">
        <w:rPr>
          <w:rStyle w:val="Refdenotaalpie"/>
        </w:rPr>
        <w:footnoteReference w:id="11"/>
      </w:r>
      <w:r w:rsidR="00825DC4" w:rsidRPr="00825DC4">
        <w:t>.</w:t>
      </w:r>
    </w:p>
    <w:p w14:paraId="76B7F96C" w14:textId="3255EB5B" w:rsidR="00825DC4" w:rsidRDefault="00825DC4" w:rsidP="002658F0">
      <w:pPr>
        <w:pStyle w:val="Nivel2SM"/>
      </w:pPr>
      <w:r>
        <w:t>Es por todo esto</w:t>
      </w:r>
      <w:r w:rsidR="002658F0">
        <w:t>,</w:t>
      </w:r>
      <w:r>
        <w:t xml:space="preserve"> que hoy en día, muy pocos economistas defenderían el cumplimiento continuo de la PPA, sin embargo, mucho consideran que alguna variante de la PPA (siempre en su versión relativa) </w:t>
      </w:r>
      <w:r w:rsidRPr="00825DC4">
        <w:rPr>
          <w:b/>
          <w:bCs/>
        </w:rPr>
        <w:t>sirve en cierta medida como ancla o referencia del tipo de cambio real en el largo plazo</w:t>
      </w:r>
      <w:r w:rsidRPr="00825DC4">
        <w:t>,</w:t>
      </w:r>
      <w:r>
        <w:t xml:space="preserve"> y por eso, las estimaciones de la PPA son utilizadas en la práctica como uno de los indicadores de ajuste del tipo de cambio nominal.</w:t>
      </w:r>
    </w:p>
    <w:p w14:paraId="535C4458" w14:textId="60C397F2" w:rsidR="00A12206" w:rsidRDefault="00A12206" w:rsidP="00844EE4">
      <w:pPr>
        <w:pStyle w:val="Nivel1SM"/>
      </w:pPr>
      <w:r>
        <w:t>En cualquier caso, debemos de tener en cuenta que la teoría de la PPA ha sido retomada por el enfoque monetario que veremos más adelante, y usad</w:t>
      </w:r>
      <w:r w:rsidR="00E42AAD">
        <w:t>a</w:t>
      </w:r>
      <w:r>
        <w:t xml:space="preserve"> como un indicador de la tendencia en el largo plazo del tipo de cambio.</w:t>
      </w:r>
    </w:p>
    <w:p w14:paraId="3C64C0B6" w14:textId="77777777" w:rsidR="00BC2795" w:rsidRPr="005727D1" w:rsidRDefault="00BC2795" w:rsidP="00BC2795">
      <w:pPr>
        <w:pStyle w:val="Nivel1SM"/>
        <w:spacing w:after="0"/>
      </w:pPr>
      <w:r>
        <w:rPr>
          <w:i/>
          <w:iCs/>
          <w:u w:val="single"/>
        </w:rPr>
        <w:t>Razones del incumplimiento de la PPA</w:t>
      </w:r>
      <w:r w:rsidRPr="00DC2CDC">
        <w:t>:</w:t>
      </w:r>
      <w:r>
        <w:t xml:space="preserve"> La PPA se incumple porque </w:t>
      </w:r>
      <w:r w:rsidRPr="00DC2CDC">
        <w:rPr>
          <w:b/>
          <w:bCs/>
        </w:rPr>
        <w:t>no se dan los su</w:t>
      </w:r>
      <w:r>
        <w:rPr>
          <w:b/>
          <w:bCs/>
        </w:rPr>
        <w:t>puestos de partida</w:t>
      </w:r>
      <w:r>
        <w:rPr>
          <w:rFonts w:eastAsiaTheme="minorEastAsia"/>
        </w:rPr>
        <w:t>:</w:t>
      </w:r>
    </w:p>
    <w:p w14:paraId="4124EF07" w14:textId="77777777" w:rsidR="00CA5FDF" w:rsidRDefault="00CA5FDF" w:rsidP="00CA5FDF">
      <w:pPr>
        <w:pStyle w:val="Prrafodelista"/>
        <w:numPr>
          <w:ilvl w:val="2"/>
          <w:numId w:val="16"/>
        </w:numPr>
        <w:spacing w:after="100"/>
        <w:ind w:left="568" w:hanging="284"/>
      </w:pPr>
      <w:r w:rsidRPr="004F062F">
        <w:rPr>
          <w:b/>
          <w:bCs/>
        </w:rPr>
        <w:t>Hay barreras al comercio</w:t>
      </w:r>
      <w:r>
        <w:t xml:space="preserve">, y esto ya fue mencionado por el propio </w:t>
      </w:r>
      <w:proofErr w:type="spellStart"/>
      <w:r w:rsidRPr="004F062F">
        <w:rPr>
          <w:smallCaps/>
        </w:rPr>
        <w:t>Cassel</w:t>
      </w:r>
      <w:proofErr w:type="spellEnd"/>
      <w:r>
        <w:t>, quien dijo que esto causaría que el tipo de cambio se desviara de la PPA.</w:t>
      </w:r>
    </w:p>
    <w:p w14:paraId="5957A087" w14:textId="77777777" w:rsidR="008956FA" w:rsidRDefault="008956FA" w:rsidP="008956FA">
      <w:pPr>
        <w:pStyle w:val="Prrafodelista"/>
        <w:numPr>
          <w:ilvl w:val="2"/>
          <w:numId w:val="16"/>
        </w:numPr>
        <w:spacing w:after="100"/>
        <w:ind w:left="568" w:hanging="284"/>
      </w:pPr>
      <w:r w:rsidRPr="005727D1">
        <w:t>En un</w:t>
      </w:r>
      <w:r w:rsidRPr="004F062F">
        <w:rPr>
          <w:b/>
          <w:bCs/>
        </w:rPr>
        <w:t xml:space="preserve"> contexto de competencia imperfecta</w:t>
      </w:r>
      <w:r w:rsidRPr="005727D1">
        <w:t xml:space="preserve"> un mismo bien puede ser ofrecido a un precio distinto en diferentes países si las empresas oferentes son </w:t>
      </w:r>
      <w:proofErr w:type="spellStart"/>
      <w:r w:rsidRPr="005727D1">
        <w:t>oligopolísticas</w:t>
      </w:r>
      <w:proofErr w:type="spellEnd"/>
      <w:r w:rsidRPr="004F062F">
        <w:rPr>
          <w:b/>
          <w:bCs/>
        </w:rPr>
        <w:t xml:space="preserve"> </w:t>
      </w:r>
      <w:r w:rsidRPr="005727D1">
        <w:t>(</w:t>
      </w:r>
      <w:proofErr w:type="spellStart"/>
      <w:r w:rsidRPr="004F062F">
        <w:rPr>
          <w:i/>
          <w:iCs/>
        </w:rPr>
        <w:t>pricing</w:t>
      </w:r>
      <w:proofErr w:type="spellEnd"/>
      <w:r w:rsidRPr="004F062F">
        <w:rPr>
          <w:i/>
          <w:iCs/>
        </w:rPr>
        <w:t xml:space="preserve"> </w:t>
      </w:r>
      <w:proofErr w:type="spellStart"/>
      <w:r w:rsidRPr="004F062F">
        <w:rPr>
          <w:i/>
          <w:iCs/>
        </w:rPr>
        <w:t>to</w:t>
      </w:r>
      <w:proofErr w:type="spellEnd"/>
      <w:r w:rsidRPr="004F062F">
        <w:rPr>
          <w:i/>
          <w:iCs/>
        </w:rPr>
        <w:t xml:space="preserve"> </w:t>
      </w:r>
      <w:proofErr w:type="spellStart"/>
      <w:r w:rsidRPr="004F062F">
        <w:rPr>
          <w:i/>
          <w:iCs/>
        </w:rPr>
        <w:t>market</w:t>
      </w:r>
      <w:proofErr w:type="spellEnd"/>
      <w:r w:rsidRPr="005727D1">
        <w:t>)</w:t>
      </w:r>
      <w:r>
        <w:t xml:space="preserve">, tal y como estudian </w:t>
      </w:r>
      <w:r w:rsidRPr="004F062F">
        <w:rPr>
          <w:smallCaps/>
        </w:rPr>
        <w:t>Krugman</w:t>
      </w:r>
      <w:r>
        <w:t xml:space="preserve"> (1987) y </w:t>
      </w:r>
      <w:proofErr w:type="spellStart"/>
      <w:r w:rsidRPr="004F062F">
        <w:rPr>
          <w:smallCaps/>
        </w:rPr>
        <w:t>Dornbusch</w:t>
      </w:r>
      <w:proofErr w:type="spellEnd"/>
      <w:r w:rsidRPr="004C05F9">
        <w:t xml:space="preserve"> </w:t>
      </w:r>
      <w:r>
        <w:t>(1987).</w:t>
      </w:r>
    </w:p>
    <w:p w14:paraId="3E560F5B" w14:textId="5371D2FA" w:rsidR="00BC2795" w:rsidRDefault="00BC2795" w:rsidP="00052BBA">
      <w:pPr>
        <w:pStyle w:val="Prrafodelista"/>
        <w:keepNext/>
        <w:numPr>
          <w:ilvl w:val="2"/>
          <w:numId w:val="16"/>
        </w:numPr>
        <w:spacing w:after="0"/>
        <w:ind w:left="568" w:hanging="284"/>
      </w:pPr>
      <w:r w:rsidRPr="00CA5FDF">
        <w:rPr>
          <w:b/>
          <w:bCs/>
        </w:rPr>
        <w:t>No todos los bienes son idénticos</w:t>
      </w:r>
      <w:r>
        <w:t xml:space="preserve"> </w:t>
      </w:r>
      <w:r w:rsidRPr="001410D0">
        <w:t xml:space="preserve">(tal y como estudia la </w:t>
      </w:r>
      <w:r w:rsidRPr="00CA5FDF">
        <w:rPr>
          <w:i/>
          <w:iCs/>
        </w:rPr>
        <w:t>“nueva” teoría del comercio internacional</w:t>
      </w:r>
      <w:r w:rsidRPr="001410D0">
        <w:t>)</w:t>
      </w:r>
      <w:r w:rsidR="00CA5FDF">
        <w:t xml:space="preserve"> y l</w:t>
      </w:r>
      <w:r>
        <w:t xml:space="preserve">a </w:t>
      </w:r>
      <w:r w:rsidRPr="00CA5FDF">
        <w:rPr>
          <w:b/>
          <w:bCs/>
        </w:rPr>
        <w:t>existencia de bienes no comercializables</w:t>
      </w:r>
      <w:r>
        <w:t xml:space="preserve"> conlleva al incumplimiento de la teoría de la PPA. Esto es demostrado por el </w:t>
      </w:r>
      <w:r w:rsidRPr="00CA5FDF">
        <w:rPr>
          <w:u w:val="single"/>
        </w:rPr>
        <w:t xml:space="preserve">modelo de </w:t>
      </w:r>
      <w:proofErr w:type="spellStart"/>
      <w:r w:rsidRPr="00CA5FDF">
        <w:rPr>
          <w:smallCaps/>
          <w:u w:val="single"/>
        </w:rPr>
        <w:t>Balassa</w:t>
      </w:r>
      <w:proofErr w:type="spellEnd"/>
      <w:r w:rsidRPr="00CA5FDF">
        <w:rPr>
          <w:smallCaps/>
          <w:u w:val="single"/>
        </w:rPr>
        <w:t>-Samuelson</w:t>
      </w:r>
      <w:r w:rsidRPr="004C05F9">
        <w:rPr>
          <w:rStyle w:val="Refdenotaalpie"/>
          <w:smallCaps/>
        </w:rPr>
        <w:footnoteReference w:id="12"/>
      </w:r>
      <w:r>
        <w:t>, que considera la existencia de bienes no comercializables (servicios) y sí comercializables (manufacturas). La secuencia lógica es la siguiente:</w:t>
      </w:r>
    </w:p>
    <w:p w14:paraId="0B523CB9" w14:textId="77777777" w:rsidR="00E36C0A" w:rsidRDefault="00BC2795" w:rsidP="00B72D55">
      <w:pPr>
        <w:pStyle w:val="Prrafodelista"/>
        <w:numPr>
          <w:ilvl w:val="0"/>
          <w:numId w:val="40"/>
        </w:numPr>
        <w:spacing w:after="0"/>
        <w:ind w:left="1134" w:hanging="113"/>
      </w:pPr>
      <w:r w:rsidRPr="00E36C0A">
        <w:t>Se</w:t>
      </w:r>
      <w:r>
        <w:t xml:space="preserve"> supone un aumento de la productividad en el sector comercializable doméstico. </w:t>
      </w:r>
      <w:r w:rsidRPr="005C61F3">
        <w:t>Esto</w:t>
      </w:r>
      <w:r>
        <w:t xml:space="preserve"> provoca que aumenten los salarios reales (debido al supuesto de competencia perfecta).</w:t>
      </w:r>
    </w:p>
    <w:p w14:paraId="35011A7F" w14:textId="77777777" w:rsidR="00E36C0A" w:rsidRDefault="00BC2795" w:rsidP="00B72D55">
      <w:pPr>
        <w:pStyle w:val="Prrafodelista"/>
        <w:numPr>
          <w:ilvl w:val="0"/>
          <w:numId w:val="40"/>
        </w:numPr>
        <w:spacing w:after="0"/>
        <w:ind w:left="1134" w:hanging="113"/>
      </w:pPr>
      <w:r>
        <w:t>Como los salarios reales son iguales a su producto marginal y son los mismos para toda la economía (por la libre movilidad de factores entre sectores), el aumento de productividad en el sector de las manufacturas se traslada al sector servicios.</w:t>
      </w:r>
    </w:p>
    <w:p w14:paraId="2822A8F7" w14:textId="77777777" w:rsidR="00E36C0A" w:rsidRDefault="00BC2795" w:rsidP="00B72D55">
      <w:pPr>
        <w:pStyle w:val="Prrafodelista"/>
        <w:numPr>
          <w:ilvl w:val="0"/>
          <w:numId w:val="40"/>
        </w:numPr>
        <w:spacing w:after="0"/>
        <w:ind w:left="1134" w:hanging="113"/>
      </w:pPr>
      <w:r>
        <w:t>El precio de los bienes comercializables se mantiene constante (no puede cambiar porque se cumple la ley de precio único).</w:t>
      </w:r>
    </w:p>
    <w:p w14:paraId="4FC94B32" w14:textId="77777777" w:rsidR="00E36C0A" w:rsidRDefault="00BC2795" w:rsidP="00B72D55">
      <w:pPr>
        <w:pStyle w:val="Prrafodelista"/>
        <w:numPr>
          <w:ilvl w:val="0"/>
          <w:numId w:val="40"/>
        </w:numPr>
        <w:spacing w:after="0"/>
        <w:ind w:left="1134" w:hanging="113"/>
      </w:pPr>
      <w:r>
        <w:t>Sin embargo, el aumento de salarios, llevará a que las empresas del sector servicios eleven sus precios para igualarlos al nuevo coste marginal del sector que incluye costes laborales más altos.</w:t>
      </w:r>
    </w:p>
    <w:p w14:paraId="609EA812" w14:textId="2AE7BB05" w:rsidR="00BC2795" w:rsidRDefault="00BC2795" w:rsidP="00B72D55">
      <w:pPr>
        <w:pStyle w:val="Prrafodelista"/>
        <w:numPr>
          <w:ilvl w:val="0"/>
          <w:numId w:val="40"/>
        </w:numPr>
        <w:spacing w:after="0"/>
        <w:ind w:left="1134" w:hanging="113"/>
      </w:pPr>
      <w:r>
        <w:t>Esto da lugar</w:t>
      </w:r>
      <w:r w:rsidR="000948F1">
        <w:t>,</w:t>
      </w:r>
      <w:r>
        <w:t xml:space="preserve"> a su vez</w:t>
      </w:r>
      <w:r w:rsidR="000948F1">
        <w:t>,</w:t>
      </w:r>
      <w:r>
        <w:t xml:space="preserve"> a un incremento del nivel agregado de precios de la economía nacional, provocando una apreciación del tipo de cambio real de la economía doméstica.</w:t>
      </w:r>
    </w:p>
    <w:p w14:paraId="16FE8A28" w14:textId="463147F0" w:rsidR="006A2C6E" w:rsidRPr="006A2C6E" w:rsidRDefault="006A2C6E" w:rsidP="006A2C6E">
      <w:pPr>
        <w:pStyle w:val="Ttuloimagen"/>
        <w:rPr>
          <w:smallCaps w:val="0"/>
        </w:rPr>
      </w:pPr>
      <w:r>
        <w:t>Imagen</w:t>
      </w:r>
      <w:r w:rsidR="00C26C58">
        <w:t> </w:t>
      </w:r>
      <w:r>
        <w:fldChar w:fldCharType="begin"/>
      </w:r>
      <w:r>
        <w:instrText xml:space="preserve"> SEQ Ilustración \* ARABIC </w:instrText>
      </w:r>
      <w:r>
        <w:fldChar w:fldCharType="separate"/>
      </w:r>
      <w:r w:rsidR="00A448D4">
        <w:t>3</w:t>
      </w:r>
      <w:r>
        <w:fldChar w:fldCharType="end"/>
      </w:r>
      <w:r>
        <w:rPr>
          <w:smallCaps w:val="0"/>
        </w:rPr>
        <w:t xml:space="preserve">.– </w:t>
      </w:r>
      <w:r>
        <w:rPr>
          <w:i/>
          <w:iCs/>
          <w:smallCaps w:val="0"/>
        </w:rPr>
        <w:t>Hipótesis de Balassa-Samuelson</w:t>
      </w:r>
    </w:p>
    <w:p w14:paraId="1F3EA26C" w14:textId="7321294C" w:rsidR="006A2C6E" w:rsidRDefault="006A2C6E" w:rsidP="006A2C6E">
      <w:pPr>
        <w:pStyle w:val="Imagen"/>
      </w:pPr>
      <w:r>
        <w:drawing>
          <wp:inline distT="0" distB="0" distL="0" distR="0" wp14:anchorId="5FFDE4EA" wp14:editId="5A3A2D76">
            <wp:extent cx="4546639" cy="720000"/>
            <wp:effectExtent l="0" t="0" r="0" b="4445"/>
            <wp:docPr id="12" name="Imagen 1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10;&#10;Descripción generada automáticamente"/>
                    <pic:cNvPicPr/>
                  </pic:nvPicPr>
                  <pic:blipFill rotWithShape="1">
                    <a:blip r:embed="rId12"/>
                    <a:srcRect l="6404" t="38422" r="5983" b="36911"/>
                    <a:stretch/>
                  </pic:blipFill>
                  <pic:spPr bwMode="auto">
                    <a:xfrm>
                      <a:off x="0" y="0"/>
                      <a:ext cx="4546639" cy="720000"/>
                    </a:xfrm>
                    <a:prstGeom prst="rect">
                      <a:avLst/>
                    </a:prstGeom>
                    <a:ln>
                      <a:noFill/>
                    </a:ln>
                    <a:extLst>
                      <a:ext uri="{53640926-AAD7-44D8-BBD7-CCE9431645EC}">
                        <a14:shadowObscured xmlns:a14="http://schemas.microsoft.com/office/drawing/2010/main"/>
                      </a:ext>
                    </a:extLst>
                  </pic:spPr>
                </pic:pic>
              </a:graphicData>
            </a:graphic>
          </wp:inline>
        </w:drawing>
      </w:r>
    </w:p>
    <w:p w14:paraId="61838917" w14:textId="53935804" w:rsidR="006A2C6E" w:rsidRPr="006A2C6E" w:rsidRDefault="006A2C6E" w:rsidP="006A2C6E">
      <w:pPr>
        <w:pStyle w:val="PiedeImagen"/>
        <w:rPr>
          <w:i w:val="0"/>
          <w:iCs/>
        </w:rPr>
      </w:pPr>
      <w:r>
        <w:t>Fuente</w:t>
      </w:r>
      <w:r>
        <w:rPr>
          <w:i w:val="0"/>
          <w:iCs/>
        </w:rPr>
        <w:t>: Elaboración propia</w:t>
      </w:r>
    </w:p>
    <w:p w14:paraId="41A2A8AF" w14:textId="53F189C0" w:rsidR="00BC2795" w:rsidRDefault="00E36C0A" w:rsidP="00E36C0A">
      <w:pPr>
        <w:pStyle w:val="Nivel2SM"/>
        <w:keepNext/>
        <w:numPr>
          <w:ilvl w:val="0"/>
          <w:numId w:val="0"/>
        </w:numPr>
        <w:spacing w:after="0"/>
        <w:ind w:left="567"/>
      </w:pPr>
      <w:r>
        <w:lastRenderedPageBreak/>
        <w:t>En conclusión, s</w:t>
      </w:r>
      <w:r w:rsidR="00BC2795">
        <w:t>i la productividad crece más en el sector de las manufacturas pero el correspondiente aumento salarial se traslada a toda la economía (porque hay libertad de movimiento de factores entre sectores), entonces los precios crecerán en exceso en el sector aislado de la competencia, y se producirá una apreciación del tipo de cambio real.</w:t>
      </w:r>
    </w:p>
    <w:p w14:paraId="182E1BDE" w14:textId="796CBEC9" w:rsidR="00BC2795" w:rsidRDefault="00BC2795" w:rsidP="00E36C0A">
      <w:pPr>
        <w:pStyle w:val="Nivel3SM"/>
      </w:pPr>
      <w:r>
        <w:t>Este modelo explica, por tanto, por qué los países ricos tienen unos niveles de precios y salarios superiores (tanto porque tienen mayor productividad como porque su sector servicios tiene más peso), lo que explica a su vez que el tipo de cambio real</w:t>
      </w:r>
      <w:r w:rsidRPr="00A82DAC">
        <w:t xml:space="preserve"> de l</w:t>
      </w:r>
      <w:r>
        <w:t>os países desarrollados esté más apreciado</w:t>
      </w:r>
      <w:r w:rsidR="002658F0">
        <w:t xml:space="preserve"> –tal y como evidencia el índice Big Mac–</w:t>
      </w:r>
      <w:r>
        <w:t xml:space="preserve"> (y que no se cumpla, por tanto, la teoría de la PPA).</w:t>
      </w:r>
    </w:p>
    <w:p w14:paraId="3BEFC267" w14:textId="77777777" w:rsidR="00BC2795" w:rsidRDefault="00BC2795" w:rsidP="00E36C0A">
      <w:pPr>
        <w:pStyle w:val="Nivel3SM"/>
        <w:keepNext/>
      </w:pPr>
      <w:r>
        <w:t>Esta explicación ha sido usada varias veces a lo largo de la historia:</w:t>
      </w:r>
    </w:p>
    <w:p w14:paraId="7801D071" w14:textId="77777777" w:rsidR="00BC2795" w:rsidRDefault="00BC2795" w:rsidP="00E150AC">
      <w:pPr>
        <w:pStyle w:val="Nivel4"/>
        <w:ind w:left="1474"/>
      </w:pPr>
      <w:r>
        <w:t xml:space="preserve">En su momento, la apreciación real del yen japonés frente al dólar, a medida que en las décadas de 1970 y 1980 Japón </w:t>
      </w:r>
      <w:r w:rsidRPr="00773BEB">
        <w:t>«</w:t>
      </w:r>
      <w:r>
        <w:t>atrapaba</w:t>
      </w:r>
      <w:r w:rsidRPr="00773BEB">
        <w:t>»</w:t>
      </w:r>
      <w:r>
        <w:t xml:space="preserve"> en crecimiento a Estados Unidos, se presentó como una evidencia a favor de la hipótesis de </w:t>
      </w:r>
      <w:proofErr w:type="spellStart"/>
      <w:r>
        <w:t>Balassa</w:t>
      </w:r>
      <w:proofErr w:type="spellEnd"/>
      <w:r>
        <w:t>-Samuelson.</w:t>
      </w:r>
    </w:p>
    <w:p w14:paraId="78A675E2" w14:textId="77777777" w:rsidR="00BC2795" w:rsidRPr="00F7018F" w:rsidRDefault="00BC2795" w:rsidP="00E150AC">
      <w:pPr>
        <w:pStyle w:val="Nivel4"/>
        <w:ind w:left="1474"/>
      </w:pPr>
      <w:r w:rsidRPr="00F7018F">
        <w:t>Más recientemente</w:t>
      </w:r>
      <w:r>
        <w:t>,</w:t>
      </w:r>
      <w:r w:rsidRPr="00F7018F">
        <w:t xml:space="preserve"> se </w:t>
      </w:r>
      <w:r>
        <w:t xml:space="preserve">ha </w:t>
      </w:r>
      <w:r w:rsidRPr="00F7018F">
        <w:t>debat</w:t>
      </w:r>
      <w:r>
        <w:t>ido</w:t>
      </w:r>
      <w:r w:rsidRPr="00F7018F">
        <w:t xml:space="preserve"> su aplicabilidad a países en rápido crecimiento como China.</w:t>
      </w:r>
    </w:p>
    <w:p w14:paraId="2505629A" w14:textId="4666734B" w:rsidR="00BC2795" w:rsidRDefault="00BC2795" w:rsidP="00E150AC">
      <w:pPr>
        <w:pStyle w:val="Nivel4"/>
        <w:ind w:left="1474"/>
      </w:pPr>
      <w:r>
        <w:t xml:space="preserve">También se ha intentado aplicar este efecto para dar explicaciones </w:t>
      </w:r>
      <w:r w:rsidRPr="00773BEB">
        <w:t>«</w:t>
      </w:r>
      <w:r>
        <w:t>tranquilizadoras</w:t>
      </w:r>
      <w:r w:rsidRPr="00773BEB">
        <w:t>»</w:t>
      </w:r>
      <w:r>
        <w:t xml:space="preserve"> según las cuales una apreciación del tipo de cambio real podría no ser preocupante para la competitividad de un país si su causa fuese realmente una mejor evolución de la productividad. En ese caso, la apreciación sería meramente un </w:t>
      </w:r>
      <w:r w:rsidRPr="00773BEB">
        <w:t>«</w:t>
      </w:r>
      <w:r>
        <w:t>efecto colateral</w:t>
      </w:r>
      <w:r w:rsidRPr="00773BEB">
        <w:t>»</w:t>
      </w:r>
      <w:r>
        <w:t xml:space="preserve"> de un fenómeno positivo como esa mejora.</w:t>
      </w:r>
    </w:p>
    <w:p w14:paraId="5AA47F64" w14:textId="2503CC15" w:rsidR="00BC2795" w:rsidRDefault="00BC2795" w:rsidP="00CA5FDF">
      <w:pPr>
        <w:pStyle w:val="Nivel2SM"/>
        <w:numPr>
          <w:ilvl w:val="0"/>
          <w:numId w:val="0"/>
        </w:numPr>
        <w:spacing w:after="0"/>
        <w:ind w:left="567"/>
      </w:pPr>
      <w:r>
        <w:t xml:space="preserve">En definitiva, según la hipótesis de </w:t>
      </w:r>
      <w:proofErr w:type="spellStart"/>
      <w:r>
        <w:t>Balassa</w:t>
      </w:r>
      <w:proofErr w:type="spellEnd"/>
      <w:r>
        <w:t>-Samuelson, el tipo de cambio real es función del diferencial entre la productividad relativa de cada país</w:t>
      </w:r>
      <w:r w:rsidR="009813CF">
        <w:rPr>
          <w:rStyle w:val="Refdenotaalpie"/>
        </w:rPr>
        <w:footnoteReference w:id="13"/>
      </w:r>
      <w:r>
        <w:t>.</w:t>
      </w:r>
    </w:p>
    <w:p w14:paraId="15B6BDF6" w14:textId="6E815901" w:rsidR="00A12206" w:rsidRDefault="00A80BD4" w:rsidP="00A12206">
      <w:pPr>
        <w:pStyle w:val="Ttulo2"/>
      </w:pPr>
      <w:bookmarkStart w:id="21" w:name="_Toc136424363"/>
      <w:r>
        <w:t>Teoría</w:t>
      </w:r>
      <w:r w:rsidR="00A12206">
        <w:t>s de las paridades de intereses (PCI y P</w:t>
      </w:r>
      <w:r w:rsidR="00316A28">
        <w:t>NC</w:t>
      </w:r>
      <w:r w:rsidR="00A12206">
        <w:t>I). Flujos de capitales.</w:t>
      </w:r>
      <w:bookmarkEnd w:id="21"/>
    </w:p>
    <w:p w14:paraId="1EA23F9D" w14:textId="77777777" w:rsidR="00A12206" w:rsidRPr="00276B39" w:rsidRDefault="00A12206" w:rsidP="00A12206">
      <w:pPr>
        <w:pStyle w:val="Notaalopositor"/>
      </w:pPr>
      <w:r>
        <w:t>Ver Gandolfo (</w:t>
      </w:r>
      <w:proofErr w:type="spellStart"/>
      <w:r>
        <w:t>Chapter</w:t>
      </w:r>
      <w:proofErr w:type="spellEnd"/>
      <w:r>
        <w:t xml:space="preserve"> 4, págs. 53 y ss.)</w:t>
      </w:r>
    </w:p>
    <w:p w14:paraId="516F3B2F" w14:textId="77777777" w:rsidR="00A12206" w:rsidRDefault="00A12206" w:rsidP="00772CED">
      <w:pPr>
        <w:pStyle w:val="Ttulo6"/>
        <w:spacing w:before="0"/>
      </w:pPr>
      <w:bookmarkStart w:id="22" w:name="_Toc55381922"/>
      <w:bookmarkStart w:id="23" w:name="_Toc55382057"/>
      <w:bookmarkStart w:id="24" w:name="_Toc55382092"/>
      <w:bookmarkStart w:id="25" w:name="_Toc55381923"/>
      <w:bookmarkStart w:id="26" w:name="_Toc55382058"/>
      <w:bookmarkStart w:id="27" w:name="_Toc55382093"/>
      <w:bookmarkStart w:id="28" w:name="_Toc55382521"/>
      <w:bookmarkStart w:id="29" w:name="_Toc55381924"/>
      <w:bookmarkStart w:id="30" w:name="_Toc55382059"/>
      <w:bookmarkStart w:id="31" w:name="_Toc55382094"/>
      <w:bookmarkStart w:id="32" w:name="_Toc55382522"/>
      <w:bookmarkStart w:id="33" w:name="_Toc136424364"/>
      <w:bookmarkEnd w:id="22"/>
      <w:bookmarkEnd w:id="23"/>
      <w:bookmarkEnd w:id="24"/>
      <w:bookmarkEnd w:id="25"/>
      <w:bookmarkEnd w:id="26"/>
      <w:bookmarkEnd w:id="27"/>
      <w:bookmarkEnd w:id="28"/>
      <w:bookmarkEnd w:id="29"/>
      <w:bookmarkEnd w:id="30"/>
      <w:bookmarkEnd w:id="31"/>
      <w:bookmarkEnd w:id="32"/>
      <w:r>
        <w:t>Idea</w:t>
      </w:r>
      <w:bookmarkEnd w:id="33"/>
    </w:p>
    <w:p w14:paraId="333E490D" w14:textId="0572D3CD" w:rsidR="00A12206" w:rsidRDefault="00A12206" w:rsidP="00772CED">
      <w:pPr>
        <w:pStyle w:val="Nivel1SM"/>
        <w:keepNext/>
        <w:spacing w:before="0" w:after="0"/>
      </w:pPr>
      <w:r>
        <w:t xml:space="preserve">Según estos modelos, el tipo de cambio se ajusta para </w:t>
      </w:r>
      <w:r w:rsidRPr="00443AA9">
        <w:rPr>
          <w:b/>
          <w:bCs/>
        </w:rPr>
        <w:t>igualar la rentabilidad</w:t>
      </w:r>
      <w:r>
        <w:t xml:space="preserve"> de inversión en activos domésticos y extranjeros, es decir, para que no existan oportunidades de </w:t>
      </w:r>
      <w:r w:rsidRPr="00D504B5">
        <w:rPr>
          <w:i/>
          <w:iCs/>
        </w:rPr>
        <w:t>arbitraje</w:t>
      </w:r>
      <w:r>
        <w:t xml:space="preserve"> (</w:t>
      </w:r>
      <w:r w:rsidR="00D504B5">
        <w:t xml:space="preserve">Paridad </w:t>
      </w:r>
      <w:r w:rsidR="00443AA9">
        <w:t>C</w:t>
      </w:r>
      <w:r w:rsidR="00D504B5">
        <w:t xml:space="preserve">ubierta de </w:t>
      </w:r>
      <w:r w:rsidR="00443AA9">
        <w:t>I</w:t>
      </w:r>
      <w:r w:rsidR="00D504B5">
        <w:t xml:space="preserve">ntereses, </w:t>
      </w:r>
      <w:r>
        <w:t xml:space="preserve">PCI) ni de </w:t>
      </w:r>
      <w:r w:rsidRPr="00D504B5">
        <w:rPr>
          <w:i/>
          <w:iCs/>
        </w:rPr>
        <w:t>especulación</w:t>
      </w:r>
      <w:r>
        <w:t xml:space="preserve"> (</w:t>
      </w:r>
      <w:r w:rsidR="00D504B5">
        <w:t xml:space="preserve">Paridad </w:t>
      </w:r>
      <w:r w:rsidR="00316A28">
        <w:t>No C</w:t>
      </w:r>
      <w:r w:rsidR="00D504B5">
        <w:t xml:space="preserve">ubierta de </w:t>
      </w:r>
      <w:r w:rsidR="00443AA9">
        <w:t>I</w:t>
      </w:r>
      <w:r w:rsidR="00D504B5">
        <w:t xml:space="preserve">ntereses, </w:t>
      </w:r>
      <w:r>
        <w:t>P</w:t>
      </w:r>
      <w:r w:rsidR="00316A28">
        <w:t>NC</w:t>
      </w:r>
      <w:r>
        <w:t>I).</w:t>
      </w:r>
    </w:p>
    <w:p w14:paraId="41AD125D" w14:textId="4AFB5E0B" w:rsidR="00A80BD4" w:rsidRPr="00F80946" w:rsidRDefault="007E590B" w:rsidP="007E590B">
      <w:pPr>
        <w:pStyle w:val="Nivel2SM"/>
      </w:pPr>
      <w:r>
        <w:t xml:space="preserve">Esta teoría, que aplica la lógica del arbitraje a los activos financieros fue popularizada por </w:t>
      </w:r>
      <w:r>
        <w:rPr>
          <w:smallCaps/>
        </w:rPr>
        <w:t>Keynes</w:t>
      </w:r>
      <w:r>
        <w:t xml:space="preserve"> en su </w:t>
      </w:r>
      <w:r>
        <w:rPr>
          <w:i/>
          <w:iCs/>
        </w:rPr>
        <w:t>“</w:t>
      </w:r>
      <w:r w:rsidRPr="007E590B">
        <w:rPr>
          <w:i/>
          <w:iCs/>
        </w:rPr>
        <w:t>Breve tratado sobre la reforma monetaria”</w:t>
      </w:r>
      <w:r>
        <w:t xml:space="preserve"> (1923).</w:t>
      </w:r>
    </w:p>
    <w:p w14:paraId="77853C6E" w14:textId="77777777" w:rsidR="00A12206" w:rsidRDefault="00A12206" w:rsidP="00A12206">
      <w:pPr>
        <w:pStyle w:val="Ttulo6"/>
      </w:pPr>
      <w:bookmarkStart w:id="34" w:name="_Toc136424365"/>
      <w:r>
        <w:t>Modelo</w:t>
      </w:r>
      <w:bookmarkEnd w:id="34"/>
    </w:p>
    <w:p w14:paraId="4D6C3774" w14:textId="12ABEA3C" w:rsidR="00A12206" w:rsidRDefault="00A12206" w:rsidP="00772CED">
      <w:pPr>
        <w:pStyle w:val="Ttulo7"/>
        <w:spacing w:before="0"/>
      </w:pPr>
      <w:r>
        <w:t>Supuestos</w:t>
      </w:r>
    </w:p>
    <w:p w14:paraId="6845B3DF" w14:textId="4F1270BE" w:rsidR="00A80BD4" w:rsidRPr="00A80BD4" w:rsidRDefault="00A80BD4" w:rsidP="00772CED">
      <w:pPr>
        <w:pStyle w:val="Nivel1SM"/>
        <w:keepNext/>
        <w:spacing w:before="0" w:after="0"/>
      </w:pPr>
      <w:r>
        <w:t>Partiremos de los siguientes supuestos</w:t>
      </w:r>
      <w:r w:rsidR="00573B0C">
        <w:rPr>
          <w:rStyle w:val="Refdenotaalpie"/>
        </w:rPr>
        <w:footnoteReference w:id="14"/>
      </w:r>
      <w:r>
        <w:t>:</w:t>
      </w:r>
    </w:p>
    <w:p w14:paraId="13CDA900" w14:textId="77777777" w:rsidR="002C7AC2" w:rsidRDefault="00A12206" w:rsidP="00052BBA">
      <w:pPr>
        <w:pStyle w:val="Prrafodelista"/>
        <w:numPr>
          <w:ilvl w:val="3"/>
          <w:numId w:val="16"/>
        </w:numPr>
        <w:spacing w:after="100"/>
        <w:ind w:left="568" w:hanging="284"/>
      </w:pPr>
      <w:r w:rsidRPr="007E590B">
        <w:t>Libre movilidad de capitales;</w:t>
      </w:r>
    </w:p>
    <w:p w14:paraId="49181892" w14:textId="77777777" w:rsidR="002C7AC2" w:rsidRDefault="00F92A40" w:rsidP="00052BBA">
      <w:pPr>
        <w:pStyle w:val="Prrafodelista"/>
        <w:numPr>
          <w:ilvl w:val="3"/>
          <w:numId w:val="16"/>
        </w:numPr>
        <w:spacing w:after="100"/>
        <w:ind w:left="568" w:hanging="284"/>
      </w:pPr>
      <w:r w:rsidRPr="007E590B">
        <w:t>Perfecta sustituibilidad entre activos nacionales y extranjeros;</w:t>
      </w:r>
      <w:r w:rsidR="005727D1" w:rsidRPr="007E590B">
        <w:t xml:space="preserve"> y</w:t>
      </w:r>
    </w:p>
    <w:p w14:paraId="26B1DBA6" w14:textId="668B8DE5" w:rsidR="00443AA9" w:rsidRDefault="00A12206" w:rsidP="00052BBA">
      <w:pPr>
        <w:pStyle w:val="Prrafodelista"/>
        <w:numPr>
          <w:ilvl w:val="3"/>
          <w:numId w:val="16"/>
        </w:numPr>
        <w:spacing w:after="100"/>
        <w:ind w:left="568" w:hanging="284"/>
      </w:pPr>
      <w:r w:rsidRPr="007E590B">
        <w:t>Neutralidad</w:t>
      </w:r>
      <w:r>
        <w:t xml:space="preserve"> al riesgo de los agentes</w:t>
      </w:r>
      <w:r w:rsidR="007E590B">
        <w:t xml:space="preserve"> y expectativas no</w:t>
      </w:r>
      <w:r w:rsidR="004245FE">
        <w:t> </w:t>
      </w:r>
      <w:r w:rsidR="007E590B">
        <w:t>sesgadas</w:t>
      </w:r>
      <w:r w:rsidR="005727D1">
        <w:t>.</w:t>
      </w:r>
    </w:p>
    <w:p w14:paraId="351153C1" w14:textId="77777777" w:rsidR="00A12206" w:rsidRDefault="00A12206" w:rsidP="00A12206">
      <w:pPr>
        <w:pStyle w:val="Ttulo7"/>
      </w:pPr>
      <w:r>
        <w:lastRenderedPageBreak/>
        <w:t>Desarrollo</w:t>
      </w:r>
    </w:p>
    <w:p w14:paraId="74C6D1E6" w14:textId="09F36D63" w:rsidR="00A12206" w:rsidRDefault="00A12206" w:rsidP="00202C93">
      <w:pPr>
        <w:pStyle w:val="Nivel1SM"/>
        <w:keepNext/>
        <w:spacing w:before="0" w:after="0"/>
      </w:pPr>
      <w:bookmarkStart w:id="35" w:name="_Hlk101171715"/>
      <w:r>
        <w:t xml:space="preserve">Supongamos un inversor que posee una determinada </w:t>
      </w:r>
      <w:r w:rsidRPr="00F80946">
        <w:rPr>
          <w:b/>
          <w:bCs/>
        </w:rPr>
        <w:t>cantidad</w:t>
      </w:r>
      <w:r>
        <w:t xml:space="preserve"> de su </w:t>
      </w:r>
      <w:r w:rsidRPr="00F80946">
        <w:rPr>
          <w:b/>
          <w:bCs/>
        </w:rPr>
        <w:t>moneda nacional</w:t>
      </w:r>
      <w:r>
        <w:t xml:space="preserve"> y quiere </w:t>
      </w:r>
      <w:r w:rsidRPr="00F80946">
        <w:rPr>
          <w:b/>
          <w:bCs/>
        </w:rPr>
        <w:t>invertirla</w:t>
      </w:r>
      <w:r>
        <w:t xml:space="preserve"> en un activo financiero. Tiene </w:t>
      </w:r>
      <w:r w:rsidRPr="00F80946">
        <w:rPr>
          <w:b/>
          <w:bCs/>
        </w:rPr>
        <w:t>2</w:t>
      </w:r>
      <w:r w:rsidR="00C26C58">
        <w:rPr>
          <w:b/>
          <w:bCs/>
        </w:rPr>
        <w:t> </w:t>
      </w:r>
      <w:r w:rsidRPr="00F80946">
        <w:rPr>
          <w:b/>
          <w:bCs/>
        </w:rPr>
        <w:t>opciones</w:t>
      </w:r>
      <w:r w:rsidR="001754CE" w:rsidRPr="001754CE">
        <w:rPr>
          <w:rStyle w:val="Refdenotaalpie"/>
        </w:rPr>
        <w:footnoteReference w:id="15"/>
      </w:r>
      <w:r>
        <w:t>:</w:t>
      </w:r>
    </w:p>
    <w:p w14:paraId="0A6F6D01" w14:textId="77B54D09" w:rsidR="00A12206" w:rsidRPr="00D504B5" w:rsidRDefault="00A12206" w:rsidP="00202C93">
      <w:pPr>
        <w:pStyle w:val="Nmero"/>
        <w:keepNext/>
        <w:numPr>
          <w:ilvl w:val="0"/>
          <w:numId w:val="13"/>
        </w:numPr>
        <w:spacing w:after="0"/>
        <w:ind w:left="369" w:hanging="227"/>
        <w:rPr>
          <w:spacing w:val="-2"/>
        </w:rPr>
      </w:pPr>
      <w:r w:rsidRPr="00D504B5">
        <w:rPr>
          <w:spacing w:val="-2"/>
        </w:rPr>
        <w:t>Invertir 1</w:t>
      </w:r>
      <w:r w:rsidR="00C26C58">
        <w:rPr>
          <w:spacing w:val="-2"/>
        </w:rPr>
        <w:t> </w:t>
      </w:r>
      <w:proofErr w:type="spellStart"/>
      <w:r w:rsidRPr="00D504B5">
        <w:rPr>
          <w:spacing w:val="-2"/>
        </w:rPr>
        <w:t>u.m</w:t>
      </w:r>
      <w:proofErr w:type="spellEnd"/>
      <w:r w:rsidRPr="00D504B5">
        <w:rPr>
          <w:spacing w:val="-2"/>
        </w:rPr>
        <w:t xml:space="preserve">. nacional en un </w:t>
      </w:r>
      <w:r w:rsidRPr="00D504B5">
        <w:rPr>
          <w:i/>
          <w:iCs/>
          <w:spacing w:val="-2"/>
        </w:rPr>
        <w:t>activo nacional</w:t>
      </w:r>
      <w:r w:rsidRPr="00D504B5">
        <w:rPr>
          <w:spacing w:val="-2"/>
        </w:rPr>
        <w:t xml:space="preserve">, con lo que obtendría </w:t>
      </w:r>
      <m:oMath>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i</m:t>
            </m:r>
          </m:e>
        </m:d>
      </m:oMath>
      <w:r w:rsidRPr="00D504B5">
        <w:rPr>
          <w:rFonts w:eastAsiaTheme="minorEastAsia"/>
          <w:spacing w:val="-2"/>
        </w:rPr>
        <w:t xml:space="preserve"> de rendimiento bruto.</w:t>
      </w:r>
    </w:p>
    <w:p w14:paraId="6FB569FF" w14:textId="5AA3DEF1" w:rsidR="00A12206" w:rsidRPr="00F80946" w:rsidRDefault="00A12206" w:rsidP="00C00C4B">
      <w:pPr>
        <w:pStyle w:val="Nmero"/>
        <w:keepNext/>
        <w:spacing w:after="0"/>
        <w:ind w:left="369"/>
        <w:contextualSpacing/>
      </w:pPr>
      <w:r>
        <w:rPr>
          <w:rFonts w:eastAsiaTheme="minorEastAsia"/>
        </w:rPr>
        <w:t xml:space="preserve">Invertir </w:t>
      </w:r>
      <w:r>
        <w:t>1</w:t>
      </w:r>
      <w:r w:rsidR="00C26C58">
        <w:t> </w:t>
      </w:r>
      <w:proofErr w:type="spellStart"/>
      <w:r>
        <w:t>u.m</w:t>
      </w:r>
      <w:proofErr w:type="spellEnd"/>
      <w:r>
        <w:t xml:space="preserve">. nacional en un activo extranjero, con lo que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num>
          <m:den>
            <m:sSub>
              <m:sSubPr>
                <m:ctrlPr>
                  <w:rPr>
                    <w:rFonts w:ascii="Cambria Math" w:hAnsi="Cambria Math"/>
                    <w:i/>
                  </w:rPr>
                </m:ctrlPr>
              </m:sSubPr>
              <m:e>
                <m:r>
                  <m:rPr>
                    <m:nor/>
                  </m:rPr>
                  <w:rPr>
                    <w:i/>
                  </w:rPr>
                  <m:t>s</m:t>
                </m:r>
              </m:e>
              <m:sub>
                <m:r>
                  <m:rPr>
                    <m:nor/>
                  </m:rPr>
                  <w:rPr>
                    <w:i/>
                  </w:rPr>
                  <m:t>t</m:t>
                </m:r>
              </m:sub>
            </m:sSub>
          </m:den>
        </m:f>
      </m:oMath>
      <w:r>
        <w:rPr>
          <w:rFonts w:eastAsiaTheme="minorEastAsia"/>
        </w:rPr>
        <w:t xml:space="preserve"> de rendimiento bruto. Para entender este rendimiento vamos a desarrollar las actividades que debería llevar a cabo este inversor:</w:t>
      </w:r>
    </w:p>
    <w:p w14:paraId="1DB0430A" w14:textId="04283CBA" w:rsidR="00A12206" w:rsidRPr="00EC4253" w:rsidRDefault="00A12206">
      <w:pPr>
        <w:pStyle w:val="Nmero"/>
        <w:numPr>
          <w:ilvl w:val="1"/>
          <w:numId w:val="5"/>
        </w:numPr>
        <w:spacing w:after="0"/>
        <w:ind w:left="851" w:hanging="227"/>
        <w:rPr>
          <w:spacing w:val="-2"/>
        </w:rPr>
      </w:pPr>
      <w:r w:rsidRPr="00EC4253">
        <w:rPr>
          <w:spacing w:val="-2"/>
        </w:rPr>
        <w:t>Comprar moneda extranjera hoy al tipo spot actual: por 1</w:t>
      </w:r>
      <w:r w:rsidR="004245FE" w:rsidRPr="00EC4253">
        <w:rPr>
          <w:spacing w:val="-2"/>
        </w:rPr>
        <w:t> </w:t>
      </w:r>
      <w:proofErr w:type="spellStart"/>
      <w:r w:rsidRPr="00EC4253">
        <w:rPr>
          <w:spacing w:val="-2"/>
        </w:rPr>
        <w:t>u.m</w:t>
      </w:r>
      <w:proofErr w:type="spellEnd"/>
      <w:r w:rsidRPr="00EC4253">
        <w:rPr>
          <w:spacing w:val="-2"/>
        </w:rPr>
        <w:t xml:space="preserve">. nacional, nos darían </w:t>
      </w:r>
      <m:oMath>
        <m:f>
          <m:fPr>
            <m:type m:val="lin"/>
            <m:ctrlPr>
              <w:rPr>
                <w:rFonts w:ascii="Cambria Math" w:hAnsi="Cambria Math"/>
                <w:i/>
                <w:spacing w:val="-2"/>
              </w:rPr>
            </m:ctrlPr>
          </m:fPr>
          <m:num>
            <m:r>
              <m:rPr>
                <m:nor/>
              </m:rPr>
              <w:rPr>
                <w:i/>
                <w:spacing w:val="-2"/>
              </w:rPr>
              <m:t>1</m:t>
            </m:r>
          </m:num>
          <m:den>
            <m:sSub>
              <m:sSubPr>
                <m:ctrlPr>
                  <w:rPr>
                    <w:rFonts w:ascii="Cambria Math" w:hAnsi="Cambria Math"/>
                    <w:i/>
                    <w:spacing w:val="-2"/>
                  </w:rPr>
                </m:ctrlPr>
              </m:sSubPr>
              <m:e>
                <m:r>
                  <m:rPr>
                    <m:nor/>
                  </m:rPr>
                  <w:rPr>
                    <w:i/>
                    <w:spacing w:val="-2"/>
                  </w:rPr>
                  <m:t>s</m:t>
                </m:r>
              </m:e>
              <m:sub>
                <m:r>
                  <m:rPr>
                    <m:nor/>
                  </m:rPr>
                  <w:rPr>
                    <w:i/>
                    <w:spacing w:val="-2"/>
                  </w:rPr>
                  <m:t>t</m:t>
                </m:r>
              </m:sub>
            </m:sSub>
          </m:den>
        </m:f>
      </m:oMath>
      <w:r w:rsidR="004245FE" w:rsidRPr="00EC4253">
        <w:rPr>
          <w:rFonts w:eastAsiaTheme="minorEastAsia"/>
          <w:spacing w:val="-2"/>
        </w:rPr>
        <w:t> </w:t>
      </w:r>
      <w:proofErr w:type="spellStart"/>
      <w:r w:rsidRPr="00EC4253">
        <w:rPr>
          <w:rFonts w:eastAsiaTheme="minorEastAsia"/>
          <w:spacing w:val="-2"/>
        </w:rPr>
        <w:t>u.m</w:t>
      </w:r>
      <w:proofErr w:type="spellEnd"/>
      <w:r w:rsidRPr="00EC4253">
        <w:rPr>
          <w:rFonts w:eastAsiaTheme="minorEastAsia"/>
          <w:spacing w:val="-2"/>
        </w:rPr>
        <w:t>. extranjeras.</w:t>
      </w:r>
    </w:p>
    <w:p w14:paraId="0E08A396" w14:textId="7516CDC3" w:rsidR="00A12206" w:rsidRPr="00F80946" w:rsidRDefault="00A12206">
      <w:pPr>
        <w:pStyle w:val="Nmero"/>
        <w:numPr>
          <w:ilvl w:val="1"/>
          <w:numId w:val="5"/>
        </w:numPr>
        <w:spacing w:after="0"/>
        <w:ind w:left="851" w:hanging="227"/>
      </w:pPr>
      <w:r>
        <w:rPr>
          <w:rFonts w:eastAsiaTheme="minorEastAsia"/>
        </w:rPr>
        <w:t xml:space="preserve">Invertir esa cantidad en moneda extranjera en el país extranjero, con lo que se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4245FE">
        <w:rPr>
          <w:rFonts w:eastAsiaTheme="minorEastAsia"/>
        </w:rPr>
        <w:t> </w:t>
      </w:r>
      <w:proofErr w:type="spellStart"/>
      <w:r>
        <w:rPr>
          <w:rFonts w:eastAsiaTheme="minorEastAsia"/>
        </w:rPr>
        <w:t>u.m</w:t>
      </w:r>
      <w:proofErr w:type="spellEnd"/>
      <w:r>
        <w:rPr>
          <w:rFonts w:eastAsiaTheme="minorEastAsia"/>
        </w:rPr>
        <w:t>. extranjeras.</w:t>
      </w:r>
    </w:p>
    <w:p w14:paraId="7C7879DF" w14:textId="3AE6C570" w:rsidR="00A12206" w:rsidRDefault="00A12206">
      <w:pPr>
        <w:pStyle w:val="Nmero"/>
        <w:numPr>
          <w:ilvl w:val="1"/>
          <w:numId w:val="5"/>
        </w:numPr>
        <w:spacing w:after="100"/>
        <w:ind w:left="851" w:hanging="227"/>
      </w:pPr>
      <w:r>
        <w:rPr>
          <w:rFonts w:eastAsiaTheme="minorEastAsia"/>
        </w:rPr>
        <w:t xml:space="preserve">Convertir en moneda nacional los ingresos al tipo de cambio spot futuro, </w:t>
      </w:r>
      <w:r w:rsidR="002B70B1">
        <w:rPr>
          <w:rFonts w:eastAsiaTheme="minorEastAsia"/>
        </w:rPr>
        <w:t>c</w:t>
      </w:r>
      <w:r>
        <w:rPr>
          <w:rFonts w:eastAsiaTheme="minorEastAsia"/>
        </w:rPr>
        <w:t>on lo que se obtendría</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num>
          <m:den>
            <m:sSub>
              <m:sSubPr>
                <m:ctrlPr>
                  <w:rPr>
                    <w:rFonts w:ascii="Cambria Math" w:hAnsi="Cambria Math"/>
                    <w:i/>
                  </w:rPr>
                </m:ctrlPr>
              </m:sSubPr>
              <m:e>
                <m:r>
                  <m:rPr>
                    <m:nor/>
                  </m:rPr>
                  <w:rPr>
                    <w:i/>
                  </w:rPr>
                  <m:t>s</m:t>
                </m:r>
              </m:e>
              <m:sub>
                <m:r>
                  <m:rPr>
                    <m:nor/>
                  </m:rPr>
                  <w:rPr>
                    <w:i/>
                  </w:rPr>
                  <m:t>t</m:t>
                </m:r>
              </m:sub>
            </m:sSub>
          </m:den>
        </m:f>
      </m:oMath>
      <w:r w:rsidR="004245FE">
        <w:rPr>
          <w:rFonts w:eastAsiaTheme="minorEastAsia"/>
        </w:rPr>
        <w:t> </w:t>
      </w:r>
      <w:proofErr w:type="spellStart"/>
      <w:r>
        <w:rPr>
          <w:rFonts w:eastAsiaTheme="minorEastAsia"/>
        </w:rPr>
        <w:t>u.m</w:t>
      </w:r>
      <w:proofErr w:type="spellEnd"/>
      <w:r>
        <w:rPr>
          <w:rFonts w:eastAsiaTheme="minorEastAsia"/>
        </w:rPr>
        <w:t>. nacionales.</w:t>
      </w:r>
    </w:p>
    <w:p w14:paraId="34E84BAF" w14:textId="5B191982" w:rsidR="00A12206" w:rsidRDefault="00D504B5" w:rsidP="007E590B">
      <w:pPr>
        <w:pStyle w:val="Nivel1SM"/>
        <w:keepNext/>
        <w:spacing w:after="0"/>
      </w:pPr>
      <w:r>
        <w:t>L</w:t>
      </w:r>
      <w:r w:rsidR="00A12206">
        <w:t xml:space="preserve">a condición de </w:t>
      </w:r>
      <w:r w:rsidR="00A12206" w:rsidRPr="005858E2">
        <w:rPr>
          <w:b/>
          <w:bCs/>
        </w:rPr>
        <w:t>ausencia de oportunidades de arbitraje</w:t>
      </w:r>
      <w:r w:rsidR="00A12206">
        <w:t xml:space="preserve"> implicaría la igualación del rendimiento de estas </w:t>
      </w:r>
      <w:r w:rsidR="00C26C58">
        <w:t>2 </w:t>
      </w:r>
      <w:r w:rsidR="00A12206">
        <w:t>opciones:</w:t>
      </w:r>
    </w:p>
    <w:p w14:paraId="4EAC5329" w14:textId="77777777" w:rsidR="00A12206" w:rsidRPr="005C581F" w:rsidRDefault="00000000" w:rsidP="00C26C58">
      <w:pPr>
        <w:spacing w:after="0"/>
        <w:rPr>
          <w:rFonts w:eastAsiaTheme="minorEastAsia"/>
          <w:color w:val="5F2987"/>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eastAsiaTheme="minorEastAsia" w:hAnsi="Cambria Math"/>
                  <w:color w:val="5F2987"/>
                </w:rPr>
                <m:t>=</m:t>
              </m:r>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hAnsi="Cambria Math"/>
                  <w:color w:val="5F2987"/>
                </w:rPr>
                <m:t>∙</m:t>
              </m:r>
              <m:f>
                <m:fPr>
                  <m:ctrlPr>
                    <w:rPr>
                      <w:rFonts w:ascii="Cambria Math" w:hAnsi="Cambria Math"/>
                      <w:i/>
                      <w:color w:val="5F2987"/>
                    </w:rPr>
                  </m:ctrlPr>
                </m:fPr>
                <m:num>
                  <m:sSub>
                    <m:sSubPr>
                      <m:ctrlPr>
                        <w:rPr>
                          <w:rFonts w:ascii="Cambria Math" w:hAnsi="Cambria Math"/>
                          <w:i/>
                          <w:color w:val="5F2987"/>
                        </w:rPr>
                      </m:ctrlPr>
                    </m:sSubPr>
                    <m:e>
                      <m:r>
                        <m:rPr>
                          <m:nor/>
                        </m:rPr>
                        <w:rPr>
                          <w:i/>
                          <w:color w:val="5F2987"/>
                        </w:rPr>
                        <m:t>s</m:t>
                      </m:r>
                    </m:e>
                    <m:sub>
                      <w:bookmarkStart w:id="36" w:name="_Hlk87858744"/>
                      <m:r>
                        <m:rPr>
                          <m:nor/>
                        </m:rPr>
                        <w:rPr>
                          <w:i/>
                          <w:color w:val="5F2987"/>
                        </w:rPr>
                        <m:t>t</m:t>
                      </m:r>
                      <m:r>
                        <m:rPr>
                          <m:nor/>
                        </m:rPr>
                        <w:rPr>
                          <w:rFonts w:ascii="Cambria Math"/>
                          <w:iCs/>
                          <w:color w:val="5F2987"/>
                        </w:rPr>
                        <m:t>+</m:t>
                      </m:r>
                      <m:r>
                        <m:rPr>
                          <m:nor/>
                        </m:rPr>
                        <w:rPr>
                          <w:i/>
                          <w:color w:val="5F2987"/>
                        </w:rPr>
                        <m:t>1</m:t>
                      </m:r>
                      <w:bookmarkEnd w:id="36"/>
                    </m:sub>
                  </m:sSub>
                </m:num>
                <m:den>
                  <m:sSub>
                    <m:sSubPr>
                      <m:ctrlPr>
                        <w:rPr>
                          <w:rFonts w:ascii="Cambria Math" w:hAnsi="Cambria Math"/>
                          <w:i/>
                          <w:color w:val="5F2987"/>
                        </w:rPr>
                      </m:ctrlPr>
                    </m:sSubPr>
                    <m:e>
                      <m:r>
                        <m:rPr>
                          <m:nor/>
                        </m:rPr>
                        <w:rPr>
                          <w:i/>
                          <w:color w:val="5F2987"/>
                        </w:rPr>
                        <m:t>s</m:t>
                      </m:r>
                    </m:e>
                    <m:sub>
                      <m:r>
                        <m:rPr>
                          <m:nor/>
                        </m:rPr>
                        <w:rPr>
                          <w:i/>
                          <w:color w:val="5F2987"/>
                        </w:rPr>
                        <m:t>t</m:t>
                      </m:r>
                    </m:sub>
                  </m:sSub>
                </m:den>
              </m:f>
            </m:e>
          </m:borderBox>
        </m:oMath>
      </m:oMathPara>
    </w:p>
    <w:p w14:paraId="43FF3CE3" w14:textId="6C480F75" w:rsidR="00A12206" w:rsidRDefault="00A12206" w:rsidP="00C26C58">
      <w:pPr>
        <w:pStyle w:val="Nivel2SM"/>
      </w:pPr>
      <w:r>
        <w:t>Sin embargo, en la práctica no sabemos con perfecta certidumbre cu</w:t>
      </w:r>
      <w:r w:rsidR="003319E1">
        <w:t>á</w:t>
      </w:r>
      <w:r>
        <w:t>l será el tipo de cambio spot en el futuro, por lo que podemos preguntarnos: ¿qué tipo de cambio debe utilizarse para convertir en moneda nacional el retorno obtenido? Es decir, c</w:t>
      </w:r>
      <w:r w:rsidR="00D504B5">
        <w:t>ó</w:t>
      </w:r>
      <w:r>
        <w:t xml:space="preserve">mo sabemos </w:t>
      </w:r>
      <w:r w:rsidR="00D504B5">
        <w:t>cuánto</w:t>
      </w:r>
      <w:r>
        <w:t xml:space="preserve"> es </w:t>
      </w:r>
      <m:oMath>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oMath>
      <w:r>
        <w:t>.</w:t>
      </w:r>
    </w:p>
    <w:bookmarkEnd w:id="35"/>
    <w:p w14:paraId="31CFA702" w14:textId="2BAAF26B" w:rsidR="00A12206" w:rsidRDefault="00A12206" w:rsidP="00C00C4B">
      <w:pPr>
        <w:pStyle w:val="Nivel1SM"/>
        <w:keepNext/>
        <w:spacing w:after="0"/>
      </w:pPr>
      <w:r>
        <w:t>El inversor tiene, a su vez, dos opciones, en función del riesgo que quiera asumir:</w:t>
      </w:r>
    </w:p>
    <w:p w14:paraId="5822AD8A" w14:textId="27B2D892" w:rsidR="00904D4C" w:rsidRDefault="00904D4C">
      <w:pPr>
        <w:pStyle w:val="Nmero"/>
        <w:numPr>
          <w:ilvl w:val="0"/>
          <w:numId w:val="17"/>
        </w:numPr>
        <w:spacing w:after="0"/>
        <w:ind w:left="567" w:hanging="227"/>
      </w:pPr>
      <w:r w:rsidRPr="00904D4C">
        <w:t>Si no quiere asumir riesgo cambiario</w:t>
      </w:r>
      <w:r>
        <w:t xml:space="preserve"> (es decir, si está arbitrando). Este caso dará lugar a la Paridad Cubierta de Intereses (PCI).</w:t>
      </w:r>
    </w:p>
    <w:p w14:paraId="05BF09E8" w14:textId="13564649" w:rsidR="00904D4C" w:rsidRDefault="00904D4C" w:rsidP="00D1166C">
      <w:pPr>
        <w:pStyle w:val="Nmero"/>
        <w:spacing w:after="0"/>
        <w:ind w:left="567"/>
      </w:pPr>
      <w:r>
        <w:t xml:space="preserve">Si está dispuesto a asumir riesgo cambiario (es decir, si está especulando). Este caso dará lugar a la Paridad </w:t>
      </w:r>
      <w:r w:rsidR="00316A28">
        <w:t>No C</w:t>
      </w:r>
      <w:r>
        <w:t>ubierta de Intereses (P</w:t>
      </w:r>
      <w:r w:rsidR="00316A28">
        <w:t>NC</w:t>
      </w:r>
      <w:r>
        <w:t>I).</w:t>
      </w:r>
    </w:p>
    <w:p w14:paraId="56F651FC" w14:textId="67E650E9" w:rsidR="00D504B5" w:rsidRDefault="00D504B5" w:rsidP="00F01AEF">
      <w:pPr>
        <w:pStyle w:val="Ttulo8"/>
        <w:rPr>
          <w:rFonts w:eastAsiaTheme="minorEastAsia"/>
        </w:rPr>
      </w:pPr>
      <w:r>
        <w:rPr>
          <w:rFonts w:eastAsiaTheme="minorEastAsia"/>
        </w:rPr>
        <w:t>Paridad Cubierta de Intereses (PCI)</w:t>
      </w:r>
    </w:p>
    <w:p w14:paraId="0646C9B4" w14:textId="10AD6A6C" w:rsidR="00A12206" w:rsidRPr="00D1166C" w:rsidRDefault="00A12206" w:rsidP="00C26C58">
      <w:pPr>
        <w:pStyle w:val="Nivel1SM"/>
        <w:keepNext/>
        <w:spacing w:before="0" w:after="0"/>
        <w:rPr>
          <w:spacing w:val="-3"/>
        </w:rPr>
      </w:pPr>
      <w:r w:rsidRPr="00D1166C">
        <w:rPr>
          <w:i/>
          <w:iCs/>
          <w:spacing w:val="-3"/>
        </w:rPr>
        <w:t>Si no quiere asumir riesgo cambiario</w:t>
      </w:r>
      <w:r w:rsidRPr="00D1166C">
        <w:rPr>
          <w:spacing w:val="-3"/>
        </w:rPr>
        <w:t xml:space="preserve"> (es decir, si está arbitrando), comprará forward sobre el tipo de cambio futuro, de forma que en el período </w:t>
      </w:r>
      <m:oMath>
        <m:r>
          <m:rPr>
            <m:nor/>
          </m:rPr>
          <w:rPr>
            <w:i/>
            <w:spacing w:val="-3"/>
          </w:rPr>
          <m:t>t</m:t>
        </m:r>
        <m:r>
          <m:rPr>
            <m:nor/>
          </m:rPr>
          <w:rPr>
            <w:rFonts w:ascii="Cambria Math"/>
            <w:iCs/>
            <w:spacing w:val="-3"/>
          </w:rPr>
          <m:t>+</m:t>
        </m:r>
        <m:r>
          <m:rPr>
            <m:nor/>
          </m:rPr>
          <w:rPr>
            <w:i/>
            <w:spacing w:val="-3"/>
          </w:rPr>
          <m:t>1</m:t>
        </m:r>
      </m:oMath>
      <w:r w:rsidRPr="00D1166C">
        <w:rPr>
          <w:rFonts w:eastAsiaTheme="minorEastAsia"/>
          <w:spacing w:val="-3"/>
        </w:rPr>
        <w:t xml:space="preserve"> podrá convertir su retorno en moneda nacional a un tipo predeterminado</w:t>
      </w:r>
      <w:r w:rsidR="002C7AC2">
        <w:rPr>
          <w:rFonts w:eastAsiaTheme="minorEastAsia"/>
          <w:spacing w:val="-3"/>
        </w:rPr>
        <w:t>,</w:t>
      </w:r>
      <w:r w:rsidRPr="00D1166C">
        <w:rPr>
          <w:rFonts w:eastAsiaTheme="minorEastAsia"/>
          <w:spacing w:val="-3"/>
        </w:rPr>
        <w:t xml:space="preserve"> </w:t>
      </w:r>
      <m:oMath>
        <m:sSubSup>
          <m:sSubSupPr>
            <m:ctrlPr>
              <w:rPr>
                <w:rFonts w:ascii="Cambria Math" w:eastAsiaTheme="minorEastAsia" w:hAnsi="Cambria Math"/>
                <w:i/>
                <w:spacing w:val="-3"/>
              </w:rPr>
            </m:ctrlPr>
          </m:sSubSupPr>
          <m:e>
            <m:r>
              <m:rPr>
                <m:nor/>
              </m:rPr>
              <w:rPr>
                <w:rFonts w:eastAsiaTheme="minorEastAsia"/>
                <w:i/>
                <w:spacing w:val="-3"/>
              </w:rPr>
              <m:t>f</m:t>
            </m:r>
          </m:e>
          <m:sub>
            <m:r>
              <m:rPr>
                <m:nor/>
              </m:rPr>
              <w:rPr>
                <w:rFonts w:eastAsiaTheme="minorEastAsia"/>
                <w:i/>
                <w:spacing w:val="-3"/>
              </w:rPr>
              <m:t>t</m:t>
            </m:r>
          </m:sub>
          <m:sup>
            <m:r>
              <m:rPr>
                <m:nor/>
              </m:rPr>
              <w:rPr>
                <w:rFonts w:ascii="Cambria Math" w:eastAsiaTheme="minorEastAsia"/>
                <w:i/>
                <w:spacing w:val="-3"/>
              </w:rPr>
              <m:t xml:space="preserve"> </m:t>
            </m:r>
            <m:r>
              <m:rPr>
                <m:nor/>
              </m:rPr>
              <w:rPr>
                <w:rFonts w:eastAsiaTheme="minorEastAsia"/>
                <w:i/>
                <w:spacing w:val="-3"/>
              </w:rPr>
              <m:t>t+1</m:t>
            </m:r>
          </m:sup>
        </m:sSubSup>
      </m:oMath>
      <w:r w:rsidRPr="00D1166C">
        <w:rPr>
          <w:rFonts w:eastAsiaTheme="minorEastAsia"/>
          <w:spacing w:val="-3"/>
        </w:rPr>
        <w:t xml:space="preserve">. Este caso da lugar a la </w:t>
      </w:r>
      <w:r w:rsidRPr="00D1166C">
        <w:rPr>
          <w:rFonts w:eastAsiaTheme="minorEastAsia"/>
          <w:i/>
          <w:iCs/>
          <w:spacing w:val="-3"/>
          <w:u w:val="single"/>
        </w:rPr>
        <w:t>Paridad Cubierta de Intereses</w:t>
      </w:r>
      <w:r w:rsidRPr="00D1166C">
        <w:rPr>
          <w:rFonts w:eastAsiaTheme="minorEastAsia"/>
          <w:spacing w:val="-3"/>
        </w:rPr>
        <w:t xml:space="preserve"> (PCI), de acuerdo con la cual:</w:t>
      </w:r>
    </w:p>
    <w:p w14:paraId="64B4A6ED" w14:textId="535BB179" w:rsidR="00A12206" w:rsidRPr="005C581F" w:rsidRDefault="00000000" w:rsidP="00C26C58">
      <w:pPr>
        <w:pStyle w:val="Nivel1"/>
        <w:keepNext/>
        <w:numPr>
          <w:ilvl w:val="0"/>
          <w:numId w:val="0"/>
        </w:numPr>
        <w:spacing w:before="0" w:after="0"/>
        <w:ind w:left="709"/>
        <w:rPr>
          <w:rFonts w:eastAsiaTheme="minorEastAsia"/>
          <w:color w:val="5F2987"/>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eastAsiaTheme="minorEastAsia" w:hAnsi="Cambria Math"/>
                  <w:color w:val="5F2987"/>
                </w:rPr>
                <m:t>=</m:t>
              </m:r>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hAnsi="Cambria Math"/>
                  <w:color w:val="5F2987"/>
                </w:rPr>
                <m:t>∙</m:t>
              </m:r>
              <m:f>
                <m:fPr>
                  <m:ctrlPr>
                    <w:rPr>
                      <w:rFonts w:ascii="Cambria Math" w:hAnsi="Cambria Math"/>
                      <w:i/>
                      <w:color w:val="5F2987"/>
                    </w:rPr>
                  </m:ctrlPr>
                </m:fPr>
                <m:num>
                  <w:bookmarkStart w:id="37" w:name="_Hlk101171805"/>
                  <m:sSubSup>
                    <m:sSubSupPr>
                      <m:ctrlPr>
                        <w:rPr>
                          <w:rFonts w:ascii="Cambria Math" w:eastAsiaTheme="minorEastAsia" w:hAnsi="Cambria Math"/>
                          <w:i/>
                          <w:color w:val="5F2987"/>
                        </w:rPr>
                      </m:ctrlPr>
                    </m:sSubSupPr>
                    <m:e>
                      <m:r>
                        <m:rPr>
                          <m:nor/>
                        </m:rPr>
                        <w:rPr>
                          <w:rFonts w:eastAsiaTheme="minorEastAsia"/>
                          <w:i/>
                          <w:color w:val="5F2987"/>
                        </w:rPr>
                        <m:t>f</m:t>
                      </m:r>
                    </m:e>
                    <m:sub>
                      <m:r>
                        <m:rPr>
                          <m:nor/>
                        </m:rPr>
                        <w:rPr>
                          <w:rFonts w:eastAsiaTheme="minorEastAsia"/>
                          <w:i/>
                          <w:color w:val="5F2987"/>
                        </w:rPr>
                        <m:t>t</m:t>
                      </m:r>
                    </m:sub>
                    <m:sup>
                      <m:r>
                        <m:rPr>
                          <m:nor/>
                        </m:rPr>
                        <w:rPr>
                          <w:rFonts w:ascii="Cambria Math" w:eastAsiaTheme="minorEastAsia"/>
                          <w:i/>
                          <w:color w:val="5F2987"/>
                        </w:rPr>
                        <m:t xml:space="preserve"> </m:t>
                      </m:r>
                      <m:r>
                        <m:rPr>
                          <m:nor/>
                        </m:rPr>
                        <w:rPr>
                          <w:rFonts w:eastAsiaTheme="minorEastAsia"/>
                          <w:i/>
                          <w:color w:val="5F2987"/>
                        </w:rPr>
                        <m:t>t+1</m:t>
                      </m:r>
                    </m:sup>
                  </m:sSubSup>
                  <w:bookmarkEnd w:id="37"/>
                </m:num>
                <m:den>
                  <m:sSub>
                    <m:sSubPr>
                      <m:ctrlPr>
                        <w:rPr>
                          <w:rFonts w:ascii="Cambria Math" w:hAnsi="Cambria Math"/>
                          <w:i/>
                          <w:color w:val="5F2987"/>
                        </w:rPr>
                      </m:ctrlPr>
                    </m:sSubPr>
                    <m:e>
                      <m:r>
                        <m:rPr>
                          <m:nor/>
                        </m:rPr>
                        <w:rPr>
                          <w:i/>
                          <w:color w:val="5F2987"/>
                        </w:rPr>
                        <m:t>s</m:t>
                      </m:r>
                    </m:e>
                    <m:sub>
                      <m:r>
                        <m:rPr>
                          <m:nor/>
                        </m:rPr>
                        <w:rPr>
                          <w:i/>
                          <w:color w:val="5F2987"/>
                        </w:rPr>
                        <m:t>t</m:t>
                      </m:r>
                    </m:sub>
                  </m:sSub>
                </m:den>
              </m:f>
            </m:e>
          </m:borderBox>
        </m:oMath>
      </m:oMathPara>
    </w:p>
    <w:p w14:paraId="0A8C974E" w14:textId="2890421D" w:rsidR="0079044D" w:rsidRDefault="0079044D" w:rsidP="00D1166C">
      <w:pPr>
        <w:pStyle w:val="Nivel2SM"/>
        <w:keepNext/>
        <w:spacing w:after="0"/>
      </w:pPr>
      <w:r>
        <w:t>Aproximando por una serie de Taylor obtenemos</w:t>
      </w:r>
      <w:r>
        <w:rPr>
          <w:rStyle w:val="Refdenotaalpie"/>
          <w:rFonts w:eastAsiaTheme="minorEastAsia"/>
        </w:rPr>
        <w:footnoteReference w:id="16"/>
      </w:r>
      <w:r>
        <w:t>:</w:t>
      </w:r>
    </w:p>
    <w:p w14:paraId="3D0802F4" w14:textId="71E30AB4" w:rsidR="0079044D" w:rsidRPr="0079044D" w:rsidRDefault="0079044D" w:rsidP="00C26C58">
      <w:pPr>
        <w:pStyle w:val="Nivel1"/>
        <w:numPr>
          <w:ilvl w:val="0"/>
          <w:numId w:val="0"/>
        </w:numPr>
        <w:spacing w:before="0"/>
        <w:ind w:left="709"/>
        <w:rPr>
          <w:rFonts w:eastAsiaTheme="minorEastAsia"/>
        </w:rPr>
      </w:pPr>
      <m:oMathPara>
        <m:oMath>
          <m:r>
            <w:rPr>
              <w:rFonts w:ascii="Cambria Math" w:eastAsiaTheme="minorEastAsia" w:hAnsi="Cambria Math"/>
            </w:rPr>
            <m:t xml:space="preserve"> </m:t>
          </m:r>
          <m:r>
            <m:rPr>
              <m:nor/>
            </m:rPr>
            <w:rPr>
              <w:i/>
            </w:rPr>
            <m:t>i</m:t>
          </m:r>
          <m:r>
            <w:rPr>
              <w:rFonts w:ascii="Cambria Math" w:hAnsi="Cambria Math"/>
            </w:rPr>
            <m:t>-</m:t>
          </m:r>
          <m:r>
            <m:rPr>
              <m:nor/>
            </m:rPr>
            <w:rPr>
              <w:i/>
            </w:rPr>
            <m:t>i*</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groupChr>
            </m:e>
            <m:lim>
              <m:eqArr>
                <m:eqArrPr>
                  <m:ctrlPr>
                    <w:rPr>
                      <w:rFonts w:ascii="Cambria Math" w:hAnsi="Cambria Math"/>
                      <w:i/>
                      <w:iCs/>
                      <w:sz w:val="16"/>
                      <w:szCs w:val="16"/>
                    </w:rPr>
                  </m:ctrlPr>
                </m:eqArrPr>
                <m:e>
                  <m:r>
                    <m:rPr>
                      <m:nor/>
                    </m:rPr>
                    <w:rPr>
                      <w:i/>
                      <w:sz w:val="16"/>
                      <w:szCs w:val="16"/>
                    </w:rPr>
                    <m:t>Margen forward</m:t>
                  </m:r>
                </m:e>
                <m:e>
                  <m:r>
                    <m:rPr>
                      <m:nor/>
                    </m:rPr>
                    <w:rPr>
                      <w:i/>
                      <w:iCs/>
                      <w:sz w:val="16"/>
                      <w:szCs w:val="16"/>
                    </w:rPr>
                    <m:t>Tasa de depreciación esperada</m:t>
                  </m:r>
                </m:e>
              </m:eqArr>
            </m:lim>
          </m:limLow>
        </m:oMath>
      </m:oMathPara>
    </w:p>
    <w:p w14:paraId="32F0DA87" w14:textId="6BB2A0AD" w:rsidR="00D504B5" w:rsidRDefault="00D504B5" w:rsidP="00F01AEF">
      <w:pPr>
        <w:pStyle w:val="Ttulo8"/>
        <w:rPr>
          <w:rFonts w:eastAsiaTheme="minorEastAsia"/>
        </w:rPr>
      </w:pPr>
      <w:r>
        <w:rPr>
          <w:rFonts w:eastAsiaTheme="minorEastAsia"/>
        </w:rPr>
        <w:t xml:space="preserve">Paridad </w:t>
      </w:r>
      <w:r w:rsidR="00316A28">
        <w:rPr>
          <w:rFonts w:eastAsiaTheme="minorEastAsia"/>
        </w:rPr>
        <w:t>No C</w:t>
      </w:r>
      <w:r>
        <w:rPr>
          <w:rFonts w:eastAsiaTheme="minorEastAsia"/>
        </w:rPr>
        <w:t>ubierta de Intereses (P</w:t>
      </w:r>
      <w:r w:rsidR="00316A28">
        <w:rPr>
          <w:rFonts w:eastAsiaTheme="minorEastAsia"/>
        </w:rPr>
        <w:t>NC</w:t>
      </w:r>
      <w:r>
        <w:rPr>
          <w:rFonts w:eastAsiaTheme="minorEastAsia"/>
        </w:rPr>
        <w:t>I)</w:t>
      </w:r>
    </w:p>
    <w:p w14:paraId="0174B635" w14:textId="16EA6BA9" w:rsidR="00A12206" w:rsidRPr="00DC76E6" w:rsidRDefault="00A12206" w:rsidP="00C26C58">
      <w:pPr>
        <w:pStyle w:val="Nivel1SM"/>
        <w:keepNext/>
        <w:spacing w:before="0" w:after="0"/>
      </w:pPr>
      <w:r>
        <w:rPr>
          <w:i/>
          <w:iCs/>
        </w:rPr>
        <w:t>Si está dispuesto a asumir riesgo cambiario</w:t>
      </w:r>
      <w:r>
        <w:t xml:space="preserve"> (es decir, si está especulando), entonces convertirá su retorno en moneda nacional al tipo de cambio spot vigente cuando venza la inversión, es decir, </w:t>
      </w:r>
      <m:oMath>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oMath>
      <w:r>
        <w:rPr>
          <w:rFonts w:eastAsiaTheme="minorEastAsia"/>
        </w:rPr>
        <w:t xml:space="preserve">. En este </w:t>
      </w:r>
      <w:r>
        <w:rPr>
          <w:rFonts w:eastAsiaTheme="minorEastAsia"/>
        </w:rPr>
        <w:lastRenderedPageBreak/>
        <w:t xml:space="preserve">caso, como no conoce con certidumbre este tipo de cambio, utilizará la expectativa que se forme de este </w:t>
      </w:r>
      <m:oMath>
        <m:sSub>
          <m:sSubPr>
            <m:ctrlPr>
              <w:rPr>
                <w:rFonts w:ascii="Cambria Math" w:hAnsi="Cambria Math"/>
                <w:i/>
                <w:iCs/>
              </w:rPr>
            </m:ctrlPr>
          </m:sSubPr>
          <m:e>
            <m:r>
              <m:rPr>
                <m:nor/>
              </m:rPr>
              <w:rPr>
                <w:rFonts w:eastAsiaTheme="minorEastAsia"/>
                <w:i/>
              </w:rPr>
              <m:t>E</m:t>
            </m:r>
          </m:e>
          <m:sub>
            <m:r>
              <m:rPr>
                <m:nor/>
              </m:rPr>
              <w:rPr>
                <w:rFonts w:eastAsiaTheme="minorEastAsia"/>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rFonts w:eastAsiaTheme="minorEastAsia"/>
                    <w:i/>
                  </w:rPr>
                  <m:t>s</m:t>
                </m:r>
              </m:e>
              <m:sub>
                <m:r>
                  <m:rPr>
                    <m:nor/>
                  </m:rPr>
                  <w:rPr>
                    <w:rFonts w:eastAsiaTheme="minorEastAsia"/>
                    <w:i/>
                  </w:rPr>
                  <m:t>t+1</m:t>
                </m:r>
              </m:sub>
            </m:sSub>
          </m:e>
        </m:d>
      </m:oMath>
      <w:r>
        <w:rPr>
          <w:rFonts w:eastAsiaTheme="minorEastAsia"/>
        </w:rPr>
        <w:t xml:space="preserve">. Este caso da lugar a la </w:t>
      </w:r>
      <w:r>
        <w:rPr>
          <w:rFonts w:eastAsiaTheme="minorEastAsia"/>
          <w:i/>
          <w:iCs/>
          <w:u w:val="single"/>
        </w:rPr>
        <w:t xml:space="preserve">Paridad </w:t>
      </w:r>
      <w:r w:rsidR="00316A28">
        <w:rPr>
          <w:rFonts w:eastAsiaTheme="minorEastAsia"/>
          <w:i/>
          <w:iCs/>
          <w:u w:val="single"/>
        </w:rPr>
        <w:t>No C</w:t>
      </w:r>
      <w:r>
        <w:rPr>
          <w:rFonts w:eastAsiaTheme="minorEastAsia"/>
          <w:i/>
          <w:iCs/>
          <w:u w:val="single"/>
        </w:rPr>
        <w:t>ubierta de Intereses</w:t>
      </w:r>
      <w:r>
        <w:rPr>
          <w:rFonts w:eastAsiaTheme="minorEastAsia"/>
        </w:rPr>
        <w:t xml:space="preserve"> (P</w:t>
      </w:r>
      <w:r w:rsidR="00316A28">
        <w:rPr>
          <w:rFonts w:eastAsiaTheme="minorEastAsia"/>
        </w:rPr>
        <w:t>NC</w:t>
      </w:r>
      <w:r>
        <w:rPr>
          <w:rFonts w:eastAsiaTheme="minorEastAsia"/>
        </w:rPr>
        <w:t>I), de acuerdo con la cual:</w:t>
      </w:r>
    </w:p>
    <w:p w14:paraId="757EB624" w14:textId="52FF0B64" w:rsidR="00A12206" w:rsidRPr="008F4407" w:rsidRDefault="00000000" w:rsidP="00C26C58">
      <w:pPr>
        <w:pStyle w:val="Nivel1"/>
        <w:keepNext/>
        <w:numPr>
          <w:ilvl w:val="0"/>
          <w:numId w:val="0"/>
        </w:numPr>
        <w:spacing w:before="0" w:after="0"/>
        <w:ind w:left="709"/>
        <w:rPr>
          <w:rFonts w:eastAsiaTheme="minorEastAsia"/>
          <w:color w:val="5F2987"/>
          <w:lang w:val="en-US"/>
        </w:rPr>
      </w:pPr>
      <m:oMathPara>
        <m:oMath>
          <m:borderBox>
            <m:borderBoxPr>
              <m:ctrlPr>
                <w:rPr>
                  <w:rFonts w:ascii="Cambria Math" w:hAnsi="Cambria Math"/>
                  <w:i/>
                  <w:iCs/>
                  <w:color w:val="5F2987"/>
                </w:rPr>
              </m:ctrlPr>
            </m:borderBoxPr>
            <m:e>
              <m:d>
                <m:dPr>
                  <m:ctrlPr>
                    <w:rPr>
                      <w:rFonts w:ascii="Cambria Math" w:hAnsi="Cambria Math"/>
                      <w:i/>
                      <w:iCs/>
                      <w:color w:val="5F2987"/>
                    </w:rPr>
                  </m:ctrlPr>
                </m:dPr>
                <m:e>
                  <m:r>
                    <m:rPr>
                      <m:nor/>
                    </m:rPr>
                    <w:rPr>
                      <w:i/>
                      <w:iCs/>
                      <w:color w:val="5F2987"/>
                      <w:lang w:val="en-US"/>
                    </w:rPr>
                    <m:t>1</m:t>
                  </m:r>
                  <m:r>
                    <w:rPr>
                      <w:rFonts w:ascii="Cambria Math" w:hAnsi="Cambria Math"/>
                      <w:color w:val="5F2987"/>
                      <w:lang w:val="en-US"/>
                    </w:rPr>
                    <m:t>+</m:t>
                  </m:r>
                  <m:r>
                    <m:rPr>
                      <m:nor/>
                    </m:rPr>
                    <w:rPr>
                      <w:i/>
                      <w:iCs/>
                      <w:color w:val="5F2987"/>
                      <w:lang w:val="en-US"/>
                    </w:rPr>
                    <m:t>i</m:t>
                  </m:r>
                </m:e>
              </m:d>
              <m:r>
                <w:rPr>
                  <w:rFonts w:ascii="Cambria Math" w:eastAsiaTheme="minorEastAsia" w:hAnsi="Cambria Math"/>
                  <w:color w:val="5F2987"/>
                  <w:lang w:val="en-US"/>
                </w:rPr>
                <m:t>=</m:t>
              </m:r>
              <m:d>
                <m:dPr>
                  <m:ctrlPr>
                    <w:rPr>
                      <w:rFonts w:ascii="Cambria Math" w:hAnsi="Cambria Math"/>
                      <w:i/>
                      <w:iCs/>
                      <w:color w:val="5F2987"/>
                    </w:rPr>
                  </m:ctrlPr>
                </m:dPr>
                <m:e>
                  <m:r>
                    <m:rPr>
                      <m:nor/>
                    </m:rPr>
                    <w:rPr>
                      <w:i/>
                      <w:iCs/>
                      <w:color w:val="5F2987"/>
                      <w:lang w:val="en-US"/>
                    </w:rPr>
                    <m:t>1</m:t>
                  </m:r>
                  <m:r>
                    <w:rPr>
                      <w:rFonts w:ascii="Cambria Math" w:hAnsi="Cambria Math"/>
                      <w:color w:val="5F2987"/>
                      <w:lang w:val="en-US"/>
                    </w:rPr>
                    <m:t>+</m:t>
                  </m:r>
                  <m:r>
                    <m:rPr>
                      <m:nor/>
                    </m:rPr>
                    <w:rPr>
                      <w:i/>
                      <w:iCs/>
                      <w:color w:val="5F2987"/>
                      <w:lang w:val="en-US"/>
                    </w:rPr>
                    <m:t>i*</m:t>
                  </m:r>
                </m:e>
              </m:d>
              <m:r>
                <w:rPr>
                  <w:rFonts w:ascii="Cambria Math" w:hAnsi="Cambria Math"/>
                  <w:color w:val="5F2987"/>
                  <w:lang w:val="en-US"/>
                </w:rPr>
                <m:t>∙</m:t>
              </m:r>
              <m:f>
                <m:fPr>
                  <m:ctrlPr>
                    <w:rPr>
                      <w:rFonts w:ascii="Cambria Math" w:hAnsi="Cambria Math"/>
                      <w:i/>
                      <w:iCs/>
                      <w:color w:val="5F2987"/>
                    </w:rPr>
                  </m:ctrlPr>
                </m:fPr>
                <m:num>
                  <m:sSub>
                    <m:sSubPr>
                      <m:ctrlPr>
                        <w:rPr>
                          <w:rFonts w:ascii="Cambria Math" w:hAnsi="Cambria Math"/>
                          <w:i/>
                          <w:iCs/>
                          <w:color w:val="5F2987"/>
                        </w:rPr>
                      </m:ctrlPr>
                    </m:sSubPr>
                    <m:e>
                      <m:r>
                        <m:rPr>
                          <m:nor/>
                        </m:rPr>
                        <w:rPr>
                          <w:rFonts w:eastAsiaTheme="minorEastAsia"/>
                          <w:i/>
                          <w:color w:val="5F2987"/>
                          <w:lang w:val="en-US"/>
                        </w:rPr>
                        <m:t>E</m:t>
                      </m:r>
                    </m:e>
                    <m:sub>
                      <m:r>
                        <m:rPr>
                          <m:nor/>
                        </m:rPr>
                        <w:rPr>
                          <w:rFonts w:eastAsiaTheme="minorEastAsia"/>
                          <w:i/>
                          <w:color w:val="5F2987"/>
                          <w:lang w:val="en-US"/>
                        </w:rPr>
                        <m:t>t</m:t>
                      </m:r>
                    </m:sub>
                  </m:sSub>
                  <m:d>
                    <m:dPr>
                      <m:begChr m:val="["/>
                      <m:endChr m:val="]"/>
                      <m:ctrlPr>
                        <w:rPr>
                          <w:rFonts w:ascii="Cambria Math" w:hAnsi="Cambria Math"/>
                          <w:i/>
                          <w:iCs/>
                          <w:color w:val="5F2987"/>
                        </w:rPr>
                      </m:ctrlPr>
                    </m:dPr>
                    <m:e>
                      <m:sSub>
                        <m:sSubPr>
                          <m:ctrlPr>
                            <w:rPr>
                              <w:rFonts w:ascii="Cambria Math" w:hAnsi="Cambria Math"/>
                              <w:i/>
                              <w:iCs/>
                              <w:color w:val="5F2987"/>
                            </w:rPr>
                          </m:ctrlPr>
                        </m:sSubPr>
                        <m:e>
                          <m:r>
                            <m:rPr>
                              <m:nor/>
                            </m:rPr>
                            <w:rPr>
                              <w:rFonts w:eastAsiaTheme="minorEastAsia"/>
                              <w:i/>
                              <w:color w:val="5F2987"/>
                              <w:lang w:val="en-US"/>
                            </w:rPr>
                            <m:t>s</m:t>
                          </m:r>
                        </m:e>
                        <m:sub>
                          <m:r>
                            <m:rPr>
                              <m:nor/>
                            </m:rPr>
                            <w:rPr>
                              <w:rFonts w:eastAsiaTheme="minorEastAsia"/>
                              <w:i/>
                              <w:color w:val="5F2987"/>
                              <w:lang w:val="en-US"/>
                            </w:rPr>
                            <m:t>t+1</m:t>
                          </m:r>
                        </m:sub>
                      </m:sSub>
                    </m:e>
                  </m:d>
                </m:num>
                <m:den>
                  <m:sSub>
                    <m:sSubPr>
                      <m:ctrlPr>
                        <w:rPr>
                          <w:rFonts w:ascii="Cambria Math" w:hAnsi="Cambria Math"/>
                          <w:i/>
                          <w:iCs/>
                          <w:color w:val="5F2987"/>
                        </w:rPr>
                      </m:ctrlPr>
                    </m:sSubPr>
                    <m:e>
                      <m:r>
                        <m:rPr>
                          <m:nor/>
                        </m:rPr>
                        <w:rPr>
                          <w:i/>
                          <w:iCs/>
                          <w:color w:val="5F2987"/>
                          <w:lang w:val="en-US"/>
                        </w:rPr>
                        <m:t>s</m:t>
                      </m:r>
                    </m:e>
                    <m:sub>
                      <m:r>
                        <m:rPr>
                          <m:nor/>
                        </m:rPr>
                        <w:rPr>
                          <w:i/>
                          <w:iCs/>
                          <w:color w:val="5F2987"/>
                          <w:lang w:val="en-US"/>
                        </w:rPr>
                        <m:t>t</m:t>
                      </m:r>
                    </m:sub>
                  </m:sSub>
                </m:den>
              </m:f>
            </m:e>
          </m:borderBox>
        </m:oMath>
      </m:oMathPara>
    </w:p>
    <w:p w14:paraId="72A772BE" w14:textId="2DB8E0CF" w:rsidR="0079044D" w:rsidRDefault="0079044D" w:rsidP="00D1166C">
      <w:pPr>
        <w:pStyle w:val="Nivel2SM"/>
        <w:keepNext/>
        <w:spacing w:after="0"/>
      </w:pPr>
      <w:r>
        <w:t>Aproximando por una serie de Taylor obtenemos:</w:t>
      </w:r>
    </w:p>
    <w:p w14:paraId="52FF3329" w14:textId="74ABEF0C" w:rsidR="0079044D" w:rsidRPr="00BA2668" w:rsidRDefault="0079044D" w:rsidP="00C26C58">
      <w:pPr>
        <w:pStyle w:val="Nivel1"/>
        <w:numPr>
          <w:ilvl w:val="0"/>
          <w:numId w:val="0"/>
        </w:numPr>
        <w:spacing w:before="0"/>
        <w:ind w:left="709"/>
        <w:rPr>
          <w:rFonts w:eastAsiaTheme="minorEastAsia"/>
        </w:rPr>
      </w:pPr>
      <m:oMathPara>
        <m:oMath>
          <m:r>
            <m:rPr>
              <m:sty m:val="p"/>
            </m:rPr>
            <w:rPr>
              <w:rFonts w:ascii="Cambria Math" w:eastAsiaTheme="minorEastAsia" w:hAnsi="Cambria Math"/>
            </w:rPr>
            <m:t xml:space="preserve"> </m:t>
          </m:r>
          <m:r>
            <m:rPr>
              <m:nor/>
            </m:rPr>
            <w:rPr>
              <w:i/>
            </w:rPr>
            <m:t>i</m:t>
          </m:r>
          <m:r>
            <w:rPr>
              <w:rFonts w:ascii="Cambria Math" w:hAnsi="Cambria Math"/>
            </w:rPr>
            <m:t>-</m:t>
          </m:r>
          <m:r>
            <m:rPr>
              <m:nor/>
            </m:rPr>
            <w:rPr>
              <w:i/>
            </w:rPr>
            <m:t>i*</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iCs/>
                            </w:rPr>
                          </m:ctrlPr>
                        </m:sSubPr>
                        <m:e>
                          <m:r>
                            <m:rPr>
                              <m:nor/>
                            </m:rPr>
                            <w:rPr>
                              <w:rFonts w:eastAsiaTheme="minorEastAsia"/>
                              <w:i/>
                            </w:rPr>
                            <m:t>E</m:t>
                          </m:r>
                        </m:e>
                        <m:sub>
                          <m:r>
                            <m:rPr>
                              <m:nor/>
                            </m:rPr>
                            <w:rPr>
                              <w:rFonts w:eastAsiaTheme="minorEastAsia"/>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rFonts w:eastAsiaTheme="minorEastAsia"/>
                                  <w:i/>
                                </w:rPr>
                                <m:t>s</m:t>
                              </m:r>
                            </m:e>
                            <m:sub>
                              <m:r>
                                <m:rPr>
                                  <m:nor/>
                                </m:rPr>
                                <w:rPr>
                                  <w:rFonts w:eastAsiaTheme="minorEastAsia"/>
                                  <w:i/>
                                </w:rPr>
                                <m:t>t+1</m:t>
                              </m:r>
                            </m:sub>
                          </m:sSub>
                        </m:e>
                      </m:d>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groupChr>
            </m:e>
            <m:lim>
              <m:r>
                <m:rPr>
                  <m:nor/>
                </m:rPr>
                <w:rPr>
                  <w:i/>
                  <w:iCs/>
                  <w:sz w:val="16"/>
                  <w:szCs w:val="16"/>
                </w:rPr>
                <m:t>Tasa de depreciación esperada</m:t>
              </m:r>
              <m:r>
                <w:rPr>
                  <w:rFonts w:ascii="Cambria Math" w:hAnsi="Cambria Math"/>
                </w:rPr>
                <m:t>≡</m:t>
              </m:r>
              <m:sSup>
                <m:sSupPr>
                  <m:ctrlPr>
                    <w:rPr>
                      <w:rFonts w:ascii="Cambria Math" w:hAnsi="Cambria Math"/>
                      <w:i/>
                      <w:iCs/>
                    </w:rPr>
                  </m:ctrlPr>
                </m:sSupPr>
                <m:e>
                  <m:r>
                    <m:rPr>
                      <m:nor/>
                    </m:rPr>
                    <w:rPr>
                      <w:i/>
                      <w:iCs/>
                    </w:rPr>
                    <m:t>γE</m:t>
                  </m:r>
                </m:e>
                <m:sup>
                  <m:r>
                    <m:rPr>
                      <m:nor/>
                    </m:rPr>
                    <w:rPr>
                      <w:i/>
                      <w:iCs/>
                    </w:rPr>
                    <m:t>e</m:t>
                  </m:r>
                </m:sup>
              </m:sSup>
            </m:lim>
          </m:limLow>
        </m:oMath>
      </m:oMathPara>
    </w:p>
    <w:p w14:paraId="072794DD" w14:textId="51037388" w:rsidR="00BA2668" w:rsidRDefault="00BA2668" w:rsidP="00BA2668">
      <w:pPr>
        <w:pStyle w:val="Ttuloimagen"/>
        <w:rPr>
          <w:i/>
          <w:iCs/>
          <w:smallCaps w:val="0"/>
        </w:rPr>
      </w:pPr>
      <w:r>
        <w:t>Imagen</w:t>
      </w:r>
      <w:r w:rsidR="00C26C58">
        <w:t> </w:t>
      </w:r>
      <w:r>
        <w:fldChar w:fldCharType="begin"/>
      </w:r>
      <w:r>
        <w:instrText xml:space="preserve"> SEQ Ilustración \* ARABIC </w:instrText>
      </w:r>
      <w:r>
        <w:fldChar w:fldCharType="separate"/>
      </w:r>
      <w:r w:rsidR="00A448D4">
        <w:t>4</w:t>
      </w:r>
      <w:r>
        <w:fldChar w:fldCharType="end"/>
      </w:r>
      <w:r>
        <w:rPr>
          <w:smallCaps w:val="0"/>
        </w:rPr>
        <w:t xml:space="preserve">.– </w:t>
      </w:r>
      <w:r>
        <w:rPr>
          <w:i/>
          <w:iCs/>
          <w:smallCaps w:val="0"/>
        </w:rPr>
        <w:t xml:space="preserve">Paridad </w:t>
      </w:r>
      <w:r w:rsidR="00316A28">
        <w:rPr>
          <w:i/>
          <w:iCs/>
          <w:smallCaps w:val="0"/>
        </w:rPr>
        <w:t>No C</w:t>
      </w:r>
      <w:r>
        <w:rPr>
          <w:i/>
          <w:iCs/>
          <w:smallCaps w:val="0"/>
        </w:rPr>
        <w:t>ub</w:t>
      </w:r>
      <w:r w:rsidR="00316A28">
        <w:rPr>
          <w:i/>
          <w:iCs/>
          <w:smallCaps w:val="0"/>
        </w:rPr>
        <w:t>i</w:t>
      </w:r>
      <w:r>
        <w:rPr>
          <w:i/>
          <w:iCs/>
          <w:smallCaps w:val="0"/>
        </w:rPr>
        <w:t>erta de Intereses</w:t>
      </w:r>
    </w:p>
    <w:p w14:paraId="00E3E675" w14:textId="37416F69" w:rsidR="00BA2668" w:rsidRDefault="00BA2668" w:rsidP="00BA2668">
      <w:pPr>
        <w:pStyle w:val="Imagen"/>
      </w:pPr>
      <w:r>
        <w:drawing>
          <wp:inline distT="0" distB="0" distL="0" distR="0" wp14:anchorId="645BE2C3" wp14:editId="52AB6AC2">
            <wp:extent cx="3200222" cy="1800000"/>
            <wp:effectExtent l="0" t="0" r="635" b="0"/>
            <wp:docPr id="8" name="Imagen 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Diagrama&#10;&#10;Descripción generada automáticamente"/>
                    <pic:cNvPicPr/>
                  </pic:nvPicPr>
                  <pic:blipFill>
                    <a:blip r:embed="rId13"/>
                    <a:stretch>
                      <a:fillRect/>
                    </a:stretch>
                  </pic:blipFill>
                  <pic:spPr>
                    <a:xfrm>
                      <a:off x="0" y="0"/>
                      <a:ext cx="3200222" cy="1800000"/>
                    </a:xfrm>
                    <a:prstGeom prst="rect">
                      <a:avLst/>
                    </a:prstGeom>
                  </pic:spPr>
                </pic:pic>
              </a:graphicData>
            </a:graphic>
          </wp:inline>
        </w:drawing>
      </w:r>
    </w:p>
    <w:p w14:paraId="7F4038C4" w14:textId="4A372802" w:rsidR="00BA2668" w:rsidRPr="00BA2668" w:rsidRDefault="00BA2668" w:rsidP="00BA2668">
      <w:pPr>
        <w:pStyle w:val="PiedeImagen"/>
        <w:rPr>
          <w:i w:val="0"/>
          <w:iCs/>
        </w:rPr>
      </w:pPr>
      <w:r>
        <w:t>Fuente</w:t>
      </w:r>
      <w:r>
        <w:rPr>
          <w:i w:val="0"/>
          <w:iCs/>
        </w:rPr>
        <w:t>: Elaboración propia</w:t>
      </w:r>
    </w:p>
    <w:p w14:paraId="4758C91B" w14:textId="6B0B6B32" w:rsidR="00F01AEF" w:rsidRPr="00F01AEF" w:rsidRDefault="00F01AEF" w:rsidP="00F01AEF">
      <w:pPr>
        <w:pStyle w:val="Ttulo7"/>
      </w:pPr>
      <w:r>
        <w:t>Implicaciones</w:t>
      </w:r>
    </w:p>
    <w:p w14:paraId="191E6756" w14:textId="6E34658A" w:rsidR="00A12206" w:rsidRDefault="00A12206" w:rsidP="00C26C58">
      <w:pPr>
        <w:pStyle w:val="Nivel1SM"/>
        <w:keepNext/>
        <w:spacing w:before="0" w:after="0"/>
      </w:pPr>
      <w:r w:rsidRPr="00DC76E6">
        <w:t>Segú</w:t>
      </w:r>
      <w:r>
        <w:t xml:space="preserve">n los modelos de las paridades de intereses, el determinante de la evolución del </w:t>
      </w:r>
      <w:r w:rsidRPr="00DC76E6">
        <w:rPr>
          <w:i/>
          <w:iCs/>
        </w:rPr>
        <w:t>tipo de cambio</w:t>
      </w:r>
      <w:r>
        <w:t xml:space="preserve"> es el diferencial de l</w:t>
      </w:r>
      <w:r w:rsidR="005307A0">
        <w:t>os tipos de interés</w:t>
      </w:r>
      <w:r w:rsidR="00D1166C">
        <w:rPr>
          <w:rStyle w:val="Refdenotaalpie"/>
        </w:rPr>
        <w:footnoteReference w:id="17"/>
      </w:r>
      <w:r>
        <w:t>:</w:t>
      </w:r>
    </w:p>
    <w:p w14:paraId="3E6F0E9B" w14:textId="77777777" w:rsidR="00A12206" w:rsidRPr="00F33A23" w:rsidRDefault="00000000" w:rsidP="00C26C58">
      <w:pPr>
        <w:pStyle w:val="Nivel2"/>
        <w:numPr>
          <w:ilvl w:val="0"/>
          <w:numId w:val="0"/>
        </w:numPr>
        <w:spacing w:after="0"/>
        <w:ind w:left="851"/>
        <w:rPr>
          <w:rFonts w:eastAsiaTheme="minorEastAsia"/>
          <w:lang w:val="en-US"/>
        </w:rPr>
      </w:pPr>
      <m:oMathPara>
        <m:oMath>
          <m:d>
            <m:dPr>
              <m:ctrlPr>
                <w:rPr>
                  <w:rFonts w:ascii="Cambria Math" w:hAnsi="Cambria Math"/>
                  <w:i/>
                </w:rPr>
              </m:ctrlPr>
            </m:dPr>
            <m:e>
              <m:r>
                <m:rPr>
                  <m:nor/>
                </m:rPr>
                <w:rPr>
                  <w:i/>
                  <w:lang w:val="en-US"/>
                </w:rPr>
                <m:t>1</m:t>
              </m:r>
              <m:r>
                <w:rPr>
                  <w:rFonts w:ascii="Cambria Math" w:hAnsi="Cambria Math"/>
                  <w:lang w:val="en-US"/>
                </w:rPr>
                <m:t>+</m:t>
              </m:r>
              <m:r>
                <m:rPr>
                  <m:nor/>
                </m:rPr>
                <w:rPr>
                  <w:i/>
                  <w:lang w:val="en-US"/>
                </w:rPr>
                <m:t>i</m:t>
              </m:r>
            </m:e>
          </m:d>
          <m:r>
            <w:rPr>
              <w:rFonts w:ascii="Cambria Math" w:eastAsiaTheme="minorEastAsia" w:hAnsi="Cambria Math"/>
              <w:lang w:val="en-US"/>
            </w:rPr>
            <m:t>=</m:t>
          </m:r>
          <m:d>
            <m:dPr>
              <m:ctrlPr>
                <w:rPr>
                  <w:rFonts w:ascii="Cambria Math" w:hAnsi="Cambria Math"/>
                  <w:i/>
                </w:rPr>
              </m:ctrlPr>
            </m:dPr>
            <m:e>
              <m:r>
                <m:rPr>
                  <m:nor/>
                </m:rPr>
                <w:rPr>
                  <w:i/>
                  <w:lang w:val="en-US"/>
                </w:rPr>
                <m:t>1</m:t>
              </m:r>
              <m:r>
                <w:rPr>
                  <w:rFonts w:ascii="Cambria Math" w:hAnsi="Cambria Math"/>
                  <w:lang w:val="en-US"/>
                </w:rPr>
                <m:t>+</m:t>
              </m:r>
              <m:r>
                <m:rPr>
                  <m:nor/>
                </m:rPr>
                <w:rPr>
                  <w:i/>
                  <w:lang w:val="en-US"/>
                </w:rPr>
                <m:t>i*</m:t>
              </m:r>
            </m:e>
          </m:d>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s</m:t>
                  </m:r>
                </m:e>
                <m:sub>
                  <m:r>
                    <m:rPr>
                      <m:nor/>
                    </m:rPr>
                    <w:rPr>
                      <w:i/>
                      <w:lang w:val="en-US"/>
                    </w:rPr>
                    <m:t>t</m:t>
                  </m:r>
                  <m:r>
                    <m:rPr>
                      <m:nor/>
                    </m:rPr>
                    <w:rPr>
                      <w:rFonts w:ascii="Cambria Math"/>
                      <w:iCs/>
                      <w:lang w:val="en-US"/>
                    </w:rPr>
                    <m:t>+</m:t>
                  </m:r>
                  <m:r>
                    <m:rPr>
                      <m:nor/>
                    </m:rPr>
                    <w:rPr>
                      <w:i/>
                      <w:lang w:val="en-US"/>
                    </w:rPr>
                    <m:t>1</m:t>
                  </m:r>
                </m:sub>
              </m:sSub>
            </m:num>
            <m:den>
              <m:sSub>
                <m:sSubPr>
                  <m:ctrlPr>
                    <w:rPr>
                      <w:rFonts w:ascii="Cambria Math" w:hAnsi="Cambria Math"/>
                      <w:i/>
                    </w:rPr>
                  </m:ctrlPr>
                </m:sSubPr>
                <m:e>
                  <m:r>
                    <m:rPr>
                      <m:nor/>
                    </m:rPr>
                    <w:rPr>
                      <w:i/>
                      <w:lang w:val="en-US"/>
                    </w:rPr>
                    <m:t>s</m:t>
                  </m:r>
                </m:e>
                <m:sub>
                  <m:r>
                    <m:rPr>
                      <m:nor/>
                    </m:rPr>
                    <w:rPr>
                      <w:i/>
                      <w:lang w:val="en-US"/>
                    </w:rPr>
                    <m:t>t</m:t>
                  </m:r>
                </m:sub>
              </m:sSub>
            </m:den>
          </m:f>
        </m:oMath>
      </m:oMathPara>
    </w:p>
    <w:p w14:paraId="45902B46" w14:textId="2911224C" w:rsidR="00A12206" w:rsidRPr="00F33A23" w:rsidRDefault="00A12206" w:rsidP="00C26C58">
      <w:pPr>
        <w:pStyle w:val="Nivel2"/>
        <w:numPr>
          <w:ilvl w:val="0"/>
          <w:numId w:val="0"/>
        </w:numPr>
        <w:spacing w:after="0"/>
        <w:ind w:left="851"/>
        <w:rPr>
          <w:rFonts w:eastAsiaTheme="minorEastAsia"/>
          <w:lang w:val="en-US"/>
        </w:rPr>
      </w:pPr>
      <m:oMathPara>
        <m:oMath>
          <m:r>
            <w:rPr>
              <w:rFonts w:ascii="Cambria Math" w:eastAsiaTheme="minorEastAsia" w:hAnsi="Cambria Math"/>
              <w:lang w:val="en-US"/>
            </w:rPr>
            <m:t xml:space="preserve"> </m:t>
          </m:r>
          <m:r>
            <m:rPr>
              <m:nor/>
            </m:rPr>
            <w:rPr>
              <w:i/>
              <w:lang w:val="en-US"/>
            </w:rPr>
            <m:t>i</m:t>
          </m:r>
          <m:r>
            <w:rPr>
              <w:rFonts w:ascii="Cambria Math" w:hAnsi="Cambria Math"/>
              <w:lang w:val="en-US"/>
            </w:rPr>
            <m:t>-</m:t>
          </m:r>
          <m:r>
            <m:rPr>
              <m:nor/>
            </m:rPr>
            <w:rPr>
              <w:i/>
              <w:lang w:val="en-US"/>
            </w:rPr>
            <m:t>i*</m:t>
          </m:r>
          <m:r>
            <w:rPr>
              <w:rFonts w:ascii="Cambria Math" w:eastAsiaTheme="minorEastAsia"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lang w:val="en-US"/>
                            </w:rPr>
                            <m:t>s</m:t>
                          </m:r>
                        </m:e>
                        <m:sub>
                          <m:r>
                            <m:rPr>
                              <m:nor/>
                            </m:rPr>
                            <w:rPr>
                              <w:i/>
                              <w:lang w:val="en-US"/>
                            </w:rPr>
                            <m:t>t</m:t>
                          </m:r>
                          <m:r>
                            <m:rPr>
                              <m:nor/>
                            </m:rPr>
                            <w:rPr>
                              <w:iCs/>
                              <w:lang w:val="en-US"/>
                            </w:rPr>
                            <m:t>+</m:t>
                          </m:r>
                          <m:r>
                            <m:rPr>
                              <m:nor/>
                            </m:rPr>
                            <w:rPr>
                              <w:i/>
                              <w:lang w:val="en-US"/>
                            </w:rPr>
                            <m:t>1</m:t>
                          </m:r>
                        </m:sub>
                      </m:sSub>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t</m:t>
                          </m:r>
                        </m:sub>
                      </m:sSub>
                    </m:num>
                    <m:den>
                      <m:sSub>
                        <m:sSubPr>
                          <m:ctrlPr>
                            <w:rPr>
                              <w:rFonts w:ascii="Cambria Math" w:hAnsi="Cambria Math"/>
                              <w:i/>
                            </w:rPr>
                          </m:ctrlPr>
                        </m:sSubPr>
                        <m:e>
                          <m:r>
                            <m:rPr>
                              <m:nor/>
                            </m:rPr>
                            <w:rPr>
                              <w:i/>
                              <w:lang w:val="en-US"/>
                            </w:rPr>
                            <m:t>s</m:t>
                          </m:r>
                        </m:e>
                        <m:sub>
                          <m:r>
                            <m:rPr>
                              <m:nor/>
                            </m:rPr>
                            <w:rPr>
                              <w:i/>
                              <w:lang w:val="en-US"/>
                            </w:rPr>
                            <m:t>t</m:t>
                          </m:r>
                        </m:sub>
                      </m:sSub>
                    </m:den>
                  </m:f>
                </m:e>
              </m:groupChr>
            </m:e>
            <m:lim>
              <m:r>
                <m:rPr>
                  <m:nor/>
                </m:rPr>
                <w:rPr>
                  <w:i/>
                  <w:iCs/>
                  <w:sz w:val="16"/>
                  <w:szCs w:val="16"/>
                  <w:lang w:val="en-US"/>
                </w:rPr>
                <m:t>Tasa de depreciación esperada</m:t>
              </m:r>
            </m:lim>
          </m:limLow>
        </m:oMath>
      </m:oMathPara>
    </w:p>
    <w:p w14:paraId="46D8E389" w14:textId="6DA31542" w:rsidR="00A12206" w:rsidRDefault="00A12206" w:rsidP="00D1166C">
      <w:pPr>
        <w:pStyle w:val="Nivel2SM"/>
        <w:keepNext/>
        <w:spacing w:after="0"/>
      </w:pPr>
      <w:r>
        <w:t xml:space="preserve">Por lo tanto, </w:t>
      </w:r>
      <w:r w:rsidRPr="00D1166C">
        <w:rPr>
          <w:b/>
          <w:bCs/>
        </w:rPr>
        <w:t>los determinantes últimos</w:t>
      </w:r>
      <w:r w:rsidR="005307A0" w:rsidRPr="00D1166C">
        <w:rPr>
          <w:b/>
          <w:bCs/>
        </w:rPr>
        <w:t xml:space="preserve"> del </w:t>
      </w:r>
      <w:r w:rsidR="005307A0" w:rsidRPr="00D1166C">
        <w:rPr>
          <w:b/>
          <w:bCs/>
          <w:i/>
          <w:iCs/>
        </w:rPr>
        <w:t>tipo de cambio</w:t>
      </w:r>
      <w:r w:rsidRPr="00D1166C">
        <w:rPr>
          <w:b/>
          <w:bCs/>
        </w:rPr>
        <w:t xml:space="preserve"> son el tipo de interés nacional y el tipo de interés extranjero</w:t>
      </w:r>
      <w:r>
        <w:t>. De este modo:</w:t>
      </w:r>
    </w:p>
    <w:p w14:paraId="099DE713" w14:textId="77777777" w:rsidR="00A12206" w:rsidRDefault="00A12206" w:rsidP="00D1166C">
      <w:pPr>
        <w:pStyle w:val="Nivel3SM"/>
      </w:pPr>
      <w:r>
        <w:t>Un aumento en el tipo de interés nacional o una disminución del tipo de interés extranjero causarán un aumento en la tasa de depreciación esperada, ya que entrarán capitales en nuestro país en busca de mayor rentabilidad, con lo que la moneda se apreciará hoy (</w:t>
      </w:r>
      <m:oMath>
        <m:r>
          <m:rPr>
            <m:nor/>
          </m:rPr>
          <w:rPr>
            <w:rFonts w:ascii="Times New Roman" w:hAnsi="Times New Roman" w:cs="Times New Roman"/>
          </w:rPr>
          <m:t>↓</m:t>
        </m:r>
        <m:sSub>
          <m:sSubPr>
            <m:ctrlPr>
              <w:rPr>
                <w:rFonts w:ascii="Cambria Math" w:hAnsi="Cambria Math"/>
                <w:i/>
              </w:rPr>
            </m:ctrlPr>
          </m:sSubPr>
          <m:e>
            <m:r>
              <m:rPr>
                <m:nor/>
              </m:rPr>
              <w:rPr>
                <w:i/>
              </w:rPr>
              <m:t>s</m:t>
            </m:r>
          </m:e>
          <m:sub>
            <m:r>
              <m:rPr>
                <m:nor/>
              </m:rPr>
              <w:rPr>
                <w:i/>
              </w:rPr>
              <m:t>t</m:t>
            </m:r>
          </m:sub>
        </m:sSub>
      </m:oMath>
      <w:r>
        <w:t>) y aumentará la tasa de depreciación esperada hasta que se cumpla la paridad y se eliminen las rentabilidades extraordinarias.</w:t>
      </w:r>
    </w:p>
    <w:p w14:paraId="09B67163" w14:textId="77777777" w:rsidR="00A12206" w:rsidRDefault="00A12206" w:rsidP="00D1166C">
      <w:pPr>
        <w:pStyle w:val="Nivel3SM"/>
      </w:pPr>
      <w:r>
        <w:t>Una disminución en el tipo de interés nacional o un aumento del tipo de interés extranjero causarán una disminución en la tasa de depreciación esperada, ya que saldrán capitales hacia el extranjero en busca de mayor rentabilidad, con lo que la moneda se depreciará hoy (</w:t>
      </w:r>
      <m:oMath>
        <m:r>
          <m:rPr>
            <m:nor/>
          </m:rPr>
          <w:rPr>
            <w:rFonts w:ascii="Times New Roman" w:hAnsi="Times New Roman" w:cs="Times New Roman"/>
          </w:rPr>
          <m:t>↑</m:t>
        </m:r>
        <m:sSub>
          <m:sSubPr>
            <m:ctrlPr>
              <w:rPr>
                <w:rFonts w:ascii="Cambria Math" w:hAnsi="Cambria Math"/>
                <w:i/>
              </w:rPr>
            </m:ctrlPr>
          </m:sSubPr>
          <m:e>
            <m:r>
              <m:rPr>
                <m:nor/>
              </m:rPr>
              <w:rPr>
                <w:i/>
              </w:rPr>
              <m:t>s</m:t>
            </m:r>
          </m:e>
          <m:sub>
            <m:r>
              <m:rPr>
                <m:nor/>
              </m:rPr>
              <w:rPr>
                <w:i/>
              </w:rPr>
              <m:t>t</m:t>
            </m:r>
          </m:sub>
        </m:sSub>
      </m:oMath>
      <w:r>
        <w:t>) y caerá la tasa de depreciación esperada hasta que se cumpla la paridad y se eliminen las rentabilidades extraordinarias.</w:t>
      </w:r>
    </w:p>
    <w:p w14:paraId="7D1B4845" w14:textId="77777777" w:rsidR="00A12206" w:rsidRDefault="00A12206" w:rsidP="00A12206">
      <w:pPr>
        <w:pStyle w:val="Ttulo6"/>
      </w:pPr>
      <w:bookmarkStart w:id="38" w:name="_Toc136424366"/>
      <w:r>
        <w:lastRenderedPageBreak/>
        <w:t>Evidencia empírica</w:t>
      </w:r>
      <w:bookmarkEnd w:id="38"/>
    </w:p>
    <w:p w14:paraId="2C97C49B" w14:textId="753D90E9" w:rsidR="005307A0" w:rsidRDefault="00A12206" w:rsidP="00C26C58">
      <w:pPr>
        <w:pStyle w:val="Nivel1SM"/>
        <w:keepNext/>
        <w:spacing w:before="0" w:after="0"/>
      </w:pPr>
      <w:bookmarkStart w:id="39" w:name="_Hlk101172180"/>
      <w:r w:rsidRPr="005858E2">
        <w:t xml:space="preserve">Sin embargo, la </w:t>
      </w:r>
      <w:r w:rsidRPr="00D1166C">
        <w:rPr>
          <w:b/>
          <w:bCs/>
        </w:rPr>
        <w:t xml:space="preserve">evidencia empírica </w:t>
      </w:r>
      <w:r w:rsidR="008F4407">
        <w:rPr>
          <w:b/>
          <w:bCs/>
        </w:rPr>
        <w:t>muestra incumplimientos para estas</w:t>
      </w:r>
      <w:r w:rsidRPr="00D1166C">
        <w:rPr>
          <w:b/>
          <w:bCs/>
        </w:rPr>
        <w:t xml:space="preserve"> dos paridades</w:t>
      </w:r>
      <w:r w:rsidR="00665673">
        <w:t>, si bien con notables diferencias entre ambas</w:t>
      </w:r>
      <w:r w:rsidR="005307A0">
        <w:t>:</w:t>
      </w:r>
    </w:p>
    <w:p w14:paraId="105914D0" w14:textId="77777777" w:rsidR="004A088C" w:rsidRDefault="008F4407" w:rsidP="00D1166C">
      <w:pPr>
        <w:pStyle w:val="Nivel2SM"/>
        <w:keepNext/>
        <w:spacing w:after="0"/>
      </w:pPr>
      <w:r>
        <w:t>Por un lado, l</w:t>
      </w:r>
      <w:r w:rsidR="005307A0">
        <w:t xml:space="preserve">a </w:t>
      </w:r>
      <w:r w:rsidR="005307A0" w:rsidRPr="004A088C">
        <w:rPr>
          <w:i/>
          <w:iCs/>
          <w:u w:val="single"/>
        </w:rPr>
        <w:t>PCI se cumple continuamente con mucha precisión</w:t>
      </w:r>
      <w:r w:rsidR="005307A0">
        <w:t>, cómo cabría esperar (los programas informáticos de las instituciones de inversión hacen que los diferenciales de rentabilidad duren apenas segundos).</w:t>
      </w:r>
    </w:p>
    <w:p w14:paraId="13DD4BE4" w14:textId="1E12622E" w:rsidR="005307A0" w:rsidRPr="00D1166C" w:rsidRDefault="005307A0" w:rsidP="00C41218">
      <w:pPr>
        <w:pStyle w:val="Nivel3SM"/>
        <w:keepNext/>
      </w:pPr>
      <w:r>
        <w:t xml:space="preserve">Los </w:t>
      </w:r>
      <w:r w:rsidRPr="00C41218">
        <w:t>incumplimientos de la PCI</w:t>
      </w:r>
      <w:r>
        <w:t xml:space="preserve"> están relacionados con</w:t>
      </w:r>
      <w:r w:rsidR="00C41218">
        <w:t xml:space="preserve"> </w:t>
      </w:r>
      <w:r w:rsidR="00C41218" w:rsidRPr="00C41218">
        <w:t>l</w:t>
      </w:r>
      <w:r w:rsidRPr="00C41218">
        <w:t>a</w:t>
      </w:r>
      <w:r>
        <w:t xml:space="preserve"> </w:t>
      </w:r>
      <w:r w:rsidRPr="00C41218">
        <w:t>ruptura del supuesto de libre movilidad de capitales</w:t>
      </w:r>
      <w:r w:rsidRPr="00D1166C">
        <w:t>.</w:t>
      </w:r>
    </w:p>
    <w:p w14:paraId="48D7D5EC" w14:textId="1E869EC5" w:rsidR="005307A0" w:rsidRPr="00D1166C" w:rsidRDefault="005307A0" w:rsidP="004A088C">
      <w:pPr>
        <w:pStyle w:val="Nivel4"/>
        <w:ind w:left="1474"/>
      </w:pPr>
      <w:r w:rsidRPr="00D1166C">
        <w:t xml:space="preserve">La </w:t>
      </w:r>
      <w:r w:rsidRPr="00720ACB">
        <w:rPr>
          <w:i/>
          <w:iCs/>
        </w:rPr>
        <w:t>existencia de comisiones y costes de transacción</w:t>
      </w:r>
      <w:r w:rsidRPr="00D1166C">
        <w:t xml:space="preserve"> (de manera que, por ejemplo, el arbitrajista no intervendrá si el diferencial de cotización –beneficios– es menor que la comisión que tiene que pagar.</w:t>
      </w:r>
    </w:p>
    <w:p w14:paraId="3EEF970C" w14:textId="728EFD6E" w:rsidR="00304CCB" w:rsidRPr="00EC4253" w:rsidRDefault="004A088C" w:rsidP="004A088C">
      <w:pPr>
        <w:pStyle w:val="Nivel3SM"/>
        <w:keepNext/>
        <w:rPr>
          <w:spacing w:val="-5"/>
        </w:rPr>
      </w:pPr>
      <w:r w:rsidRPr="00EC4253">
        <w:rPr>
          <w:spacing w:val="-5"/>
        </w:rPr>
        <w:t>L</w:t>
      </w:r>
      <w:r w:rsidR="00304CCB" w:rsidRPr="00EC4253">
        <w:rPr>
          <w:spacing w:val="-5"/>
        </w:rPr>
        <w:t>a evidencia muestra que el tipo de cambio forward es un mal predictor del tipo de cambio futuro (no s</w:t>
      </w:r>
      <w:r w:rsidR="00720ACB" w:rsidRPr="00EC4253">
        <w:rPr>
          <w:spacing w:val="-5"/>
        </w:rPr>
        <w:t>ó</w:t>
      </w:r>
      <w:r w:rsidR="00304CCB" w:rsidRPr="00EC4253">
        <w:rPr>
          <w:spacing w:val="-5"/>
        </w:rPr>
        <w:t xml:space="preserve">lo no acierta la magnitud del cambio, sino que tiende a fallar su dirección). </w:t>
      </w:r>
      <w:r w:rsidR="0083472A" w:rsidRPr="00EC4253">
        <w:rPr>
          <w:spacing w:val="-5"/>
        </w:rPr>
        <w:t>S</w:t>
      </w:r>
      <w:r w:rsidR="00304CCB" w:rsidRPr="00EC4253">
        <w:rPr>
          <w:spacing w:val="-5"/>
        </w:rPr>
        <w:t>e considera como un hecho estilizado que la divisa con un tipo de interés más alto tiende a apreciarse, lo que contradice la P</w:t>
      </w:r>
      <w:r w:rsidR="00316A28" w:rsidRPr="00EC4253">
        <w:rPr>
          <w:spacing w:val="-5"/>
        </w:rPr>
        <w:t>NC</w:t>
      </w:r>
      <w:r w:rsidR="00304CCB" w:rsidRPr="00EC4253">
        <w:rPr>
          <w:spacing w:val="-5"/>
        </w:rPr>
        <w:t xml:space="preserve">I. Estos resultados empíricos conforman la conocida </w:t>
      </w:r>
      <w:r w:rsidR="00304CCB" w:rsidRPr="00EC4253">
        <w:rPr>
          <w:i/>
          <w:iCs/>
          <w:spacing w:val="-5"/>
        </w:rPr>
        <w:t>paradoja del margen forward</w:t>
      </w:r>
      <w:r w:rsidR="00304CCB" w:rsidRPr="00EC4253">
        <w:rPr>
          <w:spacing w:val="-5"/>
        </w:rPr>
        <w:t xml:space="preserve">. </w:t>
      </w:r>
      <w:r w:rsidR="0083472A" w:rsidRPr="00EC4253">
        <w:rPr>
          <w:spacing w:val="-5"/>
        </w:rPr>
        <w:t>Algunos factores que dan explicación a este resultado empírico son:</w:t>
      </w:r>
    </w:p>
    <w:p w14:paraId="6CC66C40" w14:textId="3138191D" w:rsidR="0083472A" w:rsidRDefault="0083472A" w:rsidP="004A088C">
      <w:pPr>
        <w:pStyle w:val="Nivel4"/>
        <w:ind w:left="1474"/>
      </w:pPr>
      <w:r w:rsidRPr="00720ACB">
        <w:rPr>
          <w:i/>
          <w:iCs/>
        </w:rPr>
        <w:t>No neutralidad al riesgo de los inversores</w:t>
      </w:r>
      <w:r>
        <w:t>, de forma que los individuos aversos al riesgo reclaman una prima de riesgo.</w:t>
      </w:r>
    </w:p>
    <w:p w14:paraId="502845E0" w14:textId="37C47616" w:rsidR="0083472A" w:rsidRDefault="0083472A" w:rsidP="004A088C">
      <w:pPr>
        <w:pStyle w:val="Nivel4"/>
        <w:ind w:left="1474"/>
      </w:pPr>
      <w:r>
        <w:t xml:space="preserve">Otra explicación a la </w:t>
      </w:r>
      <w:r w:rsidRPr="00720ACB">
        <w:t>paradoja del margen forward</w:t>
      </w:r>
      <w:r>
        <w:t xml:space="preserve"> será provista por </w:t>
      </w:r>
      <w:r w:rsidRPr="00720ACB">
        <w:rPr>
          <w:i/>
          <w:iCs/>
        </w:rPr>
        <w:t>teorías modernas</w:t>
      </w:r>
      <w:r>
        <w:t xml:space="preserve"> que abordaremos posteriormente.</w:t>
      </w:r>
    </w:p>
    <w:bookmarkEnd w:id="39"/>
    <w:p w14:paraId="413913F1" w14:textId="3D9DB1BA" w:rsidR="005307A0" w:rsidRDefault="004A088C" w:rsidP="00D1166C">
      <w:pPr>
        <w:pStyle w:val="Nivel2SM"/>
        <w:keepNext/>
        <w:spacing w:after="0"/>
      </w:pPr>
      <w:r>
        <w:t>Por otro lado, l</w:t>
      </w:r>
      <w:r w:rsidR="005307A0">
        <w:t xml:space="preserve">a </w:t>
      </w:r>
      <w:r w:rsidR="005307A0" w:rsidRPr="004A088C">
        <w:rPr>
          <w:i/>
          <w:iCs/>
          <w:u w:val="single"/>
        </w:rPr>
        <w:t>P</w:t>
      </w:r>
      <w:r w:rsidR="00316A28">
        <w:rPr>
          <w:i/>
          <w:iCs/>
          <w:u w:val="single"/>
        </w:rPr>
        <w:t>NC</w:t>
      </w:r>
      <w:r w:rsidR="005307A0" w:rsidRPr="004A088C">
        <w:rPr>
          <w:i/>
          <w:iCs/>
          <w:u w:val="single"/>
        </w:rPr>
        <w:t>I no se cumple</w:t>
      </w:r>
      <w:r w:rsidR="005307A0">
        <w:t>:</w:t>
      </w:r>
    </w:p>
    <w:p w14:paraId="7637993A" w14:textId="626461B7" w:rsidR="00C41218" w:rsidRPr="00C41218" w:rsidRDefault="00C41218" w:rsidP="00C41218">
      <w:pPr>
        <w:pStyle w:val="Nivel3SM"/>
      </w:pPr>
      <w:r>
        <w:t xml:space="preserve">Como decimos, </w:t>
      </w:r>
      <w:r w:rsidRPr="00C41218">
        <w:rPr>
          <w:i/>
          <w:iCs/>
        </w:rPr>
        <w:t>el supuesto de libre movilidad de capitales no se cumple</w:t>
      </w:r>
      <w:r>
        <w:t>.</w:t>
      </w:r>
    </w:p>
    <w:p w14:paraId="2135006C" w14:textId="1B61138C" w:rsidR="00C41218" w:rsidRPr="00D1166C" w:rsidRDefault="00C41218" w:rsidP="00C41218">
      <w:pPr>
        <w:pStyle w:val="Nivel3SM"/>
      </w:pPr>
      <w:r w:rsidRPr="00962F13">
        <w:rPr>
          <w:i/>
          <w:iCs/>
        </w:rPr>
        <w:t>Tampoco se cumple el supuesto de perfecta sustituibilidad de los activos</w:t>
      </w:r>
      <w:r w:rsidRPr="00D1166C">
        <w:t>.</w:t>
      </w:r>
    </w:p>
    <w:p w14:paraId="3209CC6D" w14:textId="690D21F4" w:rsidR="005307A0" w:rsidRDefault="005307A0" w:rsidP="00052BBA">
      <w:pPr>
        <w:pStyle w:val="Nivel3SM"/>
      </w:pPr>
      <w:r>
        <w:t>El motivo principal es que no se cumple el supuesto inicial de neutralidad al riesgo de los agentes. Y es que no debemos olvidar que en la P</w:t>
      </w:r>
      <w:r w:rsidR="00316A28">
        <w:t>NC</w:t>
      </w:r>
      <w:r>
        <w:t xml:space="preserve">I hay riesgo, de manera que </w:t>
      </w:r>
      <w:r w:rsidRPr="00C41218">
        <w:rPr>
          <w:i/>
          <w:iCs/>
        </w:rPr>
        <w:t>los agentes son, en realidad, aversos</w:t>
      </w:r>
      <w:r>
        <w:t xml:space="preserve">, asumirán el riesgo cambiario a cambio de una </w:t>
      </w:r>
      <w:r w:rsidRPr="00C41218">
        <w:rPr>
          <w:i/>
          <w:iCs/>
        </w:rPr>
        <w:t>prima de riesgo</w:t>
      </w:r>
      <w:r>
        <w:t xml:space="preserve">, es decir, asumirán el riesgo si la rentabilidad esperada que reciban de los activos extranjeros es igual a la rentabilidad esperada de los activos nacionales </w:t>
      </w:r>
      <w:r w:rsidRPr="00C41218">
        <w:rPr>
          <w:i/>
          <w:iCs/>
        </w:rPr>
        <w:t>más una prima</w:t>
      </w:r>
      <w:r w:rsidR="00304CCB" w:rsidRPr="00FA0672">
        <w:rPr>
          <w:rStyle w:val="Refdenotaalpie"/>
        </w:rPr>
        <w:footnoteReference w:id="18"/>
      </w:r>
      <w:r>
        <w:t xml:space="preserve">. Las divergencias respecto de la </w:t>
      </w:r>
      <w:r w:rsidR="00316A28">
        <w:t>PNCI</w:t>
      </w:r>
      <w:r w:rsidRPr="00D1166C">
        <w:t xml:space="preserve"> podrían reflejar por tanto esta prima de riesgo.</w:t>
      </w:r>
      <w:r w:rsidR="00C41218">
        <w:t xml:space="preserve"> </w:t>
      </w:r>
      <w:r w:rsidRPr="00D1166C">
        <w:t>Sin embargo, algunos estudios</w:t>
      </w:r>
      <w:r>
        <w:t xml:space="preserve"> estiman que las divergencias son muchas veces </w:t>
      </w:r>
      <w:r w:rsidRPr="00B6766B">
        <w:t>mayores</w:t>
      </w:r>
      <w:r>
        <w:t xml:space="preserve"> que una hipotética </w:t>
      </w:r>
      <w:r w:rsidRPr="005307A0">
        <w:t>prima de riesgo</w:t>
      </w:r>
      <w:r>
        <w:t xml:space="preserve">, por lo que en este caso las divergencias podrían deberse a </w:t>
      </w:r>
      <w:r w:rsidRPr="00C41218">
        <w:rPr>
          <w:i/>
          <w:iCs/>
        </w:rPr>
        <w:t>expectativas sesgadas</w:t>
      </w:r>
      <w:r>
        <w:t>.</w:t>
      </w:r>
    </w:p>
    <w:p w14:paraId="7FECCD5D" w14:textId="0007BEC0" w:rsidR="00A12206" w:rsidRPr="0046017C" w:rsidRDefault="00A12206" w:rsidP="00A12206">
      <w:pPr>
        <w:pStyle w:val="Ttulo6"/>
        <w:rPr>
          <w:lang w:val="en-US"/>
        </w:rPr>
      </w:pPr>
      <w:bookmarkStart w:id="40" w:name="_Toc136424367"/>
      <w:proofErr w:type="spellStart"/>
      <w:r w:rsidRPr="0046017C">
        <w:rPr>
          <w:lang w:val="en-US"/>
        </w:rPr>
        <w:t>Valoración</w:t>
      </w:r>
      <w:bookmarkEnd w:id="40"/>
      <w:proofErr w:type="spellEnd"/>
    </w:p>
    <w:p w14:paraId="442D769C" w14:textId="38B6E48D" w:rsidR="00A12206" w:rsidRPr="0046017C" w:rsidRDefault="0046017C" w:rsidP="00C26C58">
      <w:pPr>
        <w:pStyle w:val="Nivel1SM"/>
        <w:spacing w:before="0"/>
        <w:rPr>
          <w:lang w:val="en-US"/>
        </w:rPr>
      </w:pPr>
      <w:r w:rsidRPr="0046017C">
        <w:rPr>
          <w:lang w:val="en-US"/>
        </w:rPr>
        <w:t>It is important to</w:t>
      </w:r>
      <w:r>
        <w:rPr>
          <w:lang w:val="en-US"/>
        </w:rPr>
        <w:t xml:space="preserve"> note that according to some writers (see </w:t>
      </w:r>
      <w:r>
        <w:rPr>
          <w:smallCaps/>
          <w:lang w:val="en-US"/>
        </w:rPr>
        <w:t>Helliwell</w:t>
      </w:r>
      <w:r>
        <w:rPr>
          <w:lang w:val="en-US"/>
        </w:rPr>
        <w:t xml:space="preserve"> and </w:t>
      </w:r>
      <w:r>
        <w:rPr>
          <w:smallCaps/>
          <w:lang w:val="en-US"/>
        </w:rPr>
        <w:t>Boothe</w:t>
      </w:r>
      <w:r>
        <w:rPr>
          <w:lang w:val="en-US"/>
        </w:rPr>
        <w:t xml:space="preserve">, 1983), the condition of covered interest parity itself becomes a theory of exchange rate determination (the </w:t>
      </w:r>
      <w:r>
        <w:rPr>
          <w:i/>
          <w:iCs/>
          <w:lang w:val="en-US"/>
        </w:rPr>
        <w:t>interest parity model</w:t>
      </w:r>
      <w:r>
        <w:rPr>
          <w:lang w:val="en-US"/>
        </w:rPr>
        <w:t>, where interest parity may be expressed either in nominal or real terms), if one assumes that the forward exchange rate is an accurate and unbiased predictor of the future spot rate: it would in fact suffice, in this case, to find the determinants of the expected future spot exchange rate to be able to determine, given the interest rates, the current spot rate</w:t>
      </w:r>
      <w:r w:rsidR="002F3A6C">
        <w:rPr>
          <w:lang w:val="en-US"/>
        </w:rPr>
        <w:t xml:space="preserve"> </w:t>
      </w:r>
      <w:r w:rsidR="002F3A6C" w:rsidRPr="002F3A6C">
        <w:rPr>
          <w:lang w:val="en-US"/>
        </w:rPr>
        <w:t>(</w:t>
      </w:r>
      <w:r w:rsidR="002F3A6C" w:rsidRPr="002F3A6C">
        <w:rPr>
          <w:smallCaps/>
          <w:lang w:val="en-US"/>
        </w:rPr>
        <w:t>Gandolfo</w:t>
      </w:r>
      <w:r w:rsidR="002F3A6C" w:rsidRPr="002F3A6C">
        <w:rPr>
          <w:lang w:val="en-US"/>
        </w:rPr>
        <w:t xml:space="preserve">, </w:t>
      </w:r>
      <w:proofErr w:type="spellStart"/>
      <w:r w:rsidR="002F3A6C" w:rsidRPr="002F3A6C">
        <w:rPr>
          <w:lang w:val="en-US"/>
        </w:rPr>
        <w:t>pág</w:t>
      </w:r>
      <w:proofErr w:type="spellEnd"/>
      <w:r w:rsidR="002F3A6C" w:rsidRPr="002F3A6C">
        <w:rPr>
          <w:lang w:val="en-US"/>
        </w:rPr>
        <w:t>. 337)</w:t>
      </w:r>
      <w:r>
        <w:rPr>
          <w:lang w:val="en-US"/>
        </w:rPr>
        <w:t>.</w:t>
      </w:r>
    </w:p>
    <w:p w14:paraId="038459F6" w14:textId="77777777" w:rsidR="001E17AC" w:rsidRPr="00FE5D69" w:rsidRDefault="001E17AC" w:rsidP="001E17AC">
      <w:pPr>
        <w:pStyle w:val="Ttulo2"/>
        <w:rPr>
          <w:highlight w:val="yellow"/>
          <w:lang w:val="en-US"/>
        </w:rPr>
      </w:pPr>
      <w:bookmarkStart w:id="41" w:name="_Toc136424391"/>
      <w:bookmarkStart w:id="42" w:name="_Toc136424368"/>
      <w:proofErr w:type="spellStart"/>
      <w:r w:rsidRPr="00FE5D69">
        <w:rPr>
          <w:highlight w:val="yellow"/>
          <w:lang w:val="en-US"/>
        </w:rPr>
        <w:lastRenderedPageBreak/>
        <w:t>Modelo</w:t>
      </w:r>
      <w:proofErr w:type="spellEnd"/>
      <w:r w:rsidRPr="00FE5D69">
        <w:rPr>
          <w:highlight w:val="yellow"/>
          <w:lang w:val="en-US"/>
        </w:rPr>
        <w:t xml:space="preserve"> IS-LM-BP (Mundell-Fleming)</w:t>
      </w:r>
      <w:bookmarkEnd w:id="41"/>
    </w:p>
    <w:p w14:paraId="077BE639" w14:textId="7C31343E" w:rsidR="001E17AC" w:rsidRDefault="001E17AC" w:rsidP="001E17AC">
      <w:pPr>
        <w:pStyle w:val="Notaalopositor"/>
        <w:ind w:left="357"/>
        <w:rPr>
          <w:highlight w:val="yellow"/>
        </w:rPr>
      </w:pPr>
      <w:r w:rsidRPr="00412F18">
        <w:rPr>
          <w:highlight w:val="yellow"/>
        </w:rPr>
        <w:t>Modelo comodín</w:t>
      </w:r>
      <w:r>
        <w:rPr>
          <w:highlight w:val="yellow"/>
        </w:rPr>
        <w:t>. El modelo IS-LM-BP no es un modelo de determinación de tipo de cambio (si bien nos puede permitir estudiar el efecto de políticas de demanda sobre el tipo de cambio).</w:t>
      </w:r>
    </w:p>
    <w:p w14:paraId="68AF09D5" w14:textId="77777777" w:rsidR="001E17AC" w:rsidRPr="00412F18" w:rsidRDefault="001E17AC" w:rsidP="001E17AC">
      <w:pPr>
        <w:pStyle w:val="Ttulo3"/>
        <w:spacing w:before="0"/>
        <w:rPr>
          <w:highlight w:val="yellow"/>
        </w:rPr>
      </w:pPr>
      <w:bookmarkStart w:id="43" w:name="_Toc136424392"/>
      <w:r w:rsidRPr="00412F18">
        <w:rPr>
          <w:highlight w:val="yellow"/>
        </w:rPr>
        <w:t>Idea</w:t>
      </w:r>
      <w:bookmarkEnd w:id="43"/>
    </w:p>
    <w:p w14:paraId="1E1910E4" w14:textId="77777777" w:rsidR="001E17AC" w:rsidRDefault="001E17AC" w:rsidP="001E17AC">
      <w:pPr>
        <w:pStyle w:val="Nivel1SM"/>
        <w:spacing w:before="0"/>
        <w:rPr>
          <w:highlight w:val="yellow"/>
        </w:rPr>
      </w:pPr>
      <w:r>
        <w:rPr>
          <w:highlight w:val="yellow"/>
        </w:rPr>
        <w:t>El modelo IS-LM-BP no es un modelo de determinación del tipo de cambio, sino un modelo de economía abierta que permite entender los efectos de políticas económicas. Sin embargo, es un modelo donde algunas variables van a impactar en el tipo de cambio.</w:t>
      </w:r>
    </w:p>
    <w:p w14:paraId="42A9AC81" w14:textId="77777777" w:rsidR="001E17AC" w:rsidRPr="00412F18" w:rsidRDefault="001E17AC" w:rsidP="001E17AC">
      <w:pPr>
        <w:pStyle w:val="Nivel1SM"/>
        <w:rPr>
          <w:highlight w:val="yellow"/>
        </w:rPr>
      </w:pPr>
      <w:r w:rsidRPr="00412F18">
        <w:rPr>
          <w:highlight w:val="yellow"/>
        </w:rPr>
        <w:t xml:space="preserve">El modelo IS-LM-BP es una ampliación del modelo IS-LM para una economía abierta. Fue desarrollado por </w:t>
      </w:r>
      <w:r w:rsidRPr="00412F18">
        <w:rPr>
          <w:smallCaps/>
          <w:highlight w:val="yellow"/>
        </w:rPr>
        <w:t>Meade</w:t>
      </w:r>
      <w:r w:rsidRPr="00412F18">
        <w:rPr>
          <w:highlight w:val="yellow"/>
        </w:rPr>
        <w:t xml:space="preserve">, </w:t>
      </w:r>
      <w:proofErr w:type="spellStart"/>
      <w:r w:rsidRPr="00412F18">
        <w:rPr>
          <w:smallCaps/>
          <w:highlight w:val="yellow"/>
        </w:rPr>
        <w:t>Mundell</w:t>
      </w:r>
      <w:proofErr w:type="spellEnd"/>
      <w:r w:rsidRPr="00412F18">
        <w:rPr>
          <w:highlight w:val="yellow"/>
        </w:rPr>
        <w:t xml:space="preserve"> y </w:t>
      </w:r>
      <w:r w:rsidRPr="00412F18">
        <w:rPr>
          <w:smallCaps/>
          <w:highlight w:val="yellow"/>
        </w:rPr>
        <w:t>Fleming</w:t>
      </w:r>
      <w:r w:rsidRPr="00412F18">
        <w:rPr>
          <w:highlight w:val="yellow"/>
        </w:rPr>
        <w:t xml:space="preserve"> en la década de 1960.</w:t>
      </w:r>
    </w:p>
    <w:p w14:paraId="024BBB1E" w14:textId="77777777" w:rsidR="001E17AC" w:rsidRPr="00412F18" w:rsidRDefault="001E17AC" w:rsidP="001E17AC">
      <w:pPr>
        <w:pStyle w:val="Nivel1SM"/>
        <w:rPr>
          <w:highlight w:val="yellow"/>
        </w:rPr>
      </w:pPr>
      <w:r w:rsidRPr="00412F18">
        <w:rPr>
          <w:highlight w:val="yellow"/>
        </w:rPr>
        <w:t>No es un modelo de determinación del tipo de cambio como tal, sino que es un modelo de economía abierta que permite entender efectos de políticas económicas. Sin embargo, es un modelo donde algunas variables van a impactar en el tipo de cambio.</w:t>
      </w:r>
    </w:p>
    <w:p w14:paraId="2E5610BE" w14:textId="77777777" w:rsidR="001E17AC" w:rsidRPr="00412F18" w:rsidRDefault="001E17AC" w:rsidP="001E17AC">
      <w:pPr>
        <w:pStyle w:val="Ttulo3"/>
        <w:rPr>
          <w:highlight w:val="yellow"/>
        </w:rPr>
      </w:pPr>
      <w:bookmarkStart w:id="44" w:name="_Toc136424393"/>
      <w:r w:rsidRPr="00412F18">
        <w:rPr>
          <w:highlight w:val="yellow"/>
        </w:rPr>
        <w:t>Modelo</w:t>
      </w:r>
      <w:bookmarkEnd w:id="44"/>
    </w:p>
    <w:p w14:paraId="36CD0E43" w14:textId="77777777" w:rsidR="001E17AC" w:rsidRPr="00412F18" w:rsidRDefault="001E17AC" w:rsidP="001E17AC">
      <w:pPr>
        <w:pStyle w:val="Ttulo6"/>
        <w:spacing w:before="0"/>
        <w:rPr>
          <w:highlight w:val="yellow"/>
        </w:rPr>
      </w:pPr>
      <w:bookmarkStart w:id="45" w:name="_Toc136424394"/>
      <w:r w:rsidRPr="00412F18">
        <w:rPr>
          <w:highlight w:val="yellow"/>
        </w:rPr>
        <w:t>Supuestos</w:t>
      </w:r>
      <w:bookmarkEnd w:id="45"/>
    </w:p>
    <w:p w14:paraId="73A8E486" w14:textId="77777777" w:rsidR="001E17AC" w:rsidRPr="00412F18" w:rsidRDefault="001E17AC" w:rsidP="001E17AC">
      <w:pPr>
        <w:pStyle w:val="Nivel1SM"/>
        <w:keepNext/>
        <w:spacing w:before="0" w:after="0"/>
        <w:rPr>
          <w:highlight w:val="yellow"/>
        </w:rPr>
      </w:pPr>
      <w:r w:rsidRPr="00412F18">
        <w:rPr>
          <w:highlight w:val="yellow"/>
        </w:rPr>
        <w:t>Partimos de los siguientes supuestos:</w:t>
      </w:r>
    </w:p>
    <w:p w14:paraId="3153CDC2" w14:textId="77777777" w:rsidR="001E17AC" w:rsidRPr="00412F18" w:rsidRDefault="001E17AC" w:rsidP="001E17AC">
      <w:pPr>
        <w:pStyle w:val="Nivel2SM"/>
        <w:rPr>
          <w:highlight w:val="yellow"/>
        </w:rPr>
      </w:pPr>
      <w:r w:rsidRPr="00412F18">
        <w:rPr>
          <w:highlight w:val="yellow"/>
        </w:rPr>
        <w:t>Economía abierta al exterior</w:t>
      </w:r>
    </w:p>
    <w:p w14:paraId="770966A9" w14:textId="77777777" w:rsidR="001E17AC" w:rsidRPr="00412F18" w:rsidRDefault="001E17AC" w:rsidP="001E17AC">
      <w:pPr>
        <w:pStyle w:val="Nivel2SM"/>
        <w:rPr>
          <w:highlight w:val="yellow"/>
        </w:rPr>
      </w:pPr>
      <w:r w:rsidRPr="00412F18">
        <w:rPr>
          <w:highlight w:val="yellow"/>
        </w:rPr>
        <w:t>Precios rígidos</w:t>
      </w:r>
    </w:p>
    <w:p w14:paraId="3EB463C5" w14:textId="77777777" w:rsidR="001E17AC" w:rsidRPr="00412F18" w:rsidRDefault="001E17AC" w:rsidP="001E17AC">
      <w:pPr>
        <w:pStyle w:val="Nivel2SM"/>
        <w:rPr>
          <w:highlight w:val="yellow"/>
        </w:rPr>
      </w:pPr>
    </w:p>
    <w:p w14:paraId="29645881" w14:textId="77777777" w:rsidR="001E17AC" w:rsidRPr="00412F18" w:rsidRDefault="001E17AC" w:rsidP="001E17AC">
      <w:pPr>
        <w:pStyle w:val="Ttulo6"/>
        <w:rPr>
          <w:highlight w:val="yellow"/>
        </w:rPr>
      </w:pPr>
      <w:bookmarkStart w:id="46" w:name="_Toc136424395"/>
      <w:r w:rsidRPr="00412F18">
        <w:rPr>
          <w:highlight w:val="yellow"/>
        </w:rPr>
        <w:t>Desarrollo</w:t>
      </w:r>
      <w:bookmarkEnd w:id="46"/>
    </w:p>
    <w:p w14:paraId="09A421D6" w14:textId="77777777" w:rsidR="001E17AC" w:rsidRPr="00412F18" w:rsidRDefault="001E17AC" w:rsidP="001E17AC">
      <w:pPr>
        <w:pStyle w:val="Nivel1SM"/>
        <w:keepNext/>
        <w:spacing w:before="0" w:after="0"/>
        <w:rPr>
          <w:highlight w:val="yellow"/>
        </w:rPr>
      </w:pPr>
      <w:r w:rsidRPr="00412F18">
        <w:rPr>
          <w:highlight w:val="yellow"/>
        </w:rPr>
        <w:t>El modelo se basa en la existencia de equilibrio en tres mercados:</w:t>
      </w:r>
    </w:p>
    <w:p w14:paraId="78B2C177" w14:textId="77777777" w:rsidR="001E17AC" w:rsidRPr="00412F18" w:rsidRDefault="001E17AC" w:rsidP="001E17AC">
      <w:pPr>
        <w:pStyle w:val="Nivel2SM"/>
        <w:rPr>
          <w:highlight w:val="yellow"/>
        </w:rPr>
      </w:pPr>
      <w:r w:rsidRPr="00412F18">
        <w:rPr>
          <w:i/>
          <w:iCs/>
          <w:highlight w:val="yellow"/>
          <w:u w:val="single"/>
        </w:rPr>
        <w:t>Mercado de bienes</w:t>
      </w:r>
      <w:r w:rsidRPr="00412F18">
        <w:rPr>
          <w:highlight w:val="yellow"/>
        </w:rPr>
        <w:t xml:space="preserve"> (</w:t>
      </w:r>
      <w:r w:rsidRPr="00412F18">
        <w:rPr>
          <w:i/>
          <w:iCs/>
          <w:highlight w:val="yellow"/>
        </w:rPr>
        <w:t>curva IS</w:t>
      </w:r>
      <w:r w:rsidRPr="00412F18">
        <w:rPr>
          <w:highlight w:val="yellow"/>
        </w:rPr>
        <w:t>)</w:t>
      </w:r>
    </w:p>
    <w:p w14:paraId="7CB4F14E" w14:textId="77777777" w:rsidR="001E17AC" w:rsidRPr="00412F18" w:rsidRDefault="001E17AC" w:rsidP="001E17AC">
      <w:pPr>
        <w:pStyle w:val="Nivel2SM"/>
        <w:rPr>
          <w:highlight w:val="yellow"/>
        </w:rPr>
      </w:pPr>
      <w:r w:rsidRPr="00412F18">
        <w:rPr>
          <w:i/>
          <w:iCs/>
          <w:highlight w:val="yellow"/>
          <w:u w:val="single"/>
        </w:rPr>
        <w:t>Mercado monetario</w:t>
      </w:r>
      <w:r w:rsidRPr="00412F18">
        <w:rPr>
          <w:highlight w:val="yellow"/>
        </w:rPr>
        <w:t xml:space="preserve"> (</w:t>
      </w:r>
      <w:r w:rsidRPr="00412F18">
        <w:rPr>
          <w:i/>
          <w:iCs/>
          <w:highlight w:val="yellow"/>
        </w:rPr>
        <w:t>curva LM</w:t>
      </w:r>
      <w:r w:rsidRPr="00412F18">
        <w:rPr>
          <w:highlight w:val="yellow"/>
        </w:rPr>
        <w:t>)</w:t>
      </w:r>
    </w:p>
    <w:p w14:paraId="449A3FF0" w14:textId="77777777" w:rsidR="001E17AC" w:rsidRPr="00412F18" w:rsidRDefault="001E17AC" w:rsidP="001E17AC">
      <w:pPr>
        <w:pStyle w:val="Nivel2SM"/>
        <w:rPr>
          <w:highlight w:val="yellow"/>
        </w:rPr>
      </w:pPr>
      <w:r w:rsidRPr="00412F18">
        <w:rPr>
          <w:i/>
          <w:iCs/>
          <w:highlight w:val="yellow"/>
          <w:u w:val="single"/>
        </w:rPr>
        <w:t>Equilibrio de la balanza de pagos</w:t>
      </w:r>
      <w:r w:rsidRPr="00412F18">
        <w:rPr>
          <w:highlight w:val="yellow"/>
        </w:rPr>
        <w:t xml:space="preserve"> (</w:t>
      </w:r>
      <w:r w:rsidRPr="00412F18">
        <w:rPr>
          <w:i/>
          <w:iCs/>
          <w:highlight w:val="yellow"/>
        </w:rPr>
        <w:t>curva BP</w:t>
      </w:r>
      <w:r w:rsidRPr="00412F18">
        <w:rPr>
          <w:highlight w:val="yellow"/>
        </w:rPr>
        <w:t>)</w:t>
      </w:r>
    </w:p>
    <w:p w14:paraId="6C93A4BD" w14:textId="77777777" w:rsidR="001E17AC" w:rsidRPr="00412F18" w:rsidRDefault="001E17AC" w:rsidP="001E17AC">
      <w:pPr>
        <w:pStyle w:val="Ttulo7"/>
        <w:rPr>
          <w:highlight w:val="yellow"/>
        </w:rPr>
      </w:pPr>
      <w:r w:rsidRPr="00412F18">
        <w:rPr>
          <w:highlight w:val="yellow"/>
        </w:rPr>
        <w:t>Mercado de bienes (Curva IS)</w:t>
      </w:r>
    </w:p>
    <w:p w14:paraId="7723DC98" w14:textId="77777777" w:rsidR="001E17AC" w:rsidRPr="00412F18" w:rsidRDefault="001E17AC" w:rsidP="001E17AC">
      <w:pPr>
        <w:pStyle w:val="Nivel1SM"/>
        <w:keepNext/>
        <w:spacing w:before="0" w:after="0"/>
        <w:rPr>
          <w:highlight w:val="yellow"/>
        </w:rPr>
      </w:pPr>
      <w:r w:rsidRPr="00412F18">
        <w:rPr>
          <w:highlight w:val="yellow"/>
        </w:rPr>
        <w:t>La curva IS representa los pares de renta y tipo de interés que representan el equilibrio en el mercado de bienes:</w:t>
      </w:r>
    </w:p>
    <w:p w14:paraId="35D2AFD3" w14:textId="77777777" w:rsidR="001E17AC" w:rsidRPr="00412F18" w:rsidRDefault="001E17AC" w:rsidP="001E17AC">
      <w:pPr>
        <w:pStyle w:val="Nivel1SM"/>
        <w:numPr>
          <w:ilvl w:val="0"/>
          <w:numId w:val="0"/>
        </w:numPr>
        <w:rPr>
          <w:i/>
          <w:iCs/>
          <w:highlight w:val="yellow"/>
        </w:rPr>
      </w:pPr>
      <m:oMathPara>
        <m:oMath>
          <m:r>
            <m:rPr>
              <m:nor/>
            </m:rPr>
            <w:rPr>
              <w:rFonts w:ascii="Cambria Math"/>
              <w:highlight w:val="yellow"/>
            </w:rPr>
            <m:t xml:space="preserve"> </m:t>
          </m:r>
          <m:r>
            <m:rPr>
              <m:nor/>
            </m:rPr>
            <w:rPr>
              <w:i/>
              <w:iCs/>
              <w:highlight w:val="yellow"/>
            </w:rPr>
            <m:t>Y</m:t>
          </m:r>
          <m:r>
            <w:rPr>
              <w:rFonts w:ascii="Cambria Math" w:hAnsi="Cambria Math"/>
              <w:highlight w:val="yellow"/>
            </w:rPr>
            <m:t>=</m:t>
          </m:r>
          <m:r>
            <m:rPr>
              <m:nor/>
            </m:rPr>
            <w:rPr>
              <w:i/>
              <w:iCs/>
              <w:highlight w:val="yellow"/>
            </w:rPr>
            <m:t>A</m:t>
          </m:r>
          <m:d>
            <m:dPr>
              <m:ctrlPr>
                <w:rPr>
                  <w:rFonts w:ascii="Cambria Math" w:hAnsi="Cambria Math"/>
                  <w:i/>
                  <w:iCs/>
                  <w:highlight w:val="yellow"/>
                </w:rPr>
              </m:ctrlPr>
            </m:dPr>
            <m:e>
              <m:r>
                <m:rPr>
                  <m:nor/>
                </m:rPr>
                <w:rPr>
                  <w:i/>
                  <w:iCs/>
                  <w:highlight w:val="yellow"/>
                </w:rPr>
                <m:t>r</m:t>
              </m:r>
            </m:e>
          </m:d>
          <m:r>
            <w:rPr>
              <w:rFonts w:ascii="Cambria Math" w:hAnsi="Cambria Math"/>
              <w:highlight w:val="yellow"/>
            </w:rPr>
            <m:t>+</m:t>
          </m:r>
          <m:r>
            <m:rPr>
              <m:nor/>
            </m:rPr>
            <w:rPr>
              <w:i/>
              <w:iCs/>
              <w:highlight w:val="yellow"/>
            </w:rPr>
            <m:t>BC</m:t>
          </m:r>
          <m:d>
            <m:dPr>
              <m:ctrlPr>
                <w:rPr>
                  <w:rFonts w:ascii="Cambria Math" w:hAnsi="Cambria Math"/>
                  <w:i/>
                  <w:iCs/>
                  <w:highlight w:val="yellow"/>
                </w:rPr>
              </m:ctrlPr>
            </m:dPr>
            <m:e>
              <m:r>
                <m:rPr>
                  <m:nor/>
                </m:rPr>
                <w:rPr>
                  <w:i/>
                  <w:iCs/>
                  <w:highlight w:val="yellow"/>
                </w:rPr>
                <m:t>Y,Y*,E</m:t>
              </m:r>
            </m:e>
          </m:d>
        </m:oMath>
      </m:oMathPara>
    </w:p>
    <w:p w14:paraId="6EB00E30" w14:textId="77777777" w:rsidR="001E17AC" w:rsidRPr="00412F18" w:rsidRDefault="001E17AC" w:rsidP="001E17AC">
      <w:pPr>
        <w:pStyle w:val="Ttulo7"/>
        <w:rPr>
          <w:highlight w:val="yellow"/>
        </w:rPr>
      </w:pPr>
      <w:r w:rsidRPr="00412F18">
        <w:rPr>
          <w:highlight w:val="yellow"/>
        </w:rPr>
        <w:t>Mercado monetario (Curva LM)</w:t>
      </w:r>
    </w:p>
    <w:p w14:paraId="731D2DC9" w14:textId="77777777" w:rsidR="001E17AC" w:rsidRPr="00412F18" w:rsidRDefault="001E17AC" w:rsidP="001E17AC">
      <w:pPr>
        <w:pStyle w:val="Nivel1SM"/>
        <w:keepNext/>
        <w:spacing w:before="0" w:after="0"/>
        <w:rPr>
          <w:highlight w:val="yellow"/>
        </w:rPr>
      </w:pPr>
      <w:r w:rsidRPr="00412F18">
        <w:rPr>
          <w:highlight w:val="yellow"/>
        </w:rPr>
        <w:t>La curva LM representa los pares de renta y tipo de interés que representan el equilibrio en el mercado monetario:</w:t>
      </w:r>
    </w:p>
    <w:p w14:paraId="41727D04" w14:textId="77777777" w:rsidR="001E17AC" w:rsidRPr="00412F18" w:rsidRDefault="001E17AC" w:rsidP="001E17AC">
      <w:pPr>
        <w:pStyle w:val="Nivel1SM"/>
        <w:numPr>
          <w:ilvl w:val="0"/>
          <w:numId w:val="0"/>
        </w:numPr>
        <w:rPr>
          <w:i/>
          <w:iCs/>
          <w:highlight w:val="yellow"/>
        </w:rPr>
      </w:pPr>
      <m:oMathPara>
        <m:oMath>
          <m:r>
            <m:rPr>
              <m:nor/>
            </m:rPr>
            <w:rPr>
              <w:rFonts w:ascii="Cambria Math"/>
              <w:highlight w:val="yellow"/>
            </w:rPr>
            <m:t xml:space="preserve"> </m:t>
          </m:r>
          <m:f>
            <m:fPr>
              <m:ctrlPr>
                <w:rPr>
                  <w:rFonts w:ascii="Cambria Math" w:hAnsi="Cambria Math"/>
                  <w:i/>
                  <w:iCs/>
                  <w:highlight w:val="yellow"/>
                </w:rPr>
              </m:ctrlPr>
            </m:fPr>
            <m:num>
              <m:r>
                <m:rPr>
                  <m:nor/>
                </m:rPr>
                <w:rPr>
                  <w:i/>
                  <w:iCs/>
                  <w:highlight w:val="yellow"/>
                </w:rPr>
                <m:t>M</m:t>
              </m:r>
            </m:num>
            <m:den>
              <m:r>
                <m:rPr>
                  <m:nor/>
                </m:rPr>
                <w:rPr>
                  <w:i/>
                  <w:iCs/>
                  <w:highlight w:val="yellow"/>
                </w:rPr>
                <m:t>P</m:t>
              </m:r>
            </m:den>
          </m:f>
          <m:r>
            <w:rPr>
              <w:rFonts w:ascii="Cambria Math" w:hAnsi="Cambria Math"/>
              <w:highlight w:val="yellow"/>
            </w:rPr>
            <m:t>=</m:t>
          </m:r>
          <m:r>
            <m:rPr>
              <m:nor/>
            </m:rPr>
            <w:rPr>
              <w:i/>
              <w:iCs/>
              <w:highlight w:val="yellow"/>
            </w:rPr>
            <m:t>k</m:t>
          </m:r>
          <m:r>
            <w:rPr>
              <w:rFonts w:ascii="Cambria Math" w:hAnsi="Cambria Math"/>
              <w:highlight w:val="yellow"/>
            </w:rPr>
            <m:t>∙</m:t>
          </m:r>
          <m:r>
            <m:rPr>
              <m:nor/>
            </m:rPr>
            <w:rPr>
              <w:i/>
              <w:iCs/>
              <w:highlight w:val="yellow"/>
            </w:rPr>
            <m:t>Y</m:t>
          </m:r>
          <m:r>
            <w:rPr>
              <w:rFonts w:ascii="Cambria Math" w:hAnsi="Cambria Math"/>
              <w:highlight w:val="yellow"/>
            </w:rPr>
            <m:t>-</m:t>
          </m:r>
          <m:r>
            <m:rPr>
              <m:nor/>
            </m:rPr>
            <w:rPr>
              <w:i/>
              <w:iCs/>
              <w:highlight w:val="yellow"/>
            </w:rPr>
            <m:t>h</m:t>
          </m:r>
          <m:r>
            <w:rPr>
              <w:rFonts w:ascii="Cambria Math" w:hAnsi="Cambria Math"/>
              <w:highlight w:val="yellow"/>
            </w:rPr>
            <m:t>∙</m:t>
          </m:r>
          <m:r>
            <m:rPr>
              <m:nor/>
            </m:rPr>
            <w:rPr>
              <w:i/>
              <w:iCs/>
              <w:highlight w:val="yellow"/>
            </w:rPr>
            <m:t>r</m:t>
          </m:r>
        </m:oMath>
      </m:oMathPara>
    </w:p>
    <w:p w14:paraId="6032EC2D" w14:textId="77777777" w:rsidR="001E17AC" w:rsidRPr="00412F18" w:rsidRDefault="001E17AC" w:rsidP="001E17AC">
      <w:pPr>
        <w:pStyle w:val="Ttulo7"/>
        <w:rPr>
          <w:highlight w:val="yellow"/>
        </w:rPr>
      </w:pPr>
      <w:r w:rsidRPr="00412F18">
        <w:rPr>
          <w:highlight w:val="yellow"/>
        </w:rPr>
        <w:t>Equilibrio de la balanza de pagos (Curva BP)</w:t>
      </w:r>
    </w:p>
    <w:p w14:paraId="1C9B5F81" w14:textId="77777777" w:rsidR="001E17AC" w:rsidRPr="00412F18" w:rsidRDefault="001E17AC" w:rsidP="001E17AC">
      <w:pPr>
        <w:pStyle w:val="Nivel1SM"/>
        <w:keepNext/>
        <w:spacing w:before="0" w:after="0"/>
        <w:rPr>
          <w:highlight w:val="yellow"/>
        </w:rPr>
      </w:pPr>
      <w:r w:rsidRPr="00412F18">
        <w:rPr>
          <w:highlight w:val="yellow"/>
        </w:rPr>
        <w:t>La curva BP representa los pares de renta y tipo de interés que representan el equilibrio en la balanza de pagos (i.e. sector exterior):</w:t>
      </w:r>
    </w:p>
    <w:p w14:paraId="0FAB9396" w14:textId="77777777" w:rsidR="001E17AC" w:rsidRPr="00412F18" w:rsidRDefault="001E17AC" w:rsidP="001E17AC">
      <w:pPr>
        <w:pStyle w:val="Nivel1SM"/>
        <w:numPr>
          <w:ilvl w:val="0"/>
          <w:numId w:val="0"/>
        </w:numPr>
        <w:rPr>
          <w:i/>
          <w:iCs/>
          <w:highlight w:val="yellow"/>
        </w:rPr>
      </w:pPr>
      <m:oMathPara>
        <m:oMath>
          <m:r>
            <m:rPr>
              <m:nor/>
            </m:rPr>
            <w:rPr>
              <w:rFonts w:ascii="Cambria Math"/>
              <w:highlight w:val="yellow"/>
            </w:rPr>
            <m:t xml:space="preserve"> </m:t>
          </m:r>
          <m:r>
            <m:rPr>
              <m:nor/>
            </m:rPr>
            <w:rPr>
              <w:i/>
              <w:iCs/>
              <w:highlight w:val="yellow"/>
            </w:rPr>
            <m:t>BC</m:t>
          </m:r>
          <m:d>
            <m:dPr>
              <m:ctrlPr>
                <w:rPr>
                  <w:rFonts w:ascii="Cambria Math" w:hAnsi="Cambria Math"/>
                  <w:i/>
                  <w:iCs/>
                  <w:highlight w:val="yellow"/>
                </w:rPr>
              </m:ctrlPr>
            </m:dPr>
            <m:e>
              <m:r>
                <m:rPr>
                  <m:nor/>
                </m:rPr>
                <w:rPr>
                  <w:i/>
                  <w:iCs/>
                  <w:highlight w:val="yellow"/>
                </w:rPr>
                <m:t>Y,Y*,E</m:t>
              </m:r>
            </m:e>
          </m:d>
          <m:r>
            <w:rPr>
              <w:rFonts w:ascii="Cambria Math" w:hAnsi="Cambria Math"/>
              <w:highlight w:val="yellow"/>
            </w:rPr>
            <m:t>=</m:t>
          </m:r>
          <m:r>
            <m:rPr>
              <m:nor/>
            </m:rPr>
            <w:rPr>
              <w:i/>
              <w:highlight w:val="yellow"/>
            </w:rPr>
            <m:t>β</m:t>
          </m:r>
          <m:r>
            <w:rPr>
              <w:rFonts w:ascii="Cambria Math" w:hAnsi="Cambria Math"/>
              <w:highlight w:val="yellow"/>
            </w:rPr>
            <m:t>∙</m:t>
          </m:r>
          <m:d>
            <m:dPr>
              <m:ctrlPr>
                <w:rPr>
                  <w:rFonts w:ascii="Cambria Math" w:hAnsi="Cambria Math"/>
                  <w:i/>
                  <w:iCs/>
                  <w:highlight w:val="yellow"/>
                </w:rPr>
              </m:ctrlPr>
            </m:dPr>
            <m:e>
              <m:r>
                <m:rPr>
                  <m:nor/>
                </m:rPr>
                <w:rPr>
                  <w:i/>
                  <w:iCs/>
                  <w:highlight w:val="yellow"/>
                </w:rPr>
                <m:t>r</m:t>
              </m:r>
              <m:r>
                <w:rPr>
                  <w:rFonts w:ascii="Cambria Math" w:hAnsi="Cambria Math"/>
                  <w:highlight w:val="yellow"/>
                </w:rPr>
                <m:t>-</m:t>
              </m:r>
              <m:r>
                <m:rPr>
                  <m:nor/>
                </m:rPr>
                <w:rPr>
                  <w:i/>
                  <w:iCs/>
                  <w:highlight w:val="yellow"/>
                </w:rPr>
                <m:t>r*</m:t>
              </m:r>
            </m:e>
          </m:d>
        </m:oMath>
      </m:oMathPara>
    </w:p>
    <w:p w14:paraId="44498C0D" w14:textId="77777777" w:rsidR="001E17AC" w:rsidRPr="00412F18" w:rsidRDefault="001E17AC" w:rsidP="001E17AC">
      <w:pPr>
        <w:pStyle w:val="Ttulo6"/>
        <w:rPr>
          <w:highlight w:val="yellow"/>
        </w:rPr>
      </w:pPr>
      <w:bookmarkStart w:id="47" w:name="_Toc136424396"/>
      <w:r w:rsidRPr="00412F18">
        <w:rPr>
          <w:highlight w:val="yellow"/>
        </w:rPr>
        <w:t>Implicaciones</w:t>
      </w:r>
      <w:bookmarkEnd w:id="47"/>
    </w:p>
    <w:p w14:paraId="548EAF28" w14:textId="77777777" w:rsidR="001E17AC" w:rsidRPr="00412F18" w:rsidRDefault="001E17AC" w:rsidP="001E17AC">
      <w:pPr>
        <w:pStyle w:val="Nivel1SM"/>
        <w:spacing w:before="0"/>
        <w:rPr>
          <w:highlight w:val="yellow"/>
        </w:rPr>
      </w:pPr>
      <w:r w:rsidRPr="00412F18">
        <w:rPr>
          <w:highlight w:val="yellow"/>
        </w:rPr>
        <w:t>Todos los factores que afecten a la renta nacional o extranjera o al diferencial de tipos de interés tendrán un impacto sobre el tipo de cambio.</w:t>
      </w:r>
    </w:p>
    <w:p w14:paraId="00E2629C" w14:textId="77777777" w:rsidR="001E17AC" w:rsidRPr="00412F18" w:rsidRDefault="001E17AC" w:rsidP="001E17AC">
      <w:pPr>
        <w:pStyle w:val="Nivel1SM"/>
        <w:rPr>
          <w:highlight w:val="yellow"/>
        </w:rPr>
      </w:pPr>
      <w:r w:rsidRPr="00412F18">
        <w:rPr>
          <w:highlight w:val="yellow"/>
        </w:rPr>
        <w:t>En este modelo, una variable clave es el grado de movilidad del capital que nos dará la sensibilidad de los flujos de capital a los diferenciales de interés.</w:t>
      </w:r>
    </w:p>
    <w:p w14:paraId="07ED9C52" w14:textId="77777777" w:rsidR="001E17AC" w:rsidRDefault="001E17AC" w:rsidP="001E17AC">
      <w:pPr>
        <w:pStyle w:val="Ttulo3"/>
        <w:rPr>
          <w:highlight w:val="yellow"/>
        </w:rPr>
      </w:pPr>
      <w:bookmarkStart w:id="48" w:name="_Toc136424397"/>
      <w:r w:rsidRPr="00412F18">
        <w:rPr>
          <w:highlight w:val="yellow"/>
        </w:rPr>
        <w:t>Valoración</w:t>
      </w:r>
      <w:bookmarkEnd w:id="48"/>
    </w:p>
    <w:p w14:paraId="41929842" w14:textId="77777777" w:rsidR="001E17AC" w:rsidRPr="00352E6C" w:rsidRDefault="001E17AC" w:rsidP="001E17AC">
      <w:pPr>
        <w:pStyle w:val="Nivel1SM"/>
        <w:spacing w:before="0"/>
        <w:rPr>
          <w:highlight w:val="yellow"/>
        </w:rPr>
      </w:pPr>
    </w:p>
    <w:p w14:paraId="5529F9B0" w14:textId="06506449" w:rsidR="002E0C48" w:rsidRDefault="006E21EC" w:rsidP="00F33A23">
      <w:pPr>
        <w:pStyle w:val="Ttulo1"/>
      </w:pPr>
      <w:r>
        <w:lastRenderedPageBreak/>
        <w:t>ENFOQUE MODERNO</w:t>
      </w:r>
      <w:r w:rsidR="000D33A8">
        <w:t>:</w:t>
      </w:r>
      <w:r w:rsidR="00F33A23">
        <w:br/>
      </w:r>
      <w:r w:rsidR="000D33A8">
        <w:t>MODELOS DE ACTIVOS (STOCKS)</w:t>
      </w:r>
      <w:bookmarkEnd w:id="42"/>
    </w:p>
    <w:p w14:paraId="55E8584F" w14:textId="24F800A7" w:rsidR="008113B4" w:rsidRPr="0055420B" w:rsidRDefault="008113B4" w:rsidP="00EC4253">
      <w:pPr>
        <w:pStyle w:val="Nivel1SM"/>
        <w:keepNext/>
        <w:spacing w:before="0" w:after="0"/>
        <w:rPr>
          <w:i/>
          <w:iCs/>
          <w:spacing w:val="-1"/>
        </w:rPr>
      </w:pPr>
      <w:r w:rsidRPr="00517795">
        <w:rPr>
          <w:spacing w:val="-1"/>
        </w:rPr>
        <w:t>Tras</w:t>
      </w:r>
      <w:r w:rsidRPr="0055420B">
        <w:rPr>
          <w:spacing w:val="-1"/>
        </w:rPr>
        <w:t xml:space="preserve"> la ruptura de</w:t>
      </w:r>
      <w:r w:rsidR="005C777E" w:rsidRPr="0055420B">
        <w:rPr>
          <w:spacing w:val="-1"/>
        </w:rPr>
        <w:t>l sistema monetario internacional de</w:t>
      </w:r>
      <w:r w:rsidRPr="0055420B">
        <w:rPr>
          <w:spacing w:val="-1"/>
        </w:rPr>
        <w:t xml:space="preserve"> Bretton Woods en </w:t>
      </w:r>
      <w:r w:rsidRPr="00517795">
        <w:rPr>
          <w:spacing w:val="-1"/>
        </w:rPr>
        <w:t>1973</w:t>
      </w:r>
      <w:r w:rsidRPr="0055420B">
        <w:rPr>
          <w:spacing w:val="-1"/>
        </w:rPr>
        <w:t xml:space="preserve">, </w:t>
      </w:r>
      <w:r w:rsidR="005C777E" w:rsidRPr="0055420B">
        <w:rPr>
          <w:spacing w:val="-1"/>
        </w:rPr>
        <w:t xml:space="preserve">gana importancia la cuenta financiera y esto ocasiona que </w:t>
      </w:r>
      <w:r w:rsidRPr="0055420B">
        <w:rPr>
          <w:spacing w:val="-1"/>
        </w:rPr>
        <w:t xml:space="preserve">el </w:t>
      </w:r>
      <w:r w:rsidRPr="0055420B">
        <w:rPr>
          <w:i/>
          <w:iCs/>
          <w:spacing w:val="-1"/>
        </w:rPr>
        <w:t>enfoque de los flujos</w:t>
      </w:r>
      <w:r w:rsidRPr="0055420B">
        <w:rPr>
          <w:spacing w:val="-1"/>
        </w:rPr>
        <w:t xml:space="preserve"> se ve remplazado por el </w:t>
      </w:r>
      <w:r w:rsidRPr="0055420B">
        <w:rPr>
          <w:i/>
          <w:iCs/>
          <w:spacing w:val="-1"/>
          <w:u w:val="single"/>
        </w:rPr>
        <w:t>enfoque de los stocks</w:t>
      </w:r>
      <w:r w:rsidRPr="0055420B">
        <w:rPr>
          <w:i/>
          <w:iCs/>
          <w:spacing w:val="-1"/>
        </w:rPr>
        <w:t>.</w:t>
      </w:r>
    </w:p>
    <w:p w14:paraId="25772205" w14:textId="7616DFFD" w:rsidR="00A653DF" w:rsidRDefault="000D33A8" w:rsidP="00EC4253">
      <w:pPr>
        <w:pStyle w:val="Nivel2SM"/>
        <w:keepNext/>
        <w:keepLines/>
        <w:spacing w:after="0"/>
      </w:pPr>
      <w:r>
        <w:t xml:space="preserve">El </w:t>
      </w:r>
      <w:r w:rsidRPr="006E21EC">
        <w:rPr>
          <w:i/>
          <w:iCs/>
        </w:rPr>
        <w:t xml:space="preserve">enfoque </w:t>
      </w:r>
      <w:r w:rsidR="008113B4" w:rsidRPr="006E21EC">
        <w:rPr>
          <w:i/>
          <w:iCs/>
        </w:rPr>
        <w:t>de los stocks</w:t>
      </w:r>
      <w:r>
        <w:t xml:space="preserve"> (también llamado </w:t>
      </w:r>
      <w:r w:rsidRPr="006E21EC">
        <w:t xml:space="preserve">el </w:t>
      </w:r>
      <w:r w:rsidRPr="006E21EC">
        <w:rPr>
          <w:i/>
          <w:iCs/>
        </w:rPr>
        <w:t xml:space="preserve">enfoque </w:t>
      </w:r>
      <w:r w:rsidR="008113B4" w:rsidRPr="006E21EC">
        <w:rPr>
          <w:i/>
          <w:iCs/>
        </w:rPr>
        <w:t>moderno</w:t>
      </w:r>
      <w:r w:rsidRPr="006E21EC">
        <w:t>) toma el tipo de cambio como el precio relativo del dinero (</w:t>
      </w:r>
      <w:r w:rsidRPr="006E21EC">
        <w:rPr>
          <w:i/>
          <w:iCs/>
        </w:rPr>
        <w:t>enfoque monetario</w:t>
      </w:r>
      <w:r w:rsidRPr="006E21EC">
        <w:t>) o como el precio relativo de los bonos (</w:t>
      </w:r>
      <w:r w:rsidRPr="000D33A8">
        <w:rPr>
          <w:i/>
          <w:iCs/>
        </w:rPr>
        <w:t>enfoque de cartera</w:t>
      </w:r>
      <w:r>
        <w:t xml:space="preserve">). Estos dos enfoques difieren en los supuestos realizados acerca de la sustituibilidad entre bonos domésticos y extranjeros, dada </w:t>
      </w:r>
      <w:r w:rsidR="00F253DB">
        <w:t>en cualquier caso la hipótesis de perfecta movilidad del capital</w:t>
      </w:r>
      <w:r w:rsidR="002F3A6C">
        <w:rPr>
          <w:rStyle w:val="Refdenotaalpie"/>
        </w:rPr>
        <w:footnoteReference w:id="19"/>
      </w:r>
      <w:r w:rsidR="006E21EC">
        <w:t>:</w:t>
      </w:r>
    </w:p>
    <w:p w14:paraId="3D234844" w14:textId="77777777" w:rsidR="006E21EC" w:rsidRDefault="00AA1D8D" w:rsidP="00DA3625">
      <w:pPr>
        <w:pStyle w:val="Nivel3SM"/>
      </w:pPr>
      <w:r>
        <w:t xml:space="preserve">El </w:t>
      </w:r>
      <w:r w:rsidRPr="006E21EC">
        <w:rPr>
          <w:i/>
          <w:iCs/>
          <w:u w:val="single"/>
        </w:rPr>
        <w:t>enfoque monetario</w:t>
      </w:r>
      <w:r w:rsidR="0050457C" w:rsidRPr="0050457C">
        <w:rPr>
          <w:rStyle w:val="Refdenotaalpie"/>
        </w:rPr>
        <w:footnoteReference w:id="20"/>
      </w:r>
      <w:r>
        <w:t xml:space="preserve"> supone </w:t>
      </w:r>
      <w:r w:rsidRPr="006E21EC">
        <w:rPr>
          <w:i/>
          <w:iCs/>
        </w:rPr>
        <w:t>perfecta sustituibilidad entre bonos domésticos y extranjeros</w:t>
      </w:r>
      <w:r>
        <w:t>, de tal forma que los tenedores de activos se muestran indiferentes entre ellos, y las ofertas de bonos son irrelevantes.</w:t>
      </w:r>
    </w:p>
    <w:p w14:paraId="1C28DF3E" w14:textId="76913ECD" w:rsidR="00AA1D8D" w:rsidRDefault="00AA1D8D" w:rsidP="00C34429">
      <w:pPr>
        <w:pStyle w:val="Nivel3SM"/>
        <w:spacing w:after="100"/>
      </w:pPr>
      <w:r>
        <w:t xml:space="preserve">Por otra parte, en el </w:t>
      </w:r>
      <w:r w:rsidRPr="006E21EC">
        <w:rPr>
          <w:i/>
          <w:iCs/>
          <w:u w:val="single"/>
        </w:rPr>
        <w:t>enfoque de cartera</w:t>
      </w:r>
      <w:r>
        <w:t xml:space="preserve">, los </w:t>
      </w:r>
      <w:r w:rsidRPr="006E21EC">
        <w:rPr>
          <w:i/>
          <w:iCs/>
        </w:rPr>
        <w:t>bonos domésticos y los extranjeros son sustitutos imperfectos</w:t>
      </w:r>
      <w:r>
        <w:t xml:space="preserve"> y por lo tanto su oferta se vuelve relevante.</w:t>
      </w:r>
    </w:p>
    <w:p w14:paraId="67090019" w14:textId="77777777" w:rsidR="00AA1D8D" w:rsidRPr="00844EE4" w:rsidRDefault="00AA1D8D" w:rsidP="00DA3625">
      <w:pPr>
        <w:pStyle w:val="Nivel1SM"/>
        <w:keepNext/>
        <w:spacing w:after="0"/>
        <w:rPr>
          <w:spacing w:val="-2"/>
        </w:rPr>
      </w:pPr>
      <w:r w:rsidRPr="00844EE4">
        <w:rPr>
          <w:spacing w:val="-2"/>
        </w:rPr>
        <w:t xml:space="preserve">Para evitar confusión recordamos la diferencia entre </w:t>
      </w:r>
      <w:r w:rsidRPr="00844EE4">
        <w:rPr>
          <w:i/>
          <w:iCs/>
          <w:spacing w:val="-2"/>
        </w:rPr>
        <w:t>movilidad perfecta de capital</w:t>
      </w:r>
      <w:r w:rsidRPr="00844EE4">
        <w:rPr>
          <w:spacing w:val="-2"/>
        </w:rPr>
        <w:t xml:space="preserve"> y </w:t>
      </w:r>
      <w:r w:rsidRPr="00844EE4">
        <w:rPr>
          <w:i/>
          <w:iCs/>
          <w:spacing w:val="-2"/>
        </w:rPr>
        <w:t>sustituibilidad perfecta</w:t>
      </w:r>
      <w:r w:rsidRPr="00844EE4">
        <w:rPr>
          <w:spacing w:val="-2"/>
        </w:rPr>
        <w:t>:</w:t>
      </w:r>
    </w:p>
    <w:p w14:paraId="5F55B039" w14:textId="77777777" w:rsidR="00AA1D8D" w:rsidRDefault="00AA1D8D" w:rsidP="00DA3625">
      <w:pPr>
        <w:pStyle w:val="Nivel2SM"/>
      </w:pPr>
      <w:r>
        <w:t>La</w:t>
      </w:r>
      <w:r w:rsidRPr="002866BD">
        <w:t xml:space="preserve"> </w:t>
      </w:r>
      <w:r w:rsidRPr="000579DC">
        <w:rPr>
          <w:i/>
          <w:iCs/>
          <w:u w:val="single"/>
        </w:rPr>
        <w:t>movilidad perfecta de capital</w:t>
      </w:r>
      <w:r>
        <w:t xml:space="preserve"> </w:t>
      </w:r>
      <w:r w:rsidRPr="000579DC">
        <w:t>significa que la composición actual de la cartera se ajusta instantáneamente a la deseada. Esto implica que –si asumimos que no hay riesgo de impago o controles de capital futuros, etc.–</w:t>
      </w:r>
      <w:r>
        <w:t xml:space="preserve"> </w:t>
      </w:r>
      <w:r w:rsidRPr="00DA3625">
        <w:rPr>
          <w:b/>
          <w:bCs/>
        </w:rPr>
        <w:t>la Paridad Cubierta de Intereses debe prevaler</w:t>
      </w:r>
      <w:r w:rsidRPr="000579DC">
        <w:t>.</w:t>
      </w:r>
    </w:p>
    <w:p w14:paraId="6404832A" w14:textId="3D97B11D" w:rsidR="00AA1D8D" w:rsidRPr="000D33A8" w:rsidRDefault="00AA1D8D" w:rsidP="00DA3625">
      <w:pPr>
        <w:pStyle w:val="Nivel2SM"/>
      </w:pPr>
      <w:r w:rsidRPr="000579DC">
        <w:rPr>
          <w:i/>
          <w:iCs/>
          <w:u w:val="single"/>
        </w:rPr>
        <w:t>Sustituibilidad perfecta</w:t>
      </w:r>
      <w:r>
        <w:t xml:space="preserve"> es un supuesto más fuerte, ya que significa que los tenedores de bonos se muestran indiferentes acerca de la composición de su cartera (por supuesto, siempre que tengan la misma </w:t>
      </w:r>
      <w:r w:rsidRPr="000579DC">
        <w:t xml:space="preserve">tasa de rentabilidad esperada). Por lo tanto, la sustituibilidad perfecta implica que </w:t>
      </w:r>
      <w:r w:rsidRPr="00DA3625">
        <w:rPr>
          <w:b/>
          <w:bCs/>
        </w:rPr>
        <w:t xml:space="preserve">la Paridad </w:t>
      </w:r>
      <w:r w:rsidR="00316A28">
        <w:rPr>
          <w:b/>
          <w:bCs/>
        </w:rPr>
        <w:t>No C</w:t>
      </w:r>
      <w:r w:rsidRPr="00DA3625">
        <w:rPr>
          <w:b/>
          <w:bCs/>
        </w:rPr>
        <w:t>ubierta de Intereses debe prevaler</w:t>
      </w:r>
      <w:r>
        <w:t>.</w:t>
      </w:r>
    </w:p>
    <w:p w14:paraId="21432C84" w14:textId="647110F6" w:rsidR="00A653DF" w:rsidRDefault="00A653DF" w:rsidP="008233F9">
      <w:pPr>
        <w:pStyle w:val="Ttulo2"/>
      </w:pPr>
      <w:bookmarkStart w:id="49" w:name="_Toc136424369"/>
      <w:r>
        <w:t>Enfoque monetario</w:t>
      </w:r>
      <w:r w:rsidR="008113B4">
        <w:t>. Stock de dinero.</w:t>
      </w:r>
      <w:bookmarkEnd w:id="49"/>
    </w:p>
    <w:p w14:paraId="14325544" w14:textId="64E822D9" w:rsidR="00A653DF" w:rsidRPr="00D674ED" w:rsidRDefault="00A653DF" w:rsidP="00C26C58">
      <w:pPr>
        <w:pStyle w:val="Ttulo3"/>
        <w:spacing w:before="0"/>
        <w:rPr>
          <w:highlight w:val="yellow"/>
        </w:rPr>
      </w:pPr>
      <w:bookmarkStart w:id="50" w:name="_Toc136424370"/>
      <w:r w:rsidRPr="00D674ED">
        <w:rPr>
          <w:highlight w:val="yellow"/>
        </w:rPr>
        <w:t>Precios flexibles</w:t>
      </w:r>
      <w:r w:rsidR="00F33A23" w:rsidRPr="00D674ED">
        <w:rPr>
          <w:highlight w:val="yellow"/>
        </w:rPr>
        <w:t xml:space="preserve">: </w:t>
      </w:r>
      <w:r w:rsidRPr="00D674ED">
        <w:rPr>
          <w:highlight w:val="yellow"/>
        </w:rPr>
        <w:t xml:space="preserve">Enfoque de la </w:t>
      </w:r>
      <w:r w:rsidR="00D86C12" w:rsidRPr="00D674ED">
        <w:rPr>
          <w:highlight w:val="yellow"/>
        </w:rPr>
        <w:t>identidad contable del gasto</w:t>
      </w:r>
      <w:bookmarkEnd w:id="50"/>
    </w:p>
    <w:p w14:paraId="3272E3AF" w14:textId="0C56508C" w:rsidR="005E71AB" w:rsidRPr="00D674ED" w:rsidRDefault="005E71AB" w:rsidP="005E71AB">
      <w:pPr>
        <w:pStyle w:val="Notaalopositor"/>
        <w:rPr>
          <w:highlight w:val="yellow"/>
        </w:rPr>
      </w:pPr>
      <w:r w:rsidRPr="00D674ED">
        <w:rPr>
          <w:highlight w:val="yellow"/>
        </w:rPr>
        <w:t xml:space="preserve">Este modelo es menos relevante que el de </w:t>
      </w:r>
      <w:r w:rsidRPr="00D674ED">
        <w:rPr>
          <w:smallCaps/>
          <w:highlight w:val="yellow"/>
        </w:rPr>
        <w:t>Frenkel</w:t>
      </w:r>
      <w:r w:rsidRPr="00D674ED">
        <w:rPr>
          <w:highlight w:val="yellow"/>
        </w:rPr>
        <w:t xml:space="preserve"> y </w:t>
      </w:r>
      <w:proofErr w:type="spellStart"/>
      <w:r w:rsidRPr="00D674ED">
        <w:rPr>
          <w:smallCaps/>
          <w:highlight w:val="yellow"/>
        </w:rPr>
        <w:t>Mussa</w:t>
      </w:r>
      <w:proofErr w:type="spellEnd"/>
      <w:r w:rsidRPr="00D674ED">
        <w:rPr>
          <w:highlight w:val="yellow"/>
        </w:rPr>
        <w:t>. Es omisible.</w:t>
      </w:r>
    </w:p>
    <w:p w14:paraId="2A35EB4E" w14:textId="5087A658" w:rsidR="00F33A23" w:rsidRPr="00D674ED" w:rsidRDefault="00F33A23" w:rsidP="00C26C58">
      <w:pPr>
        <w:pStyle w:val="Ttulo6"/>
        <w:spacing w:before="0"/>
        <w:rPr>
          <w:highlight w:val="yellow"/>
        </w:rPr>
      </w:pPr>
      <w:bookmarkStart w:id="51" w:name="_Toc136424371"/>
      <w:r w:rsidRPr="00D674ED">
        <w:rPr>
          <w:highlight w:val="yellow"/>
        </w:rPr>
        <w:t>Idea</w:t>
      </w:r>
      <w:bookmarkEnd w:id="51"/>
    </w:p>
    <w:p w14:paraId="5BB9BAFD" w14:textId="33BF3B7F" w:rsidR="0009291D" w:rsidRPr="00D674ED" w:rsidRDefault="0009291D" w:rsidP="00C26C58">
      <w:pPr>
        <w:pStyle w:val="Nivel1SM"/>
        <w:spacing w:before="0"/>
        <w:rPr>
          <w:spacing w:val="-2"/>
          <w:highlight w:val="yellow"/>
        </w:rPr>
      </w:pPr>
      <w:r w:rsidRPr="00D674ED">
        <w:rPr>
          <w:spacing w:val="-2"/>
          <w:highlight w:val="yellow"/>
        </w:rPr>
        <w:t xml:space="preserve">Este enfoque parte de la </w:t>
      </w:r>
      <w:r w:rsidR="00D86C12" w:rsidRPr="00D674ED">
        <w:rPr>
          <w:spacing w:val="-2"/>
          <w:highlight w:val="yellow"/>
        </w:rPr>
        <w:t>identidad contable del gasto</w:t>
      </w:r>
      <w:r w:rsidRPr="00D674ED">
        <w:rPr>
          <w:spacing w:val="-2"/>
          <w:highlight w:val="yellow"/>
        </w:rPr>
        <w:t xml:space="preserve"> y concede mucha importancia a la oferta de dinero en la determinación del tipo de cambio, lo que de alguna manera estaría en línea con la teoría de la paridad del poder adquisitivo, según la cual en el largo plazo el tipo de cambio depende de los precios (y es que, bajo la teoría cuantitativa del dinero, estos dependen a su vez de la oferta monetaria).</w:t>
      </w:r>
    </w:p>
    <w:p w14:paraId="0C6AE1D7" w14:textId="6CF62B11" w:rsidR="00F33A23" w:rsidRPr="00D674ED" w:rsidRDefault="00F33A23" w:rsidP="00F33A23">
      <w:pPr>
        <w:pStyle w:val="Ttulo6"/>
        <w:rPr>
          <w:highlight w:val="yellow"/>
        </w:rPr>
      </w:pPr>
      <w:bookmarkStart w:id="52" w:name="_Toc136424372"/>
      <w:r w:rsidRPr="00D674ED">
        <w:rPr>
          <w:highlight w:val="yellow"/>
        </w:rPr>
        <w:t>Modelo</w:t>
      </w:r>
      <w:bookmarkEnd w:id="52"/>
    </w:p>
    <w:p w14:paraId="0C5EFA47" w14:textId="46A72A8D" w:rsidR="007F02D6" w:rsidRPr="00D674ED" w:rsidRDefault="007F02D6" w:rsidP="00C26C58">
      <w:pPr>
        <w:pStyle w:val="Ttulo7"/>
        <w:spacing w:before="0"/>
        <w:rPr>
          <w:highlight w:val="yellow"/>
        </w:rPr>
      </w:pPr>
      <w:r w:rsidRPr="00D674ED">
        <w:rPr>
          <w:highlight w:val="yellow"/>
        </w:rPr>
        <w:t>Supuestos</w:t>
      </w:r>
    </w:p>
    <w:p w14:paraId="1618314D" w14:textId="665CBD49" w:rsidR="007F02D6" w:rsidRPr="00D674ED" w:rsidRDefault="007F02D6" w:rsidP="00C26C58">
      <w:pPr>
        <w:pStyle w:val="Nivel1SM"/>
        <w:keepNext/>
        <w:spacing w:before="0" w:after="0"/>
        <w:rPr>
          <w:highlight w:val="yellow"/>
        </w:rPr>
      </w:pPr>
      <w:r w:rsidRPr="00D674ED">
        <w:rPr>
          <w:highlight w:val="yellow"/>
        </w:rPr>
        <w:t>Se dan todos los supuestos de la PPA, es decir:</w:t>
      </w:r>
    </w:p>
    <w:tbl>
      <w:tblPr>
        <w:tblStyle w:val="Tablaconcuadrcula"/>
        <w:tblW w:w="1031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
        <w:gridCol w:w="9557"/>
      </w:tblGrid>
      <w:tr w:rsidR="00625779" w:rsidRPr="00D674ED" w14:paraId="3F89AB46" w14:textId="77777777" w:rsidTr="00E577CB">
        <w:trPr>
          <w:cantSplit/>
          <w:trHeight w:val="20"/>
        </w:trPr>
        <w:tc>
          <w:tcPr>
            <w:tcW w:w="759" w:type="dxa"/>
            <w:textDirection w:val="btLr"/>
            <w:vAlign w:val="bottom"/>
          </w:tcPr>
          <w:p w14:paraId="15564F4C" w14:textId="77777777" w:rsidR="00625779" w:rsidRPr="00D674ED" w:rsidRDefault="00625779" w:rsidP="0050457C">
            <w:pPr>
              <w:pStyle w:val="Nmero"/>
              <w:numPr>
                <w:ilvl w:val="0"/>
                <w:numId w:val="0"/>
              </w:numPr>
              <w:spacing w:after="0" w:line="192" w:lineRule="auto"/>
              <w:ind w:left="113" w:right="113"/>
              <w:jc w:val="center"/>
              <w:rPr>
                <w:i/>
                <w:iCs/>
                <w:sz w:val="16"/>
                <w:szCs w:val="16"/>
                <w:highlight w:val="yellow"/>
              </w:rPr>
            </w:pPr>
            <w:r w:rsidRPr="00D674ED">
              <w:rPr>
                <w:i/>
                <w:iCs/>
                <w:sz w:val="16"/>
                <w:szCs w:val="16"/>
                <w:highlight w:val="yellow"/>
              </w:rPr>
              <w:t>Paridad de poder adquisitivo</w:t>
            </w:r>
          </w:p>
          <w:p w14:paraId="299AA049" w14:textId="77D72FEB" w:rsidR="00625779" w:rsidRPr="00D674ED" w:rsidRDefault="00625779" w:rsidP="0050457C">
            <w:pPr>
              <w:pStyle w:val="Nmero"/>
              <w:numPr>
                <w:ilvl w:val="0"/>
                <w:numId w:val="0"/>
              </w:numPr>
              <w:spacing w:after="60"/>
              <w:rPr>
                <w:highlight w:val="yellow"/>
              </w:rPr>
            </w:pPr>
            <w:r w:rsidRPr="00D674ED">
              <w:rPr>
                <w:i/>
                <w:iCs/>
                <w:noProof/>
                <w:sz w:val="16"/>
                <w:szCs w:val="16"/>
                <w:highlight w:val="yellow"/>
              </w:rPr>
              <mc:AlternateContent>
                <mc:Choice Requires="wps">
                  <w:drawing>
                    <wp:inline distT="0" distB="0" distL="0" distR="0" wp14:anchorId="5F938913" wp14:editId="20119BF8">
                      <wp:extent cx="135890" cy="828000"/>
                      <wp:effectExtent l="38100" t="0" r="16510" b="10795"/>
                      <wp:docPr id="5" name="Abrir llave 5"/>
                      <wp:cNvGraphicFramePr/>
                      <a:graphic xmlns:a="http://schemas.openxmlformats.org/drawingml/2006/main">
                        <a:graphicData uri="http://schemas.microsoft.com/office/word/2010/wordprocessingShape">
                          <wps:wsp>
                            <wps:cNvSpPr/>
                            <wps:spPr>
                              <a:xfrm>
                                <a:off x="0" y="0"/>
                                <a:ext cx="135890" cy="828000"/>
                              </a:xfrm>
                              <a:prstGeom prst="leftBrace">
                                <a:avLst>
                                  <a:gd name="adj1" fmla="val 63084"/>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F430B0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5" o:spid="_x0000_s1026" type="#_x0000_t87" style="width:10.7pt;height:6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" adj="2236" strokecolor="#5f2987 [3204]" strokeweight=".5pt">
                      <v:stroke joinstyle="miter"/>
                      <w10:anchorlock/>
                    </v:shape>
                  </w:pict>
                </mc:Fallback>
              </mc:AlternateContent>
            </w:r>
          </w:p>
        </w:tc>
        <w:tc>
          <w:tcPr>
            <w:tcW w:w="9557" w:type="dxa"/>
          </w:tcPr>
          <w:p w14:paraId="77FC7F9F" w14:textId="77777777" w:rsidR="00625779" w:rsidRPr="008956FA" w:rsidRDefault="00625779" w:rsidP="008956FA">
            <w:pPr>
              <w:pStyle w:val="Nmero"/>
              <w:keepNext/>
              <w:numPr>
                <w:ilvl w:val="0"/>
                <w:numId w:val="49"/>
              </w:numPr>
              <w:spacing w:after="60"/>
              <w:ind w:left="284" w:hanging="284"/>
              <w:rPr>
                <w:highlight w:val="yellow"/>
              </w:rPr>
            </w:pPr>
            <w:r w:rsidRPr="008956FA">
              <w:rPr>
                <w:highlight w:val="yellow"/>
              </w:rPr>
              <w:t>Libre movilidad de bienes (i.e. no hay barreras al comercio);</w:t>
            </w:r>
          </w:p>
          <w:p w14:paraId="39CDA676" w14:textId="7686D667" w:rsidR="00625779" w:rsidRPr="008956FA" w:rsidRDefault="00625779" w:rsidP="008956FA">
            <w:pPr>
              <w:pStyle w:val="Nmero"/>
              <w:numPr>
                <w:ilvl w:val="0"/>
                <w:numId w:val="7"/>
              </w:numPr>
              <w:spacing w:after="60"/>
              <w:ind w:left="284" w:hanging="284"/>
              <w:rPr>
                <w:highlight w:val="yellow"/>
              </w:rPr>
            </w:pPr>
            <w:r w:rsidRPr="008956FA">
              <w:rPr>
                <w:highlight w:val="yellow"/>
              </w:rPr>
              <w:t>Mercados perfectamente competitivos (i.e. las empresas no tienen poder de mercado y, por lo tanto, no pueden recurrir a estrategias como la discriminación de precios);</w:t>
            </w:r>
            <w:r w:rsidR="008956FA">
              <w:rPr>
                <w:highlight w:val="yellow"/>
              </w:rPr>
              <w:t xml:space="preserve"> y</w:t>
            </w:r>
          </w:p>
          <w:p w14:paraId="46EE5041" w14:textId="2BC13A69" w:rsidR="008956FA" w:rsidRPr="008956FA" w:rsidRDefault="008956FA" w:rsidP="008956FA">
            <w:pPr>
              <w:pStyle w:val="Nmero"/>
              <w:keepNext/>
              <w:numPr>
                <w:ilvl w:val="0"/>
                <w:numId w:val="7"/>
              </w:numPr>
              <w:spacing w:after="60"/>
              <w:ind w:left="284" w:hanging="284"/>
              <w:rPr>
                <w:highlight w:val="yellow"/>
              </w:rPr>
            </w:pPr>
            <w:r w:rsidRPr="008956FA">
              <w:rPr>
                <w:highlight w:val="yellow"/>
              </w:rPr>
              <w:t>Un único bien homogéneo y comercializable</w:t>
            </w:r>
            <w:r>
              <w:rPr>
                <w:highlight w:val="yellow"/>
              </w:rPr>
              <w:t>.</w:t>
            </w:r>
          </w:p>
        </w:tc>
      </w:tr>
    </w:tbl>
    <w:p w14:paraId="3C40C44E" w14:textId="78440F26" w:rsidR="007F02D6" w:rsidRPr="00D674ED" w:rsidRDefault="007F02D6" w:rsidP="007F02D6">
      <w:pPr>
        <w:pStyle w:val="Ttulo7"/>
        <w:rPr>
          <w:highlight w:val="yellow"/>
        </w:rPr>
      </w:pPr>
      <w:r w:rsidRPr="00D674ED">
        <w:rPr>
          <w:highlight w:val="yellow"/>
        </w:rPr>
        <w:lastRenderedPageBreak/>
        <w:t>Desarrollo</w:t>
      </w:r>
    </w:p>
    <w:p w14:paraId="660612B9" w14:textId="13EDBE7D" w:rsidR="00625779" w:rsidRPr="00D674ED" w:rsidRDefault="00625779" w:rsidP="00C26C58">
      <w:pPr>
        <w:pStyle w:val="Nivel1SM"/>
        <w:keepNext/>
        <w:spacing w:before="0" w:after="0"/>
        <w:rPr>
          <w:highlight w:val="yellow"/>
        </w:rPr>
      </w:pPr>
      <w:r w:rsidRPr="00D674ED">
        <w:rPr>
          <w:highlight w:val="yellow"/>
        </w:rPr>
        <w:t>Partimos de la</w:t>
      </w:r>
      <w:r w:rsidR="00E35ECB" w:rsidRPr="00D674ED">
        <w:rPr>
          <w:highlight w:val="yellow"/>
        </w:rPr>
        <w:t xml:space="preserve"> </w:t>
      </w:r>
      <w:r w:rsidR="00E35ECB" w:rsidRPr="00D674ED">
        <w:rPr>
          <w:i/>
          <w:highlight w:val="yellow"/>
          <w:u w:val="single"/>
        </w:rPr>
        <w:t xml:space="preserve">identidad contable de gasto de </w:t>
      </w:r>
      <w:r w:rsidR="00E35ECB" w:rsidRPr="00D674ED">
        <w:rPr>
          <w:i/>
          <w:smallCaps/>
          <w:highlight w:val="yellow"/>
          <w:u w:val="single"/>
        </w:rPr>
        <w:t>Hume</w:t>
      </w:r>
      <w:r w:rsidR="00E35ECB" w:rsidRPr="00D674ED">
        <w:rPr>
          <w:highlight w:val="yellow"/>
        </w:rPr>
        <w:t xml:space="preserve"> (1752)</w:t>
      </w:r>
      <w:r w:rsidRPr="00D674ED">
        <w:rPr>
          <w:highlight w:val="yellow"/>
        </w:rPr>
        <w:t>, según la cual en el largo plazo se cumple:</w:t>
      </w:r>
    </w:p>
    <w:p w14:paraId="325AAC89" w14:textId="2766F0A3" w:rsidR="00625779" w:rsidRPr="00D674ED" w:rsidRDefault="00625779" w:rsidP="00C26C58">
      <w:pPr>
        <w:keepNext/>
        <w:spacing w:after="0"/>
        <w:rPr>
          <w:rFonts w:eastAsiaTheme="minorEastAsia"/>
          <w:iCs/>
          <w:highlight w:val="yellow"/>
        </w:rPr>
      </w:pPr>
      <m:oMathPara>
        <m:oMath>
          <m:r>
            <m:rPr>
              <m:nor/>
            </m:rPr>
            <w:rPr>
              <w:i/>
              <w:iCs/>
              <w:highlight w:val="yellow"/>
            </w:rPr>
            <m:t>M</m:t>
          </m:r>
          <m:r>
            <w:rPr>
              <w:rFonts w:ascii="Cambria Math" w:hAnsi="Cambria Math"/>
              <w:highlight w:val="yellow"/>
            </w:rPr>
            <m:t>∙</m:t>
          </m:r>
          <m:r>
            <m:rPr>
              <m:nor/>
            </m:rPr>
            <w:rPr>
              <w:i/>
              <w:iCs/>
              <w:highlight w:val="yellow"/>
            </w:rPr>
            <m:t>V</m:t>
          </m:r>
          <m:r>
            <w:rPr>
              <w:rFonts w:ascii="Cambria Math" w:hAnsi="Cambria Math"/>
              <w:highlight w:val="yellow"/>
            </w:rPr>
            <m:t>=</m:t>
          </m:r>
          <m:r>
            <m:rPr>
              <m:nor/>
            </m:rPr>
            <w:rPr>
              <w:i/>
              <w:iCs/>
              <w:highlight w:val="yellow"/>
            </w:rPr>
            <m:t>P</m:t>
          </m:r>
          <m:r>
            <w:rPr>
              <w:rFonts w:ascii="Cambria Math" w:hAnsi="Cambria Math"/>
              <w:highlight w:val="yellow"/>
            </w:rPr>
            <m:t>∙</m:t>
          </m:r>
          <m:r>
            <m:rPr>
              <m:nor/>
            </m:rPr>
            <w:rPr>
              <w:i/>
              <w:iCs/>
              <w:highlight w:val="yellow"/>
            </w:rPr>
            <m:t>Y</m:t>
          </m:r>
          <m:r>
            <w:rPr>
              <w:rFonts w:ascii="Cambria Math" w:eastAsiaTheme="minorEastAsia" w:hAnsi="Cambria Math"/>
              <w:highlight w:val="yellow"/>
            </w:rPr>
            <m:t>⇒</m:t>
          </m:r>
          <m:r>
            <m:rPr>
              <m:nor/>
            </m:rPr>
            <w:rPr>
              <w:i/>
              <w:iCs/>
              <w:highlight w:val="yellow"/>
            </w:rPr>
            <m:t>P</m:t>
          </m:r>
          <m:r>
            <w:rPr>
              <w:rFonts w:ascii="Cambria Math" w:hAnsi="Cambria Math"/>
              <w:highlight w:val="yellow"/>
            </w:rPr>
            <m:t>=</m:t>
          </m:r>
          <m:f>
            <m:fPr>
              <m:ctrlPr>
                <w:rPr>
                  <w:rFonts w:ascii="Cambria Math" w:hAnsi="Cambria Math"/>
                  <w:i/>
                  <w:iCs/>
                  <w:highlight w:val="yellow"/>
                </w:rPr>
              </m:ctrlPr>
            </m:fPr>
            <m:num>
              <m:r>
                <m:rPr>
                  <m:nor/>
                </m:rPr>
                <w:rPr>
                  <w:i/>
                  <w:iCs/>
                  <w:highlight w:val="yellow"/>
                </w:rPr>
                <m:t>M</m:t>
              </m:r>
              <m:r>
                <w:rPr>
                  <w:rFonts w:ascii="Cambria Math" w:hAnsi="Cambria Math"/>
                  <w:highlight w:val="yellow"/>
                </w:rPr>
                <m:t>∙</m:t>
              </m:r>
              <m:r>
                <m:rPr>
                  <m:nor/>
                </m:rPr>
                <w:rPr>
                  <w:i/>
                  <w:iCs/>
                  <w:highlight w:val="yellow"/>
                </w:rPr>
                <m:t>V</m:t>
              </m:r>
            </m:num>
            <m:den>
              <m:r>
                <m:rPr>
                  <m:nor/>
                </m:rPr>
                <w:rPr>
                  <w:i/>
                  <w:iCs/>
                  <w:highlight w:val="yellow"/>
                </w:rPr>
                <m:t>Y</m:t>
              </m:r>
            </m:den>
          </m:f>
        </m:oMath>
      </m:oMathPara>
    </w:p>
    <w:p w14:paraId="0748FF68" w14:textId="5D905FF0" w:rsidR="00625779" w:rsidRPr="00D674ED" w:rsidRDefault="00625779" w:rsidP="00C26C58">
      <w:pPr>
        <w:spacing w:after="0"/>
        <w:rPr>
          <w:rFonts w:eastAsiaTheme="minorEastAsia"/>
          <w:iCs/>
          <w:highlight w:val="yellow"/>
        </w:rPr>
      </w:pPr>
      <m:oMathPara>
        <m:oMath>
          <m:r>
            <m:rPr>
              <m:nor/>
            </m:rPr>
            <w:rPr>
              <w:i/>
              <w:iCs/>
              <w:highlight w:val="yellow"/>
            </w:rPr>
            <m:t>M*</m:t>
          </m:r>
          <m:r>
            <w:rPr>
              <w:rFonts w:ascii="Cambria Math" w:hAnsi="Cambria Math"/>
              <w:highlight w:val="yellow"/>
            </w:rPr>
            <m:t>∙</m:t>
          </m:r>
          <m:r>
            <m:rPr>
              <m:nor/>
            </m:rPr>
            <w:rPr>
              <w:i/>
              <w:iCs/>
              <w:highlight w:val="yellow"/>
            </w:rPr>
            <m:t>V*</m:t>
          </m:r>
          <m:r>
            <w:rPr>
              <w:rFonts w:ascii="Cambria Math" w:hAnsi="Cambria Math"/>
              <w:highlight w:val="yellow"/>
            </w:rPr>
            <m:t>=</m:t>
          </m:r>
          <m:r>
            <m:rPr>
              <m:nor/>
            </m:rPr>
            <w:rPr>
              <w:i/>
              <w:iCs/>
              <w:highlight w:val="yellow"/>
            </w:rPr>
            <m:t>P*</m:t>
          </m:r>
          <m:r>
            <w:rPr>
              <w:rFonts w:ascii="Cambria Math" w:hAnsi="Cambria Math"/>
              <w:highlight w:val="yellow"/>
            </w:rPr>
            <m:t>∙</m:t>
          </m:r>
          <m:r>
            <m:rPr>
              <m:nor/>
            </m:rPr>
            <w:rPr>
              <w:i/>
              <w:iCs/>
              <w:highlight w:val="yellow"/>
            </w:rPr>
            <m:t>Y*</m:t>
          </m:r>
          <m:r>
            <w:rPr>
              <w:rFonts w:ascii="Cambria Math" w:eastAsiaTheme="minorEastAsia" w:hAnsi="Cambria Math"/>
              <w:highlight w:val="yellow"/>
            </w:rPr>
            <m:t>⇒</m:t>
          </m:r>
          <m:r>
            <m:rPr>
              <m:nor/>
            </m:rPr>
            <w:rPr>
              <w:i/>
              <w:iCs/>
              <w:highlight w:val="yellow"/>
            </w:rPr>
            <m:t>P*</m:t>
          </m:r>
          <m:r>
            <w:rPr>
              <w:rFonts w:ascii="Cambria Math" w:hAnsi="Cambria Math"/>
              <w:highlight w:val="yellow"/>
            </w:rPr>
            <m:t>=</m:t>
          </m:r>
          <m:f>
            <m:fPr>
              <m:ctrlPr>
                <w:rPr>
                  <w:rFonts w:ascii="Cambria Math" w:hAnsi="Cambria Math"/>
                  <w:i/>
                  <w:iCs/>
                  <w:highlight w:val="yellow"/>
                </w:rPr>
              </m:ctrlPr>
            </m:fPr>
            <m:num>
              <m:r>
                <m:rPr>
                  <m:nor/>
                </m:rPr>
                <w:rPr>
                  <w:i/>
                  <w:iCs/>
                  <w:highlight w:val="yellow"/>
                </w:rPr>
                <m:t>M</m:t>
              </m:r>
              <w:bookmarkStart w:id="53" w:name="_Hlk87863490"/>
              <m:r>
                <m:rPr>
                  <m:nor/>
                </m:rPr>
                <w:rPr>
                  <w:i/>
                  <w:iCs/>
                  <w:highlight w:val="yellow"/>
                </w:rPr>
                <m:t>*</m:t>
              </m:r>
              <w:bookmarkEnd w:id="53"/>
              <m:r>
                <w:rPr>
                  <w:rFonts w:ascii="Cambria Math" w:hAnsi="Cambria Math"/>
                  <w:highlight w:val="yellow"/>
                </w:rPr>
                <m:t>∙</m:t>
              </m:r>
              <m:r>
                <m:rPr>
                  <m:nor/>
                </m:rPr>
                <w:rPr>
                  <w:i/>
                  <w:iCs/>
                  <w:highlight w:val="yellow"/>
                </w:rPr>
                <m:t>V*</m:t>
              </m:r>
            </m:num>
            <m:den>
              <m:r>
                <m:rPr>
                  <m:nor/>
                </m:rPr>
                <w:rPr>
                  <w:i/>
                  <w:iCs/>
                  <w:highlight w:val="yellow"/>
                </w:rPr>
                <m:t>Y*</m:t>
              </m:r>
            </m:den>
          </m:f>
        </m:oMath>
      </m:oMathPara>
    </w:p>
    <w:p w14:paraId="50331CAC" w14:textId="49A9BF04" w:rsidR="00625779" w:rsidRPr="00D674ED" w:rsidRDefault="00625779" w:rsidP="00FE5692">
      <w:pPr>
        <w:pStyle w:val="Nivel2SM"/>
        <w:keepNext/>
        <w:spacing w:after="0"/>
        <w:rPr>
          <w:highlight w:val="yellow"/>
        </w:rPr>
      </w:pPr>
      <w:r w:rsidRPr="00D674ED">
        <w:rPr>
          <w:iCs/>
          <w:highlight w:val="yellow"/>
        </w:rPr>
        <w:t>Combinando</w:t>
      </w:r>
      <w:r w:rsidR="00D86C12" w:rsidRPr="00D674ED">
        <w:rPr>
          <w:iCs/>
          <w:highlight w:val="yellow"/>
        </w:rPr>
        <w:t xml:space="preserve"> la ecuación de la paridad de poder adquisitivo,</w:t>
      </w:r>
      <m:oMath>
        <m:r>
          <w:rPr>
            <w:rFonts w:ascii="Cambria Math" w:hAnsi="Cambria Math"/>
            <w:highlight w:val="yellow"/>
          </w:rPr>
          <m:t xml:space="preserve"> </m:t>
        </m:r>
        <m:r>
          <m:rPr>
            <m:nor/>
          </m:rPr>
          <w:rPr>
            <w:i/>
            <w:highlight w:val="yellow"/>
          </w:rPr>
          <m:t>E</m:t>
        </m:r>
        <m:r>
          <w:rPr>
            <w:rFonts w:ascii="Cambria Math" w:hAnsi="Cambria Math"/>
            <w:highlight w:val="yellow"/>
          </w:rPr>
          <m:t>=</m:t>
        </m:r>
        <m:f>
          <m:fPr>
            <m:type m:val="lin"/>
            <m:ctrlPr>
              <w:rPr>
                <w:rFonts w:ascii="Cambria Math" w:hAnsi="Cambria Math"/>
                <w:i/>
                <w:highlight w:val="yellow"/>
              </w:rPr>
            </m:ctrlPr>
          </m:fPr>
          <m:num>
            <m:r>
              <m:rPr>
                <m:nor/>
              </m:rPr>
              <w:rPr>
                <w:i/>
                <w:highlight w:val="yellow"/>
              </w:rPr>
              <m:t>P</m:t>
            </m:r>
          </m:num>
          <m:den>
            <m:r>
              <m:rPr>
                <m:nor/>
              </m:rPr>
              <w:rPr>
                <w:i/>
                <w:highlight w:val="yellow"/>
              </w:rPr>
              <m:t>P*</m:t>
            </m:r>
          </m:den>
        </m:f>
      </m:oMath>
      <w:r w:rsidR="00D86C12" w:rsidRPr="00D674ED">
        <w:rPr>
          <w:highlight w:val="yellow"/>
        </w:rPr>
        <w:t xml:space="preserve">, </w:t>
      </w:r>
      <w:r w:rsidR="005D5AF4" w:rsidRPr="00D674ED">
        <w:rPr>
          <w:highlight w:val="yellow"/>
        </w:rPr>
        <w:t xml:space="preserve">con estas </w:t>
      </w:r>
      <w:r w:rsidR="00D86C12" w:rsidRPr="00D674ED">
        <w:rPr>
          <w:highlight w:val="yellow"/>
        </w:rPr>
        <w:t>2 </w:t>
      </w:r>
      <w:r w:rsidR="005D5AF4" w:rsidRPr="00D674ED">
        <w:rPr>
          <w:highlight w:val="yellow"/>
        </w:rPr>
        <w:t>ecuaciones, se puede obtener la ecuación básica del modelo monetario de determinación del tipo de cambio</w:t>
      </w:r>
      <w:r w:rsidR="00E577CB" w:rsidRPr="00D674ED">
        <w:rPr>
          <w:rStyle w:val="Refdenotaalpie"/>
          <w:highlight w:val="yellow"/>
        </w:rPr>
        <w:footnoteReference w:id="21"/>
      </w:r>
      <w:r w:rsidR="005D5AF4" w:rsidRPr="00D674ED">
        <w:rPr>
          <w:highlight w:val="yellow"/>
        </w:rPr>
        <w:t>:</w:t>
      </w:r>
    </w:p>
    <w:p w14:paraId="51BEC7CB" w14:textId="7A6BF555" w:rsidR="005D5AF4" w:rsidRPr="00D674ED" w:rsidRDefault="00A97C1A" w:rsidP="00C26C58">
      <w:pPr>
        <w:spacing w:after="0"/>
        <w:rPr>
          <w:rFonts w:eastAsiaTheme="minorEastAsia"/>
          <w:highlight w:val="yellow"/>
        </w:rPr>
      </w:pPr>
      <m:oMathPara>
        <m:oMath>
          <m:r>
            <m:rPr>
              <m:nor/>
            </m:rPr>
            <w:rPr>
              <w:rFonts w:ascii="Cambria Math" w:eastAsiaTheme="minorEastAsia"/>
              <w:iCs/>
              <w:highlight w:val="yellow"/>
            </w:rPr>
            <m:t xml:space="preserve"> </m:t>
          </m:r>
          <m:r>
            <m:rPr>
              <m:nor/>
            </m:rPr>
            <w:rPr>
              <w:rFonts w:eastAsiaTheme="minorEastAsia"/>
              <w:i/>
              <w:highlight w:val="yellow"/>
            </w:rPr>
            <m:t>E</m:t>
          </m:r>
          <m:r>
            <w:rPr>
              <w:rFonts w:ascii="Cambria Math" w:eastAsiaTheme="minorEastAsia" w:hAnsi="Cambria Math"/>
              <w:highlight w:val="yellow"/>
            </w:rPr>
            <m:t>=</m:t>
          </m:r>
          <m:f>
            <m:fPr>
              <m:ctrlPr>
                <w:rPr>
                  <w:rFonts w:ascii="Cambria Math" w:eastAsiaTheme="minorEastAsia" w:hAnsi="Cambria Math"/>
                  <w:i/>
                  <w:highlight w:val="yellow"/>
                </w:rPr>
              </m:ctrlPr>
            </m:fPr>
            <m:num>
              <m:r>
                <m:rPr>
                  <m:nor/>
                </m:rPr>
                <w:rPr>
                  <w:i/>
                  <w:iCs/>
                  <w:highlight w:val="yellow"/>
                </w:rPr>
                <m:t>P</m:t>
              </m:r>
            </m:num>
            <m:den>
              <m:r>
                <m:rPr>
                  <m:nor/>
                </m:rPr>
                <w:rPr>
                  <w:i/>
                  <w:iCs/>
                  <w:highlight w:val="yellow"/>
                </w:rPr>
                <m:t>P*</m:t>
              </m:r>
            </m:den>
          </m:f>
          <m:r>
            <w:rPr>
              <w:rFonts w:ascii="Cambria Math" w:eastAsiaTheme="minorEastAsia" w:hAnsi="Cambria Math"/>
              <w:highlight w:val="yellow"/>
            </w:rPr>
            <m:t>⟹</m:t>
          </m:r>
          <m:borderBox>
            <m:borderBoxPr>
              <m:ctrlPr>
                <w:rPr>
                  <w:rFonts w:ascii="Cambria Math" w:eastAsiaTheme="minorEastAsia" w:hAnsi="Cambria Math"/>
                  <w:i/>
                  <w:highlight w:val="yellow"/>
                </w:rPr>
              </m:ctrlPr>
            </m:borderBoxPr>
            <m:e>
              <m:r>
                <m:rPr>
                  <m:nor/>
                </m:rPr>
                <w:rPr>
                  <w:rFonts w:eastAsiaTheme="minorEastAsia"/>
                  <w:i/>
                  <w:highlight w:val="yellow"/>
                </w:rPr>
                <m:t>E</m:t>
              </m:r>
              <m:r>
                <w:rPr>
                  <w:rFonts w:ascii="Cambria Math" w:eastAsiaTheme="minorEastAsia" w:hAnsi="Cambria Math"/>
                  <w:highlight w:val="yellow"/>
                </w:rPr>
                <m:t>=</m:t>
              </m:r>
              <m:f>
                <m:fPr>
                  <m:ctrlPr>
                    <w:rPr>
                      <w:rFonts w:ascii="Cambria Math" w:eastAsiaTheme="minorEastAsia" w:hAnsi="Cambria Math"/>
                      <w:i/>
                      <w:highlight w:val="yellow"/>
                    </w:rPr>
                  </m:ctrlPr>
                </m:fPr>
                <m:num>
                  <m:f>
                    <m:fPr>
                      <m:type m:val="lin"/>
                      <m:ctrlPr>
                        <w:rPr>
                          <w:rFonts w:ascii="Cambria Math" w:hAnsi="Cambria Math"/>
                          <w:i/>
                          <w:iCs/>
                          <w:highlight w:val="yellow"/>
                        </w:rPr>
                      </m:ctrlPr>
                    </m:fPr>
                    <m:num>
                      <m:r>
                        <m:rPr>
                          <m:nor/>
                        </m:rPr>
                        <w:rPr>
                          <w:i/>
                          <w:iCs/>
                          <w:highlight w:val="yellow"/>
                        </w:rPr>
                        <m:t>M</m:t>
                      </m:r>
                      <m:r>
                        <w:rPr>
                          <w:rFonts w:ascii="Cambria Math" w:hAnsi="Cambria Math"/>
                          <w:highlight w:val="yellow"/>
                        </w:rPr>
                        <m:t>∙</m:t>
                      </m:r>
                      <m:r>
                        <m:rPr>
                          <m:nor/>
                        </m:rPr>
                        <w:rPr>
                          <w:i/>
                          <w:iCs/>
                          <w:highlight w:val="yellow"/>
                        </w:rPr>
                        <m:t>V</m:t>
                      </m:r>
                    </m:num>
                    <m:den>
                      <m:r>
                        <m:rPr>
                          <m:nor/>
                        </m:rPr>
                        <w:rPr>
                          <w:i/>
                          <w:iCs/>
                          <w:highlight w:val="yellow"/>
                        </w:rPr>
                        <m:t>Y</m:t>
                      </m:r>
                    </m:den>
                  </m:f>
                </m:num>
                <m:den>
                  <m:f>
                    <m:fPr>
                      <m:type m:val="lin"/>
                      <m:ctrlPr>
                        <w:rPr>
                          <w:rFonts w:ascii="Cambria Math" w:hAnsi="Cambria Math"/>
                          <w:i/>
                          <w:iCs/>
                          <w:highlight w:val="yellow"/>
                        </w:rPr>
                      </m:ctrlPr>
                    </m:fPr>
                    <m:num>
                      <m:r>
                        <m:rPr>
                          <m:nor/>
                        </m:rPr>
                        <w:rPr>
                          <w:i/>
                          <w:iCs/>
                          <w:highlight w:val="yellow"/>
                        </w:rPr>
                        <m:t>M*</m:t>
                      </m:r>
                      <m:r>
                        <w:rPr>
                          <w:rFonts w:ascii="Cambria Math" w:hAnsi="Cambria Math"/>
                          <w:highlight w:val="yellow"/>
                        </w:rPr>
                        <m:t>∙</m:t>
                      </m:r>
                      <m:r>
                        <m:rPr>
                          <m:nor/>
                        </m:rPr>
                        <w:rPr>
                          <w:i/>
                          <w:iCs/>
                          <w:highlight w:val="yellow"/>
                        </w:rPr>
                        <m:t>V*</m:t>
                      </m:r>
                    </m:num>
                    <m:den>
                      <m:r>
                        <m:rPr>
                          <m:nor/>
                        </m:rPr>
                        <w:rPr>
                          <w:i/>
                          <w:iCs/>
                          <w:highlight w:val="yellow"/>
                        </w:rPr>
                        <m:t>Y*</m:t>
                      </m:r>
                    </m:den>
                  </m:f>
                </m:den>
              </m:f>
            </m:e>
          </m:borderBox>
        </m:oMath>
      </m:oMathPara>
    </w:p>
    <w:p w14:paraId="6761C09D" w14:textId="2B8B82F6" w:rsidR="00F33A23" w:rsidRPr="00D674ED" w:rsidRDefault="00F33A23" w:rsidP="00F33A23">
      <w:pPr>
        <w:pStyle w:val="Ttulo7"/>
        <w:rPr>
          <w:highlight w:val="yellow"/>
        </w:rPr>
      </w:pPr>
      <w:r w:rsidRPr="00D674ED">
        <w:rPr>
          <w:highlight w:val="yellow"/>
        </w:rPr>
        <w:t>Implicaciones</w:t>
      </w:r>
    </w:p>
    <w:p w14:paraId="09FF795F" w14:textId="77777777" w:rsidR="00825DC4" w:rsidRPr="00D674ED" w:rsidRDefault="00825DC4" w:rsidP="00C26C58">
      <w:pPr>
        <w:pStyle w:val="Nivel1SM"/>
        <w:spacing w:before="0"/>
        <w:rPr>
          <w:highlight w:val="yellow"/>
        </w:rPr>
      </w:pPr>
      <w:r w:rsidRPr="00D674ED">
        <w:rPr>
          <w:highlight w:val="yellow"/>
        </w:rPr>
        <w:t xml:space="preserve">En conclusión, según este enfoque, los </w:t>
      </w:r>
      <w:r w:rsidRPr="00D674ED">
        <w:rPr>
          <w:b/>
          <w:bCs/>
          <w:highlight w:val="yellow"/>
        </w:rPr>
        <w:t>determinantes del tipo de cambio nominal</w:t>
      </w:r>
      <w:r w:rsidRPr="00D674ED">
        <w:rPr>
          <w:highlight w:val="yellow"/>
        </w:rPr>
        <w:t xml:space="preserve"> son los mismos que los que determinan los precios a través de la </w:t>
      </w:r>
      <w:r w:rsidRPr="00D674ED">
        <w:rPr>
          <w:b/>
          <w:bCs/>
          <w:highlight w:val="yellow"/>
        </w:rPr>
        <w:t>teoría cuantitativa del dinero</w:t>
      </w:r>
      <w:r w:rsidRPr="00D674ED">
        <w:rPr>
          <w:highlight w:val="yellow"/>
        </w:rPr>
        <w:t>.</w:t>
      </w:r>
    </w:p>
    <w:p w14:paraId="09A59DFA" w14:textId="27DEE9D1" w:rsidR="00A653DF" w:rsidRDefault="00F33A23" w:rsidP="00F33A23">
      <w:pPr>
        <w:pStyle w:val="Ttulo3"/>
      </w:pPr>
      <w:bookmarkStart w:id="54" w:name="_Toc136424375"/>
      <w:r>
        <w:t xml:space="preserve">Precios flexibles: </w:t>
      </w:r>
      <w:r w:rsidR="00A653DF">
        <w:t xml:space="preserve">Enfoque de </w:t>
      </w:r>
      <w:r w:rsidR="00A653DF" w:rsidRPr="00A653DF">
        <w:rPr>
          <w:smallCaps/>
        </w:rPr>
        <w:t>Frenkel</w:t>
      </w:r>
      <w:r w:rsidR="00A653DF">
        <w:t xml:space="preserve"> y </w:t>
      </w:r>
      <w:proofErr w:type="spellStart"/>
      <w:r w:rsidR="00A653DF">
        <w:rPr>
          <w:smallCaps/>
        </w:rPr>
        <w:t>Mussa</w:t>
      </w:r>
      <w:proofErr w:type="spellEnd"/>
      <w:r w:rsidR="00A653DF">
        <w:t xml:space="preserve"> (1976)</w:t>
      </w:r>
      <w:bookmarkEnd w:id="54"/>
    </w:p>
    <w:p w14:paraId="1938C872" w14:textId="683E342B" w:rsidR="00F33A23" w:rsidRPr="00F33A23" w:rsidRDefault="00F33A23" w:rsidP="00C26C58">
      <w:pPr>
        <w:pStyle w:val="Ttulo6"/>
        <w:spacing w:before="0"/>
      </w:pPr>
      <w:bookmarkStart w:id="55" w:name="_Toc136424376"/>
      <w:r>
        <w:t>Idea</w:t>
      </w:r>
      <w:bookmarkEnd w:id="55"/>
    </w:p>
    <w:p w14:paraId="02B0E1FB" w14:textId="770BFDC5" w:rsidR="00E7052C" w:rsidRDefault="00E7052C" w:rsidP="00C26C58">
      <w:pPr>
        <w:pStyle w:val="Nivel1SM"/>
        <w:spacing w:before="0"/>
      </w:pPr>
      <w:r>
        <w:t xml:space="preserve">Este enfoque, al igual que el anterior concede también mucha importancia a la oferta de dinero, pero se diferencia en que no parte de la teoría cuantitativa del dinero, sino de la </w:t>
      </w:r>
      <w:r w:rsidRPr="00825DC4">
        <w:rPr>
          <w:b/>
          <w:bCs/>
        </w:rPr>
        <w:t>condición de equilibrio del mercado de dinero</w:t>
      </w:r>
      <w:r>
        <w:t>.</w:t>
      </w:r>
    </w:p>
    <w:p w14:paraId="221370B8" w14:textId="59254DA2" w:rsidR="00066A5E" w:rsidRDefault="00066A5E" w:rsidP="005E71AB">
      <w:pPr>
        <w:pStyle w:val="Nivel1SM"/>
      </w:pPr>
      <w:r>
        <w:t>Se trata de un enfoque de largo plazo, pues pasa por alto las rigideces de precios.</w:t>
      </w:r>
    </w:p>
    <w:p w14:paraId="032F41D4" w14:textId="77777777" w:rsidR="00F33A23" w:rsidRDefault="00F33A23" w:rsidP="00F33A23">
      <w:pPr>
        <w:pStyle w:val="Ttulo6"/>
      </w:pPr>
      <w:bookmarkStart w:id="56" w:name="_Toc136424377"/>
      <w:r>
        <w:t>Modelo</w:t>
      </w:r>
      <w:bookmarkEnd w:id="56"/>
    </w:p>
    <w:p w14:paraId="573E4A38" w14:textId="78BC8117" w:rsidR="00F33A23" w:rsidRDefault="00F33A23" w:rsidP="00C26C58">
      <w:pPr>
        <w:pStyle w:val="Ttulo7"/>
        <w:spacing w:before="0"/>
      </w:pPr>
      <w:r>
        <w:t>Supuestos</w:t>
      </w:r>
    </w:p>
    <w:p w14:paraId="375AD893" w14:textId="49058016" w:rsidR="005E71AB" w:rsidRDefault="00E7052C" w:rsidP="00C26C58">
      <w:pPr>
        <w:pStyle w:val="Nivel1SM"/>
        <w:keepNext/>
        <w:spacing w:before="0" w:after="0"/>
      </w:pPr>
      <w:r>
        <w:t xml:space="preserve">Parte de los </w:t>
      </w:r>
      <w:r w:rsidR="0021564C">
        <w:t>siguiente</w:t>
      </w:r>
      <w:r>
        <w:t>s supuestos</w:t>
      </w:r>
      <w:r w:rsidR="005E71AB">
        <w:t>:</w:t>
      </w:r>
    </w:p>
    <w:tbl>
      <w:tblPr>
        <w:tblStyle w:val="Tablaconcuadrcula"/>
        <w:tblW w:w="1031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
        <w:gridCol w:w="9557"/>
      </w:tblGrid>
      <w:tr w:rsidR="005E71AB" w14:paraId="5F4B5914" w14:textId="77777777" w:rsidTr="009C4C2E">
        <w:trPr>
          <w:cantSplit/>
          <w:trHeight w:val="20"/>
        </w:trPr>
        <w:tc>
          <w:tcPr>
            <w:tcW w:w="757" w:type="dxa"/>
            <w:textDirection w:val="btLr"/>
            <w:vAlign w:val="bottom"/>
          </w:tcPr>
          <w:p w14:paraId="333348AF" w14:textId="77777777" w:rsidR="005E71AB" w:rsidRPr="0050457C" w:rsidRDefault="005E71AB" w:rsidP="009C4C2E">
            <w:pPr>
              <w:pStyle w:val="Nmero"/>
              <w:numPr>
                <w:ilvl w:val="0"/>
                <w:numId w:val="0"/>
              </w:numPr>
              <w:spacing w:after="0" w:line="192" w:lineRule="auto"/>
              <w:ind w:left="113" w:right="113"/>
              <w:jc w:val="center"/>
              <w:rPr>
                <w:i/>
                <w:iCs/>
                <w:sz w:val="16"/>
                <w:szCs w:val="16"/>
              </w:rPr>
            </w:pPr>
            <w:r w:rsidRPr="0050457C">
              <w:rPr>
                <w:i/>
                <w:iCs/>
                <w:sz w:val="16"/>
                <w:szCs w:val="16"/>
              </w:rPr>
              <w:t>Paridad de poder adquisitivo</w:t>
            </w:r>
          </w:p>
          <w:p w14:paraId="51782DC7" w14:textId="77777777" w:rsidR="005E71AB" w:rsidRDefault="005E71AB" w:rsidP="009C4C2E">
            <w:pPr>
              <w:pStyle w:val="Nmero"/>
              <w:numPr>
                <w:ilvl w:val="0"/>
                <w:numId w:val="0"/>
              </w:numPr>
              <w:spacing w:after="60"/>
            </w:pPr>
            <w:r w:rsidRPr="0050457C">
              <w:rPr>
                <w:i/>
                <w:iCs/>
                <w:noProof/>
                <w:sz w:val="16"/>
                <w:szCs w:val="16"/>
              </w:rPr>
              <mc:AlternateContent>
                <mc:Choice Requires="wps">
                  <w:drawing>
                    <wp:inline distT="0" distB="0" distL="0" distR="0" wp14:anchorId="2FD11815" wp14:editId="0395BD17">
                      <wp:extent cx="135890" cy="828000"/>
                      <wp:effectExtent l="38100" t="0" r="16510" b="10795"/>
                      <wp:docPr id="2" name="Abrir llave 2"/>
                      <wp:cNvGraphicFramePr/>
                      <a:graphic xmlns:a="http://schemas.openxmlformats.org/drawingml/2006/main">
                        <a:graphicData uri="http://schemas.microsoft.com/office/word/2010/wordprocessingShape">
                          <wps:wsp>
                            <wps:cNvSpPr/>
                            <wps:spPr>
                              <a:xfrm>
                                <a:off x="0" y="0"/>
                                <a:ext cx="135890" cy="828000"/>
                              </a:xfrm>
                              <a:prstGeom prst="leftBrace">
                                <a:avLst>
                                  <a:gd name="adj1" fmla="val 63084"/>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F179D3B" id="Abrir llave 2" o:spid="_x0000_s1026" type="#_x0000_t87" style="width:10.7pt;height:6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" adj="2236" strokecolor="#5f2987 [3204]" strokeweight=".5pt">
                      <v:stroke joinstyle="miter"/>
                      <w10:anchorlock/>
                    </v:shape>
                  </w:pict>
                </mc:Fallback>
              </mc:AlternateContent>
            </w:r>
          </w:p>
        </w:tc>
        <w:tc>
          <w:tcPr>
            <w:tcW w:w="9559" w:type="dxa"/>
          </w:tcPr>
          <w:p w14:paraId="111F2D01" w14:textId="77777777" w:rsidR="005E71AB" w:rsidRPr="007F02D6" w:rsidRDefault="005E71AB" w:rsidP="008956FA">
            <w:pPr>
              <w:pStyle w:val="Nmero"/>
              <w:keepNext/>
              <w:numPr>
                <w:ilvl w:val="0"/>
                <w:numId w:val="50"/>
              </w:numPr>
              <w:spacing w:after="60"/>
              <w:ind w:left="176" w:hanging="176"/>
            </w:pPr>
            <w:r w:rsidRPr="007F02D6">
              <w:t>Libre movilidad de bienes</w:t>
            </w:r>
            <w:r>
              <w:t xml:space="preserve"> (i.e. no hay barreras al comercio)</w:t>
            </w:r>
            <w:r w:rsidRPr="007F02D6">
              <w:t>;</w:t>
            </w:r>
          </w:p>
          <w:p w14:paraId="062D34D2" w14:textId="77777777" w:rsidR="005E71AB" w:rsidRDefault="005E71AB">
            <w:pPr>
              <w:pStyle w:val="Nmero"/>
              <w:numPr>
                <w:ilvl w:val="0"/>
                <w:numId w:val="7"/>
              </w:numPr>
              <w:spacing w:after="60"/>
              <w:ind w:left="176" w:hanging="176"/>
            </w:pPr>
            <w:r>
              <w:t>Mercados perfectamente competitivos (i.e. las empresas no tienen poder de mercado y, por lo tanto, no pueden recurrir a estrategias como la discriminación de precios)</w:t>
            </w:r>
            <w:r w:rsidRPr="007F02D6">
              <w:t>;</w:t>
            </w:r>
          </w:p>
          <w:p w14:paraId="740E2FC4" w14:textId="0F5012D7" w:rsidR="008956FA" w:rsidRDefault="008956FA">
            <w:pPr>
              <w:pStyle w:val="Nmero"/>
              <w:numPr>
                <w:ilvl w:val="0"/>
                <w:numId w:val="7"/>
              </w:numPr>
              <w:spacing w:after="60"/>
              <w:ind w:left="176" w:hanging="176"/>
            </w:pPr>
            <w:r>
              <w:t>Un único bien homogéneo y comercializable;</w:t>
            </w:r>
          </w:p>
        </w:tc>
      </w:tr>
      <w:tr w:rsidR="005E71AB" w14:paraId="5E2E431A" w14:textId="77777777" w:rsidTr="009C4C2E">
        <w:trPr>
          <w:cantSplit/>
          <w:trHeight w:val="20"/>
        </w:trPr>
        <w:tc>
          <w:tcPr>
            <w:tcW w:w="757" w:type="dxa"/>
            <w:textDirection w:val="btLr"/>
            <w:vAlign w:val="bottom"/>
          </w:tcPr>
          <w:p w14:paraId="68A53D3D" w14:textId="77777777" w:rsidR="005E71AB" w:rsidRPr="0050457C" w:rsidRDefault="005E71AB" w:rsidP="009C4C2E">
            <w:pPr>
              <w:pStyle w:val="Nmero"/>
              <w:numPr>
                <w:ilvl w:val="0"/>
                <w:numId w:val="0"/>
              </w:numPr>
              <w:spacing w:after="0" w:line="192" w:lineRule="auto"/>
              <w:ind w:left="113" w:right="113"/>
              <w:jc w:val="center"/>
              <w:rPr>
                <w:i/>
                <w:iCs/>
                <w:sz w:val="16"/>
                <w:szCs w:val="16"/>
              </w:rPr>
            </w:pPr>
            <w:r w:rsidRPr="0050457C">
              <w:rPr>
                <w:i/>
                <w:iCs/>
                <w:sz w:val="16"/>
                <w:szCs w:val="16"/>
              </w:rPr>
              <w:t>Paridad de intereses</w:t>
            </w:r>
          </w:p>
          <w:p w14:paraId="262B395C" w14:textId="77777777" w:rsidR="005E71AB" w:rsidRDefault="005E71AB" w:rsidP="009C4C2E">
            <w:pPr>
              <w:pStyle w:val="Nmero"/>
              <w:numPr>
                <w:ilvl w:val="0"/>
                <w:numId w:val="0"/>
              </w:numPr>
              <w:spacing w:after="60"/>
            </w:pPr>
            <w:r w:rsidRPr="0050457C">
              <w:rPr>
                <w:i/>
                <w:iCs/>
                <w:noProof/>
                <w:sz w:val="16"/>
                <w:szCs w:val="16"/>
              </w:rPr>
              <mc:AlternateContent>
                <mc:Choice Requires="wps">
                  <w:drawing>
                    <wp:inline distT="0" distB="0" distL="0" distR="0" wp14:anchorId="2283DE91" wp14:editId="37FE37E5">
                      <wp:extent cx="135890" cy="685800"/>
                      <wp:effectExtent l="38100" t="0" r="16510" b="19050"/>
                      <wp:docPr id="7" name="Abrir llave 7"/>
                      <wp:cNvGraphicFramePr/>
                      <a:graphic xmlns:a="http://schemas.openxmlformats.org/drawingml/2006/main">
                        <a:graphicData uri="http://schemas.microsoft.com/office/word/2010/wordprocessingShape">
                          <wps:wsp>
                            <wps:cNvSpPr/>
                            <wps:spPr>
                              <a:xfrm>
                                <a:off x="0" y="0"/>
                                <a:ext cx="135890" cy="685800"/>
                              </a:xfrm>
                              <a:prstGeom prst="leftBrace">
                                <a:avLst>
                                  <a:gd name="adj1" fmla="val 63084"/>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FECD621" id="Abrir llave 7" o:spid="_x0000_s1026" type="#_x0000_t87" style="width:10.7pt;height:5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" adj="2700" strokecolor="#5f2987 [3204]" strokeweight=".5pt">
                      <v:stroke joinstyle="miter"/>
                      <w10:anchorlock/>
                    </v:shape>
                  </w:pict>
                </mc:Fallback>
              </mc:AlternateContent>
            </w:r>
          </w:p>
        </w:tc>
        <w:tc>
          <w:tcPr>
            <w:tcW w:w="9559" w:type="dxa"/>
          </w:tcPr>
          <w:p w14:paraId="63443CFC" w14:textId="4DE8D420" w:rsidR="005E71AB" w:rsidRDefault="008956FA">
            <w:pPr>
              <w:pStyle w:val="Nmero"/>
              <w:keepNext/>
              <w:numPr>
                <w:ilvl w:val="0"/>
                <w:numId w:val="7"/>
              </w:numPr>
              <w:spacing w:after="60"/>
              <w:ind w:left="176" w:hanging="176"/>
            </w:pPr>
            <w:r w:rsidRPr="007F02D6">
              <w:t>Libre movilidad de capitales</w:t>
            </w:r>
            <w:r w:rsidR="005E71AB">
              <w:t>;</w:t>
            </w:r>
          </w:p>
          <w:p w14:paraId="4BE48316" w14:textId="52DFCE09" w:rsidR="005E71AB" w:rsidRDefault="008956FA">
            <w:pPr>
              <w:pStyle w:val="Nmero"/>
              <w:keepNext/>
              <w:numPr>
                <w:ilvl w:val="0"/>
                <w:numId w:val="7"/>
              </w:numPr>
              <w:spacing w:after="60"/>
              <w:ind w:left="176" w:hanging="176"/>
            </w:pPr>
            <w:r>
              <w:t>Perfecta sustituibilidad entre activos nacionales y extranjeros</w:t>
            </w:r>
            <w:r>
              <w:rPr>
                <w:rStyle w:val="Refdenotaalpie"/>
              </w:rPr>
              <w:footnoteReference w:id="22"/>
            </w:r>
            <w:r w:rsidR="005E71AB">
              <w:t>; y</w:t>
            </w:r>
          </w:p>
          <w:p w14:paraId="1885C048" w14:textId="77777777" w:rsidR="005E71AB" w:rsidRDefault="005E71AB">
            <w:pPr>
              <w:pStyle w:val="Nmero"/>
              <w:numPr>
                <w:ilvl w:val="0"/>
                <w:numId w:val="7"/>
              </w:numPr>
              <w:spacing w:after="60"/>
              <w:ind w:left="176" w:hanging="176"/>
            </w:pPr>
            <w:r>
              <w:t>Neutralidad al riesgo de los agentes y expectativas no sesgadas.</w:t>
            </w:r>
          </w:p>
        </w:tc>
      </w:tr>
    </w:tbl>
    <w:p w14:paraId="6C6E17C5" w14:textId="756BB44C" w:rsidR="00F33A23" w:rsidRDefault="00F33A23" w:rsidP="00F33A23">
      <w:pPr>
        <w:pStyle w:val="Ttulo7"/>
      </w:pPr>
      <w:r>
        <w:lastRenderedPageBreak/>
        <w:t>Desarrollo</w:t>
      </w:r>
    </w:p>
    <w:p w14:paraId="3B1E5CFB" w14:textId="6D191F1F" w:rsidR="006B35C8" w:rsidRDefault="006B35C8" w:rsidP="00C26C58">
      <w:pPr>
        <w:pStyle w:val="Nivel1SM"/>
        <w:keepNext/>
        <w:spacing w:before="0" w:after="0"/>
        <w:rPr>
          <w:rFonts w:eastAsiaTheme="minorEastAsia"/>
        </w:rPr>
      </w:pPr>
      <w:r>
        <w:t xml:space="preserve">El </w:t>
      </w:r>
      <w:r w:rsidRPr="004552F6">
        <w:t>equilibrio en el mercado de dinero</w:t>
      </w:r>
      <w:r>
        <w:t xml:space="preserve"> requiere que </w:t>
      </w:r>
      <m:oMath>
        <m:sSup>
          <m:sSupPr>
            <m:ctrlPr>
              <w:rPr>
                <w:rFonts w:ascii="Cambria Math" w:hAnsi="Cambria Math"/>
                <w:i/>
              </w:rPr>
            </m:ctrlPr>
          </m:sSupPr>
          <m:e>
            <m:r>
              <m:rPr>
                <m:nor/>
              </m:rPr>
              <w:rPr>
                <w:i/>
              </w:rPr>
              <m:t>M</m:t>
            </m:r>
          </m:e>
          <m:sup>
            <m:r>
              <m:rPr>
                <m:nor/>
              </m:rPr>
              <w:rPr>
                <w:i/>
              </w:rPr>
              <m:t>S</m:t>
            </m:r>
          </m:sup>
        </m:sSup>
        <m:r>
          <w:rPr>
            <w:rFonts w:ascii="Cambria Math" w:hAnsi="Cambria Math"/>
          </w:rPr>
          <m:t>=</m:t>
        </m:r>
        <m:sSup>
          <m:sSupPr>
            <m:ctrlPr>
              <w:rPr>
                <w:rFonts w:ascii="Cambria Math" w:hAnsi="Cambria Math"/>
                <w:i/>
              </w:rPr>
            </m:ctrlPr>
          </m:sSupPr>
          <m:e>
            <m:r>
              <m:rPr>
                <m:nor/>
              </m:rPr>
              <w:rPr>
                <w:i/>
              </w:rPr>
              <m:t>M</m:t>
            </m:r>
          </m:e>
          <m:sup>
            <m:r>
              <m:rPr>
                <m:nor/>
              </m:rPr>
              <w:rPr>
                <w:i/>
              </w:rPr>
              <m:t>D</m:t>
            </m:r>
          </m:sup>
        </m:sSup>
      </m:oMath>
      <w:r>
        <w:rPr>
          <w:rFonts w:eastAsiaTheme="minorEastAsia"/>
        </w:rPr>
        <w:t>.</w:t>
      </w:r>
    </w:p>
    <w:p w14:paraId="77CBD1AF" w14:textId="0C128448" w:rsidR="006B35C8" w:rsidRDefault="006B35C8" w:rsidP="004552F6">
      <w:pPr>
        <w:pStyle w:val="Nivel2"/>
        <w:keepNext/>
        <w:spacing w:after="40"/>
        <w:ind w:left="340"/>
      </w:pPr>
      <w:r>
        <w:t xml:space="preserve">Consideremos </w:t>
      </w:r>
      <w:r>
        <w:rPr>
          <w:i/>
          <w:iCs/>
          <w:u w:val="single"/>
        </w:rPr>
        <w:t>saldos reales</w:t>
      </w:r>
      <w:r>
        <w:t xml:space="preserve"> </w:t>
      </w:r>
      <w:r w:rsidRPr="004552F6">
        <w:rPr>
          <w:sz w:val="18"/>
          <w:szCs w:val="18"/>
        </w:rPr>
        <w:t xml:space="preserve">(esto es </w:t>
      </w:r>
      <m:oMath>
        <m:f>
          <m:fPr>
            <m:type m:val="lin"/>
            <m:ctrlPr>
              <w:rPr>
                <w:rFonts w:ascii="Cambria Math" w:eastAsiaTheme="minorEastAsia" w:hAnsi="Cambria Math"/>
                <w:i/>
                <w:sz w:val="18"/>
                <w:szCs w:val="18"/>
              </w:rPr>
            </m:ctrlPr>
          </m:fPr>
          <m:num>
            <m:r>
              <m:rPr>
                <m:nor/>
              </m:rPr>
              <w:rPr>
                <w:i/>
                <w:sz w:val="18"/>
                <w:szCs w:val="18"/>
              </w:rPr>
              <m:t>M</m:t>
            </m:r>
          </m:num>
          <m:den>
            <m:r>
              <m:rPr>
                <m:nor/>
              </m:rPr>
              <w:rPr>
                <w:i/>
                <w:sz w:val="18"/>
                <w:szCs w:val="18"/>
              </w:rPr>
              <m:t>P</m:t>
            </m:r>
          </m:den>
        </m:f>
      </m:oMath>
      <w:r w:rsidRPr="004552F6">
        <w:rPr>
          <w:sz w:val="18"/>
          <w:szCs w:val="18"/>
        </w:rPr>
        <w:t xml:space="preserve"> en lugar de </w:t>
      </w:r>
      <m:oMath>
        <m:r>
          <m:rPr>
            <m:nor/>
          </m:rPr>
          <w:rPr>
            <w:i/>
            <w:sz w:val="18"/>
            <w:szCs w:val="18"/>
          </w:rPr>
          <m:t>M</m:t>
        </m:r>
      </m:oMath>
      <w:r w:rsidRPr="004552F6">
        <w:rPr>
          <w:sz w:val="18"/>
          <w:szCs w:val="18"/>
        </w:rPr>
        <w:t>)</w:t>
      </w:r>
      <w:r>
        <w:t xml:space="preserve">, y que la </w:t>
      </w:r>
      <w:r w:rsidRPr="00A96BA0">
        <w:rPr>
          <w:i/>
          <w:iCs/>
        </w:rPr>
        <w:t>demanda de saldos reales</w:t>
      </w:r>
      <w:r>
        <w:t xml:space="preserve"> depende positivamente del nivel de renta real y negativamente del tipo de interés</w:t>
      </w:r>
      <w:r w:rsidR="00E577CB" w:rsidRPr="00E577CB">
        <w:rPr>
          <w:rStyle w:val="Refdenotaalpie"/>
          <w:rFonts w:eastAsiaTheme="minorEastAsia"/>
        </w:rPr>
        <w:footnoteReference w:id="23"/>
      </w:r>
      <w:r>
        <w:t>:</w:t>
      </w:r>
    </w:p>
    <w:p w14:paraId="4092E8E0" w14:textId="45B144FF" w:rsidR="006B35C8" w:rsidRPr="00F46569" w:rsidRDefault="00000000" w:rsidP="00E577CB">
      <w:pPr>
        <w:keepNext/>
        <w:spacing w:after="0"/>
        <w:rPr>
          <w:lang w:val="en-US"/>
        </w:rPr>
      </w:pPr>
      <m:oMathPara>
        <m:oMath>
          <m:f>
            <m:fPr>
              <m:ctrlPr>
                <w:rPr>
                  <w:rFonts w:ascii="Cambria Math" w:hAnsi="Cambria Math"/>
                  <w:i/>
                </w:rPr>
              </m:ctrlPr>
            </m:fPr>
            <m:num>
              <m:sSup>
                <m:sSupPr>
                  <m:ctrlPr>
                    <w:rPr>
                      <w:rFonts w:ascii="Cambria Math" w:hAnsi="Cambria Math"/>
                      <w:i/>
                    </w:rPr>
                  </m:ctrlPr>
                </m:sSupPr>
                <m:e>
                  <m:r>
                    <m:rPr>
                      <m:nor/>
                    </m:rPr>
                    <w:rPr>
                      <w:i/>
                      <w:lang w:val="en-US"/>
                    </w:rPr>
                    <m:t>M</m:t>
                  </m:r>
                </m:e>
                <m:sup>
                  <m:r>
                    <m:rPr>
                      <m:nor/>
                    </m:rPr>
                    <w:rPr>
                      <w:i/>
                      <w:lang w:val="en-US"/>
                    </w:rPr>
                    <m:t>S</m:t>
                  </m:r>
                </m:sup>
              </m:sSup>
            </m:num>
            <m:den>
              <m:r>
                <m:rPr>
                  <m:nor/>
                </m:rPr>
                <w:rPr>
                  <w:i/>
                  <w:lang w:val="en-US"/>
                </w:rPr>
                <m:t>P</m:t>
              </m:r>
            </m:den>
          </m:f>
          <m:r>
            <w:rPr>
              <w:rFonts w:ascii="Cambria Math" w:hAnsi="Cambria Math"/>
              <w:lang w:val="en-US"/>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en-US"/>
                        </w:rPr>
                        <m:t>M</m:t>
                      </m:r>
                    </m:num>
                    <m:den>
                      <m:r>
                        <m:rPr>
                          <m:nor/>
                        </m:rPr>
                        <w:rPr>
                          <w:i/>
                          <w:lang w:val="en-US"/>
                        </w:rPr>
                        <m:t>P</m:t>
                      </m:r>
                    </m:den>
                  </m:f>
                </m:e>
              </m:d>
            </m:e>
            <m:sup>
              <m:r>
                <m:rPr>
                  <m:nor/>
                </m:rPr>
                <w:rPr>
                  <w:i/>
                  <w:lang w:val="en-US"/>
                </w:rPr>
                <m:t>D</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m:rPr>
                      <m:nor/>
                    </m:rPr>
                    <w:rPr>
                      <w:i/>
                      <w:lang w:val="en-US"/>
                    </w:rPr>
                    <m:t>M</m:t>
                  </m:r>
                </m:e>
                <m:sup>
                  <m:r>
                    <m:rPr>
                      <m:nor/>
                    </m:rPr>
                    <w:rPr>
                      <w:i/>
                      <w:lang w:val="en-US"/>
                    </w:rPr>
                    <m:t>S</m:t>
                  </m:r>
                </m:sup>
              </m:sSup>
            </m:num>
            <m:den>
              <m:r>
                <m:rPr>
                  <m:nor/>
                </m:rPr>
                <w:rPr>
                  <w:i/>
                  <w:lang w:val="en-US"/>
                </w:rPr>
                <m:t>P</m:t>
              </m:r>
            </m:den>
          </m:f>
          <m:r>
            <w:rPr>
              <w:rFonts w:ascii="Cambria Math"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r>
                        <m:rPr>
                          <m:nor/>
                        </m:rPr>
                        <w:rPr>
                          <w:i/>
                          <w:lang w:val="en-US"/>
                        </w:rPr>
                        <m:t>Y</m:t>
                      </m:r>
                    </m:e>
                    <m:sup>
                      <m:r>
                        <m:rPr>
                          <m:nor/>
                        </m:rPr>
                        <w:rPr>
                          <w:i/>
                          <w:lang w:val="en-US"/>
                        </w:rPr>
                        <m:t>k</m:t>
                      </m:r>
                    </m:sup>
                  </m:sSup>
                  <m:r>
                    <w:rPr>
                      <w:rFonts w:ascii="Cambria Math" w:hAnsi="Cambria Math"/>
                      <w:lang w:val="en-US"/>
                    </w:rPr>
                    <m:t>∙</m:t>
                  </m:r>
                  <m:limLow>
                    <m:limLowPr>
                      <m:ctrlPr>
                        <w:rPr>
                          <w:rFonts w:ascii="Cambria Math" w:hAnsi="Cambria Math"/>
                          <w:i/>
                          <w:lang w:val="en-US"/>
                        </w:rPr>
                      </m:ctrlPr>
                    </m:limLowPr>
                    <m:e>
                      <m:groupChr>
                        <m:groupChrPr>
                          <m:ctrlPr>
                            <w:rPr>
                              <w:rFonts w:ascii="Cambria Math" w:hAnsi="Cambria Math"/>
                              <w:i/>
                              <w:lang w:val="en-US"/>
                            </w:rPr>
                          </m:ctrlPr>
                        </m:groupChrPr>
                        <m:e>
                          <m:sSup>
                            <m:sSupPr>
                              <m:ctrlPr>
                                <w:rPr>
                                  <w:rFonts w:ascii="Cambria Math" w:hAnsi="Cambria Math"/>
                                  <w:i/>
                                  <w:iCs/>
                                  <w:lang w:val="en-US"/>
                                </w:rPr>
                              </m:ctrlPr>
                            </m:sSupPr>
                            <m:e>
                              <m:r>
                                <m:rPr>
                                  <m:nor/>
                                </m:rPr>
                                <w:rPr>
                                  <w:i/>
                                  <w:lang w:val="en-US"/>
                                </w:rPr>
                                <m:t>e</m:t>
                              </m:r>
                            </m:e>
                            <m:sup>
                              <m:r>
                                <w:rPr>
                                  <w:rFonts w:ascii="Cambria Math" w:hAnsi="Cambria Math"/>
                                  <w:lang w:val="en-US"/>
                                </w:rPr>
                                <m:t>-</m:t>
                              </m:r>
                              <m:r>
                                <m:rPr>
                                  <m:nor/>
                                </m:rPr>
                                <w:rPr>
                                  <w:i/>
                                  <w:lang w:val="en-US"/>
                                </w:rPr>
                                <m:t>h</m:t>
                              </m:r>
                              <m:r>
                                <w:rPr>
                                  <w:rFonts w:ascii="Cambria Math" w:hAnsi="Cambria Math"/>
                                  <w:lang w:val="en-US"/>
                                </w:rPr>
                                <m:t>∙</m:t>
                              </m:r>
                              <m:r>
                                <m:rPr>
                                  <m:nor/>
                                </m:rPr>
                                <w:rPr>
                                  <w:i/>
                                  <w:lang w:val="en-US"/>
                                </w:rPr>
                                <m:t>i</m:t>
                              </m:r>
                            </m:sup>
                          </m:sSup>
                        </m:e>
                      </m:groupChr>
                    </m:e>
                    <m:lim>
                      <m:r>
                        <w:rPr>
                          <w:rFonts w:ascii="Cambria Math" w:hAnsi="Cambria Math"/>
                          <w:lang w:val="en-US"/>
                        </w:rPr>
                        <m:t>≅</m:t>
                      </m:r>
                      <m:sSup>
                        <m:sSupPr>
                          <m:ctrlPr>
                            <w:rPr>
                              <w:rFonts w:ascii="Cambria Math" w:hAnsi="Cambria Math"/>
                              <w:i/>
                              <w:iCs/>
                              <w:lang w:val="en-US"/>
                            </w:rPr>
                          </m:ctrlPr>
                        </m:sSupPr>
                        <m:e>
                          <m:r>
                            <m:rPr>
                              <m:nor/>
                            </m:rPr>
                            <w:rPr>
                              <w:i/>
                              <w:iCs/>
                              <w:lang w:val="en-US"/>
                            </w:rPr>
                            <m:t>2,71828...</m:t>
                          </m:r>
                        </m:e>
                        <m:sup>
                          <m:r>
                            <w:rPr>
                              <w:rFonts w:ascii="Cambria Math" w:hAnsi="Cambria Math"/>
                              <w:lang w:val="en-US"/>
                            </w:rPr>
                            <m:t>-</m:t>
                          </m:r>
                          <m:r>
                            <m:rPr>
                              <m:nor/>
                            </m:rPr>
                            <w:rPr>
                              <w:i/>
                              <w:lang w:val="en-US"/>
                            </w:rPr>
                            <m:t>h</m:t>
                          </m:r>
                          <m:r>
                            <w:rPr>
                              <w:rFonts w:ascii="Cambria Math" w:hAnsi="Cambria Math"/>
                              <w:lang w:val="en-US"/>
                            </w:rPr>
                            <m:t>∙</m:t>
                          </m:r>
                          <m:r>
                            <m:rPr>
                              <m:nor/>
                            </m:rPr>
                            <w:rPr>
                              <w:i/>
                              <w:lang w:val="en-US"/>
                            </w:rPr>
                            <m:t>i</m:t>
                          </m:r>
                        </m:sup>
                      </m:sSup>
                    </m:lim>
                  </m:limLow>
                </m:e>
              </m:groupChr>
            </m:e>
            <m:lim>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nor/>
                            </m:rPr>
                            <w:rPr>
                              <w:i/>
                              <w:lang w:val="en-US"/>
                            </w:rPr>
                            <m:t>M</m:t>
                          </m:r>
                        </m:num>
                        <m:den>
                          <m:r>
                            <m:rPr>
                              <m:nor/>
                            </m:rPr>
                            <w:rPr>
                              <w:i/>
                              <w:lang w:val="en-US"/>
                            </w:rPr>
                            <m:t>P</m:t>
                          </m:r>
                        </m:den>
                      </m:f>
                    </m:e>
                  </m:d>
                </m:e>
                <m:sup>
                  <m:r>
                    <m:rPr>
                      <m:nor/>
                    </m:rPr>
                    <w:rPr>
                      <w:i/>
                      <w:lang w:val="en-US"/>
                    </w:rPr>
                    <m:t>D</m:t>
                  </m:r>
                </m:sup>
              </m:sSup>
            </m:lim>
          </m:limUpp>
        </m:oMath>
      </m:oMathPara>
    </w:p>
    <w:p w14:paraId="027A5863" w14:textId="3B2D6136" w:rsidR="00FA10C1" w:rsidRDefault="00E45B2E" w:rsidP="00170897">
      <w:pPr>
        <w:pStyle w:val="Nivel2SM"/>
        <w:keepNext/>
        <w:spacing w:after="0"/>
      </w:pPr>
      <w:r>
        <w:t>Tomando logaritmos neperianos, tendremos (las letras minúsculas representan el logaritmo de su mayúscula, con excepción del tipo de interés –que aquí está en su nivel–):</w:t>
      </w:r>
    </w:p>
    <w:p w14:paraId="0ABF0F67" w14:textId="280A0B31" w:rsidR="00E45B2E" w:rsidRPr="00B56F2D" w:rsidRDefault="00000000" w:rsidP="00812821">
      <w:pPr>
        <w:spacing w:after="100"/>
        <w:ind w:right="-285"/>
        <w:rPr>
          <w:rFonts w:eastAsiaTheme="minorEastAsia"/>
          <w:lang w:val="en-US"/>
        </w:rPr>
      </w:pPr>
      <m:oMathPara>
        <m:oMath>
          <m:d>
            <m:dPr>
              <m:begChr m:val=""/>
              <m:endChr m:val="}"/>
              <m:ctrlPr>
                <w:rPr>
                  <w:rFonts w:ascii="Cambria Math" w:hAnsi="Cambria Math"/>
                  <w:i/>
                  <w:lang w:val="en-US"/>
                </w:rPr>
              </m:ctrlPr>
            </m:dPr>
            <m:e>
              <m:f>
                <m:fPr>
                  <m:type m:val="noBar"/>
                  <m:ctrlPr>
                    <w:rPr>
                      <w:rFonts w:ascii="Cambria Math" w:hAnsi="Cambria Math"/>
                      <w:i/>
                      <w:lang w:val="en-US"/>
                    </w:rPr>
                  </m:ctrlPr>
                </m:fPr>
                <m:num>
                  <m:r>
                    <m:rPr>
                      <m:nor/>
                    </m:rPr>
                    <w:rPr>
                      <w:rFonts w:ascii="Cambria Math"/>
                      <w:i/>
                      <w:lang w:val="en-US"/>
                    </w:rPr>
                    <m:t xml:space="preserve">       </m:t>
                  </m:r>
                  <m:r>
                    <m:rPr>
                      <m:nor/>
                    </m:rPr>
                    <w:rPr>
                      <w:i/>
                      <w:lang w:val="en-US"/>
                    </w:rPr>
                    <m:t>m</m:t>
                  </m:r>
                  <m:r>
                    <w:rPr>
                      <w:rFonts w:ascii="Cambria Math" w:hAnsi="Cambria Math"/>
                      <w:lang w:val="en-US"/>
                    </w:rPr>
                    <m:t>-</m:t>
                  </m:r>
                  <m:r>
                    <m:rPr>
                      <m:nor/>
                    </m:rPr>
                    <w:rPr>
                      <w:i/>
                      <w:lang w:val="en-US"/>
                    </w:rPr>
                    <m:t>p</m:t>
                  </m:r>
                  <m:r>
                    <w:rPr>
                      <w:rFonts w:ascii="Cambria Math"/>
                      <w:lang w:val="en-US"/>
                    </w:rPr>
                    <m:t>=</m:t>
                  </m:r>
                  <m:r>
                    <m:rPr>
                      <m:nor/>
                    </m:rPr>
                    <w:rPr>
                      <w:i/>
                      <w:lang w:val="en-US"/>
                    </w:rPr>
                    <m:t>k</m:t>
                  </m:r>
                  <m:r>
                    <w:rPr>
                      <w:rFonts w:ascii="Cambria Math" w:hAnsi="Cambria Math"/>
                      <w:lang w:val="en-US"/>
                    </w:rPr>
                    <m:t>∙</m:t>
                  </m:r>
                  <m:r>
                    <m:rPr>
                      <m:nor/>
                    </m:rPr>
                    <w:rPr>
                      <w:i/>
                      <w:lang w:val="en-US"/>
                    </w:rPr>
                    <m:t>y</m:t>
                  </m:r>
                  <m:r>
                    <w:rPr>
                      <w:rFonts w:ascii="Cambria Math" w:hAnsi="Cambria Math"/>
                      <w:lang w:val="en-US"/>
                    </w:rPr>
                    <m:t>-</m:t>
                  </m:r>
                  <m:r>
                    <m:rPr>
                      <m:nor/>
                    </m:rPr>
                    <w:rPr>
                      <w:i/>
                      <w:lang w:val="en-US"/>
                    </w:rPr>
                    <m:t>h</m:t>
                  </m:r>
                  <m:r>
                    <w:rPr>
                      <w:rFonts w:ascii="Cambria Math" w:hAnsi="Cambria Math"/>
                      <w:lang w:val="en-US"/>
                    </w:rPr>
                    <m:t>∙</m:t>
                  </m:r>
                  <m:r>
                    <m:rPr>
                      <m:nor/>
                    </m:rPr>
                    <w:rPr>
                      <w:i/>
                      <w:lang w:val="en-US"/>
                    </w:rPr>
                    <m:t>i</m:t>
                  </m:r>
                </m:num>
                <m:den>
                  <m:r>
                    <m:rPr>
                      <m:nor/>
                    </m:rPr>
                    <w:rPr>
                      <w:i/>
                      <w:lang w:val="en-US"/>
                    </w:rPr>
                    <m:t>m</m:t>
                  </m:r>
                  <m:r>
                    <m:rPr>
                      <m:nor/>
                    </m:rPr>
                    <w:rPr>
                      <w:iCs/>
                      <w:lang w:val="en-US"/>
                    </w:rPr>
                    <m:t>*</m:t>
                  </m:r>
                  <m:r>
                    <w:rPr>
                      <w:rFonts w:ascii="Cambria Math" w:hAnsi="Cambria Math"/>
                      <w:lang w:val="en-US"/>
                    </w:rPr>
                    <m:t>-</m:t>
                  </m:r>
                  <m:r>
                    <m:rPr>
                      <m:nor/>
                    </m:rPr>
                    <w:rPr>
                      <w:i/>
                      <w:lang w:val="en-US"/>
                    </w:rPr>
                    <m:t>p</m:t>
                  </m:r>
                  <m:r>
                    <m:rPr>
                      <m:nor/>
                    </m:rPr>
                    <w:rPr>
                      <w:iCs/>
                      <w:lang w:val="en-US"/>
                    </w:rPr>
                    <m:t>*</m:t>
                  </m:r>
                  <m:r>
                    <w:rPr>
                      <w:rFonts w:ascii="Cambria Math"/>
                      <w:lang w:val="en-US"/>
                    </w:rPr>
                    <m:t>=</m:t>
                  </m:r>
                  <m:r>
                    <m:rPr>
                      <m:nor/>
                    </m:rPr>
                    <w:rPr>
                      <w:i/>
                      <w:lang w:val="en-US"/>
                    </w:rPr>
                    <m:t>k</m:t>
                  </m:r>
                  <m:r>
                    <w:rPr>
                      <w:rFonts w:ascii="Cambria Math" w:hAnsi="Cambria Math"/>
                      <w:lang w:val="en-US"/>
                    </w:rPr>
                    <m:t>∙</m:t>
                  </m:r>
                  <m:r>
                    <m:rPr>
                      <m:nor/>
                    </m:rPr>
                    <w:rPr>
                      <w:i/>
                      <w:lang w:val="en-US"/>
                    </w:rPr>
                    <m:t>y</m:t>
                  </m:r>
                  <m:r>
                    <m:rPr>
                      <m:nor/>
                    </m:rPr>
                    <w:rPr>
                      <w:iCs/>
                      <w:lang w:val="en-US"/>
                    </w:rPr>
                    <m:t>*</m:t>
                  </m:r>
                  <m:r>
                    <w:rPr>
                      <w:rFonts w:ascii="Cambria Math" w:hAnsi="Cambria Math"/>
                      <w:lang w:val="en-US"/>
                    </w:rPr>
                    <m:t>-</m:t>
                  </m:r>
                  <m:r>
                    <m:rPr>
                      <m:nor/>
                    </m:rPr>
                    <w:rPr>
                      <w:i/>
                      <w:lang w:val="en-US"/>
                    </w:rPr>
                    <m:t>h</m:t>
                  </m:r>
                  <m:r>
                    <w:rPr>
                      <w:rFonts w:ascii="Cambria Math" w:hAnsi="Cambria Math"/>
                      <w:lang w:val="en-US"/>
                    </w:rPr>
                    <m:t>∙</m:t>
                  </m:r>
                  <m:r>
                    <m:rPr>
                      <m:nor/>
                    </m:rPr>
                    <w:rPr>
                      <w:i/>
                      <w:lang w:val="en-US"/>
                    </w:rPr>
                    <m:t>i</m:t>
                  </m:r>
                  <m:r>
                    <m:rPr>
                      <m:nor/>
                    </m:rPr>
                    <w:rPr>
                      <w:iCs/>
                      <w:lang w:val="en-US"/>
                    </w:rPr>
                    <m:t>*</m:t>
                  </m:r>
                </m:den>
              </m:f>
              <m:r>
                <w:rPr>
                  <w:rFonts w:ascii="Cambria Math" w:hAnsi="Cambria Math"/>
                  <w:lang w:val="en-US"/>
                </w:rPr>
                <m:t xml:space="preserve">  </m:t>
              </m:r>
            </m:e>
          </m:d>
          <m:r>
            <w:rPr>
              <w:rFonts w:ascii="Cambria Math" w:hAnsi="Cambria Math"/>
            </w:rPr>
            <m:t>⟹</m:t>
          </m:r>
          <m:r>
            <w:rPr>
              <w:rFonts w:ascii="Cambria Math" w:hAnsi="Cambria Math"/>
              <w:lang w:val="en-US"/>
            </w:rPr>
            <m:t xml:space="preserve"> </m:t>
          </m:r>
          <m:d>
            <m:dPr>
              <m:begChr m:val=""/>
              <m:endChr m:val="}"/>
              <m:ctrlPr>
                <w:rPr>
                  <w:rFonts w:ascii="Cambria Math" w:hAnsi="Cambria Math"/>
                  <w:i/>
                  <w:lang w:val="en-US"/>
                </w:rPr>
              </m:ctrlPr>
            </m:dPr>
            <m:e>
              <m:f>
                <m:fPr>
                  <m:type m:val="noBar"/>
                  <m:ctrlPr>
                    <w:rPr>
                      <w:rFonts w:ascii="Cambria Math" w:hAnsi="Cambria Math"/>
                      <w:i/>
                      <w:lang w:val="en-US"/>
                    </w:rPr>
                  </m:ctrlPr>
                </m:fPr>
                <m:num>
                  <m:r>
                    <m:rPr>
                      <m:nor/>
                    </m:rPr>
                    <w:rPr>
                      <w:rFonts w:ascii="Cambria Math"/>
                      <w:i/>
                      <w:lang w:val="en-US"/>
                    </w:rPr>
                    <m:t xml:space="preserve">       </m:t>
                  </m:r>
                  <m:r>
                    <m:rPr>
                      <m:nor/>
                    </m:rPr>
                    <w:rPr>
                      <w:i/>
                      <w:lang w:val="en-US"/>
                    </w:rPr>
                    <m:t>p</m:t>
                  </m:r>
                  <m:r>
                    <w:rPr>
                      <w:rFonts w:ascii="Cambria Math"/>
                      <w:lang w:val="en-US"/>
                    </w:rPr>
                    <m:t>=</m:t>
                  </m:r>
                  <m:r>
                    <m:rPr>
                      <m:nor/>
                    </m:rPr>
                    <w:rPr>
                      <w:i/>
                      <w:lang w:val="en-US"/>
                    </w:rPr>
                    <m:t>m</m:t>
                  </m:r>
                  <m:r>
                    <w:rPr>
                      <w:rFonts w:ascii="Cambria Math" w:hAnsi="Cambria Math"/>
                      <w:lang w:val="en-US"/>
                    </w:rPr>
                    <m:t>-</m:t>
                  </m:r>
                  <m:r>
                    <m:rPr>
                      <m:nor/>
                    </m:rPr>
                    <w:rPr>
                      <w:i/>
                      <w:lang w:val="en-US"/>
                    </w:rPr>
                    <m:t>k</m:t>
                  </m:r>
                  <m:r>
                    <w:rPr>
                      <w:rFonts w:ascii="Cambria Math" w:hAnsi="Cambria Math"/>
                      <w:lang w:val="en-US"/>
                    </w:rPr>
                    <m:t>∙</m:t>
                  </m:r>
                  <m:r>
                    <m:rPr>
                      <m:nor/>
                    </m:rPr>
                    <w:rPr>
                      <w:i/>
                      <w:lang w:val="en-US"/>
                    </w:rPr>
                    <m:t>y</m:t>
                  </m:r>
                  <m:r>
                    <w:rPr>
                      <w:rFonts w:ascii="Cambria Math" w:hAnsi="Cambria Math"/>
                      <w:lang w:val="en-US"/>
                    </w:rPr>
                    <m:t>+</m:t>
                  </m:r>
                  <m:r>
                    <m:rPr>
                      <m:nor/>
                    </m:rPr>
                    <w:rPr>
                      <w:i/>
                      <w:lang w:val="en-US"/>
                    </w:rPr>
                    <m:t>h</m:t>
                  </m:r>
                  <m:r>
                    <w:rPr>
                      <w:rFonts w:ascii="Cambria Math" w:hAnsi="Cambria Math"/>
                      <w:lang w:val="en-US"/>
                    </w:rPr>
                    <m:t>∙</m:t>
                  </m:r>
                  <m:r>
                    <m:rPr>
                      <m:nor/>
                    </m:rPr>
                    <w:rPr>
                      <w:i/>
                      <w:lang w:val="en-US"/>
                    </w:rPr>
                    <m:t>i</m:t>
                  </m:r>
                </m:num>
                <m:den>
                  <m:r>
                    <m:rPr>
                      <m:nor/>
                    </m:rPr>
                    <w:rPr>
                      <w:rFonts w:ascii="Cambria Math"/>
                      <w:i/>
                      <w:lang w:val="en-US"/>
                    </w:rPr>
                    <m:t xml:space="preserve"> </m:t>
                  </m:r>
                  <m:r>
                    <m:rPr>
                      <m:nor/>
                    </m:rPr>
                    <w:rPr>
                      <w:i/>
                      <w:lang w:val="en-US"/>
                    </w:rPr>
                    <m:t>p</m:t>
                  </m:r>
                  <m:r>
                    <m:rPr>
                      <m:nor/>
                    </m:rPr>
                    <w:rPr>
                      <w:iCs/>
                      <w:lang w:val="en-US"/>
                    </w:rPr>
                    <m:t>*</m:t>
                  </m:r>
                  <m:r>
                    <w:rPr>
                      <w:rFonts w:ascii="Cambria Math"/>
                      <w:lang w:val="en-US"/>
                    </w:rPr>
                    <m:t>=</m:t>
                  </m:r>
                  <m:r>
                    <m:rPr>
                      <m:nor/>
                    </m:rPr>
                    <w:rPr>
                      <w:i/>
                      <w:lang w:val="en-US"/>
                    </w:rPr>
                    <m:t>m</m:t>
                  </m:r>
                  <m:r>
                    <m:rPr>
                      <m:nor/>
                    </m:rPr>
                    <w:rPr>
                      <w:iCs/>
                      <w:lang w:val="en-US"/>
                    </w:rPr>
                    <m:t>*</m:t>
                  </m:r>
                  <m:r>
                    <w:rPr>
                      <w:rFonts w:ascii="Cambria Math" w:hAnsi="Cambria Math"/>
                      <w:lang w:val="en-US"/>
                    </w:rPr>
                    <m:t>-</m:t>
                  </m:r>
                  <m:r>
                    <m:rPr>
                      <m:nor/>
                    </m:rPr>
                    <w:rPr>
                      <w:i/>
                      <w:lang w:val="en-US"/>
                    </w:rPr>
                    <m:t>k</m:t>
                  </m:r>
                  <m:r>
                    <w:rPr>
                      <w:rFonts w:ascii="Cambria Math" w:hAnsi="Cambria Math"/>
                      <w:lang w:val="en-US"/>
                    </w:rPr>
                    <m:t>∙</m:t>
                  </m:r>
                  <m:r>
                    <m:rPr>
                      <m:nor/>
                    </m:rPr>
                    <w:rPr>
                      <w:i/>
                      <w:lang w:val="en-US"/>
                    </w:rPr>
                    <m:t>y</m:t>
                  </m:r>
                  <m:r>
                    <m:rPr>
                      <m:nor/>
                    </m:rPr>
                    <w:rPr>
                      <w:iCs/>
                      <w:lang w:val="en-US"/>
                    </w:rPr>
                    <m:t>*</m:t>
                  </m:r>
                  <m:r>
                    <w:rPr>
                      <w:rFonts w:ascii="Cambria Math" w:hAnsi="Cambria Math"/>
                      <w:lang w:val="en-US"/>
                    </w:rPr>
                    <m:t>+</m:t>
                  </m:r>
                  <m:r>
                    <m:rPr>
                      <m:nor/>
                    </m:rPr>
                    <w:rPr>
                      <w:i/>
                      <w:lang w:val="en-US"/>
                    </w:rPr>
                    <m:t>h</m:t>
                  </m:r>
                  <m:r>
                    <w:rPr>
                      <w:rFonts w:ascii="Cambria Math" w:hAnsi="Cambria Math"/>
                      <w:lang w:val="en-US"/>
                    </w:rPr>
                    <m:t>∙</m:t>
                  </m:r>
                  <m:r>
                    <m:rPr>
                      <m:nor/>
                    </m:rPr>
                    <w:rPr>
                      <w:i/>
                      <w:lang w:val="en-US"/>
                    </w:rPr>
                    <m:t>i</m:t>
                  </m:r>
                  <m:r>
                    <m:rPr>
                      <m:nor/>
                    </m:rPr>
                    <w:rPr>
                      <w:iCs/>
                      <w:lang w:val="en-US"/>
                    </w:rPr>
                    <m:t>*</m:t>
                  </m:r>
                </m:den>
              </m:f>
              <m:r>
                <w:rPr>
                  <w:rFonts w:ascii="Cambria Math" w:hAnsi="Cambria Math"/>
                  <w:lang w:val="en-US"/>
                </w:rPr>
                <m:t xml:space="preserve"> </m:t>
              </m:r>
            </m:e>
          </m:d>
          <m:r>
            <w:rPr>
              <w:rFonts w:ascii="Cambria Math" w:hAnsi="Cambria Math"/>
            </w:rPr>
            <m:t>⟹</m:t>
          </m:r>
          <m:r>
            <m:rPr>
              <m:nor/>
            </m:rPr>
            <w:rPr>
              <w:rFonts w:ascii="Cambria Math"/>
              <w:i/>
              <w:color w:val="800000"/>
              <w:lang w:val="en-US"/>
            </w:rPr>
            <m:t xml:space="preserve">  </m:t>
          </m:r>
          <m:r>
            <m:rPr>
              <m:nor/>
            </m:rPr>
            <w:rPr>
              <w:i/>
              <w:color w:val="800000"/>
              <w:lang w:val="en-US"/>
            </w:rPr>
            <m:t>p</m:t>
          </m:r>
          <m:r>
            <w:rPr>
              <w:rFonts w:ascii="Cambria Math" w:hAnsi="Cambria Math"/>
              <w:color w:val="800000"/>
              <w:lang w:val="en-US"/>
            </w:rPr>
            <m:t>-</m:t>
          </m:r>
          <m:r>
            <m:rPr>
              <m:nor/>
            </m:rPr>
            <w:rPr>
              <w:i/>
              <w:color w:val="800000"/>
              <w:lang w:val="en-US"/>
            </w:rPr>
            <m:t>p</m:t>
          </m:r>
          <m:r>
            <m:rPr>
              <m:nor/>
            </m:rPr>
            <w:rPr>
              <w:iCs/>
              <w:color w:val="800000"/>
              <w:lang w:val="en-US"/>
            </w:rPr>
            <m:t>*</m:t>
          </m:r>
          <m:r>
            <w:rPr>
              <w:rFonts w:ascii="Cambria Math"/>
              <w:color w:val="800000"/>
              <w:lang w:val="en-US"/>
            </w:rPr>
            <m:t>=</m:t>
          </m:r>
          <m:d>
            <m:dPr>
              <m:ctrlPr>
                <w:rPr>
                  <w:rFonts w:ascii="Cambria Math" w:hAnsi="Cambria Math"/>
                  <w:i/>
                  <w:color w:val="800000"/>
                  <w:lang w:val="en-US"/>
                </w:rPr>
              </m:ctrlPr>
            </m:dPr>
            <m:e>
              <m:r>
                <m:rPr>
                  <m:nor/>
                </m:rPr>
                <w:rPr>
                  <w:i/>
                  <w:color w:val="800000"/>
                  <w:lang w:val="en-US"/>
                </w:rPr>
                <m:t>m</m:t>
              </m:r>
              <m:r>
                <w:rPr>
                  <w:rFonts w:ascii="Cambria Math" w:hAnsi="Cambria Math"/>
                  <w:color w:val="800000"/>
                  <w:lang w:val="en-US"/>
                </w:rPr>
                <m:t>-</m:t>
              </m:r>
              <m:r>
                <m:rPr>
                  <m:nor/>
                </m:rPr>
                <w:rPr>
                  <w:i/>
                  <w:color w:val="800000"/>
                  <w:lang w:val="en-US"/>
                </w:rPr>
                <m:t>m</m:t>
              </m:r>
              <m:r>
                <m:rPr>
                  <m:nor/>
                </m:rPr>
                <w:rPr>
                  <w:iCs/>
                  <w:color w:val="800000"/>
                  <w:lang w:val="en-US"/>
                </w:rPr>
                <m:t>*</m:t>
              </m:r>
            </m:e>
          </m:d>
          <m:r>
            <w:rPr>
              <w:rFonts w:ascii="Cambria Math" w:hAnsi="Cambria Math"/>
              <w:color w:val="800000"/>
              <w:lang w:val="en-US"/>
            </w:rPr>
            <m:t>-</m:t>
          </m:r>
          <m:r>
            <m:rPr>
              <m:nor/>
            </m:rPr>
            <w:rPr>
              <w:i/>
              <w:color w:val="800000"/>
              <w:lang w:val="en-US"/>
            </w:rPr>
            <m:t>k</m:t>
          </m:r>
          <m:r>
            <w:rPr>
              <w:rFonts w:ascii="Cambria Math" w:hAnsi="Cambria Math"/>
              <w:color w:val="800000"/>
              <w:lang w:val="en-US"/>
            </w:rPr>
            <m:t>∙</m:t>
          </m:r>
          <m:d>
            <m:dPr>
              <m:ctrlPr>
                <w:rPr>
                  <w:rFonts w:ascii="Cambria Math" w:hAnsi="Cambria Math"/>
                  <w:i/>
                  <w:color w:val="800000"/>
                  <w:lang w:val="en-US"/>
                </w:rPr>
              </m:ctrlPr>
            </m:dPr>
            <m:e>
              <m:r>
                <m:rPr>
                  <m:nor/>
                </m:rPr>
                <w:rPr>
                  <w:i/>
                  <w:color w:val="800000"/>
                  <w:lang w:val="en-US"/>
                </w:rPr>
                <m:t>y</m:t>
              </m:r>
              <m:r>
                <w:rPr>
                  <w:rFonts w:ascii="Cambria Math" w:hAnsi="Cambria Math"/>
                  <w:color w:val="800000"/>
                  <w:lang w:val="en-US"/>
                </w:rPr>
                <m:t>-</m:t>
              </m:r>
              <m:r>
                <m:rPr>
                  <m:nor/>
                </m:rPr>
                <w:rPr>
                  <w:i/>
                  <w:color w:val="800000"/>
                  <w:lang w:val="en-US"/>
                </w:rPr>
                <m:t>y</m:t>
              </m:r>
              <m:r>
                <m:rPr>
                  <m:nor/>
                </m:rPr>
                <w:rPr>
                  <w:iCs/>
                  <w:color w:val="800000"/>
                  <w:lang w:val="en-US"/>
                </w:rPr>
                <m:t>*</m:t>
              </m:r>
            </m:e>
          </m:d>
          <m:r>
            <w:rPr>
              <w:rFonts w:ascii="Cambria Math" w:hAnsi="Cambria Math"/>
              <w:color w:val="800000"/>
              <w:lang w:val="en-US"/>
            </w:rPr>
            <m:t>+</m:t>
          </m:r>
          <m:r>
            <m:rPr>
              <m:nor/>
            </m:rPr>
            <w:rPr>
              <w:i/>
              <w:color w:val="800000"/>
              <w:lang w:val="en-US"/>
            </w:rPr>
            <m:t>h</m:t>
          </m:r>
          <m:r>
            <w:rPr>
              <w:rFonts w:ascii="Cambria Math" w:hAnsi="Cambria Math"/>
              <w:color w:val="800000"/>
              <w:lang w:val="en-US"/>
            </w:rPr>
            <m:t>∙</m:t>
          </m:r>
          <m:d>
            <m:dPr>
              <m:ctrlPr>
                <w:rPr>
                  <w:rFonts w:ascii="Cambria Math" w:hAnsi="Cambria Math"/>
                  <w:i/>
                  <w:color w:val="800000"/>
                  <w:lang w:val="en-US"/>
                </w:rPr>
              </m:ctrlPr>
            </m:dPr>
            <m:e>
              <m:r>
                <m:rPr>
                  <m:nor/>
                </m:rPr>
                <w:rPr>
                  <w:i/>
                  <w:color w:val="800000"/>
                  <w:lang w:val="en-US"/>
                </w:rPr>
                <m:t>i</m:t>
              </m:r>
              <m:r>
                <w:rPr>
                  <w:rFonts w:ascii="Cambria Math" w:hAnsi="Cambria Math"/>
                  <w:color w:val="800000"/>
                  <w:lang w:val="en-US"/>
                </w:rPr>
                <m:t>-</m:t>
              </m:r>
              <m:r>
                <m:rPr>
                  <m:nor/>
                </m:rPr>
                <w:rPr>
                  <w:i/>
                  <w:color w:val="800000"/>
                  <w:lang w:val="en-US"/>
                </w:rPr>
                <m:t>i</m:t>
              </m:r>
              <m:r>
                <m:rPr>
                  <m:nor/>
                </m:rPr>
                <w:rPr>
                  <w:iCs/>
                  <w:color w:val="800000"/>
                  <w:lang w:val="en-US"/>
                </w:rPr>
                <m:t>*</m:t>
              </m:r>
            </m:e>
          </m:d>
        </m:oMath>
      </m:oMathPara>
    </w:p>
    <w:p w14:paraId="2402239D" w14:textId="4948EAFB" w:rsidR="00E45B2E" w:rsidRDefault="00E45B2E" w:rsidP="00170897">
      <w:pPr>
        <w:pStyle w:val="Nivel1SM"/>
        <w:keepNext/>
        <w:spacing w:after="0"/>
      </w:pPr>
      <w:r>
        <w:t xml:space="preserve">Como hemos supuesto que se cumple la PPA en su versión absoluta </w:t>
      </w:r>
      <m:oMath>
        <m:d>
          <m:dPr>
            <m:ctrlPr>
              <w:rPr>
                <w:rFonts w:ascii="Cambria Math" w:hAnsi="Cambria Math"/>
                <w:i/>
                <w:iCs/>
              </w:rPr>
            </m:ctrlPr>
          </m:dPr>
          <m:e>
            <m:r>
              <m:rPr>
                <m:nor/>
              </m:rPr>
              <w:rPr>
                <w:i/>
                <w:iCs/>
              </w:rPr>
              <m:t>E</m:t>
            </m:r>
            <m:r>
              <w:rPr>
                <w:rFonts w:ascii="Cambria Math" w:hAnsi="Cambria Math"/>
              </w:rPr>
              <m:t>=</m:t>
            </m:r>
            <m:f>
              <m:fPr>
                <m:type m:val="lin"/>
                <m:ctrlPr>
                  <w:rPr>
                    <w:rFonts w:ascii="Cambria Math" w:hAnsi="Cambria Math"/>
                    <w:i/>
                  </w:rPr>
                </m:ctrlPr>
              </m:fPr>
              <m:num>
                <m:r>
                  <m:rPr>
                    <m:nor/>
                  </m:rPr>
                  <w:rPr>
                    <w:i/>
                  </w:rPr>
                  <m:t>P</m:t>
                </m:r>
              </m:num>
              <m:den>
                <m:r>
                  <m:rPr>
                    <m:nor/>
                  </m:rPr>
                  <w:rPr>
                    <w:i/>
                  </w:rPr>
                  <m:t>P*</m:t>
                </m:r>
              </m:den>
            </m:f>
          </m:e>
        </m:d>
      </m:oMath>
      <w:r>
        <w:t>, tomando logaritmos neperianos tendremos:</w:t>
      </w:r>
    </w:p>
    <w:p w14:paraId="7E60FC8A" w14:textId="7CDF8B50" w:rsidR="00FE035C" w:rsidRPr="000E5983" w:rsidRDefault="00000000" w:rsidP="00E577CB">
      <w:pPr>
        <w:spacing w:after="100"/>
        <w:rPr>
          <w:rFonts w:eastAsiaTheme="minorEastAsia"/>
          <w:iCs/>
        </w:rPr>
      </w:pPr>
      <m:oMathPara>
        <m:oMath>
          <m:func>
            <m:funcPr>
              <m:ctrlPr>
                <w:rPr>
                  <w:rFonts w:ascii="Cambria Math" w:hAnsi="Cambria Math"/>
                  <w:i/>
                  <w:iCs/>
                  <w:color w:val="800000"/>
                </w:rPr>
              </m:ctrlPr>
            </m:funcPr>
            <m:fName>
              <m:r>
                <m:rPr>
                  <m:nor/>
                </m:rPr>
                <w:rPr>
                  <w:i/>
                  <w:iCs/>
                  <w:color w:val="800000"/>
                </w:rPr>
                <m:t>ln</m:t>
              </m:r>
            </m:fName>
            <m:e>
              <m:r>
                <m:rPr>
                  <m:nor/>
                </m:rPr>
                <w:rPr>
                  <w:i/>
                  <w:iCs/>
                  <w:color w:val="800000"/>
                </w:rPr>
                <m:t>E</m:t>
              </m:r>
            </m:e>
          </m:func>
          <m:r>
            <w:rPr>
              <w:rFonts w:ascii="Cambria Math" w:hAnsi="Cambria Math"/>
              <w:color w:val="800000"/>
            </w:rPr>
            <m:t>=</m:t>
          </m:r>
          <m:r>
            <m:rPr>
              <m:nor/>
            </m:rPr>
            <w:rPr>
              <w:i/>
              <w:iCs/>
              <w:color w:val="800000"/>
            </w:rPr>
            <m:t>p</m:t>
          </m:r>
          <m:r>
            <w:rPr>
              <w:rFonts w:ascii="Cambria Math" w:hAnsi="Cambria Math"/>
              <w:color w:val="800000"/>
            </w:rPr>
            <m:t>-</m:t>
          </m:r>
          <m:r>
            <m:rPr>
              <m:nor/>
            </m:rPr>
            <w:rPr>
              <w:i/>
              <w:iCs/>
              <w:color w:val="800000"/>
            </w:rPr>
            <m:t>p*</m:t>
          </m:r>
        </m:oMath>
      </m:oMathPara>
    </w:p>
    <w:p w14:paraId="7F4B53BF" w14:textId="09DEE3C2" w:rsidR="000E5983" w:rsidRDefault="000E5983" w:rsidP="00170897">
      <w:pPr>
        <w:pStyle w:val="Nivel1SM"/>
        <w:keepNext/>
        <w:spacing w:after="0"/>
      </w:pPr>
      <w:r>
        <w:t>Combinando las 2</w:t>
      </w:r>
      <w:r w:rsidR="00C26C58">
        <w:t> </w:t>
      </w:r>
      <w:r>
        <w:t xml:space="preserve">ecuaciones anteriores, se puede obtener la </w:t>
      </w:r>
      <w:r w:rsidRPr="00170897">
        <w:rPr>
          <w:b/>
          <w:bCs/>
        </w:rPr>
        <w:t>ecuación básica del modelo monetario de determinación del tipo de cambio</w:t>
      </w:r>
      <w:r w:rsidR="00B56F2D" w:rsidRPr="00170897">
        <w:rPr>
          <w:rStyle w:val="Refdenotaalpie"/>
          <w:rFonts w:eastAsiaTheme="minorEastAsia"/>
          <w:iCs/>
        </w:rPr>
        <w:footnoteReference w:id="24"/>
      </w:r>
      <w:r>
        <w:t>:</w:t>
      </w:r>
    </w:p>
    <w:p w14:paraId="74014141" w14:textId="62D586FF" w:rsidR="000E5983" w:rsidRPr="004552F6" w:rsidRDefault="00000000" w:rsidP="00E577CB">
      <w:pPr>
        <w:spacing w:after="100"/>
        <w:rPr>
          <w:rFonts w:eastAsiaTheme="minorEastAsia"/>
          <w:iCs/>
        </w:rPr>
      </w:pPr>
      <m:oMathPara>
        <m:oMath>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r>
                      <m:rPr>
                        <m:nor/>
                      </m:rPr>
                      <w:rPr>
                        <w:rFonts w:ascii="Cambria Math"/>
                        <w:i/>
                        <w:color w:val="800000"/>
                      </w:rPr>
                      <m:t xml:space="preserve"> </m:t>
                    </m:r>
                    <m:r>
                      <m:rPr>
                        <m:nor/>
                      </m:rPr>
                      <w:rPr>
                        <w:i/>
                        <w:color w:val="800000"/>
                      </w:rPr>
                      <m:t>p</m:t>
                    </m:r>
                    <m:r>
                      <w:rPr>
                        <w:rFonts w:ascii="Cambria Math" w:hAnsi="Cambria Math"/>
                        <w:color w:val="800000"/>
                      </w:rPr>
                      <m:t>-</m:t>
                    </m:r>
                    <m:r>
                      <m:rPr>
                        <m:nor/>
                      </m:rPr>
                      <w:rPr>
                        <w:i/>
                        <w:color w:val="800000"/>
                      </w:rPr>
                      <m:t>p</m:t>
                    </m:r>
                    <m:r>
                      <m:rPr>
                        <m:nor/>
                      </m:rPr>
                      <w:rPr>
                        <w:iCs/>
                        <w:color w:val="800000"/>
                      </w:rPr>
                      <m:t>*</m:t>
                    </m:r>
                    <m:r>
                      <w:rPr>
                        <w:rFonts w:ascii="Cambria Math"/>
                        <w:color w:val="800000"/>
                      </w:rPr>
                      <m:t>=</m:t>
                    </m:r>
                    <m:d>
                      <m:dPr>
                        <m:ctrlPr>
                          <w:rPr>
                            <w:rFonts w:ascii="Cambria Math" w:hAnsi="Cambria Math"/>
                            <w:i/>
                            <w:color w:val="800000"/>
                            <w:lang w:val="en-US"/>
                          </w:rPr>
                        </m:ctrlPr>
                      </m:dPr>
                      <m:e>
                        <m:r>
                          <m:rPr>
                            <m:nor/>
                          </m:rPr>
                          <w:rPr>
                            <w:i/>
                            <w:color w:val="800000"/>
                          </w:rPr>
                          <m:t>m</m:t>
                        </m:r>
                        <m:r>
                          <w:rPr>
                            <w:rFonts w:ascii="Cambria Math" w:hAnsi="Cambria Math"/>
                            <w:color w:val="800000"/>
                          </w:rPr>
                          <m:t>-</m:t>
                        </m:r>
                        <m:r>
                          <m:rPr>
                            <m:nor/>
                          </m:rPr>
                          <w:rPr>
                            <w:i/>
                            <w:color w:val="800000"/>
                          </w:rPr>
                          <m:t>m</m:t>
                        </m:r>
                        <m:r>
                          <m:rPr>
                            <m:nor/>
                          </m:rPr>
                          <w:rPr>
                            <w:iCs/>
                            <w:color w:val="800000"/>
                          </w:rPr>
                          <m:t>*</m:t>
                        </m:r>
                      </m:e>
                    </m:d>
                    <m:r>
                      <w:rPr>
                        <w:rFonts w:ascii="Cambria Math" w:hAnsi="Cambria Math"/>
                        <w:color w:val="800000"/>
                      </w:rPr>
                      <m:t>-</m:t>
                    </m:r>
                    <m:r>
                      <m:rPr>
                        <m:nor/>
                      </m:rPr>
                      <w:rPr>
                        <w:i/>
                        <w:color w:val="800000"/>
                      </w:rPr>
                      <m:t>k</m:t>
                    </m:r>
                    <m:r>
                      <w:rPr>
                        <w:rFonts w:ascii="Cambria Math" w:hAnsi="Cambria Math"/>
                        <w:color w:val="800000"/>
                      </w:rPr>
                      <m:t>∙</m:t>
                    </m:r>
                    <m:d>
                      <m:dPr>
                        <m:ctrlPr>
                          <w:rPr>
                            <w:rFonts w:ascii="Cambria Math" w:hAnsi="Cambria Math"/>
                            <w:i/>
                            <w:color w:val="800000"/>
                            <w:lang w:val="en-US"/>
                          </w:rPr>
                        </m:ctrlPr>
                      </m:dPr>
                      <m:e>
                        <m:r>
                          <m:rPr>
                            <m:nor/>
                          </m:rPr>
                          <w:rPr>
                            <w:i/>
                            <w:color w:val="800000"/>
                          </w:rPr>
                          <m:t>y</m:t>
                        </m:r>
                        <m:r>
                          <w:rPr>
                            <w:rFonts w:ascii="Cambria Math" w:hAnsi="Cambria Math"/>
                            <w:color w:val="800000"/>
                          </w:rPr>
                          <m:t>-</m:t>
                        </m:r>
                        <m:r>
                          <m:rPr>
                            <m:nor/>
                          </m:rPr>
                          <w:rPr>
                            <w:i/>
                            <w:color w:val="800000"/>
                          </w:rPr>
                          <m:t>y</m:t>
                        </m:r>
                        <m:r>
                          <m:rPr>
                            <m:nor/>
                          </m:rPr>
                          <w:rPr>
                            <w:iCs/>
                            <w:color w:val="800000"/>
                          </w:rPr>
                          <m:t>*</m:t>
                        </m:r>
                      </m:e>
                    </m:d>
                    <m:r>
                      <w:rPr>
                        <w:rFonts w:ascii="Cambria Math" w:hAnsi="Cambria Math"/>
                        <w:color w:val="800000"/>
                      </w:rPr>
                      <m:t>+</m:t>
                    </m:r>
                    <m:r>
                      <m:rPr>
                        <m:nor/>
                      </m:rPr>
                      <w:rPr>
                        <w:i/>
                        <w:color w:val="800000"/>
                      </w:rPr>
                      <m:t>h</m:t>
                    </m:r>
                    <m:r>
                      <w:rPr>
                        <w:rFonts w:ascii="Cambria Math" w:hAnsi="Cambria Math"/>
                        <w:color w:val="800000"/>
                      </w:rPr>
                      <m:t>∙</m:t>
                    </m:r>
                    <m:d>
                      <m:dPr>
                        <m:ctrlPr>
                          <w:rPr>
                            <w:rFonts w:ascii="Cambria Math" w:hAnsi="Cambria Math"/>
                            <w:i/>
                            <w:color w:val="800000"/>
                            <w:lang w:val="en-US"/>
                          </w:rPr>
                        </m:ctrlPr>
                      </m:dPr>
                      <m:e>
                        <m:r>
                          <m:rPr>
                            <m:nor/>
                          </m:rPr>
                          <w:rPr>
                            <w:i/>
                            <w:color w:val="800000"/>
                          </w:rPr>
                          <m:t>i</m:t>
                        </m:r>
                        <m:r>
                          <w:rPr>
                            <w:rFonts w:ascii="Cambria Math" w:hAnsi="Cambria Math"/>
                            <w:color w:val="800000"/>
                          </w:rPr>
                          <m:t>-</m:t>
                        </m:r>
                        <m:r>
                          <m:rPr>
                            <m:nor/>
                          </m:rPr>
                          <w:rPr>
                            <w:i/>
                            <w:color w:val="800000"/>
                          </w:rPr>
                          <m:t>i</m:t>
                        </m:r>
                        <m:r>
                          <m:rPr>
                            <m:nor/>
                          </m:rPr>
                          <w:rPr>
                            <w:iCs/>
                            <w:color w:val="800000"/>
                          </w:rPr>
                          <m:t>*</m:t>
                        </m:r>
                      </m:e>
                    </m:d>
                  </m:e>
                </m:mr>
                <m:mr>
                  <m:e>
                    <m:r>
                      <w:rPr>
                        <w:rFonts w:ascii="Cambria Math" w:hAnsi="Cambria Math"/>
                      </w:rPr>
                      <m:t xml:space="preserve">                                                              </m:t>
                    </m:r>
                    <m:func>
                      <m:funcPr>
                        <m:ctrlPr>
                          <w:rPr>
                            <w:rFonts w:ascii="Cambria Math" w:hAnsi="Cambria Math"/>
                            <w:i/>
                            <w:iCs/>
                            <w:color w:val="800000"/>
                          </w:rPr>
                        </m:ctrlPr>
                      </m:funcPr>
                      <m:fName>
                        <m:r>
                          <m:rPr>
                            <m:nor/>
                          </m:rPr>
                          <w:rPr>
                            <w:i/>
                            <w:iCs/>
                            <w:color w:val="800000"/>
                          </w:rPr>
                          <m:t>ln</m:t>
                        </m:r>
                      </m:fName>
                      <m:e>
                        <m:r>
                          <m:rPr>
                            <m:nor/>
                          </m:rPr>
                          <w:rPr>
                            <w:i/>
                            <w:iCs/>
                            <w:color w:val="800000"/>
                          </w:rPr>
                          <m:t>E</m:t>
                        </m:r>
                      </m:e>
                    </m:func>
                    <m:r>
                      <w:rPr>
                        <w:rFonts w:ascii="Cambria Math" w:hAnsi="Cambria Math"/>
                        <w:color w:val="800000"/>
                      </w:rPr>
                      <m:t>=</m:t>
                    </m:r>
                    <m:r>
                      <m:rPr>
                        <m:nor/>
                      </m:rPr>
                      <w:rPr>
                        <w:i/>
                        <w:iCs/>
                        <w:color w:val="800000"/>
                      </w:rPr>
                      <m:t>p</m:t>
                    </m:r>
                    <m:r>
                      <w:rPr>
                        <w:rFonts w:ascii="Cambria Math" w:hAnsi="Cambria Math"/>
                        <w:color w:val="800000"/>
                      </w:rPr>
                      <m:t>-</m:t>
                    </m:r>
                    <m:r>
                      <m:rPr>
                        <m:nor/>
                      </m:rPr>
                      <w:rPr>
                        <w:i/>
                        <w:iCs/>
                        <w:color w:val="800000"/>
                      </w:rPr>
                      <m:t>p*</m:t>
                    </m:r>
                  </m:e>
                </m:mr>
              </m:m>
            </m:e>
          </m:d>
          <m:r>
            <w:rPr>
              <w:rFonts w:ascii="Cambria Math" w:hAnsi="Cambria Math"/>
            </w:rPr>
            <m:t>⟹</m:t>
          </m:r>
          <m:borderBox>
            <m:borderBoxPr>
              <m:ctrlPr>
                <w:rPr>
                  <w:rFonts w:ascii="Cambria Math" w:hAnsi="Cambria Math"/>
                  <w:i/>
                  <w:iCs/>
                </w:rPr>
              </m:ctrlPr>
            </m:borderBoxPr>
            <m:e>
              <m:func>
                <m:funcPr>
                  <m:ctrlPr>
                    <w:rPr>
                      <w:rFonts w:ascii="Cambria Math" w:hAnsi="Cambria Math"/>
                      <w:i/>
                      <w:iCs/>
                    </w:rPr>
                  </m:ctrlPr>
                </m:funcPr>
                <m:fName>
                  <m:r>
                    <m:rPr>
                      <m:nor/>
                    </m:rPr>
                    <w:rPr>
                      <w:i/>
                      <w:iCs/>
                    </w:rPr>
                    <m:t>ln</m:t>
                  </m:r>
                </m:fName>
                <m:e>
                  <m:r>
                    <m:rPr>
                      <m:nor/>
                    </m:rPr>
                    <w:rPr>
                      <w:i/>
                      <w:iCs/>
                    </w:rPr>
                    <m:t>E</m:t>
                  </m:r>
                </m:e>
              </m:func>
              <m:r>
                <w:rPr>
                  <w:rFonts w:ascii="Cambria Math" w:hAnsi="Cambria Math"/>
                </w:rPr>
                <m:t>=</m:t>
              </m:r>
              <m:d>
                <m:dPr>
                  <m:ctrlPr>
                    <w:rPr>
                      <w:rFonts w:ascii="Cambria Math" w:hAnsi="Cambria Math"/>
                      <w:i/>
                      <w:lang w:val="en-US"/>
                    </w:rPr>
                  </m:ctrlPr>
                </m:dPr>
                <m:e>
                  <m:r>
                    <m:rPr>
                      <m:nor/>
                    </m:rPr>
                    <w:rPr>
                      <w:i/>
                    </w:rPr>
                    <m:t>m</m:t>
                  </m:r>
                  <m:r>
                    <w:rPr>
                      <w:rFonts w:ascii="Cambria Math" w:hAnsi="Cambria Math"/>
                    </w:rPr>
                    <m:t>-</m:t>
                  </m:r>
                  <m:r>
                    <m:rPr>
                      <m:nor/>
                    </m:rPr>
                    <w:rPr>
                      <w:i/>
                    </w:rPr>
                    <m:t>m</m:t>
                  </m:r>
                  <m:r>
                    <m:rPr>
                      <m:nor/>
                    </m:rPr>
                    <w:rPr>
                      <w:iCs/>
                    </w:rPr>
                    <m:t>*</m:t>
                  </m:r>
                </m:e>
              </m:d>
              <m:r>
                <w:rPr>
                  <w:rFonts w:ascii="Cambria Math" w:hAnsi="Cambria Math"/>
                </w:rPr>
                <m:t>-</m:t>
              </m:r>
              <m:r>
                <m:rPr>
                  <m:nor/>
                </m:rPr>
                <w:rPr>
                  <w:i/>
                </w:rPr>
                <m:t>k</m:t>
              </m:r>
              <m:r>
                <w:rPr>
                  <w:rFonts w:ascii="Cambria Math" w:hAnsi="Cambria Math"/>
                </w:rPr>
                <m:t>∙</m:t>
              </m:r>
              <m:d>
                <m:dPr>
                  <m:ctrlPr>
                    <w:rPr>
                      <w:rFonts w:ascii="Cambria Math" w:hAnsi="Cambria Math"/>
                      <w:i/>
                      <w:lang w:val="en-US"/>
                    </w:rPr>
                  </m:ctrlPr>
                </m:dPr>
                <m:e>
                  <m:r>
                    <m:rPr>
                      <m:nor/>
                    </m:rPr>
                    <w:rPr>
                      <w:i/>
                    </w:rPr>
                    <m:t>y</m:t>
                  </m:r>
                  <m:r>
                    <w:rPr>
                      <w:rFonts w:ascii="Cambria Math" w:hAnsi="Cambria Math"/>
                    </w:rPr>
                    <m:t>-</m:t>
                  </m:r>
                  <m:r>
                    <m:rPr>
                      <m:nor/>
                    </m:rPr>
                    <w:rPr>
                      <w:i/>
                    </w:rPr>
                    <m:t>y</m:t>
                  </m:r>
                  <m:r>
                    <m:rPr>
                      <m:nor/>
                    </m:rPr>
                    <w:rPr>
                      <w:iCs/>
                    </w:rPr>
                    <m:t>*</m:t>
                  </m:r>
                </m:e>
              </m:d>
              <m:r>
                <w:rPr>
                  <w:rFonts w:ascii="Cambria Math" w:hAnsi="Cambria Math"/>
                </w:rPr>
                <m:t>+</m:t>
              </m:r>
              <m:r>
                <m:rPr>
                  <m:nor/>
                </m:rPr>
                <w:rPr>
                  <w:i/>
                </w:rPr>
                <m:t>h</m:t>
              </m:r>
              <m:r>
                <w:rPr>
                  <w:rFonts w:ascii="Cambria Math" w:hAnsi="Cambria Math"/>
                </w:rPr>
                <m:t>∙</m:t>
              </m:r>
              <m:d>
                <m:dPr>
                  <m:ctrlPr>
                    <w:rPr>
                      <w:rFonts w:ascii="Cambria Math" w:hAnsi="Cambria Math"/>
                      <w:i/>
                      <w:lang w:val="en-US"/>
                    </w:rPr>
                  </m:ctrlPr>
                </m:dPr>
                <m:e>
                  <m:r>
                    <m:rPr>
                      <m:nor/>
                    </m:rPr>
                    <w:rPr>
                      <w:i/>
                    </w:rPr>
                    <m:t>i</m:t>
                  </m:r>
                  <m:r>
                    <w:rPr>
                      <w:rFonts w:ascii="Cambria Math" w:hAnsi="Cambria Math"/>
                    </w:rPr>
                    <m:t>-</m:t>
                  </m:r>
                  <m:r>
                    <m:rPr>
                      <m:nor/>
                    </m:rPr>
                    <w:rPr>
                      <w:i/>
                    </w:rPr>
                    <m:t>i</m:t>
                  </m:r>
                  <m:r>
                    <m:rPr>
                      <m:nor/>
                    </m:rPr>
                    <w:rPr>
                      <w:iCs/>
                    </w:rPr>
                    <m:t>*</m:t>
                  </m:r>
                </m:e>
              </m:d>
            </m:e>
          </m:borderBox>
        </m:oMath>
      </m:oMathPara>
    </w:p>
    <w:p w14:paraId="54BED9D0" w14:textId="596F68DB" w:rsidR="004552F6" w:rsidRDefault="004552F6" w:rsidP="00170897">
      <w:pPr>
        <w:pStyle w:val="Nivel1SM"/>
        <w:keepNext/>
        <w:spacing w:after="0"/>
      </w:pPr>
      <w:r>
        <w:t>Como también hemos supuesto que se cumple la P</w:t>
      </w:r>
      <w:r w:rsidR="00316A28">
        <w:t>NC</w:t>
      </w:r>
      <w:r>
        <w:t>I (</w:t>
      </w:r>
      <m:oMath>
        <m:sSup>
          <m:sSupPr>
            <m:ctrlPr>
              <w:rPr>
                <w:rFonts w:ascii="Cambria Math" w:hAnsi="Cambria Math"/>
                <w:i/>
              </w:rPr>
            </m:ctrlPr>
          </m:sSupPr>
          <m:e>
            <m:r>
              <m:rPr>
                <m:nor/>
              </m:rPr>
              <w:rPr>
                <w:i/>
              </w:rPr>
              <m:t>γE</m:t>
            </m:r>
          </m:e>
          <m:sup>
            <m:r>
              <m:rPr>
                <m:nor/>
              </m:rPr>
              <w:rPr>
                <w:i/>
              </w:rPr>
              <m:t>e</m:t>
            </m:r>
          </m:sup>
        </m:sSup>
        <m:r>
          <w:rPr>
            <w:rFonts w:ascii="Cambria Math" w:hAnsi="Cambria Math"/>
          </w:rPr>
          <m:t>≅</m:t>
        </m:r>
        <m:r>
          <m:rPr>
            <m:nor/>
          </m:rPr>
          <w:rPr>
            <w:i/>
          </w:rPr>
          <m:t>i</m:t>
        </m:r>
        <m:r>
          <w:rPr>
            <w:rFonts w:ascii="Cambria Math" w:hAnsi="Cambria Math"/>
          </w:rPr>
          <m:t>-</m:t>
        </m:r>
        <m:r>
          <m:rPr>
            <m:nor/>
          </m:rPr>
          <w:rPr>
            <w:i/>
          </w:rPr>
          <m:t>i*</m:t>
        </m:r>
      </m:oMath>
      <w:r>
        <w:t>) y la PPA</w:t>
      </w:r>
      <w:r>
        <w:rPr>
          <w:rStyle w:val="Refdenotaalpie"/>
          <w:rFonts w:eastAsiaTheme="minorEastAsia"/>
          <w:iCs/>
        </w:rPr>
        <w:footnoteReference w:id="25"/>
      </w:r>
      <w:r>
        <w:t xml:space="preserve"> (</w:t>
      </w:r>
      <m:oMath>
        <m:sSup>
          <m:sSupPr>
            <m:ctrlPr>
              <w:rPr>
                <w:rFonts w:ascii="Cambria Math" w:hAnsi="Cambria Math"/>
                <w:i/>
              </w:rPr>
            </m:ctrlPr>
          </m:sSupPr>
          <m:e>
            <m:r>
              <m:rPr>
                <m:nor/>
              </m:rPr>
              <w:rPr>
                <w:i/>
              </w:rPr>
              <m:t>γE</m:t>
            </m:r>
          </m:e>
          <m:sup>
            <m:r>
              <m:rPr>
                <m:nor/>
              </m:rPr>
              <w:rPr>
                <w:i/>
              </w:rPr>
              <m:t>e</m:t>
            </m:r>
          </m:sup>
        </m:sSup>
        <m:r>
          <w:rPr>
            <w:rFonts w:ascii="Cambria Math" w:hAnsi="Cambria Math"/>
          </w:rPr>
          <m:t>=</m:t>
        </m:r>
        <m:r>
          <m:rPr>
            <m:nor/>
          </m:rPr>
          <w:rPr>
            <w:i/>
          </w:rPr>
          <m:t>π</m:t>
        </m:r>
        <m:r>
          <w:rPr>
            <w:rFonts w:ascii="Cambria Math" w:hAnsi="Cambria Math"/>
          </w:rPr>
          <m:t>-</m:t>
        </m:r>
        <m:r>
          <m:rPr>
            <m:nor/>
          </m:rPr>
          <w:rPr>
            <w:i/>
          </w:rPr>
          <m:t>π*</m:t>
        </m:r>
      </m:oMath>
      <w:r>
        <w:t>), podemos combinarlas de forma que podemos reescribir la ecuación básica como</w:t>
      </w:r>
      <w:bookmarkStart w:id="57" w:name="_Ref130812458"/>
      <w:r w:rsidR="000C0800">
        <w:rPr>
          <w:rStyle w:val="Refdenotaalpie"/>
        </w:rPr>
        <w:footnoteReference w:id="26"/>
      </w:r>
      <w:bookmarkEnd w:id="57"/>
      <w:r>
        <w:t>:</w:t>
      </w:r>
    </w:p>
    <w:p w14:paraId="6329C24F" w14:textId="17D5BD0D" w:rsidR="004552F6" w:rsidRPr="00791B2C" w:rsidRDefault="00000000" w:rsidP="00FA2D21">
      <w:pPr>
        <w:spacing w:after="100"/>
        <w:ind w:left="720" w:right="-143"/>
        <w:rPr>
          <w:rFonts w:eastAsiaTheme="minorEastAsia"/>
          <w:iCs/>
        </w:rPr>
      </w:pPr>
      <m:oMathPara>
        <m:oMath>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r>
                      <w:rPr>
                        <w:rFonts w:ascii="Cambria Math" w:hAnsi="Cambria Math"/>
                      </w:rPr>
                      <m:t xml:space="preserve">                 </m:t>
                    </m:r>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r>
                                <m:rPr>
                                  <m:nor/>
                                </m:rPr>
                                <w:rPr>
                                  <w:rFonts w:ascii="Cambria Math"/>
                                  <w:i/>
                                  <w:color w:val="800000"/>
                                </w:rPr>
                                <m:t xml:space="preserve"> </m:t>
                              </m:r>
                              <m:sSup>
                                <m:sSupPr>
                                  <m:ctrlPr>
                                    <w:rPr>
                                      <w:rFonts w:ascii="Cambria Math" w:hAnsi="Cambria Math"/>
                                      <w:i/>
                                    </w:rPr>
                                  </m:ctrlPr>
                                </m:sSupPr>
                                <m:e>
                                  <m:r>
                                    <m:rPr>
                                      <m:nor/>
                                    </m:rPr>
                                    <w:rPr>
                                      <w:i/>
                                    </w:rPr>
                                    <m:t>γE</m:t>
                                  </m:r>
                                </m:e>
                                <m:sup>
                                  <m:r>
                                    <m:rPr>
                                      <m:nor/>
                                    </m:rPr>
                                    <w:rPr>
                                      <w:i/>
                                    </w:rPr>
                                    <m:t>e</m:t>
                                  </m:r>
                                </m:sup>
                              </m:sSup>
                              <m:r>
                                <w:rPr>
                                  <w:rFonts w:ascii="Cambria Math" w:hAnsi="Cambria Math"/>
                                </w:rPr>
                                <m:t>≅</m:t>
                              </m:r>
                              <m:r>
                                <m:rPr>
                                  <m:nor/>
                                </m:rPr>
                                <w:rPr>
                                  <w:i/>
                                </w:rPr>
                                <m:t>i</m:t>
                              </m:r>
                              <m:r>
                                <w:rPr>
                                  <w:rFonts w:ascii="Cambria Math" w:hAnsi="Cambria Math"/>
                                </w:rPr>
                                <m:t>-</m:t>
                              </m:r>
                              <m:r>
                                <m:rPr>
                                  <m:nor/>
                                </m:rPr>
                                <w:rPr>
                                  <w:i/>
                                </w:rPr>
                                <m:t>i*</m:t>
                              </m:r>
                            </m:e>
                          </m:mr>
                          <m:mr>
                            <m:e>
                              <m:sSup>
                                <m:sSupPr>
                                  <m:ctrlPr>
                                    <w:rPr>
                                      <w:rFonts w:ascii="Cambria Math" w:hAnsi="Cambria Math"/>
                                      <w:i/>
                                    </w:rPr>
                                  </m:ctrlPr>
                                </m:sSupPr>
                                <m:e>
                                  <m:r>
                                    <m:rPr>
                                      <m:nor/>
                                    </m:rPr>
                                    <w:rPr>
                                      <w:i/>
                                    </w:rPr>
                                    <m:t>γE</m:t>
                                  </m:r>
                                </m:e>
                                <m:sup>
                                  <m:r>
                                    <m:rPr>
                                      <m:nor/>
                                    </m:rPr>
                                    <w:rPr>
                                      <w:i/>
                                    </w:rPr>
                                    <m:t>e</m:t>
                                  </m:r>
                                </m:sup>
                              </m:sSup>
                              <m:r>
                                <w:rPr>
                                  <w:rFonts w:ascii="Cambria Math" w:hAnsi="Cambria Math"/>
                                </w:rPr>
                                <m:t>=</m:t>
                              </m:r>
                              <m:r>
                                <m:rPr>
                                  <m:nor/>
                                </m:rPr>
                                <w:rPr>
                                  <w:i/>
                                </w:rPr>
                                <m:t>π</m:t>
                              </m:r>
                              <m:r>
                                <w:rPr>
                                  <w:rFonts w:ascii="Cambria Math" w:hAnsi="Cambria Math"/>
                                </w:rPr>
                                <m:t>-</m:t>
                              </m:r>
                              <m:r>
                                <m:rPr>
                                  <m:nor/>
                                </m:rPr>
                                <w:rPr>
                                  <w:i/>
                                </w:rPr>
                                <m:t>π*</m:t>
                              </m:r>
                            </m:e>
                          </m:mr>
                        </m:m>
                      </m:e>
                    </m:d>
                    <m:r>
                      <w:rPr>
                        <w:rFonts w:ascii="Cambria Math" w:hAnsi="Cambria Math"/>
                      </w:rPr>
                      <m:t>⟹</m:t>
                    </m:r>
                    <m:borderBox>
                      <m:borderBoxPr>
                        <m:ctrlPr>
                          <w:rPr>
                            <w:rFonts w:ascii="Cambria Math" w:hAnsi="Cambria Math"/>
                            <w:i/>
                          </w:rPr>
                        </m:ctrlPr>
                      </m:borderBoxPr>
                      <m:e>
                        <m:r>
                          <m:rPr>
                            <m:nor/>
                          </m:rPr>
                          <w:rPr>
                            <w:i/>
                          </w:rPr>
                          <m:t>π</m:t>
                        </m:r>
                        <m:r>
                          <w:rPr>
                            <w:rFonts w:ascii="Cambria Math" w:hAnsi="Cambria Math"/>
                          </w:rPr>
                          <m:t>-</m:t>
                        </m:r>
                        <m:r>
                          <m:rPr>
                            <m:nor/>
                          </m:rPr>
                          <w:rPr>
                            <w:i/>
                          </w:rPr>
                          <m:t>π*</m:t>
                        </m:r>
                        <m:r>
                          <w:rPr>
                            <w:rFonts w:ascii="Cambria Math" w:hAnsi="Cambria Math"/>
                          </w:rPr>
                          <m:t>≅</m:t>
                        </m:r>
                        <m:r>
                          <m:rPr>
                            <m:nor/>
                          </m:rPr>
                          <w:rPr>
                            <w:i/>
                          </w:rPr>
                          <m:t>i</m:t>
                        </m:r>
                        <m:r>
                          <w:rPr>
                            <w:rFonts w:ascii="Cambria Math" w:hAnsi="Cambria Math"/>
                          </w:rPr>
                          <m:t>-</m:t>
                        </m:r>
                        <m:r>
                          <m:rPr>
                            <m:nor/>
                          </m:rPr>
                          <w:rPr>
                            <w:i/>
                          </w:rPr>
                          <m:t>i*</m:t>
                        </m:r>
                      </m:e>
                    </m:borderBox>
                    <m:r>
                      <m:rPr>
                        <m:nor/>
                      </m:rPr>
                      <w:rPr>
                        <w:rStyle w:val="Refdenotaalpie"/>
                      </w:rPr>
                      <w:footnoteReference w:id="27"/>
                    </m:r>
                  </m:e>
                </m:mr>
                <m:mr>
                  <m:e>
                    <m:borderBox>
                      <m:borderBoxPr>
                        <m:ctrlPr>
                          <w:rPr>
                            <w:rFonts w:ascii="Cambria Math" w:hAnsi="Cambria Math"/>
                            <w:i/>
                            <w:iCs/>
                          </w:rPr>
                        </m:ctrlPr>
                      </m:borderBoxPr>
                      <m:e>
                        <m:func>
                          <m:funcPr>
                            <m:ctrlPr>
                              <w:rPr>
                                <w:rFonts w:ascii="Cambria Math" w:hAnsi="Cambria Math"/>
                                <w:i/>
                                <w:iCs/>
                              </w:rPr>
                            </m:ctrlPr>
                          </m:funcPr>
                          <m:fName>
                            <m:r>
                              <m:rPr>
                                <m:nor/>
                              </m:rPr>
                              <w:rPr>
                                <w:i/>
                                <w:iCs/>
                              </w:rPr>
                              <m:t>ln</m:t>
                            </m:r>
                          </m:fName>
                          <m:e>
                            <m:r>
                              <m:rPr>
                                <m:nor/>
                              </m:rPr>
                              <w:rPr>
                                <w:i/>
                                <w:iCs/>
                              </w:rPr>
                              <m:t>E</m:t>
                            </m:r>
                          </m:e>
                        </m:func>
                        <m:r>
                          <w:rPr>
                            <w:rFonts w:ascii="Cambria Math" w:hAnsi="Cambria Math"/>
                          </w:rPr>
                          <m:t>=</m:t>
                        </m:r>
                        <m:d>
                          <m:dPr>
                            <m:ctrlPr>
                              <w:rPr>
                                <w:rFonts w:ascii="Cambria Math" w:hAnsi="Cambria Math"/>
                                <w:i/>
                                <w:lang w:val="en-US"/>
                              </w:rPr>
                            </m:ctrlPr>
                          </m:dPr>
                          <m:e>
                            <m:r>
                              <m:rPr>
                                <m:nor/>
                              </m:rPr>
                              <w:rPr>
                                <w:i/>
                              </w:rPr>
                              <m:t>m</m:t>
                            </m:r>
                            <m:r>
                              <w:rPr>
                                <w:rFonts w:ascii="Cambria Math" w:hAnsi="Cambria Math"/>
                              </w:rPr>
                              <m:t>-</m:t>
                            </m:r>
                            <m:r>
                              <m:rPr>
                                <m:nor/>
                              </m:rPr>
                              <w:rPr>
                                <w:i/>
                              </w:rPr>
                              <m:t>m</m:t>
                            </m:r>
                            <m:r>
                              <m:rPr>
                                <m:nor/>
                              </m:rPr>
                              <w:rPr>
                                <w:iCs/>
                              </w:rPr>
                              <m:t>*</m:t>
                            </m:r>
                          </m:e>
                        </m:d>
                        <m:r>
                          <w:rPr>
                            <w:rFonts w:ascii="Cambria Math" w:hAnsi="Cambria Math"/>
                          </w:rPr>
                          <m:t>-</m:t>
                        </m:r>
                        <m:r>
                          <m:rPr>
                            <m:nor/>
                          </m:rPr>
                          <w:rPr>
                            <w:i/>
                          </w:rPr>
                          <m:t>k</m:t>
                        </m:r>
                        <m:r>
                          <w:rPr>
                            <w:rFonts w:ascii="Cambria Math" w:hAnsi="Cambria Math"/>
                          </w:rPr>
                          <m:t>∙</m:t>
                        </m:r>
                        <m:d>
                          <m:dPr>
                            <m:ctrlPr>
                              <w:rPr>
                                <w:rFonts w:ascii="Cambria Math" w:hAnsi="Cambria Math"/>
                                <w:i/>
                                <w:lang w:val="en-US"/>
                              </w:rPr>
                            </m:ctrlPr>
                          </m:dPr>
                          <m:e>
                            <m:r>
                              <m:rPr>
                                <m:nor/>
                              </m:rPr>
                              <w:rPr>
                                <w:i/>
                              </w:rPr>
                              <m:t>y</m:t>
                            </m:r>
                            <m:r>
                              <w:rPr>
                                <w:rFonts w:ascii="Cambria Math" w:hAnsi="Cambria Math"/>
                              </w:rPr>
                              <m:t>-</m:t>
                            </m:r>
                            <m:r>
                              <m:rPr>
                                <m:nor/>
                              </m:rPr>
                              <w:rPr>
                                <w:i/>
                              </w:rPr>
                              <m:t>y</m:t>
                            </m:r>
                            <m:r>
                              <m:rPr>
                                <m:nor/>
                              </m:rPr>
                              <w:rPr>
                                <w:iCs/>
                              </w:rPr>
                              <m:t>*</m:t>
                            </m:r>
                          </m:e>
                        </m:d>
                        <m:r>
                          <w:rPr>
                            <w:rFonts w:ascii="Cambria Math" w:hAnsi="Cambria Math"/>
                          </w:rPr>
                          <m:t>+</m:t>
                        </m:r>
                        <m:r>
                          <m:rPr>
                            <m:nor/>
                          </m:rPr>
                          <w:rPr>
                            <w:i/>
                          </w:rPr>
                          <m:t>h</m:t>
                        </m:r>
                        <m:r>
                          <w:rPr>
                            <w:rFonts w:ascii="Cambria Math" w:hAnsi="Cambria Math"/>
                          </w:rPr>
                          <m:t>∙</m:t>
                        </m:r>
                        <m:d>
                          <m:dPr>
                            <m:ctrlPr>
                              <w:rPr>
                                <w:rFonts w:ascii="Cambria Math" w:hAnsi="Cambria Math"/>
                                <w:i/>
                                <w:lang w:val="en-US"/>
                              </w:rPr>
                            </m:ctrlPr>
                          </m:dPr>
                          <m:e>
                            <m:r>
                              <m:rPr>
                                <m:nor/>
                              </m:rPr>
                              <w:rPr>
                                <w:i/>
                              </w:rPr>
                              <m:t>i</m:t>
                            </m:r>
                            <m:r>
                              <w:rPr>
                                <w:rFonts w:ascii="Cambria Math" w:hAnsi="Cambria Math"/>
                              </w:rPr>
                              <m:t>-</m:t>
                            </m:r>
                            <m:r>
                              <m:rPr>
                                <m:nor/>
                              </m:rPr>
                              <w:rPr>
                                <w:i/>
                              </w:rPr>
                              <m:t>i</m:t>
                            </m:r>
                            <m:r>
                              <m:rPr>
                                <m:nor/>
                              </m:rPr>
                              <w:rPr>
                                <w:iCs/>
                              </w:rPr>
                              <m:t>*</m:t>
                            </m:r>
                          </m:e>
                        </m:d>
                      </m:e>
                    </m:borderBox>
                  </m:e>
                </m:mr>
              </m:m>
            </m:e>
          </m:d>
          <m:r>
            <w:rPr>
              <w:rFonts w:ascii="Cambria Math" w:hAnsi="Cambria Math"/>
            </w:rPr>
            <m:t>⟹</m:t>
          </m:r>
          <m:borderBox>
            <m:borderBoxPr>
              <m:ctrlPr>
                <w:rPr>
                  <w:rFonts w:ascii="Cambria Math" w:hAnsi="Cambria Math"/>
                  <w:i/>
                  <w:iCs/>
                  <w:color w:val="5F2987"/>
                </w:rPr>
              </m:ctrlPr>
            </m:borderBoxPr>
            <m:e>
              <m:func>
                <m:funcPr>
                  <m:ctrlPr>
                    <w:rPr>
                      <w:rFonts w:ascii="Cambria Math" w:hAnsi="Cambria Math"/>
                      <w:i/>
                      <w:iCs/>
                      <w:color w:val="5F2987"/>
                    </w:rPr>
                  </m:ctrlPr>
                </m:funcPr>
                <m:fName>
                  <m:r>
                    <m:rPr>
                      <m:nor/>
                    </m:rPr>
                    <w:rPr>
                      <w:i/>
                      <w:iCs/>
                      <w:color w:val="5F2987"/>
                    </w:rPr>
                    <m:t>ln</m:t>
                  </m:r>
                </m:fName>
                <m:e>
                  <m:r>
                    <m:rPr>
                      <m:nor/>
                    </m:rPr>
                    <w:rPr>
                      <w:i/>
                      <w:iCs/>
                      <w:color w:val="5F2987"/>
                    </w:rPr>
                    <m:t>E</m:t>
                  </m:r>
                </m:e>
              </m:func>
              <m:r>
                <w:rPr>
                  <w:rFonts w:ascii="Cambria Math" w:hAnsi="Cambria Math"/>
                  <w:color w:val="5F2987"/>
                </w:rPr>
                <m:t>≅</m:t>
              </m:r>
              <m:d>
                <m:dPr>
                  <m:ctrlPr>
                    <w:rPr>
                      <w:rFonts w:ascii="Cambria Math" w:hAnsi="Cambria Math"/>
                      <w:i/>
                      <w:color w:val="5F2987"/>
                      <w:lang w:val="en-US"/>
                    </w:rPr>
                  </m:ctrlPr>
                </m:dPr>
                <m:e>
                  <m:r>
                    <m:rPr>
                      <m:nor/>
                    </m:rPr>
                    <w:rPr>
                      <w:i/>
                      <w:color w:val="5F2987"/>
                    </w:rPr>
                    <m:t>m</m:t>
                  </m:r>
                  <m:r>
                    <w:rPr>
                      <w:rFonts w:ascii="Cambria Math" w:hAnsi="Cambria Math"/>
                      <w:color w:val="5F2987"/>
                    </w:rPr>
                    <m:t>-</m:t>
                  </m:r>
                  <m:r>
                    <m:rPr>
                      <m:nor/>
                    </m:rPr>
                    <w:rPr>
                      <w:i/>
                      <w:color w:val="5F2987"/>
                    </w:rPr>
                    <m:t>m</m:t>
                  </m:r>
                  <m:r>
                    <m:rPr>
                      <m:nor/>
                    </m:rPr>
                    <w:rPr>
                      <w:iCs/>
                      <w:color w:val="5F2987"/>
                    </w:rPr>
                    <m:t>*</m:t>
                  </m:r>
                </m:e>
              </m:d>
              <m:r>
                <w:rPr>
                  <w:rFonts w:ascii="Cambria Math" w:hAnsi="Cambria Math"/>
                  <w:color w:val="5F2987"/>
                </w:rPr>
                <m:t>-</m:t>
              </m:r>
              <m:r>
                <m:rPr>
                  <m:nor/>
                </m:rPr>
                <w:rPr>
                  <w:i/>
                  <w:color w:val="5F2987"/>
                </w:rPr>
                <m:t>k</m:t>
              </m:r>
              <m:r>
                <w:rPr>
                  <w:rFonts w:ascii="Cambria Math" w:hAnsi="Cambria Math"/>
                  <w:color w:val="5F2987"/>
                </w:rPr>
                <m:t>∙</m:t>
              </m:r>
              <m:d>
                <m:dPr>
                  <m:ctrlPr>
                    <w:rPr>
                      <w:rFonts w:ascii="Cambria Math" w:hAnsi="Cambria Math"/>
                      <w:i/>
                      <w:color w:val="5F2987"/>
                      <w:lang w:val="en-US"/>
                    </w:rPr>
                  </m:ctrlPr>
                </m:dPr>
                <m:e>
                  <m:r>
                    <m:rPr>
                      <m:nor/>
                    </m:rPr>
                    <w:rPr>
                      <w:i/>
                      <w:color w:val="5F2987"/>
                    </w:rPr>
                    <m:t>y</m:t>
                  </m:r>
                  <m:r>
                    <w:rPr>
                      <w:rFonts w:ascii="Cambria Math" w:hAnsi="Cambria Math"/>
                      <w:color w:val="5F2987"/>
                    </w:rPr>
                    <m:t>-</m:t>
                  </m:r>
                  <m:r>
                    <m:rPr>
                      <m:nor/>
                    </m:rPr>
                    <w:rPr>
                      <w:i/>
                      <w:color w:val="5F2987"/>
                    </w:rPr>
                    <m:t>y</m:t>
                  </m:r>
                  <m:r>
                    <m:rPr>
                      <m:nor/>
                    </m:rPr>
                    <w:rPr>
                      <w:iCs/>
                      <w:color w:val="5F2987"/>
                    </w:rPr>
                    <m:t>*</m:t>
                  </m:r>
                </m:e>
              </m:d>
              <m:r>
                <w:rPr>
                  <w:rFonts w:ascii="Cambria Math" w:hAnsi="Cambria Math"/>
                  <w:color w:val="5F2987"/>
                </w:rPr>
                <m:t>+</m:t>
              </m:r>
              <m:r>
                <m:rPr>
                  <m:nor/>
                </m:rPr>
                <w:rPr>
                  <w:i/>
                  <w:color w:val="5F2987"/>
                </w:rPr>
                <m:t>h</m:t>
              </m:r>
              <m:r>
                <w:rPr>
                  <w:rFonts w:ascii="Cambria Math" w:hAnsi="Cambria Math"/>
                  <w:color w:val="5F2987"/>
                </w:rPr>
                <m:t>∙</m:t>
              </m:r>
              <m:limUpp>
                <m:limUppPr>
                  <m:ctrlPr>
                    <w:rPr>
                      <w:rFonts w:ascii="Cambria Math" w:hAnsi="Cambria Math"/>
                      <w:i/>
                      <w:color w:val="5F2987"/>
                      <w:lang w:val="en-US"/>
                    </w:rPr>
                  </m:ctrlPr>
                </m:limUppPr>
                <m:e>
                  <m:groupChr>
                    <m:groupChrPr>
                      <m:chr m:val="⏞"/>
                      <m:pos m:val="top"/>
                      <m:vertJc m:val="bot"/>
                      <m:ctrlPr>
                        <w:rPr>
                          <w:rFonts w:ascii="Cambria Math" w:hAnsi="Cambria Math"/>
                          <w:i/>
                          <w:color w:val="5F2987"/>
                          <w:lang w:val="en-US"/>
                        </w:rPr>
                      </m:ctrlPr>
                    </m:groupChrPr>
                    <m:e>
                      <m:d>
                        <m:dPr>
                          <m:ctrlPr>
                            <w:rPr>
                              <w:rFonts w:ascii="Cambria Math" w:hAnsi="Cambria Math"/>
                              <w:i/>
                              <w:color w:val="5F2987"/>
                              <w:lang w:val="en-US"/>
                            </w:rPr>
                          </m:ctrlPr>
                        </m:dPr>
                        <m:e>
                          <m:r>
                            <m:rPr>
                              <m:nor/>
                            </m:rPr>
                            <w:rPr>
                              <w:i/>
                              <w:iCs/>
                              <w:color w:val="5F2987"/>
                            </w:rPr>
                            <m:t>π</m:t>
                          </m:r>
                          <m:r>
                            <w:rPr>
                              <w:rFonts w:ascii="Cambria Math" w:hAnsi="Cambria Math"/>
                              <w:color w:val="5F2987"/>
                            </w:rPr>
                            <m:t>-</m:t>
                          </m:r>
                          <m:r>
                            <m:rPr>
                              <m:nor/>
                            </m:rPr>
                            <w:rPr>
                              <w:i/>
                              <w:iCs/>
                              <w:color w:val="5F2987"/>
                            </w:rPr>
                            <m:t>π</m:t>
                          </m:r>
                          <m:r>
                            <m:rPr>
                              <m:nor/>
                            </m:rPr>
                            <w:rPr>
                              <w:i/>
                              <w:color w:val="5F2987"/>
                            </w:rPr>
                            <m:t>*</m:t>
                          </m:r>
                        </m:e>
                      </m:d>
                    </m:e>
                  </m:groupChr>
                </m:e>
                <m:lim>
                  <m:r>
                    <w:rPr>
                      <w:rFonts w:ascii="Cambria Math" w:hAnsi="Cambria Math"/>
                      <w:color w:val="5F2987"/>
                    </w:rPr>
                    <m:t>≅</m:t>
                  </m:r>
                  <m:d>
                    <m:dPr>
                      <m:ctrlPr>
                        <w:rPr>
                          <w:rFonts w:ascii="Cambria Math" w:hAnsi="Cambria Math"/>
                          <w:i/>
                          <w:color w:val="5F2987"/>
                          <w:lang w:val="en-US"/>
                        </w:rPr>
                      </m:ctrlPr>
                    </m:dPr>
                    <m:e>
                      <m:r>
                        <m:rPr>
                          <m:nor/>
                        </m:rPr>
                        <w:rPr>
                          <w:i/>
                          <w:color w:val="5F2987"/>
                        </w:rPr>
                        <m:t>i</m:t>
                      </m:r>
                      <m:r>
                        <w:rPr>
                          <w:rFonts w:ascii="Cambria Math" w:hAnsi="Cambria Math"/>
                          <w:color w:val="5F2987"/>
                        </w:rPr>
                        <m:t>-</m:t>
                      </m:r>
                      <m:r>
                        <m:rPr>
                          <m:nor/>
                        </m:rPr>
                        <w:rPr>
                          <w:i/>
                          <w:color w:val="5F2987"/>
                        </w:rPr>
                        <m:t>i</m:t>
                      </m:r>
                      <m:r>
                        <m:rPr>
                          <m:nor/>
                        </m:rPr>
                        <w:rPr>
                          <w:iCs/>
                          <w:color w:val="5F2987"/>
                        </w:rPr>
                        <m:t>*</m:t>
                      </m:r>
                    </m:e>
                  </m:d>
                </m:lim>
              </m:limUpp>
            </m:e>
          </m:borderBox>
        </m:oMath>
      </m:oMathPara>
    </w:p>
    <w:p w14:paraId="3FF0D0CE" w14:textId="00E04517" w:rsidR="00F33A23" w:rsidRDefault="00F33A23" w:rsidP="00F33A23">
      <w:pPr>
        <w:pStyle w:val="Ttulo7"/>
      </w:pPr>
      <w:r>
        <w:lastRenderedPageBreak/>
        <w:t>Implicaciones</w:t>
      </w:r>
    </w:p>
    <w:p w14:paraId="36C74538" w14:textId="4B8A5C5A" w:rsidR="004552F6" w:rsidRDefault="004552F6" w:rsidP="00C26C58">
      <w:pPr>
        <w:pStyle w:val="Nivel1SM"/>
        <w:keepNext/>
        <w:spacing w:before="0" w:after="0"/>
      </w:pPr>
      <w:r>
        <w:t xml:space="preserve">Según el enfoque de </w:t>
      </w:r>
      <w:r>
        <w:rPr>
          <w:smallCaps/>
        </w:rPr>
        <w:t>Frenkel</w:t>
      </w:r>
      <w:r>
        <w:t xml:space="preserve"> y </w:t>
      </w:r>
      <w:proofErr w:type="spellStart"/>
      <w:r>
        <w:rPr>
          <w:smallCaps/>
        </w:rPr>
        <w:t>Mussa</w:t>
      </w:r>
      <w:proofErr w:type="spellEnd"/>
      <w:r>
        <w:t xml:space="preserve"> (1976), los determinantes del </w:t>
      </w:r>
      <w:r>
        <w:rPr>
          <w:i/>
          <w:iCs/>
        </w:rPr>
        <w:t>tipo de cambio nominal</w:t>
      </w:r>
      <w:r>
        <w:t xml:space="preserve"> son</w:t>
      </w:r>
      <w:r w:rsidR="00B56F2D">
        <w:t xml:space="preserve"> la oferta y la demanda monetaria</w:t>
      </w:r>
      <w:r w:rsidR="00B56F2D">
        <w:rPr>
          <w:rStyle w:val="Refdenotaalpie"/>
        </w:rPr>
        <w:footnoteReference w:id="28"/>
      </w:r>
      <w:r>
        <w:t>:</w:t>
      </w:r>
    </w:p>
    <w:p w14:paraId="637AF637" w14:textId="5D0F8832" w:rsidR="004552F6" w:rsidRPr="004552F6" w:rsidRDefault="004552F6" w:rsidP="0098492F">
      <w:pPr>
        <w:pStyle w:val="Nivel2SM"/>
        <w:spacing w:after="0"/>
      </w:pPr>
      <w:r w:rsidRPr="004552F6">
        <w:rPr>
          <w:i/>
          <w:iCs/>
          <w:u w:val="single"/>
        </w:rPr>
        <w:t xml:space="preserve">Oferta </w:t>
      </w:r>
      <w:r w:rsidR="00B56F2D">
        <w:rPr>
          <w:i/>
          <w:iCs/>
          <w:u w:val="single"/>
        </w:rPr>
        <w:t xml:space="preserve">monetaria </w:t>
      </w:r>
      <w:r w:rsidRPr="004552F6">
        <w:rPr>
          <w:i/>
          <w:iCs/>
          <w:u w:val="single"/>
        </w:rPr>
        <w:t>nacional en relación a la extranjera</w:t>
      </w:r>
      <w:r>
        <w:t xml:space="preserve"> </w:t>
      </w:r>
      <m:oMath>
        <m:d>
          <m:dPr>
            <m:ctrlPr>
              <w:rPr>
                <w:rFonts w:ascii="Cambria Math" w:hAnsi="Cambria Math"/>
                <w:i/>
                <w:lang w:val="en-US"/>
              </w:rPr>
            </m:ctrlPr>
          </m:dPr>
          <m:e>
            <m:r>
              <m:rPr>
                <m:nor/>
              </m:rPr>
              <w:rPr>
                <w:i/>
              </w:rPr>
              <m:t>m</m:t>
            </m:r>
            <m:r>
              <w:rPr>
                <w:rFonts w:ascii="Cambria Math" w:hAnsi="Cambria Math"/>
              </w:rPr>
              <m:t>-</m:t>
            </m:r>
            <m:r>
              <m:rPr>
                <m:nor/>
              </m:rPr>
              <w:rPr>
                <w:i/>
              </w:rPr>
              <m:t>m</m:t>
            </m:r>
            <m:r>
              <m:rPr>
                <m:nor/>
              </m:rPr>
              <w:rPr>
                <w:iCs/>
              </w:rPr>
              <m:t>*</m:t>
            </m:r>
          </m:e>
        </m:d>
      </m:oMath>
      <w:r w:rsidRPr="004552F6">
        <w:t>,</w:t>
      </w:r>
      <w:r>
        <w:t xml:space="preserve"> ya que una mayor oferta monetaria relativa aumenta el diferencial de inflación</w:t>
      </w:r>
      <w:r w:rsidR="0098492F">
        <w:t xml:space="preserve"> (por la TCD)</w:t>
      </w:r>
      <w:r>
        <w:t xml:space="preserve"> y esto provocará una </w:t>
      </w:r>
      <w:r w:rsidRPr="004552F6">
        <w:rPr>
          <w:i/>
          <w:iCs/>
        </w:rPr>
        <w:t>depreciación</w:t>
      </w:r>
      <w:r>
        <w:t xml:space="preserve"> del tipo de cambio</w:t>
      </w:r>
      <w:r w:rsidR="0098492F">
        <w:t xml:space="preserve"> (por la PPA)</w:t>
      </w:r>
      <w:r>
        <w:t>.</w:t>
      </w:r>
    </w:p>
    <w:p w14:paraId="1F4640F2" w14:textId="5E49B24F" w:rsidR="004552F6" w:rsidRPr="004552F6" w:rsidRDefault="004552F6" w:rsidP="0098492F">
      <w:pPr>
        <w:pStyle w:val="Nivel2SM"/>
        <w:keepNext/>
        <w:spacing w:after="0"/>
      </w:pPr>
      <w:r w:rsidRPr="004552F6">
        <w:rPr>
          <w:i/>
          <w:iCs/>
          <w:u w:val="single"/>
        </w:rPr>
        <w:t>Renta nacional en relación a la extranjera</w:t>
      </w:r>
      <w:r w:rsidRPr="004552F6">
        <w:rPr>
          <w:iCs/>
        </w:rPr>
        <w:t xml:space="preserve"> </w:t>
      </w:r>
      <m:oMath>
        <m:d>
          <m:dPr>
            <m:ctrlPr>
              <w:rPr>
                <w:rFonts w:ascii="Cambria Math" w:hAnsi="Cambria Math"/>
                <w:i/>
                <w:lang w:val="en-US"/>
              </w:rPr>
            </m:ctrlPr>
          </m:dPr>
          <m:e>
            <m:r>
              <m:rPr>
                <m:nor/>
              </m:rPr>
              <w:rPr>
                <w:i/>
              </w:rPr>
              <m:t>y</m:t>
            </m:r>
            <m:r>
              <w:rPr>
                <w:rFonts w:ascii="Cambria Math" w:hAnsi="Cambria Math"/>
              </w:rPr>
              <m:t>-</m:t>
            </m:r>
            <m:r>
              <m:rPr>
                <m:nor/>
              </m:rPr>
              <w:rPr>
                <w:i/>
              </w:rPr>
              <m:t>y</m:t>
            </m:r>
            <m:r>
              <m:rPr>
                <m:nor/>
              </m:rPr>
              <w:rPr>
                <w:iCs/>
              </w:rPr>
              <m:t>*</m:t>
            </m:r>
          </m:e>
        </m:d>
      </m:oMath>
      <w:r w:rsidRPr="004552F6">
        <w:rPr>
          <w:i/>
        </w:rPr>
        <w:t>,</w:t>
      </w:r>
      <w:r>
        <w:rPr>
          <w:iCs/>
        </w:rPr>
        <w:t xml:space="preserve"> ya que una mayor renta relativa provoca una mayor demanda de dinero, lo que requiere una disminución del nivel de precios para que se siga cumpliendo el equilibrio en el mercado de dinero (pues la oferta monetaria nominal se mantiene constante). Y, según la PPA, esto provocará una </w:t>
      </w:r>
      <w:r w:rsidRPr="004552F6">
        <w:rPr>
          <w:i/>
        </w:rPr>
        <w:t>apreciación</w:t>
      </w:r>
      <w:r>
        <w:rPr>
          <w:iCs/>
        </w:rPr>
        <w:t>.</w:t>
      </w:r>
    </w:p>
    <w:p w14:paraId="6012AEF1" w14:textId="2E14B2CE" w:rsidR="004552F6" w:rsidRPr="004552F6" w:rsidRDefault="00000000" w:rsidP="001B2163">
      <w:pPr>
        <w:pStyle w:val="Nivel1"/>
        <w:numPr>
          <w:ilvl w:val="0"/>
          <w:numId w:val="0"/>
        </w:numPr>
        <w:spacing w:before="0" w:after="0"/>
        <w:ind w:left="567" w:hanging="198"/>
        <w:rPr>
          <w:lang w:val="en-US"/>
        </w:rPr>
      </w:pPr>
      <m:oMathPara>
        <m:oMath>
          <m:f>
            <m:fPr>
              <m:ctrlPr>
                <w:rPr>
                  <w:rFonts w:ascii="Cambria Math" w:hAnsi="Cambria Math"/>
                  <w:i/>
                </w:rPr>
              </m:ctrlPr>
            </m:fPr>
            <m:num>
              <m:acc>
                <m:accPr>
                  <m:chr m:val="̅"/>
                  <m:ctrlPr>
                    <w:rPr>
                      <w:rFonts w:ascii="Cambria Math" w:hAnsi="Cambria Math"/>
                      <w:i/>
                    </w:rPr>
                  </m:ctrlPr>
                </m:accPr>
                <m:e>
                  <m:sSup>
                    <m:sSupPr>
                      <m:ctrlPr>
                        <w:rPr>
                          <w:rFonts w:ascii="Cambria Math" w:hAnsi="Cambria Math"/>
                          <w:i/>
                        </w:rPr>
                      </m:ctrlPr>
                    </m:sSupPr>
                    <m:e>
                      <m:r>
                        <m:rPr>
                          <m:nor/>
                        </m:rPr>
                        <w:rPr>
                          <w:i/>
                          <w:lang w:val="en-US"/>
                        </w:rPr>
                        <m:t>M</m:t>
                      </m:r>
                    </m:e>
                    <m:sup>
                      <m:r>
                        <m:rPr>
                          <m:nor/>
                        </m:rPr>
                        <w:rPr>
                          <w:i/>
                          <w:lang w:val="en-US"/>
                        </w:rPr>
                        <m:t>S</m:t>
                      </m:r>
                    </m:sup>
                  </m:sSup>
                </m:e>
              </m:acc>
            </m:num>
            <m:den>
              <m:r>
                <m:rPr>
                  <m:nor/>
                </m:rPr>
                <w:rPr>
                  <w:rFonts w:ascii="Times New Roman" w:hAnsi="Times New Roman" w:cs="Times New Roman"/>
                  <w:i/>
                  <w:lang w:val="en-US"/>
                </w:rPr>
                <m:t>↓</m:t>
              </m:r>
              <m:r>
                <m:rPr>
                  <m:nor/>
                </m:rPr>
                <w:rPr>
                  <w:i/>
                  <w:lang w:val="en-US"/>
                </w:rPr>
                <m:t>P</m:t>
              </m:r>
            </m:den>
          </m:f>
          <m:r>
            <w:rPr>
              <w:rFonts w:ascii="Cambria Math"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rFonts w:ascii="Times New Roman" w:hAnsi="Times New Roman" w:cs="Times New Roman"/>
                      <w:i/>
                      <w:lang w:val="en-US"/>
                    </w:rPr>
                    <m:t>↑</m:t>
                  </m:r>
                  <m:sSup>
                    <m:sSupPr>
                      <m:ctrlPr>
                        <w:rPr>
                          <w:rFonts w:ascii="Cambria Math" w:hAnsi="Cambria Math"/>
                          <w:i/>
                        </w:rPr>
                      </m:ctrlPr>
                    </m:sSupPr>
                    <m:e>
                      <m:r>
                        <m:rPr>
                          <m:nor/>
                        </m:rPr>
                        <w:rPr>
                          <w:i/>
                          <w:lang w:val="en-US"/>
                        </w:rPr>
                        <m:t>Y</m:t>
                      </m:r>
                    </m:e>
                    <m:sup>
                      <m:r>
                        <m:rPr>
                          <m:nor/>
                        </m:rPr>
                        <w:rPr>
                          <w:i/>
                          <w:lang w:val="en-US"/>
                        </w:rPr>
                        <m:t>k</m:t>
                      </m:r>
                    </m:sup>
                  </m:sSup>
                  <m:r>
                    <w:rPr>
                      <w:rFonts w:ascii="Cambria Math" w:hAnsi="Cambria Math"/>
                      <w:lang w:val="en-US"/>
                    </w:rPr>
                    <m:t>∙</m:t>
                  </m:r>
                  <m:sSup>
                    <m:sSupPr>
                      <m:ctrlPr>
                        <w:rPr>
                          <w:rFonts w:ascii="Cambria Math" w:hAnsi="Cambria Math"/>
                          <w:i/>
                        </w:rPr>
                      </m:ctrlPr>
                    </m:sSupPr>
                    <m:e>
                      <m:r>
                        <m:rPr>
                          <m:nor/>
                        </m:rPr>
                        <w:rPr>
                          <w:i/>
                          <w:lang w:val="en-US"/>
                        </w:rPr>
                        <m:t>e</m:t>
                      </m:r>
                    </m:e>
                    <m:sup>
                      <m:r>
                        <w:rPr>
                          <w:rFonts w:ascii="Cambria Math" w:hAnsi="Cambria Math"/>
                          <w:lang w:val="en-US"/>
                        </w:rPr>
                        <m:t>-</m:t>
                      </m:r>
                      <m:r>
                        <m:rPr>
                          <m:nor/>
                        </m:rPr>
                        <w:rPr>
                          <w:i/>
                          <w:lang w:val="en-US"/>
                        </w:rPr>
                        <m:t>h</m:t>
                      </m:r>
                      <m:r>
                        <w:rPr>
                          <w:rFonts w:ascii="Cambria Math" w:hAnsi="Cambria Math"/>
                          <w:lang w:val="en-US"/>
                        </w:rPr>
                        <m:t>∙</m:t>
                      </m:r>
                      <m:r>
                        <m:rPr>
                          <m:nor/>
                        </m:rPr>
                        <w:rPr>
                          <w:i/>
                          <w:lang w:val="en-US"/>
                        </w:rPr>
                        <m:t>i</m:t>
                      </m:r>
                    </m:sup>
                  </m:sSup>
                </m:e>
              </m:groupChr>
            </m:e>
            <m:lim>
              <m:r>
                <m:rPr>
                  <m:nor/>
                </m:rPr>
                <w:rPr>
                  <w:rFonts w:ascii="Times New Roman" w:hAnsi="Times New Roman" w:cs="Times New Roman"/>
                  <w:i/>
                  <w:lang w:val="en-US"/>
                </w:rPr>
                <m:t>↑</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nor/>
                            </m:rPr>
                            <w:rPr>
                              <w:i/>
                              <w:lang w:val="en-US"/>
                            </w:rPr>
                            <m:t>M</m:t>
                          </m:r>
                        </m:num>
                        <m:den>
                          <m:r>
                            <m:rPr>
                              <m:nor/>
                            </m:rPr>
                            <w:rPr>
                              <w:i/>
                              <w:lang w:val="en-US"/>
                            </w:rPr>
                            <m:t>P</m:t>
                          </m:r>
                        </m:den>
                      </m:f>
                    </m:e>
                  </m:d>
                </m:e>
                <m:sup>
                  <m:r>
                    <m:rPr>
                      <m:nor/>
                    </m:rPr>
                    <w:rPr>
                      <w:i/>
                      <w:lang w:val="en-US"/>
                    </w:rPr>
                    <m:t>D</m:t>
                  </m:r>
                </m:sup>
              </m:sSup>
            </m:lim>
          </m:limUpp>
        </m:oMath>
      </m:oMathPara>
    </w:p>
    <w:p w14:paraId="1C72E874" w14:textId="211DE6C0" w:rsidR="00F94ECA" w:rsidRDefault="004552F6" w:rsidP="0098492F">
      <w:pPr>
        <w:pStyle w:val="Nivel2SM"/>
        <w:keepNext/>
        <w:spacing w:after="0"/>
      </w:pPr>
      <w:r w:rsidRPr="00F9798D">
        <w:rPr>
          <w:i/>
          <w:iCs/>
          <w:u w:val="single"/>
        </w:rPr>
        <w:t>Tipo</w:t>
      </w:r>
      <w:r w:rsidRPr="00281D7C">
        <w:rPr>
          <w:i/>
          <w:iCs/>
          <w:u w:val="single"/>
        </w:rPr>
        <w:t xml:space="preserve"> de interés nacional en relación al extranjero</w:t>
      </w:r>
      <w:r>
        <w:t xml:space="preserve"> </w:t>
      </w:r>
      <m:oMath>
        <m:d>
          <m:dPr>
            <m:ctrlPr>
              <w:rPr>
                <w:rFonts w:ascii="Cambria Math" w:hAnsi="Cambria Math"/>
                <w:i/>
                <w:lang w:val="en-US"/>
              </w:rPr>
            </m:ctrlPr>
          </m:dPr>
          <m:e>
            <m:r>
              <m:rPr>
                <m:nor/>
              </m:rPr>
              <w:rPr>
                <w:i/>
              </w:rPr>
              <m:t>i</m:t>
            </m:r>
            <m:r>
              <w:rPr>
                <w:rFonts w:ascii="Cambria Math" w:hAnsi="Cambria Math"/>
              </w:rPr>
              <m:t>-</m:t>
            </m:r>
            <m:r>
              <m:rPr>
                <m:nor/>
              </m:rPr>
              <w:rPr>
                <w:i/>
              </w:rPr>
              <m:t>i</m:t>
            </m:r>
            <m:r>
              <m:rPr>
                <m:nor/>
              </m:rPr>
              <w:rPr>
                <w:iCs/>
              </w:rPr>
              <m:t>*</m:t>
            </m:r>
          </m:e>
        </m:d>
      </m:oMath>
      <w:r w:rsidRPr="00281D7C">
        <w:rPr>
          <w:rFonts w:eastAsiaTheme="minorEastAsia"/>
        </w:rPr>
        <w:t xml:space="preserve">, ya que un mayor tipo de interés relativo </w:t>
      </w:r>
      <w:r w:rsidR="004D63C4">
        <w:t xml:space="preserve">reduce la demanda de dinero y para reequilibrar el mercado de dinero se requiere un incremento de precios que, a su vez, según la PPA dará lugar a una </w:t>
      </w:r>
      <w:r w:rsidR="004D63C4" w:rsidRPr="00281D7C">
        <w:rPr>
          <w:i/>
          <w:iCs/>
        </w:rPr>
        <w:t>depreciación</w:t>
      </w:r>
      <w:r w:rsidR="004D63C4">
        <w:t>.</w:t>
      </w:r>
    </w:p>
    <w:p w14:paraId="2F4BAC99" w14:textId="130C85E2" w:rsidR="00F94ECA" w:rsidRPr="00F94ECA" w:rsidRDefault="00000000" w:rsidP="001B2163">
      <w:pPr>
        <w:pStyle w:val="Nivel1"/>
        <w:numPr>
          <w:ilvl w:val="0"/>
          <w:numId w:val="0"/>
        </w:numPr>
        <w:spacing w:before="0" w:after="0"/>
        <w:ind w:left="567" w:hanging="198"/>
      </w:pPr>
      <m:oMathPara>
        <m:oMath>
          <m:f>
            <m:fPr>
              <m:ctrlPr>
                <w:rPr>
                  <w:rFonts w:ascii="Cambria Math" w:hAnsi="Cambria Math"/>
                  <w:i/>
                </w:rPr>
              </m:ctrlPr>
            </m:fPr>
            <m:num>
              <m:acc>
                <m:accPr>
                  <m:chr m:val="̅"/>
                  <m:ctrlPr>
                    <w:rPr>
                      <w:rFonts w:ascii="Cambria Math" w:hAnsi="Cambria Math"/>
                      <w:i/>
                    </w:rPr>
                  </m:ctrlPr>
                </m:accPr>
                <m:e>
                  <m:sSup>
                    <m:sSupPr>
                      <m:ctrlPr>
                        <w:rPr>
                          <w:rFonts w:ascii="Cambria Math" w:hAnsi="Cambria Math"/>
                          <w:i/>
                        </w:rPr>
                      </m:ctrlPr>
                    </m:sSupPr>
                    <m:e>
                      <m:r>
                        <m:rPr>
                          <m:nor/>
                        </m:rPr>
                        <w:rPr>
                          <w:i/>
                        </w:rPr>
                        <m:t>M</m:t>
                      </m:r>
                    </m:e>
                    <m:sup>
                      <m:r>
                        <m:rPr>
                          <m:nor/>
                        </m:rPr>
                        <w:rPr>
                          <w:i/>
                        </w:rPr>
                        <m:t>S</m:t>
                      </m:r>
                    </m:sup>
                  </m:sSup>
                </m:e>
              </m:acc>
            </m:num>
            <m:den>
              <m:r>
                <m:rPr>
                  <m:nor/>
                </m:rPr>
                <w:rPr>
                  <w:rFonts w:ascii="Times New Roman" w:hAnsi="Times New Roman" w:cs="Times New Roman"/>
                  <w:i/>
                </w:rPr>
                <m:t>↑</m:t>
              </m:r>
              <m:r>
                <m:rPr>
                  <m:nor/>
                </m:rPr>
                <w:rPr>
                  <w:i/>
                </w:rPr>
                <m:t>P</m:t>
              </m:r>
            </m:den>
          </m:f>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r>
                        <m:rPr>
                          <m:nor/>
                        </m:rPr>
                        <w:rPr>
                          <w:i/>
                        </w:rPr>
                        <m:t>Y</m:t>
                      </m:r>
                    </m:e>
                    <m:sup>
                      <m:r>
                        <m:rPr>
                          <m:nor/>
                        </m:rPr>
                        <w:rPr>
                          <w:i/>
                        </w:rPr>
                        <m:t>k</m:t>
                      </m:r>
                    </m:sup>
                  </m:sSup>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r>
                        <m:rPr>
                          <m:nor/>
                        </m:rPr>
                        <w:rPr>
                          <w:i/>
                        </w:rPr>
                        <m:t>h</m:t>
                      </m:r>
                      <m:r>
                        <w:rPr>
                          <w:rFonts w:ascii="Cambria Math" w:hAnsi="Cambria Math"/>
                        </w:rPr>
                        <m:t>∙</m:t>
                      </m:r>
                      <m:r>
                        <m:rPr>
                          <m:nor/>
                        </m:rPr>
                        <w:rPr>
                          <w:rFonts w:ascii="Times New Roman" w:hAnsi="Times New Roman" w:cs="Times New Roman"/>
                          <w:i/>
                        </w:rPr>
                        <m:t>↑</m:t>
                      </m:r>
                      <m:r>
                        <m:rPr>
                          <m:nor/>
                        </m:rPr>
                        <w:rPr>
                          <w:i/>
                        </w:rPr>
                        <m:t>i</m:t>
                      </m:r>
                    </m:sup>
                  </m:sSup>
                </m:e>
              </m:groupChr>
            </m:e>
            <m:lim>
              <m:sSup>
                <m:sSupPr>
                  <m:ctrlPr>
                    <w:rPr>
                      <w:rFonts w:ascii="Cambria Math" w:hAnsi="Cambria Math"/>
                      <w:i/>
                    </w:rPr>
                  </m:ctrlPr>
                </m:sSupPr>
                <m:e>
                  <m:r>
                    <m:rPr>
                      <m:nor/>
                    </m:rPr>
                    <w:rPr>
                      <w:rFonts w:ascii="Times New Roman" w:hAnsi="Times New Roman" w:cs="Times New Roman"/>
                      <w:i/>
                    </w:rPr>
                    <m:t>↓</m:t>
                  </m:r>
                  <m:d>
                    <m:dPr>
                      <m:ctrlPr>
                        <w:rPr>
                          <w:rFonts w:ascii="Cambria Math" w:hAnsi="Cambria Math"/>
                          <w:i/>
                        </w:rPr>
                      </m:ctrlPr>
                    </m:dPr>
                    <m:e>
                      <m:f>
                        <m:fPr>
                          <m:type m:val="lin"/>
                          <m:ctrlPr>
                            <w:rPr>
                              <w:rFonts w:ascii="Cambria Math" w:hAnsi="Cambria Math"/>
                              <w:i/>
                            </w:rPr>
                          </m:ctrlPr>
                        </m:fPr>
                        <m:num>
                          <m:r>
                            <m:rPr>
                              <m:nor/>
                            </m:rPr>
                            <w:rPr>
                              <w:i/>
                            </w:rPr>
                            <m:t>M</m:t>
                          </m:r>
                        </m:num>
                        <m:den>
                          <m:r>
                            <m:rPr>
                              <m:nor/>
                            </m:rPr>
                            <w:rPr>
                              <w:i/>
                            </w:rPr>
                            <m:t>P</m:t>
                          </m:r>
                        </m:den>
                      </m:f>
                    </m:e>
                  </m:d>
                </m:e>
                <m:sup>
                  <m:r>
                    <m:rPr>
                      <m:nor/>
                    </m:rPr>
                    <w:rPr>
                      <w:i/>
                    </w:rPr>
                    <m:t>D</m:t>
                  </m:r>
                </m:sup>
              </m:sSup>
            </m:lim>
          </m:limUpp>
        </m:oMath>
      </m:oMathPara>
    </w:p>
    <w:p w14:paraId="1E255F62" w14:textId="4F35BAE7" w:rsidR="004D63C4" w:rsidRPr="004D63C4" w:rsidRDefault="004D63C4" w:rsidP="001B2163">
      <w:pPr>
        <w:pStyle w:val="Nivel1"/>
        <w:numPr>
          <w:ilvl w:val="0"/>
          <w:numId w:val="0"/>
        </w:numPr>
        <w:spacing w:before="0" w:after="0"/>
        <w:ind w:left="567"/>
      </w:pPr>
      <w:r>
        <w:t>Bajo este enfoque, un diferencial creciente de intereses irá asociado a una moneda cada vez más débil</w:t>
      </w:r>
      <w:r w:rsidR="00BC590F">
        <w:rPr>
          <w:rStyle w:val="Refdenotaalpie"/>
        </w:rPr>
        <w:footnoteReference w:id="29"/>
      </w:r>
      <w:r>
        <w:t>. El motivo último es que el diferencial de interés surge de un diferencial en la inflación (vía relación de Fisher). De modo que</w:t>
      </w:r>
      <w:r w:rsidR="00F94ECA">
        <w:t>, por la PPA,</w:t>
      </w:r>
      <w:r>
        <w:t xml:space="preserve"> cuanto más rápido pierde valor una moneda en relación a una cesta real de bienes</w:t>
      </w:r>
      <w:r w:rsidR="00F94ECA">
        <w:t xml:space="preserve"> (</w:t>
      </w:r>
      <m:oMath>
        <m:r>
          <m:rPr>
            <m:nor/>
          </m:rPr>
          <w:rPr>
            <w:rFonts w:ascii="Times New Roman" w:hAnsi="Times New Roman" w:cs="Times New Roman"/>
            <w:iCs/>
          </w:rPr>
          <m:t>↑</m:t>
        </m:r>
        <m:f>
          <m:fPr>
            <m:type m:val="lin"/>
            <m:ctrlPr>
              <w:rPr>
                <w:rFonts w:ascii="Cambria Math" w:hAnsi="Cambria Math"/>
                <w:i/>
              </w:rPr>
            </m:ctrlPr>
          </m:fPr>
          <m:num>
            <m:r>
              <m:rPr>
                <m:nor/>
              </m:rPr>
              <w:rPr>
                <w:i/>
              </w:rPr>
              <m:t>P</m:t>
            </m:r>
          </m:num>
          <m:den>
            <m:r>
              <m:rPr>
                <m:nor/>
              </m:rPr>
              <w:rPr>
                <w:i/>
              </w:rPr>
              <m:t>P*</m:t>
            </m:r>
          </m:den>
        </m:f>
      </m:oMath>
      <w:r w:rsidR="00F94ECA">
        <w:t>)</w:t>
      </w:r>
      <w:r>
        <w:t>, más rápido se depreciará también respecto a otra divisa</w:t>
      </w:r>
      <w:r w:rsidR="00F94ECA">
        <w:t xml:space="preserve"> (</w:t>
      </w:r>
      <w:bookmarkStart w:id="58" w:name="_Hlk97471039"/>
      <m:oMath>
        <m:r>
          <m:rPr>
            <m:nor/>
          </m:rPr>
          <w:rPr>
            <w:rFonts w:ascii="Times New Roman" w:hAnsi="Times New Roman" w:cs="Times New Roman"/>
            <w:i/>
          </w:rPr>
          <m:t>↑</m:t>
        </m:r>
        <w:bookmarkEnd w:id="58"/>
        <m:r>
          <m:rPr>
            <m:nor/>
          </m:rPr>
          <w:rPr>
            <w:i/>
          </w:rPr>
          <m:t>E</m:t>
        </m:r>
      </m:oMath>
      <w:r w:rsidR="00F94ECA">
        <w:t>)</w:t>
      </w:r>
      <w:r>
        <w:t>.</w:t>
      </w:r>
    </w:p>
    <w:p w14:paraId="164402B6" w14:textId="25DB6450" w:rsidR="004552F6" w:rsidRDefault="004552F6" w:rsidP="0098492F">
      <w:pPr>
        <w:pStyle w:val="Nivel2SM"/>
      </w:pPr>
      <w:r w:rsidRPr="004552F6">
        <w:rPr>
          <w:i/>
          <w:iCs/>
          <w:u w:val="single"/>
        </w:rPr>
        <w:t>Inflación nacional en relación a la extranjera</w:t>
      </w:r>
      <w:r>
        <w:t xml:space="preserve"> </w:t>
      </w:r>
      <m:oMath>
        <m:d>
          <m:dPr>
            <m:ctrlPr>
              <w:rPr>
                <w:rFonts w:ascii="Cambria Math" w:hAnsi="Cambria Math"/>
                <w:i/>
                <w:lang w:val="en-US"/>
              </w:rPr>
            </m:ctrlPr>
          </m:dPr>
          <m:e>
            <m:r>
              <m:rPr>
                <m:nor/>
              </m:rPr>
              <w:rPr>
                <w:i/>
                <w:iCs/>
              </w:rPr>
              <m:t>π</m:t>
            </m:r>
            <m:r>
              <w:rPr>
                <w:rFonts w:ascii="Cambria Math" w:hAnsi="Cambria Math"/>
              </w:rPr>
              <m:t>-</m:t>
            </m:r>
            <m:r>
              <m:rPr>
                <m:nor/>
              </m:rPr>
              <w:rPr>
                <w:i/>
                <w:iCs/>
              </w:rPr>
              <m:t>π</m:t>
            </m:r>
            <m:r>
              <m:rPr>
                <m:nor/>
              </m:rPr>
              <w:rPr>
                <w:i/>
              </w:rPr>
              <m:t>*</m:t>
            </m:r>
          </m:e>
        </m:d>
      </m:oMath>
      <w:r w:rsidRPr="004552F6">
        <w:t xml:space="preserve">, </w:t>
      </w:r>
      <w:r>
        <w:t>ya que una mayor inflación relativa provocará, según la PPA</w:t>
      </w:r>
      <w:r w:rsidR="0098492F">
        <w:t>,</w:t>
      </w:r>
      <w:r>
        <w:t xml:space="preserve"> una </w:t>
      </w:r>
      <w:r w:rsidRPr="004552F6">
        <w:rPr>
          <w:i/>
          <w:iCs/>
        </w:rPr>
        <w:t>depreciación</w:t>
      </w:r>
      <w:r>
        <w:t xml:space="preserve"> del tipo de cambio.</w:t>
      </w:r>
    </w:p>
    <w:p w14:paraId="6CA428BA" w14:textId="447EE1BE" w:rsidR="000B11A9" w:rsidRPr="000B11A9" w:rsidRDefault="000B11A9" w:rsidP="000B11A9">
      <w:pPr>
        <w:pStyle w:val="Ttuloimagen"/>
        <w:rPr>
          <w:smallCaps w:val="0"/>
        </w:rPr>
      </w:pPr>
      <w:r>
        <w:t>Imagen</w:t>
      </w:r>
      <w:r w:rsidR="00C26C58">
        <w:t> </w:t>
      </w:r>
      <w:r>
        <w:fldChar w:fldCharType="begin"/>
      </w:r>
      <w:r>
        <w:instrText xml:space="preserve"> SEQ Ilustración \* ARABIC </w:instrText>
      </w:r>
      <w:r>
        <w:fldChar w:fldCharType="separate"/>
      </w:r>
      <w:r w:rsidR="00A448D4">
        <w:t>5</w:t>
      </w:r>
      <w:r>
        <w:fldChar w:fldCharType="end"/>
      </w:r>
      <w:r>
        <w:rPr>
          <w:smallCaps w:val="0"/>
        </w:rPr>
        <w:t xml:space="preserve">.– </w:t>
      </w:r>
      <w:r>
        <w:rPr>
          <w:i/>
          <w:iCs/>
          <w:smallCaps w:val="0"/>
        </w:rPr>
        <w:t xml:space="preserve">Efectos de un aumento de la oferta monetaria en el modelo monetario de </w:t>
      </w:r>
      <w:r w:rsidRPr="000B11A9">
        <w:rPr>
          <w:i/>
          <w:iCs/>
        </w:rPr>
        <w:t>Frenkel</w:t>
      </w:r>
      <w:r>
        <w:rPr>
          <w:i/>
          <w:iCs/>
          <w:smallCaps w:val="0"/>
        </w:rPr>
        <w:t xml:space="preserve"> y </w:t>
      </w:r>
      <w:r w:rsidRPr="000B11A9">
        <w:rPr>
          <w:i/>
          <w:iCs/>
        </w:rPr>
        <w:t>Mussa</w:t>
      </w:r>
      <w:r>
        <w:rPr>
          <w:i/>
          <w:iCs/>
          <w:smallCaps w:val="0"/>
        </w:rPr>
        <w:t xml:space="preserve"> (1976)</w:t>
      </w:r>
    </w:p>
    <w:p w14:paraId="060F2A5A" w14:textId="3FAC3B27" w:rsidR="000B11A9" w:rsidRDefault="000B11A9" w:rsidP="000B11A9">
      <w:pPr>
        <w:pStyle w:val="Imagen"/>
      </w:pPr>
      <w:r>
        <w:drawing>
          <wp:inline distT="0" distB="0" distL="0" distR="0" wp14:anchorId="55F2BF40" wp14:editId="2539548C">
            <wp:extent cx="2528880" cy="2160000"/>
            <wp:effectExtent l="0" t="0" r="5080" b="0"/>
            <wp:docPr id="15" name="Imagen 15" descr="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 Gráfico de líneas&#10;&#10;Descripción generada automáticamente"/>
                    <pic:cNvPicPr/>
                  </pic:nvPicPr>
                  <pic:blipFill>
                    <a:blip r:embed="rId14"/>
                    <a:stretch>
                      <a:fillRect/>
                    </a:stretch>
                  </pic:blipFill>
                  <pic:spPr>
                    <a:xfrm>
                      <a:off x="0" y="0"/>
                      <a:ext cx="2528880" cy="2160000"/>
                    </a:xfrm>
                    <a:prstGeom prst="rect">
                      <a:avLst/>
                    </a:prstGeom>
                  </pic:spPr>
                </pic:pic>
              </a:graphicData>
            </a:graphic>
          </wp:inline>
        </w:drawing>
      </w:r>
    </w:p>
    <w:p w14:paraId="4D661744" w14:textId="00044C7C" w:rsidR="000B11A9" w:rsidRPr="000B11A9" w:rsidRDefault="000B11A9" w:rsidP="000B11A9">
      <w:pPr>
        <w:pStyle w:val="PiedeImagen"/>
        <w:rPr>
          <w:i w:val="0"/>
          <w:iCs/>
        </w:rPr>
      </w:pPr>
      <w:r w:rsidRPr="000B11A9">
        <w:rPr>
          <w:lang w:val="en-US"/>
        </w:rPr>
        <w:t>Fuente</w:t>
      </w:r>
      <w:r w:rsidRPr="000B11A9">
        <w:rPr>
          <w:i w:val="0"/>
          <w:iCs/>
          <w:lang w:val="en-US"/>
        </w:rPr>
        <w:t xml:space="preserve">: Krugman, P. R., Obstfeld, M. &amp; Melitz, M. J. (2018). </w:t>
      </w:r>
      <w:r w:rsidRPr="000B11A9">
        <w:rPr>
          <w:lang w:val="en-US"/>
        </w:rPr>
        <w:t>International economics: Theory &amp; policy</w:t>
      </w:r>
      <w:r w:rsidRPr="000B11A9">
        <w:rPr>
          <w:i w:val="0"/>
          <w:iCs/>
          <w:lang w:val="en-US"/>
        </w:rPr>
        <w:t xml:space="preserve"> (Eleventh Edition). </w:t>
      </w:r>
      <w:r w:rsidRPr="007402FC">
        <w:rPr>
          <w:i w:val="0"/>
          <w:iCs/>
        </w:rPr>
        <w:t>Pearson. (pág.</w:t>
      </w:r>
      <w:r w:rsidR="001B2163">
        <w:rPr>
          <w:i w:val="0"/>
          <w:iCs/>
        </w:rPr>
        <w:t> </w:t>
      </w:r>
      <w:r w:rsidRPr="007402FC">
        <w:rPr>
          <w:i w:val="0"/>
          <w:iCs/>
        </w:rPr>
        <w:t>4</w:t>
      </w:r>
      <w:r>
        <w:rPr>
          <w:i w:val="0"/>
          <w:iCs/>
        </w:rPr>
        <w:t>5</w:t>
      </w:r>
      <w:r w:rsidR="001B2163">
        <w:rPr>
          <w:i w:val="0"/>
          <w:iCs/>
        </w:rPr>
        <w:t>8</w:t>
      </w:r>
      <w:r w:rsidRPr="007402FC">
        <w:rPr>
          <w:i w:val="0"/>
          <w:iCs/>
        </w:rPr>
        <w:t>)</w:t>
      </w:r>
    </w:p>
    <w:p w14:paraId="16D667F6" w14:textId="6517A437" w:rsidR="00F33A23" w:rsidRDefault="00F33A23" w:rsidP="00F33A23">
      <w:pPr>
        <w:pStyle w:val="Ttulo6"/>
      </w:pPr>
      <w:bookmarkStart w:id="59" w:name="_Toc136424378"/>
      <w:r>
        <w:t>Evidencia empírica</w:t>
      </w:r>
      <w:bookmarkEnd w:id="59"/>
    </w:p>
    <w:p w14:paraId="5703ACA5" w14:textId="77777777" w:rsidR="00F33A23" w:rsidRPr="00F33A23" w:rsidRDefault="00F33A23" w:rsidP="00F33A23"/>
    <w:p w14:paraId="69F033A1" w14:textId="77777777" w:rsidR="00F33A23" w:rsidRPr="005858E2" w:rsidRDefault="00F33A23" w:rsidP="00F33A23">
      <w:pPr>
        <w:pStyle w:val="Ttulo6"/>
      </w:pPr>
      <w:bookmarkStart w:id="60" w:name="_Toc136424379"/>
      <w:r>
        <w:t>Valoración</w:t>
      </w:r>
      <w:bookmarkEnd w:id="60"/>
    </w:p>
    <w:p w14:paraId="0E7FA02F" w14:textId="2C9B05CC" w:rsidR="00E45B2E" w:rsidRPr="00E45B2E" w:rsidRDefault="00A82C22" w:rsidP="00C26C58">
      <w:pPr>
        <w:pStyle w:val="Nivel1SM"/>
        <w:spacing w:before="0"/>
      </w:pPr>
      <w:r>
        <w:t>El modelo monetario con precios flexibles es atractivo por su</w:t>
      </w:r>
      <w:r w:rsidR="006412ED">
        <w:t xml:space="preserve"> simplicidad, pero se apoya en una serie de supuestos muy exigentes: PPA continua, flexibilidad de precios y salarios, sustituibilidad perfecta entre bonos nacionales y extranjeros y movilidad perfecta de capitales.</w:t>
      </w:r>
    </w:p>
    <w:p w14:paraId="0FB94897" w14:textId="5C71C264" w:rsidR="00A653DF" w:rsidRDefault="00A653DF" w:rsidP="00A653DF">
      <w:pPr>
        <w:pStyle w:val="Ttulo3"/>
      </w:pPr>
      <w:bookmarkStart w:id="61" w:name="_Toc136424380"/>
      <w:r>
        <w:lastRenderedPageBreak/>
        <w:t>Precios rígidos</w:t>
      </w:r>
      <w:r w:rsidR="006E21EC">
        <w:t xml:space="preserve">: Modelo de </w:t>
      </w:r>
      <w:proofErr w:type="spellStart"/>
      <w:r w:rsidR="006E21EC">
        <w:t>overshooting</w:t>
      </w:r>
      <w:proofErr w:type="spellEnd"/>
      <w:r>
        <w:t xml:space="preserve"> (</w:t>
      </w:r>
      <w:proofErr w:type="spellStart"/>
      <w:r>
        <w:rPr>
          <w:smallCaps/>
        </w:rPr>
        <w:t>Dornbusch</w:t>
      </w:r>
      <w:proofErr w:type="spellEnd"/>
      <w:r w:rsidR="00324FF3">
        <w:rPr>
          <w:smallCaps/>
        </w:rPr>
        <w:t xml:space="preserve">, </w:t>
      </w:r>
      <w:r>
        <w:rPr>
          <w:smallCaps/>
        </w:rPr>
        <w:t>1976</w:t>
      </w:r>
      <w:r>
        <w:t>)</w:t>
      </w:r>
      <w:bookmarkEnd w:id="61"/>
    </w:p>
    <w:p w14:paraId="18E87C62" w14:textId="531A3A87" w:rsidR="006412ED" w:rsidRDefault="006412ED" w:rsidP="00C26C58">
      <w:pPr>
        <w:pStyle w:val="Ttulo6"/>
        <w:spacing w:before="0"/>
      </w:pPr>
      <w:bookmarkStart w:id="62" w:name="_Toc136424381"/>
      <w:r>
        <w:t>Idea</w:t>
      </w:r>
      <w:bookmarkEnd w:id="62"/>
    </w:p>
    <w:p w14:paraId="439CC65E" w14:textId="7D0AEF09" w:rsidR="006412ED" w:rsidRDefault="006412ED" w:rsidP="00C26C58">
      <w:pPr>
        <w:pStyle w:val="Nivel1SM"/>
        <w:spacing w:before="0"/>
      </w:pPr>
      <w:r>
        <w:t xml:space="preserve">El </w:t>
      </w:r>
      <w:r w:rsidRPr="006E21EC">
        <w:rPr>
          <w:i/>
          <w:iCs/>
        </w:rPr>
        <w:t>enfoque monetario</w:t>
      </w:r>
      <w:r>
        <w:t xml:space="preserve"> al tipo de cambio se puede hacer más sofisticado mediante la introducción de elementos adicionales como por ejemplo </w:t>
      </w:r>
      <w:r w:rsidRPr="006412ED">
        <w:rPr>
          <w:i/>
          <w:iCs/>
        </w:rPr>
        <w:t>rigideces de precios</w:t>
      </w:r>
      <w:r>
        <w:t xml:space="preserve"> (de modo que no se cumpla la PPA en el corto plazo).</w:t>
      </w:r>
      <w:r w:rsidR="00BC5E52">
        <w:t xml:space="preserve"> Esto nos permitirá explicar la </w:t>
      </w:r>
      <w:r w:rsidR="00BC5E52">
        <w:rPr>
          <w:b/>
          <w:bCs/>
        </w:rPr>
        <w:t>volatilidad</w:t>
      </w:r>
      <w:r w:rsidR="00BC5E52">
        <w:t xml:space="preserve"> del tipo de cambio nominal.</w:t>
      </w:r>
    </w:p>
    <w:p w14:paraId="29F88662" w14:textId="4019ED23" w:rsidR="006412ED" w:rsidRDefault="006412ED" w:rsidP="006412ED">
      <w:pPr>
        <w:pStyle w:val="Ttulo6"/>
      </w:pPr>
      <w:bookmarkStart w:id="63" w:name="_Toc136424382"/>
      <w:r>
        <w:t>Modelo</w:t>
      </w:r>
      <w:bookmarkEnd w:id="63"/>
    </w:p>
    <w:p w14:paraId="3E481BB8" w14:textId="1E0B646F" w:rsidR="006412ED" w:rsidRDefault="006412ED" w:rsidP="00C26C58">
      <w:pPr>
        <w:pStyle w:val="Ttulo7"/>
        <w:spacing w:before="0"/>
      </w:pPr>
      <w:r>
        <w:t>Supuestos</w:t>
      </w:r>
    </w:p>
    <w:p w14:paraId="02D35A11" w14:textId="0B477ACB" w:rsidR="00E33029" w:rsidRDefault="006412ED" w:rsidP="00C26C58">
      <w:pPr>
        <w:pStyle w:val="Nivel1SM"/>
        <w:keepNext/>
        <w:spacing w:before="0" w:after="0"/>
      </w:pPr>
      <w:r>
        <w:t xml:space="preserve">Los mismos que en el modelo anterior, salvo </w:t>
      </w:r>
      <w:r w:rsidR="00E33029">
        <w:t xml:space="preserve">por </w:t>
      </w:r>
      <w:r w:rsidR="00C26C58">
        <w:t>2 </w:t>
      </w:r>
      <w:r w:rsidR="00E33029">
        <w:t>diferenci</w:t>
      </w:r>
      <w:r w:rsidR="00E47D44">
        <w:t>a</w:t>
      </w:r>
      <w:r w:rsidR="00E33029">
        <w:t>s:</w:t>
      </w:r>
    </w:p>
    <w:p w14:paraId="0F621E77" w14:textId="77777777" w:rsidR="00E33029" w:rsidRDefault="00E33029" w:rsidP="00E33029">
      <w:pPr>
        <w:pStyle w:val="Nivel2SM"/>
      </w:pPr>
      <w:proofErr w:type="spellStart"/>
      <w:r>
        <w:rPr>
          <w:smallCaps/>
        </w:rPr>
        <w:t>Dornbusch</w:t>
      </w:r>
      <w:proofErr w:type="spellEnd"/>
      <w:r>
        <w:t xml:space="preserve"> supone que los agentes se comportan de acuerdo a la </w:t>
      </w:r>
      <w:r w:rsidRPr="00E74E5D">
        <w:rPr>
          <w:i/>
          <w:iCs/>
        </w:rPr>
        <w:t>Hipótesis de Expectativas Racionales (HER)</w:t>
      </w:r>
      <w:r>
        <w:t>.</w:t>
      </w:r>
    </w:p>
    <w:p w14:paraId="0052BEAA" w14:textId="272D494F" w:rsidR="00864E92" w:rsidRDefault="00E33029" w:rsidP="00E33029">
      <w:pPr>
        <w:pStyle w:val="Nivel2SM"/>
        <w:keepNext/>
        <w:spacing w:after="0"/>
      </w:pPr>
      <w:r>
        <w:t>L</w:t>
      </w:r>
      <w:r w:rsidR="006412ED">
        <w:t xml:space="preserve">os </w:t>
      </w:r>
      <w:r w:rsidR="006412ED" w:rsidRPr="00E74E5D">
        <w:rPr>
          <w:i/>
          <w:iCs/>
        </w:rPr>
        <w:t>precios son rígidos en el corto plazo</w:t>
      </w:r>
      <w:r w:rsidR="00864E92">
        <w:t>.</w:t>
      </w:r>
    </w:p>
    <w:p w14:paraId="4B356A9A" w14:textId="3AC9AA57" w:rsidR="00864E92" w:rsidRPr="00062E91" w:rsidRDefault="00864E92" w:rsidP="00E33029">
      <w:pPr>
        <w:pStyle w:val="Nivel3SM"/>
        <w:rPr>
          <w:spacing w:val="-2"/>
        </w:rPr>
      </w:pPr>
      <w:r w:rsidRPr="00062E91">
        <w:rPr>
          <w:spacing w:val="-2"/>
        </w:rPr>
        <w:t>Que los precios</w:t>
      </w:r>
      <w:r w:rsidR="006412ED" w:rsidRPr="00062E91">
        <w:rPr>
          <w:spacing w:val="-2"/>
        </w:rPr>
        <w:t xml:space="preserve"> </w:t>
      </w:r>
      <w:r w:rsidRPr="00062E91">
        <w:rPr>
          <w:spacing w:val="-2"/>
        </w:rPr>
        <w:t xml:space="preserve">sean rígidos a corto plazo implica que </w:t>
      </w:r>
      <w:r w:rsidR="006412ED" w:rsidRPr="00062E91">
        <w:rPr>
          <w:spacing w:val="-2"/>
        </w:rPr>
        <w:t>la PPA no se cumple en el corto plazo</w:t>
      </w:r>
      <w:r w:rsidRPr="00062E91">
        <w:rPr>
          <w:spacing w:val="-2"/>
        </w:rPr>
        <w:t>.</w:t>
      </w:r>
    </w:p>
    <w:p w14:paraId="3618A8FA" w14:textId="6710A76D" w:rsidR="006412ED" w:rsidRDefault="00864E92" w:rsidP="00E33029">
      <w:pPr>
        <w:pStyle w:val="Nivel3SM"/>
        <w:keepNext/>
      </w:pPr>
      <w:r>
        <w:t xml:space="preserve">Sin embargo, sí que se cumple la Paridad </w:t>
      </w:r>
      <w:r w:rsidR="00316A28">
        <w:t>No C</w:t>
      </w:r>
      <w:r>
        <w:t>ubierta de Intereses</w:t>
      </w:r>
      <w:r w:rsidR="006412ED">
        <w:t>.</w:t>
      </w:r>
    </w:p>
    <w:p w14:paraId="7796F6F3" w14:textId="05E8BA39" w:rsidR="00864E92" w:rsidRPr="00F20EEF" w:rsidRDefault="00864E92" w:rsidP="00636F4C">
      <w:pPr>
        <w:pStyle w:val="Nivel4"/>
        <w:ind w:left="1474"/>
        <w:rPr>
          <w:spacing w:val="-1"/>
        </w:rPr>
      </w:pPr>
      <w:r w:rsidRPr="00F20EEF">
        <w:rPr>
          <w:spacing w:val="-1"/>
        </w:rPr>
        <w:t>El hecho de que no se cumpla la PPA en el corto plazo pero sí que se cumpla la P</w:t>
      </w:r>
      <w:r w:rsidR="00316A28">
        <w:rPr>
          <w:spacing w:val="-1"/>
        </w:rPr>
        <w:t>NC</w:t>
      </w:r>
      <w:r w:rsidRPr="00F20EEF">
        <w:rPr>
          <w:spacing w:val="-1"/>
        </w:rPr>
        <w:t xml:space="preserve">I implica que los </w:t>
      </w:r>
      <w:r w:rsidRPr="00F20EEF">
        <w:rPr>
          <w:i/>
          <w:iCs/>
          <w:spacing w:val="-1"/>
        </w:rPr>
        <w:t>ajustes en el mercado de bienes son más lentos que los ajustes en los mercados financieros</w:t>
      </w:r>
      <w:r w:rsidRPr="00F20EEF">
        <w:rPr>
          <w:spacing w:val="-1"/>
        </w:rPr>
        <w:t xml:space="preserve"> (cuyos ajustes se realizan de forma casi inmediata). En otras palabras, los precios de los </w:t>
      </w:r>
      <w:r w:rsidR="00F20EEF" w:rsidRPr="00F20EEF">
        <w:rPr>
          <w:spacing w:val="-1"/>
        </w:rPr>
        <w:t>b</w:t>
      </w:r>
      <w:r w:rsidRPr="00F20EEF">
        <w:rPr>
          <w:spacing w:val="-1"/>
        </w:rPr>
        <w:t>iene</w:t>
      </w:r>
      <w:r w:rsidR="00F20EEF" w:rsidRPr="00F20EEF">
        <w:rPr>
          <w:spacing w:val="-1"/>
        </w:rPr>
        <w:t>s</w:t>
      </w:r>
      <w:r w:rsidRPr="00F20EEF">
        <w:rPr>
          <w:spacing w:val="-1"/>
        </w:rPr>
        <w:t xml:space="preserve"> se ajustan más lentamente que los tipos de </w:t>
      </w:r>
      <w:r w:rsidR="0021676D">
        <w:rPr>
          <w:spacing w:val="-1"/>
        </w:rPr>
        <w:t>interés</w:t>
      </w:r>
      <w:r w:rsidRPr="00F20EEF">
        <w:rPr>
          <w:spacing w:val="-1"/>
        </w:rPr>
        <w:t>.</w:t>
      </w:r>
    </w:p>
    <w:p w14:paraId="6B1B5CF6" w14:textId="7EE41034" w:rsidR="00864E92" w:rsidRDefault="00864E92" w:rsidP="00636F4C">
      <w:pPr>
        <w:pStyle w:val="Nivel4"/>
        <w:ind w:left="1474"/>
      </w:pPr>
      <w:r>
        <w:t xml:space="preserve">Por lo tanto, a corto plazo, el tipo de cambio puede </w:t>
      </w:r>
      <w:proofErr w:type="spellStart"/>
      <w:r>
        <w:t>sobrerreaccionar</w:t>
      </w:r>
      <w:proofErr w:type="spellEnd"/>
      <w:r>
        <w:t xml:space="preserve"> ante cambios en los fundamentales (aquí oferta monetaria) a causa de dicha rigidez de precios. Esta sobrerreacción se conoce como </w:t>
      </w:r>
      <w:proofErr w:type="spellStart"/>
      <w:r>
        <w:rPr>
          <w:i/>
          <w:iCs/>
        </w:rPr>
        <w:t>overshooting</w:t>
      </w:r>
      <w:proofErr w:type="spellEnd"/>
      <w:r>
        <w:t>.</w:t>
      </w:r>
    </w:p>
    <w:p w14:paraId="6F5C2B92" w14:textId="6647F7A3" w:rsidR="006412ED" w:rsidRDefault="006412ED" w:rsidP="006412ED">
      <w:pPr>
        <w:pStyle w:val="Ttulo7"/>
      </w:pPr>
      <w:r>
        <w:t>Desarrollo</w:t>
      </w:r>
    </w:p>
    <w:p w14:paraId="15EEE1CD" w14:textId="0D986DDD" w:rsidR="00FE62EB" w:rsidRDefault="00A87AF5" w:rsidP="00C26C58">
      <w:pPr>
        <w:pStyle w:val="Nivel1SM"/>
        <w:keepNext/>
        <w:spacing w:before="0" w:after="0"/>
      </w:pPr>
      <w:r>
        <w:t xml:space="preserve">Partimos de un </w:t>
      </w:r>
      <w:r w:rsidRPr="00A87AF5">
        <w:rPr>
          <w:b/>
          <w:bCs/>
        </w:rPr>
        <w:t>equilibrio inicial</w:t>
      </w:r>
      <w:r>
        <w:t xml:space="preserve"> en el que el tipo de cambio nominal es </w:t>
      </w:r>
      <m:oMath>
        <m:r>
          <m:rPr>
            <m:nor/>
          </m:rPr>
          <w:rPr>
            <w:i/>
          </w:rPr>
          <m:t>E</m:t>
        </m:r>
      </m:oMath>
      <w:r>
        <w:t xml:space="preserve">, el tipo de interés es </w:t>
      </w:r>
      <m:oMath>
        <m:r>
          <m:rPr>
            <m:nor/>
          </m:rPr>
          <w:rPr>
            <w:i/>
          </w:rPr>
          <m:t>i</m:t>
        </m:r>
      </m:oMath>
      <w:r>
        <w:t xml:space="preserve"> y los saldos monetarios reales son </w:t>
      </w:r>
      <m:oMath>
        <m:r>
          <m:rPr>
            <m:nor/>
          </m:rPr>
          <w:rPr>
            <w:i/>
          </w:rPr>
          <m:t>m</m:t>
        </m:r>
        <m:r>
          <w:rPr>
            <w:rFonts w:ascii="Cambria Math" w:hAnsi="Cambria Math"/>
          </w:rPr>
          <m:t>-</m:t>
        </m:r>
        <m:r>
          <m:rPr>
            <m:nor/>
          </m:rPr>
          <w:rPr>
            <w:i/>
          </w:rPr>
          <m:t>p</m:t>
        </m:r>
      </m:oMath>
      <w:r>
        <w:t xml:space="preserve"> (en logaritmos).</w:t>
      </w:r>
    </w:p>
    <w:p w14:paraId="2BBB642B" w14:textId="5E8C2333" w:rsidR="004832C1" w:rsidRDefault="004832C1" w:rsidP="004832C1">
      <w:pPr>
        <w:pStyle w:val="Nivel2SM"/>
      </w:pPr>
      <w:r>
        <w:t xml:space="preserve">Podemos representar en </w:t>
      </w:r>
      <w:r w:rsidR="00052BBA">
        <w:t>2 </w:t>
      </w:r>
      <w:r>
        <w:t>gráficos el equilibrio en el mercado monetario y la condición de P</w:t>
      </w:r>
      <w:r w:rsidR="00316A28">
        <w:t>NC</w:t>
      </w:r>
      <w:r>
        <w:t>I, respectivamente.</w:t>
      </w:r>
    </w:p>
    <w:p w14:paraId="3709D125" w14:textId="24DAB646" w:rsidR="00FE62EB" w:rsidRPr="006C756B" w:rsidRDefault="00FE62EB" w:rsidP="00FE62EB">
      <w:pPr>
        <w:pStyle w:val="Ttuloimagen"/>
      </w:pPr>
      <w:r>
        <w:t>Imagen</w:t>
      </w:r>
      <w:r w:rsidR="00C26C58">
        <w:t> </w:t>
      </w:r>
      <w:r>
        <w:fldChar w:fldCharType="begin"/>
      </w:r>
      <w:r>
        <w:instrText xml:space="preserve"> SEQ Ilustración \* ARABIC </w:instrText>
      </w:r>
      <w:r>
        <w:fldChar w:fldCharType="separate"/>
      </w:r>
      <w:r w:rsidR="00A448D4">
        <w:t>6</w:t>
      </w:r>
      <w:r>
        <w:fldChar w:fldCharType="end"/>
      </w:r>
      <w:r>
        <w:rPr>
          <w:smallCaps w:val="0"/>
        </w:rPr>
        <w:t xml:space="preserve">.– </w:t>
      </w:r>
      <w:r w:rsidRPr="00FE62EB">
        <w:rPr>
          <w:i/>
          <w:iCs/>
          <w:smallCaps w:val="0"/>
        </w:rPr>
        <w:t>Equilibrio inicial en el m</w:t>
      </w:r>
      <w:r>
        <w:rPr>
          <w:i/>
          <w:iCs/>
          <w:smallCaps w:val="0"/>
        </w:rPr>
        <w:t xml:space="preserve">odelo de </w:t>
      </w:r>
      <w:r>
        <w:rPr>
          <w:i/>
          <w:iCs/>
        </w:rPr>
        <w:t>Dornbusch</w:t>
      </w:r>
    </w:p>
    <w:p w14:paraId="0EA95731" w14:textId="77777777" w:rsidR="00FE62EB" w:rsidRDefault="00FE62EB" w:rsidP="00FE62EB">
      <w:pPr>
        <w:pStyle w:val="Imagen"/>
      </w:pPr>
      <w:r w:rsidRPr="00DD66B4">
        <w:drawing>
          <wp:inline distT="0" distB="0" distL="0" distR="0" wp14:anchorId="5D42D72D" wp14:editId="4DB86923">
            <wp:extent cx="2880000" cy="1620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5"/>
                    <a:stretch>
                      <a:fillRect/>
                    </a:stretch>
                  </pic:blipFill>
                  <pic:spPr>
                    <a:xfrm>
                      <a:off x="0" y="0"/>
                      <a:ext cx="2880000" cy="1620000"/>
                    </a:xfrm>
                    <a:prstGeom prst="rect">
                      <a:avLst/>
                    </a:prstGeom>
                  </pic:spPr>
                </pic:pic>
              </a:graphicData>
            </a:graphic>
          </wp:inline>
        </w:drawing>
      </w:r>
    </w:p>
    <w:p w14:paraId="3295C741" w14:textId="71DEDB85" w:rsidR="00FE62EB" w:rsidRPr="004832C1" w:rsidRDefault="00FE62EB" w:rsidP="004832C1">
      <w:pPr>
        <w:pStyle w:val="PiedeImagen"/>
        <w:rPr>
          <w:i w:val="0"/>
          <w:iCs/>
          <w:u w:val="single"/>
        </w:rPr>
      </w:pPr>
      <w:r w:rsidRPr="008740A3">
        <w:t>Fuente</w:t>
      </w:r>
      <w:r w:rsidRPr="008740A3">
        <w:rPr>
          <w:i w:val="0"/>
          <w:iCs/>
        </w:rPr>
        <w:t>: Elaboración propia basada en Krugman, P. R., Obstfeld, M.</w:t>
      </w:r>
      <w:r>
        <w:rPr>
          <w:i w:val="0"/>
          <w:iCs/>
        </w:rPr>
        <w:t xml:space="preserve"> </w:t>
      </w:r>
      <w:r w:rsidRPr="008740A3">
        <w:rPr>
          <w:i w:val="0"/>
          <w:iCs/>
        </w:rPr>
        <w:t xml:space="preserve">&amp; Melitz, M. J. (2018). </w:t>
      </w:r>
      <w:r w:rsidRPr="007402FC">
        <w:t>International economics: Theory &amp; policy</w:t>
      </w:r>
      <w:r w:rsidRPr="007402FC">
        <w:rPr>
          <w:i w:val="0"/>
          <w:iCs/>
        </w:rPr>
        <w:t xml:space="preserve"> (Eleventh Edition). Pearson. (pág. 439)</w:t>
      </w:r>
    </w:p>
    <w:p w14:paraId="6B006179" w14:textId="362155CF" w:rsidR="00A87AF5" w:rsidRDefault="00A87AF5" w:rsidP="00A200F2">
      <w:pPr>
        <w:pStyle w:val="Nivel1SM"/>
        <w:rPr>
          <w:spacing w:val="-2"/>
        </w:rPr>
      </w:pPr>
      <w:r w:rsidRPr="00A87AF5">
        <w:rPr>
          <w:spacing w:val="-2"/>
        </w:rPr>
        <w:t xml:space="preserve">Ahora supongamos que se produce un </w:t>
      </w:r>
      <w:r w:rsidRPr="00A87AF5">
        <w:rPr>
          <w:b/>
          <w:bCs/>
          <w:spacing w:val="-2"/>
        </w:rPr>
        <w:t>aumento de la oferta monetaria doméstica no anticipado</w:t>
      </w:r>
      <w:r w:rsidRPr="00A87AF5">
        <w:rPr>
          <w:rStyle w:val="Refdenotaalpie"/>
          <w:rFonts w:eastAsiaTheme="minorEastAsia"/>
          <w:spacing w:val="-2"/>
        </w:rPr>
        <w:footnoteReference w:id="30"/>
      </w:r>
      <w:r w:rsidRPr="00A87AF5">
        <w:rPr>
          <w:b/>
          <w:bCs/>
          <w:spacing w:val="-2"/>
        </w:rPr>
        <w:t xml:space="preserve"> y permanente</w:t>
      </w:r>
      <w:r w:rsidRPr="00A87AF5">
        <w:rPr>
          <w:spacing w:val="-2"/>
        </w:rPr>
        <w:t xml:space="preserve"> (</w:t>
      </w:r>
      <m:oMath>
        <m:r>
          <m:rPr>
            <m:nor/>
          </m:rPr>
          <w:rPr>
            <w:rFonts w:ascii="Times New Roman" w:hAnsi="Times New Roman" w:cs="Times New Roman"/>
            <w:i/>
            <w:spacing w:val="-2"/>
          </w:rPr>
          <m:t>↑</m:t>
        </m:r>
        <m:r>
          <m:rPr>
            <m:nor/>
          </m:rPr>
          <w:rPr>
            <w:i/>
            <w:spacing w:val="-2"/>
          </w:rPr>
          <m:t>m</m:t>
        </m:r>
      </m:oMath>
      <w:r w:rsidRPr="00A87AF5">
        <w:rPr>
          <w:spacing w:val="-2"/>
        </w:rPr>
        <w:t>).</w:t>
      </w:r>
    </w:p>
    <w:p w14:paraId="16FEF64C" w14:textId="697C735E" w:rsidR="00BC2A9C" w:rsidRDefault="00BC2A9C" w:rsidP="00BC2A9C">
      <w:pPr>
        <w:pStyle w:val="Ttulo8"/>
      </w:pPr>
      <w:r>
        <w:lastRenderedPageBreak/>
        <w:t>Corto plazo</w:t>
      </w:r>
    </w:p>
    <w:p w14:paraId="6662C346" w14:textId="6981053E" w:rsidR="00F9798D" w:rsidRDefault="00F9798D" w:rsidP="00C26C58">
      <w:pPr>
        <w:pStyle w:val="Nivel1SM"/>
        <w:keepNext/>
        <w:spacing w:before="0" w:after="0"/>
      </w:pPr>
      <w:r>
        <w:t xml:space="preserve">En el </w:t>
      </w:r>
      <w:r w:rsidRPr="00F9798D">
        <w:rPr>
          <w:i/>
          <w:iCs/>
          <w:u w:val="single"/>
        </w:rPr>
        <w:t>corto plazo</w:t>
      </w:r>
      <w:r>
        <w:t xml:space="preserve">, los </w:t>
      </w:r>
      <w:r>
        <w:rPr>
          <w:i/>
          <w:iCs/>
        </w:rPr>
        <w:t>precios</w:t>
      </w:r>
      <w:r>
        <w:t xml:space="preserve"> son rígidos, por lo que el aumento de la oferta monetaria se va a traducir en un aumento de la </w:t>
      </w:r>
      <w:r w:rsidRPr="00F9798D">
        <w:rPr>
          <w:i/>
          <w:iCs/>
        </w:rPr>
        <w:t>oferta de saldos reales</w:t>
      </w:r>
      <w:r>
        <w:t>.</w:t>
      </w:r>
    </w:p>
    <w:p w14:paraId="36304D14" w14:textId="43067267" w:rsidR="00747D16" w:rsidRDefault="00747D16" w:rsidP="00A200F2">
      <w:pPr>
        <w:pStyle w:val="Nivel2SM"/>
      </w:pPr>
      <w:r>
        <w:t>D</w:t>
      </w:r>
      <w:r w:rsidRPr="00747D16">
        <w:t xml:space="preserve">ado que los precios son rígidos a </w:t>
      </w:r>
      <w:r>
        <w:t>corto plazo</w:t>
      </w:r>
      <w:r w:rsidRPr="00747D16">
        <w:t>, los saldos monetarios reales aumentan.</w:t>
      </w:r>
      <w:r w:rsidRPr="00747D16">
        <w:rPr>
          <w:rFonts w:ascii="Times New Roman" w:eastAsia="Times New Roman" w:hAnsi="Times New Roman" w:cs="Times New Roman"/>
          <w:sz w:val="24"/>
          <w:szCs w:val="24"/>
          <w:lang w:eastAsia="es-ES"/>
        </w:rPr>
        <w:t xml:space="preserve"> </w:t>
      </w:r>
      <w:r w:rsidRPr="00747D16">
        <w:t xml:space="preserve">Se produce, por tanto, un </w:t>
      </w:r>
      <w:r w:rsidRPr="00747D16">
        <w:rPr>
          <w:i/>
          <w:iCs/>
        </w:rPr>
        <w:t>“efecto liquidez”</w:t>
      </w:r>
      <w:r w:rsidRPr="00747D16">
        <w:t xml:space="preserve"> a </w:t>
      </w:r>
      <w:r>
        <w:t>corto plazo</w:t>
      </w:r>
      <w:r w:rsidRPr="00747D16">
        <w:t xml:space="preserve"> que hace que </w:t>
      </w:r>
      <w:r>
        <w:t>el</w:t>
      </w:r>
      <w:r w:rsidRPr="00747D16">
        <w:t xml:space="preserve"> </w:t>
      </w:r>
      <w:r w:rsidRPr="00747D16">
        <w:rPr>
          <w:u w:val="single"/>
        </w:rPr>
        <w:t>tipo de interés disminuya</w:t>
      </w:r>
      <w:r w:rsidRPr="00747D16">
        <w:t xml:space="preserve"> para que la demanda de dinero aumente y se mantenga el equilibrio en el mercado de dinero.</w:t>
      </w:r>
    </w:p>
    <w:p w14:paraId="79A09CED" w14:textId="2D994AB2" w:rsidR="00F9798D" w:rsidRDefault="00747D16" w:rsidP="009742DD">
      <w:pPr>
        <w:pStyle w:val="Nivel2SM"/>
        <w:keepNext/>
        <w:spacing w:after="0"/>
      </w:pPr>
      <w:r>
        <w:t>Al</w:t>
      </w:r>
      <w:r w:rsidR="00F9798D">
        <w:t xml:space="preserve"> disminuir el </w:t>
      </w:r>
      <w:r w:rsidR="00F9798D">
        <w:rPr>
          <w:i/>
          <w:iCs/>
        </w:rPr>
        <w:t>tipo de interés nacional</w:t>
      </w:r>
      <w:r w:rsidR="00F9798D">
        <w:t xml:space="preserve">, y de acuerdo con la Paridad </w:t>
      </w:r>
      <w:r w:rsidR="00316A28">
        <w:t>No C</w:t>
      </w:r>
      <w:r w:rsidR="00F9798D">
        <w:t>ubierta de Intereses (que se cumplirá siempre):</w:t>
      </w:r>
    </w:p>
    <w:p w14:paraId="15B30B2B" w14:textId="0CB07773" w:rsidR="00F9798D" w:rsidRDefault="00000000" w:rsidP="00316A28">
      <w:pPr>
        <w:pStyle w:val="Nivel3"/>
        <w:keepNext/>
        <w:numPr>
          <w:ilvl w:val="0"/>
          <w:numId w:val="0"/>
        </w:numPr>
        <w:ind w:left="471"/>
        <w:rPr>
          <w:rFonts w:eastAsiaTheme="minorEastAsia"/>
        </w:rPr>
      </w:pPr>
      <m:oMathPara>
        <m:oMath>
          <m:sSup>
            <m:sSupPr>
              <m:ctrlPr>
                <w:rPr>
                  <w:rFonts w:ascii="Cambria Math" w:hAnsi="Cambria Math"/>
                  <w:i/>
                  <w:iCs/>
                </w:rPr>
              </m:ctrlPr>
            </m:sSupPr>
            <m:e>
              <m:r>
                <m:rPr>
                  <m:nor/>
                </m:rPr>
                <w:rPr>
                  <w:i/>
                  <w:iCs/>
                </w:rPr>
                <m:t>γE</m:t>
              </m:r>
            </m:e>
            <m:sup>
              <m:r>
                <m:rPr>
                  <m:nor/>
                </m:rPr>
                <w:rPr>
                  <w:i/>
                  <w:iCs/>
                </w:rPr>
                <m:t>e</m:t>
              </m:r>
            </m:sup>
          </m:sSup>
          <m:r>
            <w:rPr>
              <w:rFonts w:ascii="Cambria Math" w:eastAsiaTheme="minorEastAsia" w:hAnsi="Cambria Math"/>
            </w:rPr>
            <m:t>≅</m:t>
          </m:r>
          <m:r>
            <m:rPr>
              <m:nor/>
            </m:rPr>
            <w:rPr>
              <w:i/>
            </w:rPr>
            <m:t>i</m:t>
          </m:r>
          <m:r>
            <w:rPr>
              <w:rFonts w:ascii="Cambria Math" w:hAnsi="Cambria Math"/>
            </w:rPr>
            <m:t>-</m:t>
          </m:r>
          <m:r>
            <m:rPr>
              <m:nor/>
            </m:rPr>
            <w:rPr>
              <w:i/>
            </w:rPr>
            <m:t>i*</m:t>
          </m:r>
          <m:r>
            <w:rPr>
              <w:rFonts w:ascii="Cambria Math" w:hAnsi="Cambria Math"/>
            </w:rPr>
            <m:t>⟹</m:t>
          </m:r>
          <m:r>
            <m:rPr>
              <m:nor/>
            </m:rPr>
            <w:rPr>
              <w:i/>
            </w:rPr>
            <m:t>i</m:t>
          </m:r>
          <m:r>
            <w:rPr>
              <w:rFonts w:ascii="Cambria Math" w:eastAsiaTheme="minorEastAsia" w:hAnsi="Cambria Math"/>
            </w:rPr>
            <m:t>≅</m:t>
          </m:r>
          <m:r>
            <m:rPr>
              <m:nor/>
            </m:rPr>
            <w:rPr>
              <w:i/>
            </w:rPr>
            <m:t>i*</m:t>
          </m:r>
          <m:r>
            <w:rPr>
              <w:rFonts w:asci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p>
                        <m:sSupPr>
                          <m:ctrlPr>
                            <w:rPr>
                              <w:rFonts w:ascii="Cambria Math" w:hAnsi="Cambria Math"/>
                              <w:i/>
                              <w:iCs/>
                            </w:rPr>
                          </m:ctrlPr>
                        </m:sSupPr>
                        <m:e>
                          <m:r>
                            <m:rPr>
                              <m:nor/>
                            </m:rPr>
                            <w:rPr>
                              <w:i/>
                              <w:iCs/>
                            </w:rPr>
                            <m:t>E</m:t>
                          </m:r>
                        </m:e>
                        <m:sup>
                          <m:r>
                            <m:rPr>
                              <m:nor/>
                            </m:rPr>
                            <w:rPr>
                              <w:i/>
                              <w:iCs/>
                            </w:rPr>
                            <m:t>e</m:t>
                          </m:r>
                        </m:sup>
                      </m:sSup>
                      <m:r>
                        <w:rPr>
                          <w:rFonts w:ascii="Cambria Math" w:hAnsi="Cambria Math"/>
                        </w:rPr>
                        <m:t>-</m:t>
                      </m:r>
                      <m:r>
                        <m:rPr>
                          <m:nor/>
                        </m:rPr>
                        <w:rPr>
                          <w:i/>
                          <w:iCs/>
                        </w:rPr>
                        <m:t>E</m:t>
                      </m:r>
                    </m:num>
                    <m:den>
                      <m:r>
                        <m:rPr>
                          <m:nor/>
                        </m:rPr>
                        <w:rPr>
                          <w:i/>
                          <w:iCs/>
                        </w:rPr>
                        <m:t>E</m:t>
                      </m:r>
                    </m:den>
                  </m:f>
                </m:e>
              </m:groupChr>
            </m:e>
            <m:lim>
              <m:r>
                <m:rPr>
                  <m:nor/>
                </m:rPr>
                <w:rPr>
                  <w:rFonts w:ascii="Cambria Math"/>
                  <w:i/>
                  <w:iCs/>
                  <w:sz w:val="16"/>
                  <w:szCs w:val="16"/>
                </w:rPr>
                <m:t xml:space="preserve"> </m:t>
              </m:r>
              <m:sSup>
                <m:sSupPr>
                  <m:ctrlPr>
                    <w:rPr>
                      <w:rFonts w:ascii="Cambria Math" w:hAnsi="Cambria Math"/>
                      <w:i/>
                      <w:iCs/>
                    </w:rPr>
                  </m:ctrlPr>
                </m:sSupPr>
                <m:e>
                  <m:r>
                    <m:rPr>
                      <m:nor/>
                    </m:rPr>
                    <w:rPr>
                      <w:i/>
                      <w:iCs/>
                    </w:rPr>
                    <m:t>γE</m:t>
                  </m:r>
                </m:e>
                <m:sup>
                  <m:r>
                    <m:rPr>
                      <m:nor/>
                    </m:rPr>
                    <w:rPr>
                      <w:i/>
                      <w:iCs/>
                    </w:rPr>
                    <m:t>e</m:t>
                  </m:r>
                </m:sup>
              </m:sSup>
            </m:lim>
          </m:limLow>
          <m:r>
            <m:rPr>
              <m:sty m:val="p"/>
            </m:rPr>
            <w:rPr>
              <w:rFonts w:ascii="Cambria Math" w:hAnsi="Cambria Math"/>
            </w:rPr>
            <w:br/>
          </m:r>
        </m:oMath>
      </m:oMathPara>
      <w:r w:rsidR="00F9798D">
        <w:rPr>
          <w:rFonts w:eastAsiaTheme="minorEastAsia"/>
        </w:rPr>
        <w:t xml:space="preserve">es necesario que disminuya la tasa de depreciación esperada (lo que, para el corto plazo tiene lugar con </w:t>
      </w:r>
      <m:oMath>
        <m:r>
          <m:rPr>
            <m:nor/>
          </m:rPr>
          <w:rPr>
            <w:rFonts w:ascii="Times New Roman" w:hAnsi="Times New Roman" w:cs="Times New Roman"/>
            <w:i/>
          </w:rPr>
          <m:t>↑</m:t>
        </m:r>
        <m:r>
          <m:rPr>
            <m:nor/>
          </m:rPr>
          <w:rPr>
            <w:i/>
          </w:rPr>
          <m:t>E</m:t>
        </m:r>
      </m:oMath>
      <w:r w:rsidR="00F9798D">
        <w:rPr>
          <w:rFonts w:eastAsiaTheme="minorEastAsia"/>
        </w:rPr>
        <w:t xml:space="preserve">, pues salen capitales del país al disminuir </w:t>
      </w:r>
      <m:oMath>
        <m:r>
          <m:rPr>
            <m:nor/>
          </m:rPr>
          <w:rPr>
            <w:rFonts w:ascii="Times New Roman" w:hAnsi="Times New Roman" w:cs="Times New Roman"/>
            <w:i/>
          </w:rPr>
          <m:t>i</m:t>
        </m:r>
      </m:oMath>
      <w:r w:rsidR="00F9798D">
        <w:rPr>
          <w:rFonts w:eastAsiaTheme="minorEastAsia"/>
        </w:rPr>
        <w:t xml:space="preserve"> y la moneda se deprecia hoy):</w:t>
      </w:r>
    </w:p>
    <w:p w14:paraId="479E8FB8" w14:textId="3403BC78" w:rsidR="00F9798D" w:rsidRPr="00F9798D" w:rsidRDefault="00F9798D" w:rsidP="00316A28">
      <w:pPr>
        <w:spacing w:after="0"/>
        <w:rPr>
          <w:rFonts w:eastAsiaTheme="minorEastAsia"/>
        </w:rPr>
      </w:pPr>
      <m:oMathPara>
        <m:oMath>
          <m:r>
            <m:rPr>
              <m:nor/>
            </m:rPr>
            <w:rPr>
              <w:rFonts w:ascii="Times New Roman" w:hAnsi="Times New Roman" w:cs="Times New Roman"/>
              <w:iCs/>
            </w:rPr>
            <m:t>↓</m:t>
          </m:r>
          <m:r>
            <m:rPr>
              <m:nor/>
            </m:rPr>
            <w:rPr>
              <w:i/>
            </w:rPr>
            <m:t>i</m:t>
          </m:r>
          <m:r>
            <w:rPr>
              <w:rFonts w:ascii="Cambria Math" w:eastAsiaTheme="minorEastAsia" w:hAnsi="Cambria Math"/>
            </w:rPr>
            <m:t>≅</m:t>
          </m:r>
          <m:r>
            <m:rPr>
              <m:nor/>
            </m:rPr>
            <w:rPr>
              <w:i/>
            </w:rPr>
            <m:t>i*</m:t>
          </m:r>
          <m:r>
            <w:rPr>
              <w:rFonts w:asci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p>
                        <m:sSupPr>
                          <m:ctrlPr>
                            <w:rPr>
                              <w:rFonts w:ascii="Cambria Math" w:hAnsi="Cambria Math"/>
                              <w:i/>
                              <w:iCs/>
                            </w:rPr>
                          </m:ctrlPr>
                        </m:sSupPr>
                        <m:e>
                          <m:r>
                            <m:rPr>
                              <m:nor/>
                            </m:rPr>
                            <w:rPr>
                              <w:i/>
                              <w:iCs/>
                            </w:rPr>
                            <m:t>E</m:t>
                          </m:r>
                        </m:e>
                        <m:sup>
                          <m:r>
                            <m:rPr>
                              <m:nor/>
                            </m:rPr>
                            <w:rPr>
                              <w:i/>
                              <w:iCs/>
                            </w:rPr>
                            <m:t>e</m:t>
                          </m:r>
                        </m:sup>
                      </m:sSup>
                      <m:r>
                        <w:rPr>
                          <w:rFonts w:ascii="Cambria Math" w:hAnsi="Cambria Math"/>
                        </w:rPr>
                        <m:t>-</m:t>
                      </m:r>
                      <m:r>
                        <m:rPr>
                          <m:nor/>
                        </m:rPr>
                        <w:rPr>
                          <w:i/>
                        </w:rPr>
                        <m:t>E</m:t>
                      </m:r>
                      <m:r>
                        <m:rPr>
                          <m:nor/>
                        </m:rPr>
                        <w:rPr>
                          <w:rFonts w:ascii="Times New Roman" w:hAnsi="Times New Roman" w:cs="Times New Roman"/>
                          <w:i/>
                        </w:rPr>
                        <m:t>↑</m:t>
                      </m:r>
                    </m:num>
                    <m:den>
                      <m:r>
                        <m:rPr>
                          <m:nor/>
                        </m:rPr>
                        <w:rPr>
                          <w:i/>
                        </w:rPr>
                        <m:t>E</m:t>
                      </m:r>
                      <m:r>
                        <m:rPr>
                          <m:nor/>
                        </m:rPr>
                        <w:rPr>
                          <w:rFonts w:ascii="Times New Roman" w:hAnsi="Times New Roman" w:cs="Times New Roman"/>
                          <w:i/>
                        </w:rPr>
                        <m:t>↑</m:t>
                      </m:r>
                    </m:den>
                  </m:f>
                </m:e>
              </m:groupChr>
            </m:e>
            <m:lim>
              <m:r>
                <m:rPr>
                  <m:nor/>
                </m:rPr>
                <w:rPr>
                  <w:rFonts w:ascii="Cambria Math"/>
                  <w:i/>
                  <w:iCs/>
                  <w:sz w:val="16"/>
                  <w:szCs w:val="16"/>
                </w:rPr>
                <m:t xml:space="preserve"> </m:t>
              </m:r>
              <m:sSup>
                <m:sSupPr>
                  <m:ctrlPr>
                    <w:rPr>
                      <w:rFonts w:ascii="Cambria Math" w:hAnsi="Cambria Math"/>
                      <w:i/>
                      <w:iCs/>
                    </w:rPr>
                  </m:ctrlPr>
                </m:sSupPr>
                <m:e>
                  <m:r>
                    <m:rPr>
                      <m:nor/>
                    </m:rPr>
                    <w:rPr>
                      <w:i/>
                      <w:iCs/>
                    </w:rPr>
                    <m:t>γE</m:t>
                  </m:r>
                </m:e>
                <m:sup>
                  <m:r>
                    <m:rPr>
                      <m:nor/>
                    </m:rPr>
                    <w:rPr>
                      <w:i/>
                      <w:iCs/>
                    </w:rPr>
                    <m:t>e</m:t>
                  </m:r>
                </m:sup>
              </m:sSup>
              <m:r>
                <m:rPr>
                  <m:nor/>
                </m:rPr>
                <w:rPr>
                  <w:rFonts w:ascii="Times New Roman" w:hAnsi="Times New Roman" w:cs="Times New Roman"/>
                  <w:iCs/>
                </w:rPr>
                <m:t>↓</m:t>
              </m:r>
            </m:lim>
          </m:limLow>
        </m:oMath>
      </m:oMathPara>
    </w:p>
    <w:p w14:paraId="1828AD45" w14:textId="1B5ECDB3" w:rsidR="00C8232F" w:rsidRPr="00C8232F" w:rsidRDefault="00F9798D" w:rsidP="00A200F2">
      <w:pPr>
        <w:pStyle w:val="Nivel2SM"/>
        <w:keepNext/>
        <w:spacing w:after="0"/>
      </w:pPr>
      <w:r>
        <w:t xml:space="preserve">Pero hay que recordar que </w:t>
      </w:r>
      <w:r w:rsidRPr="00C8232F">
        <w:rPr>
          <w:b/>
          <w:bCs/>
        </w:rPr>
        <w:t xml:space="preserve">también hay expectativas de depreciación en el largo plazo, </w:t>
      </w:r>
      <m:oMath>
        <m:sSubSup>
          <m:sSubSupPr>
            <m:ctrlPr>
              <w:rPr>
                <w:rFonts w:ascii="Cambria Math" w:hAnsi="Cambria Math"/>
                <w:b/>
                <w:bCs/>
                <w:i/>
              </w:rPr>
            </m:ctrlPr>
          </m:sSubSupPr>
          <m:e>
            <m:r>
              <m:rPr>
                <m:nor/>
              </m:rPr>
              <w:rPr>
                <w:b/>
                <w:bCs/>
                <w:i/>
              </w:rPr>
              <m:t>E</m:t>
            </m:r>
          </m:e>
          <m:sub>
            <m:r>
              <m:rPr>
                <m:nor/>
              </m:rPr>
              <w:rPr>
                <w:b/>
                <w:bCs/>
                <w:i/>
              </w:rPr>
              <m:t>t+1</m:t>
            </m:r>
          </m:sub>
          <m:sup>
            <m:r>
              <m:rPr>
                <m:nor/>
              </m:rPr>
              <w:rPr>
                <w:b/>
                <w:bCs/>
                <w:i/>
              </w:rPr>
              <m:t>e</m:t>
            </m:r>
          </m:sup>
        </m:sSubSup>
        <m:r>
          <m:rPr>
            <m:nor/>
          </m:rPr>
          <w:rPr>
            <w:rFonts w:ascii="Times New Roman" w:hAnsi="Times New Roman" w:cs="Times New Roman"/>
            <w:b/>
            <w:bCs/>
            <w:i/>
          </w:rPr>
          <m:t>↑</m:t>
        </m:r>
      </m:oMath>
      <w:r>
        <w:t xml:space="preserve">, </w:t>
      </w:r>
      <w:r w:rsidR="00C8232F">
        <w:t xml:space="preserve">ya que en el largo plazo los precios son </w:t>
      </w:r>
      <w:r w:rsidR="00C8232F" w:rsidRPr="00C8232F">
        <w:rPr>
          <w:i/>
          <w:iCs/>
        </w:rPr>
        <w:t>flexibles</w:t>
      </w:r>
      <w:r w:rsidR="00C8232F">
        <w:t xml:space="preserve">, por lo que el aumento de la oferta monetaria se va a traducir en un aumento proporcional de los precios (i.e. </w:t>
      </w:r>
      <w:r w:rsidR="00C8232F">
        <w:rPr>
          <w:i/>
          <w:iCs/>
        </w:rPr>
        <w:t>inflació</w:t>
      </w:r>
      <w:r w:rsidR="00C8232F" w:rsidRPr="00C8232F">
        <w:rPr>
          <w:i/>
          <w:iCs/>
        </w:rPr>
        <w:t>n</w:t>
      </w:r>
      <w:r w:rsidR="00C8232F">
        <w:t>). Esta inflación implica que debido a la Paridad de Poder Adquisitivo relativa es necesario que aumente la tasa de depreciación esperada (</w:t>
      </w:r>
      <m:oMath>
        <m:sSup>
          <m:sSupPr>
            <m:ctrlPr>
              <w:rPr>
                <w:rFonts w:ascii="Cambria Math" w:hAnsi="Cambria Math"/>
                <w:i/>
                <w:iCs/>
              </w:rPr>
            </m:ctrlPr>
          </m:sSupPr>
          <m:e>
            <m:r>
              <m:rPr>
                <m:nor/>
              </m:rPr>
              <w:rPr>
                <w:i/>
                <w:iCs/>
              </w:rPr>
              <m:t>E</m:t>
            </m:r>
          </m:e>
          <m:sup>
            <m:r>
              <m:rPr>
                <m:nor/>
              </m:rPr>
              <w:rPr>
                <w:i/>
                <w:iCs/>
              </w:rPr>
              <m:t>e</m:t>
            </m:r>
          </m:sup>
        </m:sSup>
        <m:r>
          <m:rPr>
            <m:nor/>
          </m:rPr>
          <w:rPr>
            <w:rFonts w:ascii="Times New Roman" w:hAnsi="Times New Roman" w:cs="Times New Roman"/>
            <w:i/>
          </w:rPr>
          <m:t>↑</m:t>
        </m:r>
      </m:oMath>
      <w:r w:rsidR="00C8232F">
        <w:t>)</w:t>
      </w:r>
      <w:r w:rsidR="00A05DBD">
        <w:rPr>
          <w:rStyle w:val="Refdenotaalpie"/>
          <w:rFonts w:eastAsiaTheme="minorEastAsia"/>
        </w:rPr>
        <w:footnoteReference w:id="31"/>
      </w:r>
      <w:r w:rsidR="00C8232F">
        <w:t>:</w:t>
      </w:r>
    </w:p>
    <w:p w14:paraId="42084CF3" w14:textId="0F2434BD" w:rsidR="00C8232F" w:rsidRPr="00C8232F" w:rsidRDefault="00C8232F" w:rsidP="00A200F2">
      <w:pPr>
        <w:pStyle w:val="Nivel3SM"/>
        <w:keepNext/>
        <w:numPr>
          <w:ilvl w:val="0"/>
          <w:numId w:val="0"/>
        </w:numPr>
        <w:ind w:left="567"/>
      </w:pPr>
      <m:oMathPara>
        <m:oMath>
          <m:r>
            <m:rPr>
              <m:nor/>
            </m:rPr>
            <w:rPr>
              <w:i/>
              <w:iCs/>
            </w:rPr>
            <m:t>γ</m:t>
          </m:r>
          <m:sSup>
            <m:sSupPr>
              <m:ctrlPr>
                <w:rPr>
                  <w:rFonts w:ascii="Cambria Math" w:hAnsi="Cambria Math"/>
                  <w:i/>
                  <w:iCs/>
                </w:rPr>
              </m:ctrlPr>
            </m:sSupPr>
            <m:e>
              <m:r>
                <m:rPr>
                  <m:nor/>
                </m:rPr>
                <w:rPr>
                  <w:i/>
                  <w:iCs/>
                </w:rPr>
                <m:t>E</m:t>
              </m:r>
            </m:e>
            <m:sup>
              <m:r>
                <m:rPr>
                  <m:nor/>
                </m:rPr>
                <w:rPr>
                  <w:i/>
                  <w:iCs/>
                </w:rPr>
                <m:t>e</m:t>
              </m:r>
            </m:sup>
          </m:sSup>
          <m:r>
            <w:rPr>
              <w:rFonts w:ascii="Cambria Math"/>
            </w:rPr>
            <m:t>=</m:t>
          </m:r>
          <m:f>
            <m:fPr>
              <m:ctrlPr>
                <w:rPr>
                  <w:rFonts w:ascii="Cambria Math" w:hAnsi="Cambria Math"/>
                  <w:i/>
                </w:rPr>
              </m:ctrlPr>
            </m:fPr>
            <m:num>
              <m:sSup>
                <m:sSupPr>
                  <m:ctrlPr>
                    <w:rPr>
                      <w:rFonts w:ascii="Cambria Math" w:hAnsi="Cambria Math"/>
                      <w:i/>
                      <w:iCs/>
                    </w:rPr>
                  </m:ctrlPr>
                </m:sSupPr>
                <m:e>
                  <m:r>
                    <m:rPr>
                      <m:nor/>
                    </m:rPr>
                    <w:rPr>
                      <w:i/>
                      <w:iCs/>
                    </w:rPr>
                    <m:t>E</m:t>
                  </m:r>
                </m:e>
                <m:sup>
                  <m:r>
                    <m:rPr>
                      <m:nor/>
                    </m:rPr>
                    <w:rPr>
                      <w:i/>
                      <w:iCs/>
                    </w:rPr>
                    <m:t>e</m:t>
                  </m:r>
                </m:sup>
              </m:sSup>
              <m:r>
                <w:rPr>
                  <w:rFonts w:ascii="Cambria Math" w:hAnsi="Cambria Math"/>
                </w:rPr>
                <m:t>-</m:t>
              </m:r>
              <m:r>
                <m:rPr>
                  <m:nor/>
                </m:rPr>
                <w:rPr>
                  <w:i/>
                </w:rPr>
                <m:t>E</m:t>
              </m:r>
            </m:num>
            <m:den>
              <m:r>
                <m:rPr>
                  <m:nor/>
                </m:rPr>
                <w:rPr>
                  <w:i/>
                </w:rPr>
                <m:t>E</m:t>
              </m:r>
            </m:den>
          </m:f>
          <m:r>
            <w:rPr>
              <w:rFonts w:ascii="Cambria Math"/>
            </w:rPr>
            <m:t>=</m:t>
          </m:r>
          <m:r>
            <m:rPr>
              <m:nor/>
            </m:rPr>
            <w:rPr>
              <w:i/>
            </w:rPr>
            <m:t>π</m:t>
          </m:r>
          <m:r>
            <w:rPr>
              <w:rFonts w:ascii="Cambria Math" w:hAnsi="Cambria Math"/>
            </w:rPr>
            <m:t>-</m:t>
          </m:r>
          <m:r>
            <m:rPr>
              <m:nor/>
            </m:rPr>
            <w:rPr>
              <w:i/>
            </w:rPr>
            <m:t>π</m:t>
          </m:r>
          <m:r>
            <m:rPr>
              <m:nor/>
            </m:rPr>
            <w:rPr>
              <w:i/>
              <w:iCs/>
            </w:rPr>
            <m:t>*</m:t>
          </m:r>
          <m:r>
            <w:rPr>
              <w:rFonts w:ascii="Cambria Math" w:hAnsi="Cambria Math"/>
            </w:rPr>
            <m:t>⟹</m:t>
          </m:r>
          <m:r>
            <m:rPr>
              <m:nor/>
            </m:rPr>
            <w:rPr>
              <w:rFonts w:ascii="Times New Roman" w:hAnsi="Times New Roman" w:cs="Times New Roman"/>
              <w:i/>
            </w:rPr>
            <m:t>↑</m:t>
          </m:r>
          <m:r>
            <m:rPr>
              <m:nor/>
            </m:rPr>
            <w:rPr>
              <w:i/>
            </w:rPr>
            <m:t>π</m:t>
          </m:r>
          <m:r>
            <w:rPr>
              <w:rFonts w:ascii="Cambria Math"/>
            </w:rPr>
            <m:t>=</m:t>
          </m:r>
          <m:r>
            <m:rPr>
              <m:nor/>
            </m:rPr>
            <w:rPr>
              <w:i/>
            </w:rPr>
            <m:t>π</m:t>
          </m:r>
          <m:r>
            <m:rPr>
              <m:nor/>
            </m:rPr>
            <w:rPr>
              <w:i/>
              <w:iCs/>
            </w:rPr>
            <m:t>*</m:t>
          </m:r>
          <m:r>
            <w:rPr>
              <w:rFonts w:ascii="Cambria Math"/>
            </w:rPr>
            <m:t>+</m:t>
          </m:r>
          <m:f>
            <m:fPr>
              <m:ctrlPr>
                <w:rPr>
                  <w:rFonts w:ascii="Cambria Math" w:hAnsi="Cambria Math"/>
                  <w:i/>
                </w:rPr>
              </m:ctrlPr>
            </m:fPr>
            <m:num>
              <m:r>
                <m:rPr>
                  <m:nor/>
                </m:rPr>
                <w:rPr>
                  <w:rFonts w:ascii="Times New Roman" w:hAnsi="Times New Roman" w:cs="Times New Roman"/>
                  <w:i/>
                </w:rPr>
                <m:t>↑</m:t>
              </m:r>
              <m:sSup>
                <m:sSupPr>
                  <m:ctrlPr>
                    <w:rPr>
                      <w:rFonts w:ascii="Cambria Math" w:hAnsi="Cambria Math"/>
                      <w:i/>
                      <w:iCs/>
                    </w:rPr>
                  </m:ctrlPr>
                </m:sSupPr>
                <m:e>
                  <m:r>
                    <m:rPr>
                      <m:nor/>
                    </m:rPr>
                    <w:rPr>
                      <w:i/>
                      <w:iCs/>
                    </w:rPr>
                    <m:t>E</m:t>
                  </m:r>
                </m:e>
                <m:sup>
                  <m:r>
                    <m:rPr>
                      <m:nor/>
                    </m:rPr>
                    <w:rPr>
                      <w:i/>
                      <w:iCs/>
                    </w:rPr>
                    <m:t>e</m:t>
                  </m:r>
                </m:sup>
              </m:sSup>
              <m:r>
                <w:rPr>
                  <w:rFonts w:ascii="Cambria Math" w:hAnsi="Cambria Math"/>
                </w:rPr>
                <m:t>-</m:t>
              </m:r>
              <m:r>
                <m:rPr>
                  <m:nor/>
                </m:rPr>
                <w:rPr>
                  <w:i/>
                </w:rPr>
                <m:t>E</m:t>
              </m:r>
            </m:num>
            <m:den>
              <m:r>
                <m:rPr>
                  <m:nor/>
                </m:rPr>
                <w:rPr>
                  <w:i/>
                </w:rPr>
                <m:t>E</m:t>
              </m:r>
            </m:den>
          </m:f>
        </m:oMath>
      </m:oMathPara>
    </w:p>
    <w:p w14:paraId="25799D5E" w14:textId="4650F082" w:rsidR="009A37AF" w:rsidRPr="00F9798D" w:rsidRDefault="00C8232F" w:rsidP="00A200F2">
      <w:pPr>
        <w:pStyle w:val="Nivel3SM"/>
        <w:numPr>
          <w:ilvl w:val="0"/>
          <w:numId w:val="0"/>
        </w:numPr>
        <w:ind w:left="567"/>
      </w:pPr>
      <w:r>
        <w:rPr>
          <w:rFonts w:eastAsiaTheme="minorEastAsia"/>
        </w:rPr>
        <w:t xml:space="preserve">Esto implica </w:t>
      </w:r>
      <w:r w:rsidR="00F9798D">
        <w:rPr>
          <w:rFonts w:eastAsiaTheme="minorEastAsia"/>
        </w:rPr>
        <w:t>que para que se siga cumpliendo la P</w:t>
      </w:r>
      <w:r w:rsidR="00316A28">
        <w:rPr>
          <w:rFonts w:eastAsiaTheme="minorEastAsia"/>
        </w:rPr>
        <w:t>NC</w:t>
      </w:r>
      <w:r w:rsidR="00F9798D">
        <w:rPr>
          <w:rFonts w:eastAsiaTheme="minorEastAsia"/>
        </w:rPr>
        <w:t>I es necesario que la depreciación en el corto plazo sea mayor que la del largo plazo</w:t>
      </w:r>
      <w:r w:rsidR="009A37AF">
        <w:rPr>
          <w:rStyle w:val="Refdenotaalpie"/>
        </w:rPr>
        <w:footnoteReference w:id="32"/>
      </w:r>
      <w:r w:rsidR="009A37AF">
        <w:rPr>
          <w:rFonts w:eastAsiaTheme="minorEastAsia"/>
        </w:rPr>
        <w:t>:</w:t>
      </w:r>
    </w:p>
    <w:p w14:paraId="3335C5FD" w14:textId="1406E8A3" w:rsidR="00F9798D" w:rsidRPr="00F9798D" w:rsidRDefault="00F9798D" w:rsidP="00F9798D">
      <w:pPr>
        <w:pStyle w:val="Nivel3SM"/>
        <w:numPr>
          <w:ilvl w:val="0"/>
          <w:numId w:val="0"/>
        </w:numPr>
        <w:ind w:left="471"/>
      </w:pPr>
      <m:oMathPara>
        <m:oMath>
          <m:r>
            <m:rPr>
              <m:nor/>
            </m:rPr>
            <w:rPr>
              <w:rFonts w:ascii="Times New Roman" w:hAnsi="Times New Roman" w:cs="Times New Roman"/>
              <w:iCs/>
            </w:rPr>
            <m:t>↓</m:t>
          </m:r>
          <m:r>
            <m:rPr>
              <m:nor/>
            </m:rPr>
            <w:rPr>
              <w:i/>
            </w:rPr>
            <m:t>i</m:t>
          </m:r>
          <m:r>
            <w:rPr>
              <w:rFonts w:ascii="Cambria Math" w:eastAsiaTheme="minorEastAsia" w:hAnsi="Cambria Math"/>
            </w:rPr>
            <m:t>≅</m:t>
          </m:r>
          <m:r>
            <m:rPr>
              <m:nor/>
            </m:rPr>
            <w:rPr>
              <w:i/>
            </w:rPr>
            <m:t>i*</m:t>
          </m:r>
          <m:r>
            <w:rPr>
              <w:rFonts w:asci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p>
                        <m:sSupPr>
                          <m:ctrlPr>
                            <w:rPr>
                              <w:rFonts w:ascii="Cambria Math" w:hAnsi="Cambria Math"/>
                              <w:i/>
                              <w:iCs/>
                            </w:rPr>
                          </m:ctrlPr>
                        </m:sSupPr>
                        <m:e>
                          <m:r>
                            <m:rPr>
                              <m:nor/>
                            </m:rPr>
                            <w:rPr>
                              <w:i/>
                              <w:iCs/>
                            </w:rPr>
                            <m:t>E</m:t>
                          </m:r>
                        </m:e>
                        <m:sup>
                          <m:r>
                            <m:rPr>
                              <m:nor/>
                            </m:rPr>
                            <w:rPr>
                              <w:i/>
                              <w:iCs/>
                            </w:rPr>
                            <m:t>e</m:t>
                          </m:r>
                        </m:sup>
                      </m:sSup>
                      <m:r>
                        <m:rPr>
                          <m:nor/>
                        </m:rPr>
                        <w:rPr>
                          <w:rFonts w:ascii="Times New Roman" w:hAnsi="Times New Roman" w:cs="Times New Roman"/>
                          <w:i/>
                        </w:rPr>
                        <m:t>↑</m:t>
                      </m:r>
                      <m:r>
                        <w:rPr>
                          <w:rFonts w:ascii="Cambria Math" w:hAnsi="Cambria Math"/>
                        </w:rPr>
                        <m:t>-</m:t>
                      </m:r>
                      <m:r>
                        <m:rPr>
                          <m:nor/>
                        </m:rPr>
                        <w:rPr>
                          <w:i/>
                        </w:rPr>
                        <m:t>E</m:t>
                      </m:r>
                      <m:r>
                        <m:rPr>
                          <m:nor/>
                        </m:rPr>
                        <w:rPr>
                          <w:rFonts w:ascii="Times New Roman" w:hAnsi="Times New Roman" w:cs="Times New Roman"/>
                          <w:i/>
                        </w:rPr>
                        <m:t>↑↑</m:t>
                      </m:r>
                    </m:num>
                    <m:den>
                      <m:r>
                        <m:rPr>
                          <m:nor/>
                        </m:rPr>
                        <w:rPr>
                          <w:i/>
                        </w:rPr>
                        <m:t>E</m:t>
                      </m:r>
                      <m:r>
                        <m:rPr>
                          <m:nor/>
                        </m:rPr>
                        <w:rPr>
                          <w:rFonts w:ascii="Times New Roman" w:hAnsi="Times New Roman" w:cs="Times New Roman"/>
                          <w:i/>
                        </w:rPr>
                        <m:t>↑↑</m:t>
                      </m:r>
                    </m:den>
                  </m:f>
                </m:e>
              </m:groupChr>
            </m:e>
            <m:lim>
              <m:sSup>
                <m:sSupPr>
                  <m:ctrlPr>
                    <w:rPr>
                      <w:rFonts w:ascii="Cambria Math" w:hAnsi="Cambria Math"/>
                      <w:i/>
                      <w:iCs/>
                    </w:rPr>
                  </m:ctrlPr>
                </m:sSupPr>
                <m:e>
                  <m:r>
                    <m:rPr>
                      <m:nor/>
                    </m:rPr>
                    <w:rPr>
                      <w:i/>
                      <w:iCs/>
                    </w:rPr>
                    <m:t>γE</m:t>
                  </m:r>
                </m:e>
                <m:sup>
                  <m:r>
                    <m:rPr>
                      <m:nor/>
                    </m:rPr>
                    <w:rPr>
                      <w:i/>
                      <w:iCs/>
                    </w:rPr>
                    <m:t>e</m:t>
                  </m:r>
                </m:sup>
              </m:sSup>
              <m:r>
                <m:rPr>
                  <m:nor/>
                </m:rPr>
                <w:rPr>
                  <w:rFonts w:ascii="Times New Roman" w:hAnsi="Times New Roman" w:cs="Times New Roman"/>
                  <w:iCs/>
                </w:rPr>
                <m:t>↓</m:t>
              </m:r>
            </m:lim>
          </m:limLow>
        </m:oMath>
      </m:oMathPara>
    </w:p>
    <w:p w14:paraId="4A828E48" w14:textId="3215228D" w:rsidR="006C756B" w:rsidRDefault="00F9798D" w:rsidP="00A200F2">
      <w:pPr>
        <w:pStyle w:val="Nivel2SM"/>
      </w:pPr>
      <w:r>
        <w:t xml:space="preserve">Es precisamente esto lo que explica la </w:t>
      </w:r>
      <w:r>
        <w:rPr>
          <w:i/>
          <w:iCs/>
        </w:rPr>
        <w:t>sobrerreacción</w:t>
      </w:r>
      <w:r>
        <w:t xml:space="preserve"> del tipo de cambio en el corto plazo (i.e. que en el corto plazo se deprecia más de lo que exigen sus fundamentales)</w:t>
      </w:r>
      <w:r w:rsidR="009742DD">
        <w:rPr>
          <w:rStyle w:val="Refdenotaalpie"/>
        </w:rPr>
        <w:footnoteReference w:id="33"/>
      </w:r>
      <w:r>
        <w:t>.</w:t>
      </w:r>
    </w:p>
    <w:p w14:paraId="24A64092" w14:textId="0E54ED66" w:rsidR="008740A3" w:rsidRDefault="006C756B" w:rsidP="004832C1">
      <w:pPr>
        <w:pStyle w:val="Ttuloimagen"/>
      </w:pPr>
      <w:r>
        <w:t>Imagen</w:t>
      </w:r>
      <w:r w:rsidR="00C26C58">
        <w:t> </w:t>
      </w:r>
      <w:r>
        <w:fldChar w:fldCharType="begin"/>
      </w:r>
      <w:r>
        <w:instrText xml:space="preserve"> SEQ Ilustración \* ARABIC </w:instrText>
      </w:r>
      <w:r>
        <w:fldChar w:fldCharType="separate"/>
      </w:r>
      <w:r w:rsidR="00A448D4">
        <w:t>7</w:t>
      </w:r>
      <w:r>
        <w:fldChar w:fldCharType="end"/>
      </w:r>
      <w:r>
        <w:rPr>
          <w:smallCaps w:val="0"/>
        </w:rPr>
        <w:t xml:space="preserve">.– </w:t>
      </w:r>
      <w:r w:rsidR="004832C1">
        <w:rPr>
          <w:i/>
          <w:iCs/>
          <w:smallCaps w:val="0"/>
        </w:rPr>
        <w:t>Equilibrio a corto plazo en el m</w:t>
      </w:r>
      <w:r>
        <w:rPr>
          <w:i/>
          <w:iCs/>
          <w:smallCaps w:val="0"/>
        </w:rPr>
        <w:t xml:space="preserve">odelo de </w:t>
      </w:r>
      <w:r>
        <w:rPr>
          <w:i/>
          <w:iCs/>
        </w:rPr>
        <w:t>Dornbusch</w:t>
      </w:r>
      <w:r w:rsidR="004832C1">
        <w:drawing>
          <wp:inline distT="0" distB="0" distL="0" distR="0" wp14:anchorId="7A859A7C" wp14:editId="74180E35">
            <wp:extent cx="3200000" cy="1800000"/>
            <wp:effectExtent l="0" t="0" r="635" b="0"/>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 1"/>
                    <pic:cNvPicPr/>
                  </pic:nvPicPr>
                  <pic:blipFill>
                    <a:blip r:embed="rId16"/>
                    <a:stretch>
                      <a:fillRect/>
                    </a:stretch>
                  </pic:blipFill>
                  <pic:spPr>
                    <a:xfrm>
                      <a:off x="0" y="0"/>
                      <a:ext cx="3200000" cy="1800000"/>
                    </a:xfrm>
                    <a:prstGeom prst="rect">
                      <a:avLst/>
                    </a:prstGeom>
                  </pic:spPr>
                </pic:pic>
              </a:graphicData>
            </a:graphic>
          </wp:inline>
        </w:drawing>
      </w:r>
    </w:p>
    <w:p w14:paraId="1907E108" w14:textId="5BA8A4A1" w:rsidR="008740A3" w:rsidRPr="007402FC" w:rsidRDefault="008740A3" w:rsidP="008740A3">
      <w:pPr>
        <w:pStyle w:val="PiedeImagen"/>
        <w:rPr>
          <w:i w:val="0"/>
          <w:iCs/>
          <w:u w:val="single"/>
        </w:rPr>
      </w:pPr>
      <w:r w:rsidRPr="008740A3">
        <w:t>Fuente</w:t>
      </w:r>
      <w:r w:rsidRPr="008740A3">
        <w:rPr>
          <w:i w:val="0"/>
          <w:iCs/>
        </w:rPr>
        <w:t>: Elaboración propia basada en Krugman, P. R., Obstfeld, M.</w:t>
      </w:r>
      <w:r w:rsidR="006C756B">
        <w:rPr>
          <w:i w:val="0"/>
          <w:iCs/>
        </w:rPr>
        <w:t xml:space="preserve"> </w:t>
      </w:r>
      <w:r w:rsidRPr="008740A3">
        <w:rPr>
          <w:i w:val="0"/>
          <w:iCs/>
        </w:rPr>
        <w:t xml:space="preserve">&amp; Melitz, M. J. (2018). </w:t>
      </w:r>
      <w:r w:rsidRPr="007402FC">
        <w:t>International economics: Theory &amp; policy</w:t>
      </w:r>
      <w:r w:rsidRPr="007402FC">
        <w:rPr>
          <w:i w:val="0"/>
          <w:iCs/>
        </w:rPr>
        <w:t xml:space="preserve"> (Eleventh Edition). Pearson. (pág. 439)</w:t>
      </w:r>
    </w:p>
    <w:p w14:paraId="7B83A6C5" w14:textId="396202BD" w:rsidR="00BC2A9C" w:rsidRDefault="00BC2A9C" w:rsidP="00BC2A9C">
      <w:pPr>
        <w:pStyle w:val="Ttulo8"/>
      </w:pPr>
      <w:r>
        <w:lastRenderedPageBreak/>
        <w:t>Largo plazo</w:t>
      </w:r>
    </w:p>
    <w:p w14:paraId="000FDDD0" w14:textId="51BF40DD" w:rsidR="004754A5" w:rsidRPr="00A200F2" w:rsidRDefault="00B937F6" w:rsidP="00C26C58">
      <w:pPr>
        <w:pStyle w:val="Nivel1SM"/>
        <w:spacing w:before="0"/>
        <w:rPr>
          <w:spacing w:val="-1"/>
        </w:rPr>
      </w:pPr>
      <w:r w:rsidRPr="00A200F2">
        <w:rPr>
          <w:spacing w:val="-1"/>
        </w:rPr>
        <w:t xml:space="preserve">Tras la sobrerreacción a corto plazo, en el medio plazo la moneda se va a ir </w:t>
      </w:r>
      <w:r w:rsidRPr="00A200F2">
        <w:rPr>
          <w:i/>
          <w:iCs/>
          <w:spacing w:val="-1"/>
        </w:rPr>
        <w:t>apreciando</w:t>
      </w:r>
      <w:r w:rsidRPr="00A200F2">
        <w:rPr>
          <w:spacing w:val="-1"/>
        </w:rPr>
        <w:t xml:space="preserve"> conforme aumenten los precios y el tipo de interés. </w:t>
      </w:r>
      <w:r w:rsidR="004754A5" w:rsidRPr="00A200F2">
        <w:rPr>
          <w:spacing w:val="-1"/>
        </w:rPr>
        <w:t xml:space="preserve">En el </w:t>
      </w:r>
      <w:r w:rsidR="004754A5" w:rsidRPr="00A200F2">
        <w:rPr>
          <w:b/>
          <w:bCs/>
          <w:spacing w:val="-1"/>
        </w:rPr>
        <w:t>largo plazo</w:t>
      </w:r>
      <w:r w:rsidR="004754A5" w:rsidRPr="00A200F2">
        <w:rPr>
          <w:spacing w:val="-1"/>
        </w:rPr>
        <w:t xml:space="preserve">, </w:t>
      </w:r>
      <w:r w:rsidRPr="00A200F2">
        <w:rPr>
          <w:spacing w:val="-1"/>
        </w:rPr>
        <w:t>la flexibilidad de precios garantizaría que la oferta de saldos reales se mantuviera constante y se volviera al tipo de interés inicial, hasta alcanzar un tipo de cambio más depreciado que el original (pero más apreciado que el del corto plazo).</w:t>
      </w:r>
    </w:p>
    <w:p w14:paraId="4F7B1091" w14:textId="15170B94" w:rsidR="006C756B" w:rsidRPr="006C756B" w:rsidRDefault="006C756B" w:rsidP="006C756B">
      <w:pPr>
        <w:pStyle w:val="Ttuloimagen"/>
      </w:pPr>
      <w:r>
        <w:t>Imagen</w:t>
      </w:r>
      <w:r w:rsidR="00C26C58">
        <w:t> </w:t>
      </w:r>
      <w:r>
        <w:fldChar w:fldCharType="begin"/>
      </w:r>
      <w:r>
        <w:instrText xml:space="preserve"> SEQ Ilustración \* ARABIC </w:instrText>
      </w:r>
      <w:r>
        <w:fldChar w:fldCharType="separate"/>
      </w:r>
      <w:r w:rsidR="00A448D4">
        <w:t>8</w:t>
      </w:r>
      <w:r>
        <w:fldChar w:fldCharType="end"/>
      </w:r>
      <w:r>
        <w:rPr>
          <w:smallCaps w:val="0"/>
        </w:rPr>
        <w:t xml:space="preserve">.– </w:t>
      </w:r>
      <w:r w:rsidR="004832C1">
        <w:rPr>
          <w:i/>
          <w:iCs/>
          <w:smallCaps w:val="0"/>
        </w:rPr>
        <w:t>Equilibrio a largo plazo en el m</w:t>
      </w:r>
      <w:r>
        <w:rPr>
          <w:i/>
          <w:iCs/>
          <w:smallCaps w:val="0"/>
        </w:rPr>
        <w:t xml:space="preserve">odelo de </w:t>
      </w:r>
      <w:r>
        <w:rPr>
          <w:i/>
          <w:iCs/>
        </w:rPr>
        <w:t>Dornbusch</w:t>
      </w:r>
    </w:p>
    <w:p w14:paraId="3E856358" w14:textId="4F504457" w:rsidR="004832C1" w:rsidRPr="004832C1" w:rsidRDefault="004832C1" w:rsidP="004832C1">
      <w:pPr>
        <w:pStyle w:val="Imagen"/>
      </w:pPr>
      <w:r>
        <w:drawing>
          <wp:inline distT="0" distB="0" distL="0" distR="0" wp14:anchorId="4DE543B3" wp14:editId="607DEEE3">
            <wp:extent cx="3200222" cy="1800000"/>
            <wp:effectExtent l="0" t="0" r="635" b="0"/>
            <wp:docPr id="10" name="Imagen 10"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Gráfico, Gráfico de líneas, Histograma&#10;&#10;Descripción generada automáticamente"/>
                    <pic:cNvPicPr/>
                  </pic:nvPicPr>
                  <pic:blipFill>
                    <a:blip r:embed="rId17"/>
                    <a:stretch>
                      <a:fillRect/>
                    </a:stretch>
                  </pic:blipFill>
                  <pic:spPr>
                    <a:xfrm>
                      <a:off x="0" y="0"/>
                      <a:ext cx="3200222" cy="1800000"/>
                    </a:xfrm>
                    <a:prstGeom prst="rect">
                      <a:avLst/>
                    </a:prstGeom>
                  </pic:spPr>
                </pic:pic>
              </a:graphicData>
            </a:graphic>
          </wp:inline>
        </w:drawing>
      </w:r>
    </w:p>
    <w:p w14:paraId="22A4C47F" w14:textId="12DBEEA7" w:rsidR="00DC5472" w:rsidRPr="007402FC" w:rsidRDefault="00DC5472" w:rsidP="00DC5472">
      <w:pPr>
        <w:pStyle w:val="PiedeImagen"/>
        <w:rPr>
          <w:i w:val="0"/>
          <w:iCs/>
          <w:u w:val="single"/>
        </w:rPr>
      </w:pPr>
      <w:r w:rsidRPr="008740A3">
        <w:t>Fuente</w:t>
      </w:r>
      <w:r w:rsidRPr="008740A3">
        <w:rPr>
          <w:i w:val="0"/>
          <w:iCs/>
        </w:rPr>
        <w:t xml:space="preserve">: Elaboración propia basada en Krugman, P. R., Obstfeld, M. &amp; Melitz, M. J. (2018). </w:t>
      </w:r>
      <w:r w:rsidRPr="007402FC">
        <w:t>International economics: Theory &amp; policy</w:t>
      </w:r>
      <w:r w:rsidRPr="007402FC">
        <w:rPr>
          <w:i w:val="0"/>
          <w:iCs/>
        </w:rPr>
        <w:t xml:space="preserve"> (Eleventh Edition). Pearson. (pág. 439)</w:t>
      </w:r>
    </w:p>
    <w:p w14:paraId="3E00760D" w14:textId="51066A23" w:rsidR="006412ED" w:rsidRDefault="006412ED" w:rsidP="006412ED">
      <w:pPr>
        <w:pStyle w:val="Ttulo7"/>
      </w:pPr>
      <w:r>
        <w:t>Implicaciones</w:t>
      </w:r>
    </w:p>
    <w:p w14:paraId="7E22AA5C" w14:textId="049514DF" w:rsidR="00BC2A9C" w:rsidRDefault="00BC2A9C" w:rsidP="00C26C58">
      <w:pPr>
        <w:pStyle w:val="Nivel1SM"/>
        <w:keepNext/>
        <w:spacing w:before="0" w:after="0"/>
      </w:pPr>
      <w:r>
        <w:t xml:space="preserve">La </w:t>
      </w:r>
      <w:r>
        <w:rPr>
          <w:b/>
          <w:bCs/>
        </w:rPr>
        <w:t>dinámica de ajuste</w:t>
      </w:r>
      <w:r>
        <w:t xml:space="preserve"> de dicha política monetaria no anticipada y permanente es la siguiente:</w:t>
      </w:r>
    </w:p>
    <w:p w14:paraId="0107A52A" w14:textId="409C286D" w:rsidR="006C756B" w:rsidRPr="006C756B" w:rsidRDefault="006C756B" w:rsidP="006C756B">
      <w:pPr>
        <w:pStyle w:val="Ttuloimagen"/>
        <w:rPr>
          <w:smallCaps w:val="0"/>
        </w:rPr>
      </w:pPr>
      <w:r>
        <w:t>Imagen</w:t>
      </w:r>
      <w:r w:rsidR="00C26C58">
        <w:t> </w:t>
      </w:r>
      <w:r>
        <w:fldChar w:fldCharType="begin"/>
      </w:r>
      <w:r>
        <w:instrText xml:space="preserve"> SEQ Ilustración \* ARABIC </w:instrText>
      </w:r>
      <w:r>
        <w:fldChar w:fldCharType="separate"/>
      </w:r>
      <w:r w:rsidR="00A448D4">
        <w:t>9</w:t>
      </w:r>
      <w:r>
        <w:fldChar w:fldCharType="end"/>
      </w:r>
      <w:r>
        <w:rPr>
          <w:smallCaps w:val="0"/>
        </w:rPr>
        <w:t xml:space="preserve">.– </w:t>
      </w:r>
      <w:r>
        <w:rPr>
          <w:i/>
          <w:iCs/>
          <w:smallCaps w:val="0"/>
        </w:rPr>
        <w:t>Dinámica de ajuste del tipo de cambio</w:t>
      </w:r>
    </w:p>
    <w:p w14:paraId="5CB88B6A" w14:textId="732D81D1" w:rsidR="00DD66B4" w:rsidRDefault="00C31A05" w:rsidP="00DD66B4">
      <w:pPr>
        <w:pStyle w:val="Imagen"/>
      </w:pPr>
      <w:r>
        <w:drawing>
          <wp:inline distT="0" distB="0" distL="0" distR="0" wp14:anchorId="74C9ABF3" wp14:editId="7F8FAA2C">
            <wp:extent cx="4160287" cy="2340000"/>
            <wp:effectExtent l="0" t="0" r="0" b="3175"/>
            <wp:docPr id="3" name="Imagen 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de líneas&#10;&#10;Descripción generada automáticamente"/>
                    <pic:cNvPicPr/>
                  </pic:nvPicPr>
                  <pic:blipFill>
                    <a:blip r:embed="rId18"/>
                    <a:stretch>
                      <a:fillRect/>
                    </a:stretch>
                  </pic:blipFill>
                  <pic:spPr>
                    <a:xfrm>
                      <a:off x="0" y="0"/>
                      <a:ext cx="4160287" cy="2340000"/>
                    </a:xfrm>
                    <a:prstGeom prst="rect">
                      <a:avLst/>
                    </a:prstGeom>
                  </pic:spPr>
                </pic:pic>
              </a:graphicData>
            </a:graphic>
          </wp:inline>
        </w:drawing>
      </w:r>
    </w:p>
    <w:p w14:paraId="6DA76538" w14:textId="73788FB1" w:rsidR="00E97C8E" w:rsidRPr="00E97C8E" w:rsidRDefault="006B6734" w:rsidP="00E97C8E">
      <w:pPr>
        <w:pStyle w:val="PiedeImagen"/>
        <w:rPr>
          <w:i w:val="0"/>
          <w:iCs/>
        </w:rPr>
      </w:pPr>
      <w:r w:rsidRPr="00C31A05">
        <w:t>Fuente</w:t>
      </w:r>
      <w:r w:rsidRPr="00C31A05">
        <w:rPr>
          <w:i w:val="0"/>
          <w:iCs/>
        </w:rPr>
        <w:t xml:space="preserve">: </w:t>
      </w:r>
      <w:r w:rsidR="00C31A05" w:rsidRPr="00C31A05">
        <w:rPr>
          <w:i w:val="0"/>
          <w:iCs/>
          <w:spacing w:val="-2"/>
        </w:rPr>
        <w:t xml:space="preserve">Elaboración propia basada en </w:t>
      </w:r>
      <w:r w:rsidRPr="00C31A05">
        <w:rPr>
          <w:i w:val="0"/>
          <w:iCs/>
          <w:spacing w:val="-2"/>
        </w:rPr>
        <w:t xml:space="preserve">Dornbusch, R., Fischer, S. &amp; Startz, R. (2018). </w:t>
      </w:r>
      <w:r w:rsidRPr="00C31A05">
        <w:rPr>
          <w:spacing w:val="-2"/>
          <w:lang w:val="en-US"/>
        </w:rPr>
        <w:t>Macroeconomics</w:t>
      </w:r>
      <w:r w:rsidRPr="00C31A05">
        <w:rPr>
          <w:i w:val="0"/>
          <w:iCs/>
          <w:spacing w:val="-2"/>
          <w:lang w:val="en-US"/>
        </w:rPr>
        <w:t xml:space="preserve"> (Thirteenth edition). McGraw-Hill Education. Pearson. (pág.</w:t>
      </w:r>
      <w:r w:rsidR="00C31A05" w:rsidRPr="00C31A05">
        <w:rPr>
          <w:i w:val="0"/>
          <w:iCs/>
          <w:spacing w:val="-2"/>
          <w:lang w:val="en-US"/>
        </w:rPr>
        <w:t> </w:t>
      </w:r>
      <w:r w:rsidRPr="00C31A05">
        <w:rPr>
          <w:i w:val="0"/>
          <w:iCs/>
          <w:spacing w:val="-2"/>
          <w:lang w:val="en-US"/>
        </w:rPr>
        <w:t>559)</w:t>
      </w:r>
      <w:r w:rsidR="00C31A05" w:rsidRPr="00C31A05">
        <w:rPr>
          <w:i w:val="0"/>
          <w:iCs/>
          <w:spacing w:val="-2"/>
          <w:lang w:val="en-US"/>
        </w:rPr>
        <w:t xml:space="preserve"> y </w:t>
      </w:r>
      <w:r w:rsidR="00E97C8E" w:rsidRPr="00C31A05">
        <w:rPr>
          <w:i w:val="0"/>
          <w:iCs/>
          <w:spacing w:val="-2"/>
          <w:lang w:val="en-US"/>
        </w:rPr>
        <w:t xml:space="preserve">Krugman, P. R., Obstfeld, M. &amp; Melitz, M. J. (2018). </w:t>
      </w:r>
      <w:r w:rsidR="00E97C8E" w:rsidRPr="00C31A05">
        <w:rPr>
          <w:spacing w:val="-2"/>
          <w:lang w:val="en-US"/>
        </w:rPr>
        <w:t>International economics: Theory &amp; policy</w:t>
      </w:r>
      <w:r w:rsidR="00E97C8E" w:rsidRPr="00C31A05">
        <w:rPr>
          <w:i w:val="0"/>
          <w:iCs/>
          <w:spacing w:val="-2"/>
          <w:lang w:val="en-US"/>
        </w:rPr>
        <w:t xml:space="preserve"> (Eleventh Edition). </w:t>
      </w:r>
      <w:r w:rsidR="00E97C8E" w:rsidRPr="00C31A05">
        <w:rPr>
          <w:i w:val="0"/>
          <w:iCs/>
          <w:spacing w:val="-2"/>
        </w:rPr>
        <w:t>Pearson. (pág.</w:t>
      </w:r>
      <w:r w:rsidR="00C31A05" w:rsidRPr="00C31A05">
        <w:rPr>
          <w:i w:val="0"/>
          <w:iCs/>
          <w:spacing w:val="-2"/>
        </w:rPr>
        <w:t> </w:t>
      </w:r>
      <w:r w:rsidR="00E97C8E" w:rsidRPr="00C31A05">
        <w:rPr>
          <w:i w:val="0"/>
          <w:iCs/>
          <w:spacing w:val="-2"/>
        </w:rPr>
        <w:t>439)</w:t>
      </w:r>
    </w:p>
    <w:p w14:paraId="664E6748" w14:textId="5704DC32" w:rsidR="00BC2A9C" w:rsidRDefault="00BC2A9C" w:rsidP="00934551">
      <w:pPr>
        <w:pStyle w:val="Nivel1SM"/>
        <w:keepNext/>
        <w:spacing w:after="0"/>
      </w:pPr>
      <w:r>
        <w:t>Este modelo muestra c</w:t>
      </w:r>
      <w:r w:rsidR="001D6647">
        <w:t>ó</w:t>
      </w:r>
      <w:r>
        <w:t xml:space="preserve">mo el tipo de cambio puede ser </w:t>
      </w:r>
      <w:r>
        <w:rPr>
          <w:b/>
          <w:bCs/>
        </w:rPr>
        <w:t>muy volátil</w:t>
      </w:r>
      <w:r>
        <w:t xml:space="preserve"> en el corto plazo y, al mismo tiempo, moverse de modo consistente con sus </w:t>
      </w:r>
      <w:r w:rsidRPr="00BC2A9C">
        <w:rPr>
          <w:b/>
          <w:bCs/>
        </w:rPr>
        <w:t>fundamentos</w:t>
      </w:r>
      <w:r>
        <w:t>.</w:t>
      </w:r>
    </w:p>
    <w:p w14:paraId="4D7359B5" w14:textId="262C2CD1" w:rsidR="00BC2A9C" w:rsidRDefault="00BC2A9C" w:rsidP="00BC2A9C">
      <w:pPr>
        <w:pStyle w:val="Nivel2"/>
        <w:ind w:left="482"/>
      </w:pPr>
      <w:r>
        <w:t xml:space="preserve">Por lo tanto, puede ser </w:t>
      </w:r>
      <w:r>
        <w:rPr>
          <w:i/>
          <w:iCs/>
        </w:rPr>
        <w:t>muy difícil identificar movimientos especulativos desestabilizadores</w:t>
      </w:r>
      <w:r>
        <w:t xml:space="preserve"> del tipo de cambio, pues cambios bruscos pueden ser el resultado de acciones racionales y consistentes con el largo plazo.</w:t>
      </w:r>
    </w:p>
    <w:p w14:paraId="652A8DB9" w14:textId="7CC49D66" w:rsidR="00BB4101" w:rsidRDefault="00BB4101" w:rsidP="00BB4101">
      <w:pPr>
        <w:pStyle w:val="Nivel1SM"/>
        <w:spacing w:before="0"/>
      </w:pPr>
      <w:r>
        <w:t xml:space="preserve">Además, el modelo de </w:t>
      </w:r>
      <w:proofErr w:type="spellStart"/>
      <w:r>
        <w:rPr>
          <w:smallCaps/>
        </w:rPr>
        <w:t>Dornbusch</w:t>
      </w:r>
      <w:proofErr w:type="spellEnd"/>
      <w:r>
        <w:t xml:space="preserve"> encuentra que e</w:t>
      </w:r>
      <w:r w:rsidRPr="00637519">
        <w:t>n un régimen de tipo</w:t>
      </w:r>
      <w:r>
        <w:t xml:space="preserve"> de cambio flexible , </w:t>
      </w:r>
      <w:r w:rsidRPr="00DF6998">
        <w:rPr>
          <w:b/>
          <w:bCs/>
        </w:rPr>
        <w:t>la política monetaria es muy eficaz</w:t>
      </w:r>
      <w:r>
        <w:t xml:space="preserve"> (al igual que en el modelo </w:t>
      </w:r>
      <w:proofErr w:type="spellStart"/>
      <w:r>
        <w:rPr>
          <w:smallCaps/>
        </w:rPr>
        <w:t>Mundell</w:t>
      </w:r>
      <w:proofErr w:type="spellEnd"/>
      <w:r w:rsidRPr="00BB4101">
        <w:t>-</w:t>
      </w:r>
      <w:r>
        <w:rPr>
          <w:smallCaps/>
        </w:rPr>
        <w:t>Fleming</w:t>
      </w:r>
      <w:r>
        <w:t xml:space="preserve">). Sin embargo, en caso de contemplar un modelo dinámico, en el que los precios fuesen fijos a corto plazo pero flexibles a corto plazo, la política monetaria podría llevar a un problema de </w:t>
      </w:r>
      <w:proofErr w:type="spellStart"/>
      <w:r>
        <w:rPr>
          <w:i/>
          <w:iCs/>
        </w:rPr>
        <w:t>overshooting</w:t>
      </w:r>
      <w:proofErr w:type="spellEnd"/>
      <w:r w:rsidRPr="00637519">
        <w:t xml:space="preserve"> en el </w:t>
      </w:r>
      <w:r>
        <w:t xml:space="preserve">corto plazo y provocar </w:t>
      </w:r>
      <w:r w:rsidRPr="00BB4101">
        <w:rPr>
          <w:b/>
          <w:bCs/>
        </w:rPr>
        <w:t>efectos reales negativos debido a la distorsión provocada</w:t>
      </w:r>
      <w:r>
        <w:t>.</w:t>
      </w:r>
    </w:p>
    <w:p w14:paraId="02D33FC2" w14:textId="537677EB" w:rsidR="00616E22" w:rsidRDefault="00616E22" w:rsidP="006412ED">
      <w:pPr>
        <w:pStyle w:val="Ttulo6"/>
      </w:pPr>
      <w:bookmarkStart w:id="64" w:name="_Toc136424383"/>
      <w:r>
        <w:lastRenderedPageBreak/>
        <w:t>Extensiones</w:t>
      </w:r>
      <w:bookmarkEnd w:id="64"/>
    </w:p>
    <w:p w14:paraId="02E36564" w14:textId="69D0F4A1" w:rsidR="00616E22" w:rsidRDefault="00616E22" w:rsidP="009D1C49">
      <w:pPr>
        <w:pStyle w:val="Nivel1SM"/>
        <w:keepNext/>
        <w:keepLines/>
        <w:spacing w:before="0" w:after="0"/>
      </w:pPr>
      <w:r>
        <w:rPr>
          <w:smallCaps/>
        </w:rPr>
        <w:t>Wolff</w:t>
      </w:r>
      <w:r>
        <w:t xml:space="preserve"> (1987) desarrolla una variante de este modelo en la que se permiten desviaciones de la PPA también a largo plazo (en línea con la hipótesis de </w:t>
      </w:r>
      <w:proofErr w:type="spellStart"/>
      <w:r>
        <w:t>Balassa</w:t>
      </w:r>
      <w:proofErr w:type="spellEnd"/>
      <w:r>
        <w:t>-Samuelson) y esto permite que entren variables reales en la determinación del tipo de cambio. Para ello</w:t>
      </w:r>
      <w:r w:rsidR="00726F45">
        <w:t>,</w:t>
      </w:r>
      <w:r>
        <w:t xml:space="preserve"> suponen que la PPA s</w:t>
      </w:r>
      <w:r w:rsidR="00726F45">
        <w:t>ó</w:t>
      </w:r>
      <w:r>
        <w:t>lo se cumple para los bienes comerciables.</w:t>
      </w:r>
    </w:p>
    <w:p w14:paraId="24B19427" w14:textId="1045B46F" w:rsidR="00616E22" w:rsidRPr="00616E22" w:rsidRDefault="00616E22" w:rsidP="00726F45">
      <w:pPr>
        <w:pStyle w:val="Nivel2SM"/>
      </w:pPr>
      <w:r>
        <w:t>Como resultado obtiene que, además de los factores monetarios habituales, hay factores reales que afectan al tipo de cambio nominal. Por ejemplo, cualquier factor que provoque cambios en el diferencial entre países del precio relativo de comerciables y no comerciables</w:t>
      </w:r>
      <w:r>
        <w:rPr>
          <w:rStyle w:val="Refdenotaalpie"/>
        </w:rPr>
        <w:footnoteReference w:id="34"/>
      </w:r>
      <w:r>
        <w:t>.</w:t>
      </w:r>
    </w:p>
    <w:p w14:paraId="32BDADDC" w14:textId="5A517A72" w:rsidR="006412ED" w:rsidRDefault="006412ED" w:rsidP="006412ED">
      <w:pPr>
        <w:pStyle w:val="Ttulo6"/>
      </w:pPr>
      <w:bookmarkStart w:id="65" w:name="_Toc136424384"/>
      <w:r>
        <w:t>Evidencia empírica</w:t>
      </w:r>
      <w:bookmarkEnd w:id="65"/>
    </w:p>
    <w:p w14:paraId="410814C3" w14:textId="77777777" w:rsidR="00DF6998" w:rsidRPr="00A87572" w:rsidRDefault="00DF6998" w:rsidP="00DF6998">
      <w:pPr>
        <w:pStyle w:val="Nivel1SM"/>
        <w:spacing w:before="0"/>
      </w:pPr>
      <w:r>
        <w:t>Varios estudios sugieren que la volatilidad del tipo de cambio nominal se traduce con inercia en el tipo de cambio real, el cual es persistente tras un shock del tipo nominal. La razón es la rigidez en los precios y el resultado es que el tipo de cambio flexible provoca shocks reales debido a la combinación de su volatilidad con la inercia en el tipo de cambio real. Para paliar los efectos reales de la volatilidad cambiaria, el país debe tener flexibilidad interna de precios.</w:t>
      </w:r>
    </w:p>
    <w:p w14:paraId="31C3A24C" w14:textId="1FF6D55B" w:rsidR="006412ED" w:rsidRDefault="006412ED" w:rsidP="006412ED">
      <w:pPr>
        <w:pStyle w:val="Ttulo6"/>
      </w:pPr>
      <w:bookmarkStart w:id="66" w:name="_Toc136424385"/>
      <w:r>
        <w:t>Valoración</w:t>
      </w:r>
      <w:bookmarkEnd w:id="66"/>
    </w:p>
    <w:p w14:paraId="22FC5099" w14:textId="269A4D5F" w:rsidR="00AC1C30" w:rsidRDefault="00AF5E02" w:rsidP="00C26C58">
      <w:pPr>
        <w:pStyle w:val="Nivel1SM"/>
        <w:spacing w:before="0" w:after="0"/>
      </w:pPr>
      <w:r>
        <w:t xml:space="preserve">Las conclusiones del modelo a largo plazo son similares a las del modelo de </w:t>
      </w:r>
      <w:r>
        <w:rPr>
          <w:smallCaps/>
        </w:rPr>
        <w:t>Frenkel</w:t>
      </w:r>
      <w:r>
        <w:t xml:space="preserve"> y </w:t>
      </w:r>
      <w:proofErr w:type="spellStart"/>
      <w:r>
        <w:rPr>
          <w:smallCaps/>
        </w:rPr>
        <w:t>Mussa</w:t>
      </w:r>
      <w:proofErr w:type="spellEnd"/>
      <w:r>
        <w:t xml:space="preserve">, pero como valor añadido, este modelo permite explicar el </w:t>
      </w:r>
      <w:proofErr w:type="spellStart"/>
      <w:r>
        <w:rPr>
          <w:i/>
          <w:iCs/>
        </w:rPr>
        <w:t>overshooting</w:t>
      </w:r>
      <w:proofErr w:type="spellEnd"/>
      <w:r>
        <w:t xml:space="preserve"> a corto plazo.</w:t>
      </w:r>
    </w:p>
    <w:p w14:paraId="40F53463" w14:textId="491DCA8A" w:rsidR="00A22A02" w:rsidRPr="0046019E" w:rsidRDefault="00B532F8" w:rsidP="0046019E">
      <w:pPr>
        <w:pStyle w:val="Nivel2SM"/>
      </w:pPr>
      <w:r w:rsidRPr="00B532F8">
        <w:t xml:space="preserve">Dicho </w:t>
      </w:r>
      <w:proofErr w:type="spellStart"/>
      <w:r w:rsidRPr="00AC1C30">
        <w:rPr>
          <w:i/>
          <w:iCs/>
        </w:rPr>
        <w:t>overshooting</w:t>
      </w:r>
      <w:proofErr w:type="spellEnd"/>
      <w:r w:rsidRPr="00B532F8">
        <w:t xml:space="preserve"> fue una de las principales razones para la implementación del Sistema Monetario Europeo</w:t>
      </w:r>
      <w:r w:rsidR="00AC1C30">
        <w:t xml:space="preserve"> (SME)</w:t>
      </w:r>
      <w:r w:rsidRPr="00B532F8">
        <w:t>.</w:t>
      </w:r>
    </w:p>
    <w:p w14:paraId="465CC45B" w14:textId="154D492D" w:rsidR="00DA723A" w:rsidRDefault="00A653DF" w:rsidP="00A653DF">
      <w:pPr>
        <w:pStyle w:val="Ttulo2"/>
      </w:pPr>
      <w:bookmarkStart w:id="67" w:name="_Toc136424386"/>
      <w:r w:rsidRPr="0009291D">
        <w:t>Enfoque</w:t>
      </w:r>
      <w:r w:rsidRPr="00E504D1">
        <w:t xml:space="preserve"> de cartera (</w:t>
      </w:r>
      <w:r w:rsidRPr="00E504D1">
        <w:rPr>
          <w:smallCaps/>
        </w:rPr>
        <w:t>Branson</w:t>
      </w:r>
      <w:r w:rsidR="00324FF3">
        <w:t xml:space="preserve">, </w:t>
      </w:r>
      <w:r w:rsidRPr="00E504D1">
        <w:t>1976)</w:t>
      </w:r>
      <w:r w:rsidR="008113B4" w:rsidRPr="00E504D1">
        <w:t xml:space="preserve">. </w:t>
      </w:r>
      <w:r w:rsidR="008113B4" w:rsidRPr="008113B4">
        <w:t>Stock de dinero y d</w:t>
      </w:r>
      <w:r w:rsidR="008113B4">
        <w:t>e otros activos financieros.</w:t>
      </w:r>
      <w:bookmarkEnd w:id="67"/>
    </w:p>
    <w:p w14:paraId="12FBBE87" w14:textId="669EA534" w:rsidR="00F33A23" w:rsidRDefault="00F33A23" w:rsidP="00C26C58">
      <w:pPr>
        <w:pStyle w:val="Ttulo6"/>
        <w:spacing w:before="0"/>
      </w:pPr>
      <w:bookmarkStart w:id="68" w:name="_Toc136424387"/>
      <w:r>
        <w:t>Idea</w:t>
      </w:r>
      <w:bookmarkEnd w:id="68"/>
    </w:p>
    <w:p w14:paraId="571D4402" w14:textId="77777777" w:rsidR="00712FD3" w:rsidRDefault="00076B3A" w:rsidP="00C26C58">
      <w:pPr>
        <w:pStyle w:val="Nivel1SM"/>
        <w:keepNext/>
        <w:spacing w:before="0" w:after="0"/>
      </w:pPr>
      <w:r>
        <w:t>A diferencia del modelo monetario, el modelo de cartera parte de la idea de que el tipo de cambio no sólo fluctúa cuando se producen perturbaciones en el mercado monetario, sino también cua</w:t>
      </w:r>
      <w:r w:rsidR="000A0697">
        <w:t>n</w:t>
      </w:r>
      <w:r>
        <w:t>do se producen perturbaciones en los mercados de otros activos financieros.</w:t>
      </w:r>
    </w:p>
    <w:p w14:paraId="6F349D5F" w14:textId="70325CC1" w:rsidR="00076B3A" w:rsidRPr="00076B3A" w:rsidRDefault="00076B3A" w:rsidP="00712FD3">
      <w:pPr>
        <w:pStyle w:val="Nivel2SM"/>
      </w:pPr>
      <w:r>
        <w:t xml:space="preserve">Estos modelos son de inspiración </w:t>
      </w:r>
      <w:proofErr w:type="spellStart"/>
      <w:r>
        <w:t>friedmaniana</w:t>
      </w:r>
      <w:proofErr w:type="spellEnd"/>
      <w:r>
        <w:t xml:space="preserve"> en el sentido que la sensibilidad de la demanda de dinero al tipo de interés es menor.</w:t>
      </w:r>
    </w:p>
    <w:p w14:paraId="1B915AC2" w14:textId="530CC275" w:rsidR="00F33A23" w:rsidRDefault="00F33A23" w:rsidP="00F33A23">
      <w:pPr>
        <w:pStyle w:val="Ttulo6"/>
      </w:pPr>
      <w:bookmarkStart w:id="69" w:name="_Toc136424388"/>
      <w:r>
        <w:t>Modelo</w:t>
      </w:r>
      <w:bookmarkEnd w:id="69"/>
    </w:p>
    <w:p w14:paraId="594966F9" w14:textId="19C76B6B" w:rsidR="00F33A23" w:rsidRDefault="00F33A23" w:rsidP="00C26C58">
      <w:pPr>
        <w:pStyle w:val="Ttulo7"/>
        <w:spacing w:before="0"/>
      </w:pPr>
      <w:r>
        <w:t>Supuestos</w:t>
      </w:r>
    </w:p>
    <w:p w14:paraId="0483A37F" w14:textId="77777777" w:rsidR="00712FD3" w:rsidRDefault="00712FD3" w:rsidP="00C26C58">
      <w:pPr>
        <w:pStyle w:val="Nivel1SM"/>
        <w:keepNext/>
        <w:spacing w:before="0" w:after="0"/>
      </w:pPr>
      <w:r>
        <w:t>En concreto se modeliza como: bonos nacionales, bonos extranjeros y dinero.</w:t>
      </w:r>
    </w:p>
    <w:p w14:paraId="1F4EF9DB" w14:textId="034D6B50" w:rsidR="00712FD3" w:rsidRDefault="00712FD3" w:rsidP="00712FD3">
      <w:pPr>
        <w:pStyle w:val="Nivel2SM"/>
      </w:pPr>
      <w:r>
        <w:t>Se parte del supuesto de que los individuos ajustarán su cartera de activos nacionales y extranjeros para alcanzar el nuevo grado óptimo de diversificación.</w:t>
      </w:r>
    </w:p>
    <w:p w14:paraId="1A7EC405" w14:textId="08DEC6EE" w:rsidR="00712FD3" w:rsidRDefault="00712FD3" w:rsidP="00712FD3">
      <w:pPr>
        <w:pStyle w:val="Nivel1SM"/>
        <w:keepNext/>
        <w:spacing w:after="0"/>
      </w:pPr>
      <w:r>
        <w:t xml:space="preserve">Las </w:t>
      </w:r>
      <w:r w:rsidR="006208DA">
        <w:rPr>
          <w:b/>
          <w:bCs/>
        </w:rPr>
        <w:t>2 </w:t>
      </w:r>
      <w:r w:rsidRPr="00712FD3">
        <w:rPr>
          <w:b/>
          <w:bCs/>
        </w:rPr>
        <w:t>principales diferencias con el enfoque monetario</w:t>
      </w:r>
      <w:r>
        <w:t xml:space="preserve"> son:</w:t>
      </w:r>
    </w:p>
    <w:p w14:paraId="0F488E69" w14:textId="3A5220F7" w:rsidR="00712FD3" w:rsidRDefault="00712FD3" w:rsidP="00712FD3">
      <w:pPr>
        <w:pStyle w:val="Nivel2SM"/>
      </w:pPr>
      <w:r w:rsidRPr="00712FD3">
        <w:rPr>
          <w:i/>
          <w:iCs/>
          <w:u w:val="single"/>
        </w:rPr>
        <w:t>Sustituibilidad imperfecta de los activos nacionales y extranjeros</w:t>
      </w:r>
      <w:r>
        <w:t xml:space="preserve"> (a causa de factores como la existencia de restricciones a su movilidad, </w:t>
      </w:r>
      <w:r w:rsidRPr="00712FD3">
        <w:rPr>
          <w:i/>
          <w:iCs/>
        </w:rPr>
        <w:t xml:space="preserve">home </w:t>
      </w:r>
      <w:proofErr w:type="spellStart"/>
      <w:r w:rsidRPr="00712FD3">
        <w:rPr>
          <w:i/>
          <w:iCs/>
        </w:rPr>
        <w:t>market</w:t>
      </w:r>
      <w:proofErr w:type="spellEnd"/>
      <w:r w:rsidRPr="00712FD3">
        <w:rPr>
          <w:i/>
          <w:iCs/>
        </w:rPr>
        <w:t xml:space="preserve"> </w:t>
      </w:r>
      <w:proofErr w:type="spellStart"/>
      <w:r w:rsidRPr="00712FD3">
        <w:rPr>
          <w:i/>
          <w:iCs/>
        </w:rPr>
        <w:t>bias</w:t>
      </w:r>
      <w:proofErr w:type="spellEnd"/>
      <w:r>
        <w:t>, información imperfecta, riesgo cambiario, político…). Por este motivo no se cumple la P</w:t>
      </w:r>
      <w:r w:rsidR="00316A28">
        <w:t>NC</w:t>
      </w:r>
      <w:r>
        <w:t>I.</w:t>
      </w:r>
    </w:p>
    <w:p w14:paraId="12709FC5" w14:textId="4FA09C22" w:rsidR="00712FD3" w:rsidRPr="00712FD3" w:rsidRDefault="00712FD3" w:rsidP="00712FD3">
      <w:pPr>
        <w:pStyle w:val="Nivel2SM"/>
      </w:pPr>
      <w:r>
        <w:t xml:space="preserve">La demanda de dinero no depende de la renta, sino de la </w:t>
      </w:r>
      <w:r w:rsidRPr="00712FD3">
        <w:rPr>
          <w:i/>
          <w:iCs/>
          <w:u w:val="single"/>
        </w:rPr>
        <w:t>riqueza</w:t>
      </w:r>
      <w:r>
        <w:t xml:space="preserve"> que es la suma del stock de dinero, bonos nacionales y de bonos extranjeros en moneda nacional.</w:t>
      </w:r>
    </w:p>
    <w:p w14:paraId="70003346" w14:textId="74F1D01F" w:rsidR="00F33A23" w:rsidRDefault="00F33A23" w:rsidP="00F33A23">
      <w:pPr>
        <w:pStyle w:val="Ttulo7"/>
      </w:pPr>
      <w:r>
        <w:lastRenderedPageBreak/>
        <w:t>Desarrollo</w:t>
      </w:r>
    </w:p>
    <w:p w14:paraId="7BCA334A" w14:textId="49D3CFEE" w:rsidR="00037836" w:rsidRPr="00037836" w:rsidRDefault="00037836" w:rsidP="00C26C58">
      <w:pPr>
        <w:pStyle w:val="Ttulo8"/>
        <w:spacing w:before="0"/>
        <w:rPr>
          <w:rFonts w:eastAsiaTheme="minorHAnsi"/>
        </w:rPr>
      </w:pPr>
      <w:r>
        <w:rPr>
          <w:rFonts w:eastAsiaTheme="minorHAnsi"/>
        </w:rPr>
        <w:t>Equilibrio a corto plazo</w:t>
      </w:r>
    </w:p>
    <w:p w14:paraId="25863322" w14:textId="3048890B" w:rsidR="00F17414" w:rsidRDefault="00F17414" w:rsidP="00C26C58">
      <w:pPr>
        <w:pStyle w:val="Nivel1SM"/>
        <w:keepNext/>
        <w:spacing w:before="0" w:after="0"/>
      </w:pPr>
      <w:r>
        <w:t xml:space="preserve">Definimos la </w:t>
      </w:r>
      <w:r w:rsidRPr="00F17414">
        <w:rPr>
          <w:i/>
          <w:iCs/>
        </w:rPr>
        <w:t>riqueza financiera neta</w:t>
      </w:r>
      <w:r>
        <w:t xml:space="preserve"> (</w:t>
      </w:r>
      <m:oMath>
        <m:r>
          <m:rPr>
            <m:nor/>
          </m:rPr>
          <w:rPr>
            <w:i/>
            <w:iCs/>
          </w:rPr>
          <m:t>W</m:t>
        </m:r>
      </m:oMath>
      <w:r>
        <w:t>) como la suma de:</w:t>
      </w:r>
    </w:p>
    <w:p w14:paraId="1A681D04" w14:textId="3266624F" w:rsidR="00F17414" w:rsidRDefault="00F17414" w:rsidP="006208DA">
      <w:pPr>
        <w:pStyle w:val="Nivel2SM"/>
        <w:keepNext/>
      </w:pPr>
      <w:r>
        <w:t>Los saldos monetarios (</w:t>
      </w:r>
      <m:oMath>
        <m:r>
          <m:rPr>
            <m:nor/>
          </m:rPr>
          <w:rPr>
            <w:i/>
            <w:iCs/>
          </w:rPr>
          <m:t>M</m:t>
        </m:r>
      </m:oMath>
      <w:r>
        <w:t>);</w:t>
      </w:r>
    </w:p>
    <w:p w14:paraId="06EDD6E9" w14:textId="5286320C" w:rsidR="00F17414" w:rsidRDefault="00F17414" w:rsidP="006208DA">
      <w:pPr>
        <w:pStyle w:val="Nivel2SM"/>
        <w:keepNext/>
      </w:pPr>
      <w:r>
        <w:t>Los bonos emitidos domésticamente (</w:t>
      </w:r>
      <m:oMath>
        <m:r>
          <m:rPr>
            <m:nor/>
          </m:rPr>
          <w:rPr>
            <w:i/>
            <w:iCs/>
          </w:rPr>
          <m:t>B</m:t>
        </m:r>
      </m:oMath>
      <w:r>
        <w:t>, p.ej. bonos públicos en manos del sector privado doméstico)</w:t>
      </w:r>
      <w:r w:rsidR="00A079DF">
        <w:t>, que no son comercializables con el exterior y otorgan un rendimiento</w:t>
      </w:r>
      <w:r w:rsidR="002C6323">
        <w:t> </w:t>
      </w:r>
      <m:oMath>
        <m:r>
          <m:rPr>
            <m:nor/>
          </m:rPr>
          <w:rPr>
            <w:i/>
            <w:iCs/>
          </w:rPr>
          <m:t>i</m:t>
        </m:r>
      </m:oMath>
      <w:r>
        <w:t>; y</w:t>
      </w:r>
    </w:p>
    <w:p w14:paraId="48DEADD6" w14:textId="4BCD1E1C" w:rsidR="00712FD3" w:rsidRDefault="00F17414" w:rsidP="00F17414">
      <w:pPr>
        <w:pStyle w:val="Nivel2SM"/>
      </w:pPr>
      <w:r>
        <w:t>Los bonos denominados en moneda extranjera y acumulados por residentes domésticos (</w:t>
      </w:r>
      <m:oMath>
        <m:r>
          <m:rPr>
            <m:nor/>
          </m:rPr>
          <w:rPr>
            <w:i/>
            <w:iCs/>
          </w:rPr>
          <m:t>B*</m:t>
        </m:r>
      </m:oMath>
      <w:r>
        <w:rPr>
          <w:rFonts w:eastAsiaTheme="minorEastAsia"/>
          <w:iCs/>
        </w:rPr>
        <w:t>, que será el nivel de activos netos frente al extranjero mantenidos por el sector privado doméstico</w:t>
      </w:r>
      <w:r>
        <w:t>)</w:t>
      </w:r>
      <w:r w:rsidR="00A079DF">
        <w:t>, que sí son comercializables con el exterior y otorgan un rendimiento</w:t>
      </w:r>
      <w:r w:rsidR="002C6323">
        <w:t> </w:t>
      </w:r>
      <m:oMath>
        <m:r>
          <m:rPr>
            <m:nor/>
          </m:rPr>
          <w:rPr>
            <w:i/>
            <w:iCs/>
          </w:rPr>
          <m:t>i*</m:t>
        </m:r>
        <m:r>
          <w:rPr>
            <w:rFonts w:ascii="Cambria Math"/>
          </w:rPr>
          <m:t>+</m:t>
        </m:r>
        <m:sSup>
          <m:sSupPr>
            <m:ctrlPr>
              <w:rPr>
                <w:rFonts w:ascii="Cambria Math" w:hAnsi="Cambria Math"/>
                <w:i/>
                <w:iCs/>
              </w:rPr>
            </m:ctrlPr>
          </m:sSupPr>
          <m:e>
            <m:r>
              <m:rPr>
                <m:nor/>
              </m:rPr>
              <w:rPr>
                <w:i/>
                <w:iCs/>
              </w:rPr>
              <m:t>γE</m:t>
            </m:r>
          </m:e>
          <m:sup>
            <m:r>
              <m:rPr>
                <m:nor/>
              </m:rPr>
              <w:rPr>
                <w:i/>
                <w:iCs/>
              </w:rPr>
              <m:t>e</m:t>
            </m:r>
          </m:sup>
        </m:sSup>
      </m:oMath>
      <w:r>
        <w:t>.</w:t>
      </w:r>
    </w:p>
    <w:p w14:paraId="25370DDE" w14:textId="77777777" w:rsidR="00F17414" w:rsidRPr="00F17414" w:rsidRDefault="00F17414" w:rsidP="00F17414">
      <w:pPr>
        <w:pStyle w:val="Nivel1SM"/>
        <w:keepNext/>
        <w:spacing w:after="0"/>
      </w:pPr>
      <w:r>
        <w:t>El saldo de la cuenta corriente (</w:t>
      </w:r>
      <m:oMath>
        <m:r>
          <m:rPr>
            <m:nor/>
          </m:rPr>
          <w:rPr>
            <w:i/>
            <w:iCs/>
          </w:rPr>
          <m:t>CC</m:t>
        </m:r>
      </m:oMath>
      <w:r>
        <w:t xml:space="preserve">) determinará la tasa de acumulación de </w:t>
      </w:r>
      <m:oMath>
        <m:r>
          <m:rPr>
            <m:nor/>
          </m:rPr>
          <w:rPr>
            <w:i/>
            <w:iCs/>
          </w:rPr>
          <m:t>B*</m:t>
        </m:r>
      </m:oMath>
      <w:r>
        <w:rPr>
          <w:rFonts w:eastAsiaTheme="minorEastAsia"/>
          <w:iCs/>
        </w:rPr>
        <w:t>, de tal modo que:</w:t>
      </w:r>
    </w:p>
    <w:p w14:paraId="080B1623" w14:textId="4058C04D" w:rsidR="00F17414" w:rsidRPr="00F17414" w:rsidRDefault="00000000" w:rsidP="006208DA">
      <w:pPr>
        <w:pStyle w:val="Nivel1SM"/>
        <w:numPr>
          <w:ilvl w:val="0"/>
          <w:numId w:val="0"/>
        </w:numPr>
        <w:spacing w:before="0"/>
      </w:pPr>
      <m:oMathPara>
        <m:oMath>
          <m:limLow>
            <m:limLowPr>
              <m:ctrlPr>
                <w:rPr>
                  <w:rFonts w:ascii="Cambria Math" w:hAnsi="Cambria Math"/>
                  <w:i/>
                  <w:iCs/>
                </w:rPr>
              </m:ctrlPr>
            </m:limLowPr>
            <m:e>
              <m:groupChr>
                <m:groupChrPr>
                  <m:ctrlPr>
                    <w:rPr>
                      <w:rFonts w:ascii="Cambria Math" w:hAnsi="Cambria Math"/>
                      <w:i/>
                      <w:iCs/>
                    </w:rPr>
                  </m:ctrlPr>
                </m:groupChrPr>
                <m:e>
                  <m:r>
                    <m:rPr>
                      <m:nor/>
                    </m:rPr>
                    <w:rPr>
                      <w:i/>
                      <w:iCs/>
                    </w:rPr>
                    <m:t>CF</m:t>
                  </m:r>
                </m:e>
              </m:groupChr>
            </m:e>
            <m:lim>
              <m:r>
                <m:rPr>
                  <m:nor/>
                </m:rPr>
                <w:rPr>
                  <w:i/>
                  <w:iCs/>
                </w:rPr>
                <m:t>B*</m:t>
              </m:r>
            </m:lim>
          </m:limLow>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CC</m:t>
                  </m:r>
                </m:e>
              </m:groupChr>
            </m:e>
            <m:lim>
              <m:d>
                <m:dPr>
                  <m:ctrlPr>
                    <w:rPr>
                      <w:rFonts w:ascii="Cambria Math" w:hAnsi="Cambria Math"/>
                      <w:i/>
                      <w:iCs/>
                    </w:rPr>
                  </m:ctrlPr>
                </m:dPr>
                <m:e>
                  <m:r>
                    <m:rPr>
                      <m:nor/>
                    </m:rPr>
                    <w:rPr>
                      <w:i/>
                      <w:iCs/>
                    </w:rPr>
                    <m:t>X</m:t>
                  </m:r>
                  <m:r>
                    <w:rPr>
                      <w:rFonts w:ascii="Cambria Math" w:hAnsi="Cambria Math"/>
                    </w:rPr>
                    <m:t>-</m:t>
                  </m:r>
                  <m:r>
                    <m:rPr>
                      <m:nor/>
                    </m:rPr>
                    <w:rPr>
                      <w:i/>
                      <w:iCs/>
                    </w:rPr>
                    <m:t>M</m:t>
                  </m:r>
                </m:e>
              </m:d>
              <m:r>
                <w:rPr>
                  <w:rFonts w:ascii="Cambria Math"/>
                </w:rPr>
                <m:t>+</m:t>
              </m:r>
              <m:r>
                <m:rPr>
                  <m:nor/>
                </m:rPr>
                <w:rPr>
                  <w:i/>
                  <w:iCs/>
                </w:rPr>
                <m:t>i*</m:t>
              </m:r>
              <m:r>
                <w:rPr>
                  <w:rFonts w:ascii="Cambria Math" w:hAnsi="Cambria Math"/>
                </w:rPr>
                <m:t>∙</m:t>
              </m:r>
              <m:r>
                <m:rPr>
                  <m:nor/>
                </m:rPr>
                <w:rPr>
                  <w:i/>
                  <w:iCs/>
                </w:rPr>
                <m:t>B*</m:t>
              </m:r>
            </m:lim>
          </m:limLow>
        </m:oMath>
      </m:oMathPara>
    </w:p>
    <w:p w14:paraId="62F8AA26" w14:textId="0533FC72" w:rsidR="00F17414" w:rsidRPr="009D1C49" w:rsidRDefault="00F17414" w:rsidP="00F17414">
      <w:pPr>
        <w:pStyle w:val="Nivel1SM"/>
        <w:rPr>
          <w:spacing w:val="-2"/>
        </w:rPr>
      </w:pPr>
      <w:r w:rsidRPr="009D1C49">
        <w:rPr>
          <w:spacing w:val="-2"/>
        </w:rPr>
        <w:t xml:space="preserve">Las funciones de </w:t>
      </w:r>
      <w:r w:rsidRPr="009D1C49">
        <w:rPr>
          <w:i/>
          <w:iCs/>
          <w:spacing w:val="-2"/>
        </w:rPr>
        <w:t>demanda</w:t>
      </w:r>
      <w:r w:rsidRPr="009D1C49">
        <w:rPr>
          <w:spacing w:val="-2"/>
        </w:rPr>
        <w:t xml:space="preserve"> de los </w:t>
      </w:r>
      <w:r w:rsidR="009D1C49" w:rsidRPr="009D1C49">
        <w:rPr>
          <w:spacing w:val="-2"/>
        </w:rPr>
        <w:t>3 </w:t>
      </w:r>
      <w:r w:rsidRPr="009D1C49">
        <w:rPr>
          <w:spacing w:val="-2"/>
        </w:rPr>
        <w:t xml:space="preserve">tipos de activos son estándar de forma que se invierte en cada activo una parte de la riqueza, que dependerá del rendimiento de los activos, y las </w:t>
      </w:r>
      <w:r w:rsidRPr="009D1C49">
        <w:rPr>
          <w:i/>
          <w:iCs/>
          <w:spacing w:val="-2"/>
        </w:rPr>
        <w:t>ofertas</w:t>
      </w:r>
      <w:r w:rsidRPr="009D1C49">
        <w:rPr>
          <w:spacing w:val="-2"/>
        </w:rPr>
        <w:t xml:space="preserve"> son exógenas.</w:t>
      </w:r>
    </w:p>
    <w:p w14:paraId="5C3CE0DE" w14:textId="60DF6F7D" w:rsidR="00F17414" w:rsidRDefault="00F17414" w:rsidP="008F60AD">
      <w:pPr>
        <w:pStyle w:val="Nivel1SM"/>
        <w:keepNext/>
        <w:spacing w:after="0"/>
      </w:pPr>
      <w:r>
        <w:t>De acuerdo con lo anterior, el sistema viene definido por las siguientes ecuaciones:</w:t>
      </w:r>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09"/>
        <w:gridCol w:w="3209"/>
        <w:gridCol w:w="3210"/>
      </w:tblGrid>
      <w:tr w:rsidR="00137FAF" w14:paraId="6B63D49F" w14:textId="77777777" w:rsidTr="00137FAF">
        <w:tc>
          <w:tcPr>
            <w:tcW w:w="3209" w:type="dxa"/>
            <w:vAlign w:val="center"/>
          </w:tcPr>
          <w:p w14:paraId="671A4BE5" w14:textId="1F214E75" w:rsidR="00137FAF" w:rsidRDefault="00137FAF" w:rsidP="00137FAF">
            <w:pPr>
              <w:pStyle w:val="Nivel1SM"/>
              <w:numPr>
                <w:ilvl w:val="0"/>
                <w:numId w:val="0"/>
              </w:numPr>
              <w:spacing w:before="0"/>
              <w:jc w:val="center"/>
              <w:rPr>
                <w:rFonts w:eastAsia="Calibri" w:cs="Arial"/>
                <w:iCs/>
                <w:lang w:val="en-US"/>
              </w:rPr>
            </w:pPr>
            <m:oMathPara>
              <m:oMath>
                <m:r>
                  <m:rPr>
                    <m:nor/>
                  </m:rPr>
                  <w:rPr>
                    <w:i/>
                    <w:iCs/>
                    <w:lang w:val="en-US"/>
                  </w:rPr>
                  <m:t>W</m:t>
                </m:r>
                <m:r>
                  <w:rPr>
                    <w:rFonts w:ascii="Cambria Math" w:eastAsiaTheme="minorEastAsia" w:hAnsi="Cambria Math"/>
                    <w:lang w:val="en-US"/>
                  </w:rPr>
                  <m:t>=</m:t>
                </m:r>
                <m:r>
                  <m:rPr>
                    <m:nor/>
                  </m:rPr>
                  <w:rPr>
                    <w:i/>
                    <w:iCs/>
                    <w:lang w:val="en-US"/>
                  </w:rPr>
                  <m:t>M</m:t>
                </m:r>
                <m:r>
                  <w:rPr>
                    <w:rFonts w:ascii="Cambria Math" w:eastAsiaTheme="minorEastAsia" w:hAnsi="Cambria Math"/>
                    <w:lang w:val="en-US"/>
                  </w:rPr>
                  <m:t>+</m:t>
                </m:r>
                <m:r>
                  <m:rPr>
                    <m:nor/>
                  </m:rPr>
                  <w:rPr>
                    <w:i/>
                    <w:iCs/>
                    <w:lang w:val="en-US"/>
                  </w:rPr>
                  <m:t>B</m:t>
                </m:r>
                <m:r>
                  <w:rPr>
                    <w:rFonts w:ascii="Cambria Math" w:eastAsiaTheme="minorEastAsia" w:hAnsi="Cambria Math"/>
                    <w:lang w:val="en-US"/>
                  </w:rPr>
                  <m:t>+</m:t>
                </m:r>
                <m:r>
                  <m:rPr>
                    <m:nor/>
                  </m:rPr>
                  <w:rPr>
                    <w:i/>
                    <w:iCs/>
                    <w:lang w:val="en-US"/>
                  </w:rPr>
                  <m:t>E</m:t>
                </m:r>
                <m:r>
                  <w:rPr>
                    <w:rFonts w:ascii="Cambria Math" w:hAnsi="Cambria Math"/>
                    <w:lang w:val="en-US"/>
                  </w:rPr>
                  <m:t>∙</m:t>
                </m:r>
                <m:r>
                  <m:rPr>
                    <m:nor/>
                  </m:rPr>
                  <w:rPr>
                    <w:i/>
                    <w:iCs/>
                    <w:lang w:val="en-US"/>
                  </w:rPr>
                  <m:t>B*</m:t>
                </m:r>
              </m:oMath>
            </m:oMathPara>
          </w:p>
        </w:tc>
        <w:tc>
          <w:tcPr>
            <w:tcW w:w="3209" w:type="dxa"/>
            <w:vAlign w:val="center"/>
          </w:tcPr>
          <w:p w14:paraId="71B7A9AA" w14:textId="7A8F6A0A" w:rsidR="00137FAF" w:rsidRPr="008F60AD" w:rsidRDefault="00F937B1" w:rsidP="00137FAF">
            <w:pPr>
              <w:pStyle w:val="Nivel1SM"/>
              <w:numPr>
                <w:ilvl w:val="0"/>
                <w:numId w:val="0"/>
              </w:numPr>
              <w:spacing w:before="0"/>
              <w:jc w:val="center"/>
              <w:rPr>
                <w:rFonts w:eastAsiaTheme="minorEastAsia"/>
                <w:iCs/>
                <w:lang w:val="en-US"/>
              </w:rPr>
            </w:pPr>
            <m:oMathPara>
              <m:oMath>
                <m:r>
                  <w:rPr>
                    <w:rFonts w:ascii="Cambria Math" w:eastAsia="Calibri" w:hAnsi="Cambria Math" w:cs="Arial"/>
                    <w:lang w:val="en-US"/>
                  </w:rPr>
                  <m:t xml:space="preserve"> </m:t>
                </m:r>
                <m:r>
                  <m:rPr>
                    <m:nor/>
                  </m:rPr>
                  <w:rPr>
                    <w:i/>
                    <w:iCs/>
                    <w:lang w:val="en-US"/>
                  </w:rPr>
                  <m:t>M</m:t>
                </m:r>
                <m:r>
                  <w:rPr>
                    <w:rFonts w:ascii="Cambria Math" w:eastAsiaTheme="minorEastAsia" w:hAnsi="Cambria Math"/>
                    <w:lang w:val="en-US"/>
                  </w:rPr>
                  <m:t>=</m:t>
                </m:r>
                <m:r>
                  <m:rPr>
                    <m:nor/>
                  </m:rPr>
                  <w:rPr>
                    <w:i/>
                    <w:iCs/>
                    <w:lang w:val="en-US"/>
                  </w:rPr>
                  <m:t>W</m:t>
                </m:r>
                <m:r>
                  <w:rPr>
                    <w:rFonts w:ascii="Cambria Math" w:hAnsi="Cambria Math"/>
                    <w:lang w:val="en-US"/>
                  </w:rPr>
                  <m:t>∙</m:t>
                </m:r>
                <m:r>
                  <m:rPr>
                    <m:nor/>
                  </m:rPr>
                  <w:rPr>
                    <w:i/>
                    <w:iCs/>
                    <w:lang w:val="en-US"/>
                  </w:rPr>
                  <m:t>m</m:t>
                </m:r>
                <m:d>
                  <m:dPr>
                    <m:ctrlPr>
                      <w:rPr>
                        <w:rFonts w:ascii="Cambria Math" w:hAnsi="Cambria Math"/>
                        <w:i/>
                        <w:iCs/>
                      </w:rPr>
                    </m:ctrlPr>
                  </m:dPr>
                  <m:e>
                    <m:limLow>
                      <m:limLowPr>
                        <m:ctrlPr>
                          <w:rPr>
                            <w:rFonts w:ascii="Cambria Math" w:hAnsi="Cambria Math"/>
                            <w:i/>
                            <w:iCs/>
                            <w:lang w:val="en-US"/>
                          </w:rPr>
                        </m:ctrlPr>
                      </m:limLowPr>
                      <m:e>
                        <m:r>
                          <m:rPr>
                            <m:nor/>
                          </m:rPr>
                          <w:rPr>
                            <w:i/>
                            <w:iCs/>
                            <w:lang w:val="en-US"/>
                          </w:rPr>
                          <m:t>i</m:t>
                        </m:r>
                      </m:e>
                      <m:lim>
                        <m:r>
                          <w:rPr>
                            <w:rFonts w:ascii="Cambria Math" w:hAnsi="Cambria Math"/>
                            <w:lang w:val="en-US"/>
                          </w:rPr>
                          <m:t>-</m:t>
                        </m:r>
                      </m:lim>
                    </m:limLow>
                    <m:r>
                      <m:rPr>
                        <m:nor/>
                      </m:rPr>
                      <w:rPr>
                        <w:i/>
                        <w:iCs/>
                        <w:lang w:val="en-US"/>
                      </w:rPr>
                      <m:t>,</m:t>
                    </m:r>
                    <m:r>
                      <m:rPr>
                        <m:nor/>
                      </m:rPr>
                      <w:rPr>
                        <w:rFonts w:ascii="Cambria Math"/>
                        <w:i/>
                        <w:iCs/>
                        <w:lang w:val="en-US"/>
                      </w:rPr>
                      <m:t xml:space="preserve"> </m:t>
                    </m:r>
                    <m:limLow>
                      <m:limLowPr>
                        <m:ctrlPr>
                          <w:rPr>
                            <w:rFonts w:ascii="Cambria Math" w:hAnsi="Cambria Math"/>
                            <w:i/>
                            <w:iCs/>
                            <w:lang w:val="en-US"/>
                          </w:rPr>
                        </m:ctrlPr>
                      </m:limLowPr>
                      <m:e>
                        <m:r>
                          <m:rPr>
                            <m:nor/>
                          </m:rPr>
                          <w:rPr>
                            <w:i/>
                            <w:iCs/>
                            <w:lang w:val="en-US"/>
                          </w:rPr>
                          <m:t>i*</m:t>
                        </m:r>
                        <m:r>
                          <w:rPr>
                            <w:rFonts w:ascii="Cambria Math"/>
                            <w:lang w:val="en-US"/>
                          </w:rPr>
                          <m:t>+</m:t>
                        </m:r>
                        <m:sSup>
                          <m:sSupPr>
                            <m:ctrlPr>
                              <w:rPr>
                                <w:rFonts w:ascii="Cambria Math" w:hAnsi="Cambria Math"/>
                                <w:i/>
                                <w:iCs/>
                              </w:rPr>
                            </m:ctrlPr>
                          </m:sSupPr>
                          <m:e>
                            <m:r>
                              <m:rPr>
                                <m:nor/>
                              </m:rPr>
                              <w:rPr>
                                <w:i/>
                                <w:iCs/>
                              </w:rPr>
                              <m:t>γ</m:t>
                            </m:r>
                            <m:r>
                              <m:rPr>
                                <m:nor/>
                              </m:rPr>
                              <w:rPr>
                                <w:i/>
                                <w:iCs/>
                                <w:lang w:val="en-US"/>
                              </w:rPr>
                              <m:t>E</m:t>
                            </m:r>
                          </m:e>
                          <m:sup>
                            <m:r>
                              <m:rPr>
                                <m:nor/>
                              </m:rPr>
                              <w:rPr>
                                <w:i/>
                                <w:iCs/>
                                <w:lang w:val="en-US"/>
                              </w:rPr>
                              <m:t>e</m:t>
                            </m:r>
                          </m:sup>
                        </m:sSup>
                      </m:e>
                      <m:lim>
                        <m:r>
                          <w:rPr>
                            <w:rFonts w:ascii="Cambria Math" w:hAnsi="Cambria Math"/>
                            <w:lang w:val="en-US"/>
                          </w:rPr>
                          <m:t>-</m:t>
                        </m:r>
                      </m:lim>
                    </m:limLow>
                  </m:e>
                </m:d>
              </m:oMath>
            </m:oMathPara>
          </w:p>
          <w:p w14:paraId="2DF4C509" w14:textId="288111AA" w:rsidR="00137FAF" w:rsidRPr="008F60AD" w:rsidRDefault="00F937B1" w:rsidP="00137FAF">
            <w:pPr>
              <w:pStyle w:val="Nivel1SM"/>
              <w:numPr>
                <w:ilvl w:val="0"/>
                <w:numId w:val="0"/>
              </w:numPr>
              <w:spacing w:before="0"/>
              <w:jc w:val="center"/>
              <w:rPr>
                <w:rFonts w:eastAsiaTheme="minorEastAsia"/>
                <w:iCs/>
                <w:lang w:val="en-US"/>
              </w:rPr>
            </w:pPr>
            <m:oMathPara>
              <m:oMath>
                <m:r>
                  <w:rPr>
                    <w:rFonts w:ascii="Cambria Math" w:eastAsiaTheme="minorEastAsia" w:hAnsi="Cambria Math"/>
                    <w:lang w:val="en-US"/>
                  </w:rPr>
                  <m:t xml:space="preserve"> </m:t>
                </m:r>
                <m:r>
                  <m:rPr>
                    <m:nor/>
                  </m:rPr>
                  <w:rPr>
                    <w:i/>
                    <w:iCs/>
                    <w:lang w:val="en-US"/>
                  </w:rPr>
                  <m:t>B</m:t>
                </m:r>
                <m:r>
                  <w:rPr>
                    <w:rFonts w:ascii="Cambria Math" w:eastAsiaTheme="minorEastAsia" w:hAnsi="Cambria Math"/>
                    <w:lang w:val="en-US"/>
                  </w:rPr>
                  <m:t>=</m:t>
                </m:r>
                <m:r>
                  <m:rPr>
                    <m:nor/>
                  </m:rPr>
                  <w:rPr>
                    <w:i/>
                    <w:iCs/>
                    <w:lang w:val="en-US"/>
                  </w:rPr>
                  <m:t>W</m:t>
                </m:r>
                <m:r>
                  <w:rPr>
                    <w:rFonts w:ascii="Cambria Math" w:hAnsi="Cambria Math"/>
                    <w:lang w:val="en-US"/>
                  </w:rPr>
                  <m:t>∙</m:t>
                </m:r>
                <m:r>
                  <m:rPr>
                    <m:nor/>
                  </m:rPr>
                  <w:rPr>
                    <w:i/>
                    <w:iCs/>
                    <w:lang w:val="en-US"/>
                  </w:rPr>
                  <m:t>b</m:t>
                </m:r>
                <m:d>
                  <m:dPr>
                    <m:ctrlPr>
                      <w:rPr>
                        <w:rFonts w:ascii="Cambria Math" w:hAnsi="Cambria Math"/>
                        <w:i/>
                        <w:iCs/>
                      </w:rPr>
                    </m:ctrlPr>
                  </m:dPr>
                  <m:e>
                    <m:limLow>
                      <m:limLowPr>
                        <m:ctrlPr>
                          <w:rPr>
                            <w:rFonts w:ascii="Cambria Math" w:hAnsi="Cambria Math"/>
                            <w:i/>
                            <w:iCs/>
                            <w:lang w:val="en-US"/>
                          </w:rPr>
                        </m:ctrlPr>
                      </m:limLowPr>
                      <m:e>
                        <m:r>
                          <m:rPr>
                            <m:nor/>
                          </m:rPr>
                          <w:rPr>
                            <w:i/>
                            <w:iCs/>
                            <w:lang w:val="en-US"/>
                          </w:rPr>
                          <m:t>i</m:t>
                        </m:r>
                      </m:e>
                      <m:lim>
                        <m:r>
                          <w:rPr>
                            <w:rFonts w:ascii="Cambria Math" w:hAnsi="Cambria Math"/>
                            <w:lang w:val="en-US"/>
                          </w:rPr>
                          <m:t>+</m:t>
                        </m:r>
                      </m:lim>
                    </m:limLow>
                    <m:r>
                      <m:rPr>
                        <m:nor/>
                      </m:rPr>
                      <w:rPr>
                        <w:i/>
                        <w:iCs/>
                        <w:lang w:val="en-US"/>
                      </w:rPr>
                      <m:t>,</m:t>
                    </m:r>
                    <m:r>
                      <m:rPr>
                        <m:nor/>
                      </m:rPr>
                      <w:rPr>
                        <w:rFonts w:ascii="Cambria Math"/>
                        <w:i/>
                        <w:iCs/>
                        <w:lang w:val="en-US"/>
                      </w:rPr>
                      <m:t xml:space="preserve"> </m:t>
                    </m:r>
                    <m:limLow>
                      <m:limLowPr>
                        <m:ctrlPr>
                          <w:rPr>
                            <w:rFonts w:ascii="Cambria Math" w:hAnsi="Cambria Math"/>
                            <w:i/>
                            <w:iCs/>
                            <w:lang w:val="en-US"/>
                          </w:rPr>
                        </m:ctrlPr>
                      </m:limLowPr>
                      <m:e>
                        <m:r>
                          <m:rPr>
                            <m:nor/>
                          </m:rPr>
                          <w:rPr>
                            <w:i/>
                            <w:iCs/>
                            <w:lang w:val="en-US"/>
                          </w:rPr>
                          <m:t>i*</m:t>
                        </m:r>
                        <m:r>
                          <w:rPr>
                            <w:rFonts w:ascii="Cambria Math"/>
                            <w:lang w:val="en-US"/>
                          </w:rPr>
                          <m:t>+</m:t>
                        </m:r>
                        <m:sSup>
                          <m:sSupPr>
                            <m:ctrlPr>
                              <w:rPr>
                                <w:rFonts w:ascii="Cambria Math" w:hAnsi="Cambria Math"/>
                                <w:i/>
                                <w:iCs/>
                              </w:rPr>
                            </m:ctrlPr>
                          </m:sSupPr>
                          <m:e>
                            <m:r>
                              <m:rPr>
                                <m:nor/>
                              </m:rPr>
                              <w:rPr>
                                <w:i/>
                                <w:iCs/>
                              </w:rPr>
                              <m:t>γ</m:t>
                            </m:r>
                            <m:r>
                              <m:rPr>
                                <m:nor/>
                              </m:rPr>
                              <w:rPr>
                                <w:i/>
                                <w:iCs/>
                                <w:lang w:val="en-US"/>
                              </w:rPr>
                              <m:t>E</m:t>
                            </m:r>
                          </m:e>
                          <m:sup>
                            <m:r>
                              <m:rPr>
                                <m:nor/>
                              </m:rPr>
                              <w:rPr>
                                <w:i/>
                                <w:iCs/>
                                <w:lang w:val="en-US"/>
                              </w:rPr>
                              <m:t>e</m:t>
                            </m:r>
                          </m:sup>
                        </m:sSup>
                      </m:e>
                      <m:lim>
                        <m:r>
                          <w:rPr>
                            <w:rFonts w:ascii="Cambria Math" w:hAnsi="Cambria Math"/>
                            <w:lang w:val="en-US"/>
                          </w:rPr>
                          <m:t>-</m:t>
                        </m:r>
                      </m:lim>
                    </m:limLow>
                  </m:e>
                </m:d>
              </m:oMath>
            </m:oMathPara>
          </w:p>
          <w:p w14:paraId="76DE714C" w14:textId="4E68E0B3" w:rsidR="00137FAF" w:rsidRPr="00137FAF" w:rsidRDefault="00F937B1" w:rsidP="00137FAF">
            <w:pPr>
              <w:pStyle w:val="Nivel1SM"/>
              <w:numPr>
                <w:ilvl w:val="0"/>
                <w:numId w:val="0"/>
              </w:numPr>
              <w:spacing w:before="0"/>
              <w:jc w:val="center"/>
              <w:rPr>
                <w:rFonts w:eastAsiaTheme="minorEastAsia"/>
                <w:iCs/>
                <w:lang w:val="en-US"/>
              </w:rPr>
            </w:pPr>
            <m:oMathPara>
              <m:oMath>
                <m:r>
                  <w:rPr>
                    <w:rFonts w:ascii="Cambria Math" w:eastAsiaTheme="minorEastAsia" w:hAnsi="Cambria Math"/>
                    <w:lang w:val="en-US"/>
                  </w:rPr>
                  <m:t xml:space="preserve"> </m:t>
                </m:r>
                <m:r>
                  <m:rPr>
                    <m:nor/>
                  </m:rPr>
                  <w:rPr>
                    <w:i/>
                    <w:iCs/>
                    <w:lang w:val="en-US"/>
                  </w:rPr>
                  <m:t>E</m:t>
                </m:r>
                <m:r>
                  <w:rPr>
                    <w:rFonts w:ascii="Cambria Math" w:hAnsi="Cambria Math"/>
                    <w:lang w:val="en-US"/>
                  </w:rPr>
                  <m:t>∙</m:t>
                </m:r>
                <m:r>
                  <m:rPr>
                    <m:nor/>
                  </m:rPr>
                  <w:rPr>
                    <w:i/>
                    <w:iCs/>
                    <w:lang w:val="en-US"/>
                  </w:rPr>
                  <m:t>B*</m:t>
                </m:r>
                <m:r>
                  <w:rPr>
                    <w:rFonts w:ascii="Cambria Math" w:eastAsiaTheme="minorEastAsia" w:hAnsi="Cambria Math"/>
                    <w:lang w:val="en-US"/>
                  </w:rPr>
                  <m:t>=</m:t>
                </m:r>
                <m:r>
                  <m:rPr>
                    <m:nor/>
                  </m:rPr>
                  <w:rPr>
                    <w:i/>
                    <w:iCs/>
                    <w:lang w:val="en-US"/>
                  </w:rPr>
                  <m:t>W</m:t>
                </m:r>
                <m:r>
                  <w:rPr>
                    <w:rFonts w:ascii="Cambria Math" w:hAnsi="Cambria Math"/>
                    <w:lang w:val="en-US"/>
                  </w:rPr>
                  <m:t>∙</m:t>
                </m:r>
                <m:r>
                  <m:rPr>
                    <m:nor/>
                  </m:rPr>
                  <w:rPr>
                    <w:i/>
                    <w:iCs/>
                    <w:lang w:val="en-US"/>
                  </w:rPr>
                  <m:t>b*</m:t>
                </m:r>
                <m:d>
                  <m:dPr>
                    <m:ctrlPr>
                      <w:rPr>
                        <w:rFonts w:ascii="Cambria Math" w:hAnsi="Cambria Math"/>
                        <w:i/>
                        <w:iCs/>
                      </w:rPr>
                    </m:ctrlPr>
                  </m:dPr>
                  <m:e>
                    <m:limLow>
                      <m:limLowPr>
                        <m:ctrlPr>
                          <w:rPr>
                            <w:rFonts w:ascii="Cambria Math" w:hAnsi="Cambria Math"/>
                            <w:i/>
                            <w:iCs/>
                            <w:lang w:val="en-US"/>
                          </w:rPr>
                        </m:ctrlPr>
                      </m:limLowPr>
                      <m:e>
                        <m:r>
                          <m:rPr>
                            <m:nor/>
                          </m:rPr>
                          <w:rPr>
                            <w:i/>
                            <w:iCs/>
                            <w:lang w:val="en-US"/>
                          </w:rPr>
                          <m:t>i</m:t>
                        </m:r>
                      </m:e>
                      <m:lim>
                        <m:r>
                          <w:rPr>
                            <w:rFonts w:ascii="Cambria Math" w:hAnsi="Cambria Math"/>
                            <w:lang w:val="en-US"/>
                          </w:rPr>
                          <m:t>-</m:t>
                        </m:r>
                      </m:lim>
                    </m:limLow>
                    <m:r>
                      <m:rPr>
                        <m:nor/>
                      </m:rPr>
                      <w:rPr>
                        <w:i/>
                        <w:iCs/>
                        <w:lang w:val="en-US"/>
                      </w:rPr>
                      <m:t>,</m:t>
                    </m:r>
                    <m:r>
                      <m:rPr>
                        <m:nor/>
                      </m:rPr>
                      <w:rPr>
                        <w:rFonts w:ascii="Cambria Math"/>
                        <w:i/>
                        <w:iCs/>
                        <w:lang w:val="en-US"/>
                      </w:rPr>
                      <m:t xml:space="preserve"> </m:t>
                    </m:r>
                    <m:limLow>
                      <m:limLowPr>
                        <m:ctrlPr>
                          <w:rPr>
                            <w:rFonts w:ascii="Cambria Math" w:hAnsi="Cambria Math"/>
                            <w:i/>
                            <w:iCs/>
                            <w:lang w:val="en-US"/>
                          </w:rPr>
                        </m:ctrlPr>
                      </m:limLowPr>
                      <m:e>
                        <m:r>
                          <m:rPr>
                            <m:nor/>
                          </m:rPr>
                          <w:rPr>
                            <w:i/>
                            <w:iCs/>
                            <w:lang w:val="en-US"/>
                          </w:rPr>
                          <m:t>i*</m:t>
                        </m:r>
                        <m:r>
                          <w:rPr>
                            <w:rFonts w:ascii="Cambria Math"/>
                            <w:lang w:val="en-US"/>
                          </w:rPr>
                          <m:t>+</m:t>
                        </m:r>
                        <m:sSup>
                          <m:sSupPr>
                            <m:ctrlPr>
                              <w:rPr>
                                <w:rFonts w:ascii="Cambria Math" w:hAnsi="Cambria Math"/>
                                <w:i/>
                                <w:iCs/>
                              </w:rPr>
                            </m:ctrlPr>
                          </m:sSupPr>
                          <m:e>
                            <m:r>
                              <m:rPr>
                                <m:nor/>
                              </m:rPr>
                              <w:rPr>
                                <w:i/>
                                <w:iCs/>
                              </w:rPr>
                              <m:t>γ</m:t>
                            </m:r>
                            <m:r>
                              <m:rPr>
                                <m:nor/>
                              </m:rPr>
                              <w:rPr>
                                <w:i/>
                                <w:iCs/>
                                <w:lang w:val="en-US"/>
                              </w:rPr>
                              <m:t>E</m:t>
                            </m:r>
                          </m:e>
                          <m:sup>
                            <m:r>
                              <m:rPr>
                                <m:nor/>
                              </m:rPr>
                              <w:rPr>
                                <w:i/>
                                <w:iCs/>
                                <w:lang w:val="en-US"/>
                              </w:rPr>
                              <m:t>e</m:t>
                            </m:r>
                          </m:sup>
                        </m:sSup>
                      </m:e>
                      <m:lim>
                        <m:r>
                          <w:rPr>
                            <w:rFonts w:ascii="Cambria Math" w:hAnsi="Cambria Math"/>
                            <w:lang w:val="en-US"/>
                          </w:rPr>
                          <m:t>+</m:t>
                        </m:r>
                      </m:lim>
                    </m:limLow>
                  </m:e>
                </m:d>
              </m:oMath>
            </m:oMathPara>
          </w:p>
        </w:tc>
        <w:tc>
          <w:tcPr>
            <w:tcW w:w="3210" w:type="dxa"/>
            <w:vAlign w:val="center"/>
          </w:tcPr>
          <w:p w14:paraId="4EAD5A08" w14:textId="33CB040F" w:rsidR="00137FAF" w:rsidRDefault="00000000" w:rsidP="00137FAF">
            <w:pPr>
              <w:pStyle w:val="Nivel1SM"/>
              <w:numPr>
                <w:ilvl w:val="0"/>
                <w:numId w:val="0"/>
              </w:numPr>
              <w:spacing w:before="0"/>
              <w:jc w:val="center"/>
              <w:rPr>
                <w:rFonts w:eastAsia="Calibri" w:cs="Arial"/>
                <w:iCs/>
                <w:lang w:val="en-US"/>
              </w:rPr>
            </w:pPr>
            <m:oMathPara>
              <m:oMath>
                <m:limLow>
                  <m:limLowPr>
                    <m:ctrlPr>
                      <w:rPr>
                        <w:rFonts w:ascii="Cambria Math" w:hAnsi="Cambria Math"/>
                        <w:i/>
                        <w:iCs/>
                      </w:rPr>
                    </m:ctrlPr>
                  </m:limLowPr>
                  <m:e>
                    <m:groupChr>
                      <m:groupChrPr>
                        <m:ctrlPr>
                          <w:rPr>
                            <w:rFonts w:ascii="Cambria Math" w:hAnsi="Cambria Math"/>
                            <w:i/>
                            <w:iCs/>
                          </w:rPr>
                        </m:ctrlPr>
                      </m:groupChrPr>
                      <m:e>
                        <m:r>
                          <m:rPr>
                            <m:nor/>
                          </m:rPr>
                          <w:rPr>
                            <w:i/>
                            <w:iCs/>
                          </w:rPr>
                          <m:t>B*</m:t>
                        </m:r>
                      </m:e>
                    </m:groupChr>
                  </m:e>
                  <m:lim>
                    <m:r>
                      <m:rPr>
                        <m:nor/>
                      </m:rPr>
                      <w:rPr>
                        <w:i/>
                        <w:iCs/>
                      </w:rPr>
                      <m:t>CF</m:t>
                    </m:r>
                  </m:lim>
                </m:limLow>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X</m:t>
                            </m:r>
                            <m:r>
                              <w:rPr>
                                <w:rFonts w:ascii="Cambria Math" w:hAnsi="Cambria Math"/>
                              </w:rPr>
                              <m:t>-</m:t>
                            </m:r>
                            <m:r>
                              <m:rPr>
                                <m:nor/>
                              </m:rPr>
                              <w:rPr>
                                <w:i/>
                                <w:iCs/>
                              </w:rPr>
                              <m:t>M</m:t>
                            </m:r>
                          </m:e>
                        </m:d>
                        <m:r>
                          <w:rPr>
                            <w:rFonts w:ascii="Cambria Math"/>
                          </w:rPr>
                          <m:t>+</m:t>
                        </m:r>
                        <m:r>
                          <m:rPr>
                            <m:nor/>
                          </m:rPr>
                          <w:rPr>
                            <w:i/>
                            <w:iCs/>
                          </w:rPr>
                          <m:t>i*</m:t>
                        </m:r>
                        <m:r>
                          <w:rPr>
                            <w:rFonts w:ascii="Cambria Math" w:hAnsi="Cambria Math"/>
                          </w:rPr>
                          <m:t>∙</m:t>
                        </m:r>
                        <m:r>
                          <m:rPr>
                            <m:nor/>
                          </m:rPr>
                          <w:rPr>
                            <w:i/>
                            <w:iCs/>
                          </w:rPr>
                          <m:t>B*</m:t>
                        </m:r>
                      </m:e>
                    </m:groupChr>
                  </m:e>
                  <m:lim>
                    <m:r>
                      <m:rPr>
                        <m:nor/>
                      </m:rPr>
                      <w:rPr>
                        <w:i/>
                        <w:iCs/>
                      </w:rPr>
                      <m:t>CC</m:t>
                    </m:r>
                  </m:lim>
                </m:limLow>
              </m:oMath>
            </m:oMathPara>
          </w:p>
        </w:tc>
      </w:tr>
    </w:tbl>
    <w:p w14:paraId="620E031E" w14:textId="2201FAE8" w:rsidR="00F17414" w:rsidRDefault="00FF58D9" w:rsidP="0057254F">
      <w:pPr>
        <w:pStyle w:val="Nivel1SM"/>
        <w:keepNext/>
        <w:spacing w:after="0"/>
      </w:pPr>
      <w:r>
        <w:t>Por simplicidad suponemos expectativas estáticas. Podemos representar gráficamente el equilibrio a corto plazo</w:t>
      </w:r>
      <w:r w:rsidR="00A93893">
        <w:t xml:space="preserve"> </w:t>
      </w:r>
      <w:r w:rsidR="00A93893" w:rsidRPr="00A93893">
        <w:rPr>
          <w:color w:val="767171" w:themeColor="background2" w:themeShade="80"/>
          <w:sz w:val="19"/>
          <w:szCs w:val="19"/>
        </w:rPr>
        <w:t>[</w:t>
      </w:r>
      <w:r w:rsidR="00A93893" w:rsidRPr="00A93893">
        <w:rPr>
          <w:i/>
          <w:iCs/>
          <w:color w:val="767171" w:themeColor="background2" w:themeShade="80"/>
          <w:sz w:val="19"/>
          <w:szCs w:val="19"/>
        </w:rPr>
        <w:t xml:space="preserve">cuidado con los ejes que están al revés que en el modelo de </w:t>
      </w:r>
      <w:proofErr w:type="spellStart"/>
      <w:r w:rsidR="00A93893" w:rsidRPr="00A93893">
        <w:rPr>
          <w:i/>
          <w:iCs/>
          <w:smallCaps/>
          <w:color w:val="767171" w:themeColor="background2" w:themeShade="80"/>
          <w:sz w:val="19"/>
          <w:szCs w:val="19"/>
        </w:rPr>
        <w:t>Dornbusch</w:t>
      </w:r>
      <w:proofErr w:type="spellEnd"/>
      <w:r w:rsidR="00A93893" w:rsidRPr="00A93893">
        <w:rPr>
          <w:color w:val="767171" w:themeColor="background2" w:themeShade="80"/>
          <w:sz w:val="19"/>
          <w:szCs w:val="19"/>
        </w:rPr>
        <w:t>]</w:t>
      </w:r>
      <w:r>
        <w:t>:</w:t>
      </w:r>
    </w:p>
    <w:p w14:paraId="6C2C30B0" w14:textId="7F5CAF8D" w:rsidR="00FF58D9" w:rsidRDefault="00FF58D9" w:rsidP="00FF58D9">
      <w:pPr>
        <w:pStyle w:val="Ttuloimagen"/>
        <w:rPr>
          <w:i/>
          <w:iCs/>
          <w:smallCaps w:val="0"/>
        </w:rPr>
      </w:pPr>
      <w:r>
        <w:t>Imagen</w:t>
      </w:r>
      <w:r w:rsidR="00C26C58">
        <w:t> </w:t>
      </w:r>
      <w:r>
        <w:fldChar w:fldCharType="begin"/>
      </w:r>
      <w:r>
        <w:instrText xml:space="preserve"> SEQ Ilustración \* ARABIC </w:instrText>
      </w:r>
      <w:r>
        <w:fldChar w:fldCharType="separate"/>
      </w:r>
      <w:r w:rsidR="00A448D4">
        <w:t>10</w:t>
      </w:r>
      <w:r>
        <w:fldChar w:fldCharType="end"/>
      </w:r>
      <w:r>
        <w:rPr>
          <w:smallCaps w:val="0"/>
        </w:rPr>
        <w:t xml:space="preserve">.– </w:t>
      </w:r>
      <w:r>
        <w:rPr>
          <w:i/>
          <w:iCs/>
          <w:smallCaps w:val="0"/>
        </w:rPr>
        <w:t>Equilibrio a corto plazo en el modelo de cartera</w:t>
      </w:r>
    </w:p>
    <w:p w14:paraId="24AAFDEA" w14:textId="26515384" w:rsidR="00FF58D9" w:rsidRDefault="00FF5737" w:rsidP="00FF58D9">
      <w:pPr>
        <w:pStyle w:val="Imagen"/>
      </w:pPr>
      <w:r>
        <w:drawing>
          <wp:inline distT="0" distB="0" distL="0" distR="0" wp14:anchorId="5CD157F3" wp14:editId="18FDBADC">
            <wp:extent cx="3200221" cy="1800000"/>
            <wp:effectExtent l="0" t="0" r="635" b="0"/>
            <wp:docPr id="28" name="Imagen 28" descr="Gráfico, Gráfico radial,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Gráfico, Gráfico radial, Gráfico de líneas&#10;&#10;Descripción generada automáticamente"/>
                    <pic:cNvPicPr/>
                  </pic:nvPicPr>
                  <pic:blipFill>
                    <a:blip r:embed="rId19"/>
                    <a:stretch>
                      <a:fillRect/>
                    </a:stretch>
                  </pic:blipFill>
                  <pic:spPr>
                    <a:xfrm>
                      <a:off x="0" y="0"/>
                      <a:ext cx="3200221" cy="1800000"/>
                    </a:xfrm>
                    <a:prstGeom prst="rect">
                      <a:avLst/>
                    </a:prstGeom>
                  </pic:spPr>
                </pic:pic>
              </a:graphicData>
            </a:graphic>
          </wp:inline>
        </w:drawing>
      </w:r>
    </w:p>
    <w:p w14:paraId="61BFC47C" w14:textId="574352D6" w:rsidR="00FF58D9" w:rsidRPr="00FF58D9" w:rsidRDefault="00FF58D9" w:rsidP="00555CEA">
      <w:pPr>
        <w:pStyle w:val="PiedeImagen"/>
        <w:ind w:left="720" w:hanging="720"/>
        <w:rPr>
          <w:i w:val="0"/>
          <w:iCs/>
        </w:rPr>
      </w:pPr>
      <w:r>
        <w:t>Fuente</w:t>
      </w:r>
      <w:r>
        <w:rPr>
          <w:i w:val="0"/>
          <w:iCs/>
        </w:rPr>
        <w:t xml:space="preserve">: </w:t>
      </w:r>
      <w:r w:rsidR="00306A04">
        <w:rPr>
          <w:i w:val="0"/>
          <w:iCs/>
        </w:rPr>
        <w:t>Elaboración propia</w:t>
      </w:r>
    </w:p>
    <w:p w14:paraId="08A5BC45" w14:textId="5025C288" w:rsidR="00FF58D9" w:rsidRDefault="00FF58D9" w:rsidP="00FF58D9">
      <w:pPr>
        <w:pStyle w:val="Nivel2SM"/>
        <w:keepNext/>
        <w:spacing w:after="0"/>
      </w:pPr>
      <w:r>
        <w:t>En el gráfico, tenemos que:</w:t>
      </w:r>
    </w:p>
    <w:p w14:paraId="632D35FF" w14:textId="69C29328" w:rsidR="00FF58D9" w:rsidRDefault="00FF58D9" w:rsidP="00FF58D9">
      <w:pPr>
        <w:pStyle w:val="Nivel3SM"/>
      </w:pPr>
      <w:r w:rsidRPr="00C26C58">
        <w:rPr>
          <w:i/>
          <w:iCs/>
        </w:rPr>
        <w:t>M</w:t>
      </w:r>
      <w:r w:rsidR="00484A2E" w:rsidRPr="00C26C58">
        <w:rPr>
          <w:i/>
          <w:iCs/>
        </w:rPr>
        <w:t>M</w:t>
      </w:r>
      <w:r>
        <w:t xml:space="preserve"> es el equilibrio en el mercado de dinero.</w:t>
      </w:r>
    </w:p>
    <w:p w14:paraId="2E62C6E5" w14:textId="77777777" w:rsidR="00484A2E" w:rsidRDefault="00484A2E" w:rsidP="00484A2E">
      <w:pPr>
        <w:pStyle w:val="Nivel3SM"/>
      </w:pPr>
      <w:r w:rsidRPr="00C26C58">
        <w:rPr>
          <w:i/>
          <w:iCs/>
        </w:rPr>
        <w:t>BB</w:t>
      </w:r>
      <w:r>
        <w:t xml:space="preserve"> es el equilibrio en el mercado de activos domésticos.</w:t>
      </w:r>
    </w:p>
    <w:p w14:paraId="53A4B877" w14:textId="47C5B558" w:rsidR="00FF58D9" w:rsidRDefault="00484A2E" w:rsidP="00FF58D9">
      <w:pPr>
        <w:pStyle w:val="Nivel3SM"/>
      </w:pPr>
      <w:r w:rsidRPr="00C26C58">
        <w:rPr>
          <w:i/>
          <w:iCs/>
        </w:rPr>
        <w:t>B*B*</w:t>
      </w:r>
      <w:r w:rsidR="00FF58D9">
        <w:t xml:space="preserve"> es el equilibrio en el mercado de activos externos (demanda igual a la oferta que, se supone, es constante a corto plazo).</w:t>
      </w:r>
    </w:p>
    <w:p w14:paraId="0ABC768E" w14:textId="65CB5181" w:rsidR="00FF58D9" w:rsidRPr="00387773" w:rsidRDefault="00FF58D9" w:rsidP="00DA2706">
      <w:pPr>
        <w:pStyle w:val="Nivel2SM"/>
        <w:keepNext/>
        <w:spacing w:after="0"/>
        <w:rPr>
          <w:spacing w:val="-2"/>
        </w:rPr>
      </w:pPr>
      <w:r w:rsidRPr="00387773">
        <w:rPr>
          <w:spacing w:val="-2"/>
        </w:rPr>
        <w:t>Para justificar la pendiente de las rectas, supongamos una depreciación del tipo de cambio (</w:t>
      </w:r>
      <m:oMath>
        <m:r>
          <m:rPr>
            <m:nor/>
          </m:rPr>
          <w:rPr>
            <w:rFonts w:ascii="Times New Roman" w:hAnsi="Times New Roman" w:cs="Times New Roman"/>
            <w:spacing w:val="-2"/>
          </w:rPr>
          <m:t>↑</m:t>
        </m:r>
        <m:r>
          <m:rPr>
            <m:nor/>
          </m:rPr>
          <w:rPr>
            <w:i/>
            <w:iCs/>
            <w:spacing w:val="-2"/>
          </w:rPr>
          <m:t>E</m:t>
        </m:r>
      </m:oMath>
      <w:r w:rsidRPr="00387773">
        <w:rPr>
          <w:spacing w:val="-2"/>
        </w:rPr>
        <w:t>)</w:t>
      </w:r>
      <w:r w:rsidR="00A404B0" w:rsidRPr="00387773">
        <w:rPr>
          <w:spacing w:val="-2"/>
        </w:rPr>
        <w:t>.</w:t>
      </w:r>
      <w:r w:rsidRPr="00387773">
        <w:rPr>
          <w:spacing w:val="-2"/>
        </w:rPr>
        <w:t xml:space="preserve"> </w:t>
      </w:r>
      <w:r w:rsidR="00A404B0" w:rsidRPr="00387773">
        <w:rPr>
          <w:spacing w:val="-2"/>
        </w:rPr>
        <w:t>E</w:t>
      </w:r>
      <w:r w:rsidRPr="00387773">
        <w:rPr>
          <w:spacing w:val="-2"/>
        </w:rPr>
        <w:t>ste cambio irá asociado a un incremento en el valor de los activos externos medidos en moneda nacional (</w:t>
      </w:r>
      <m:oMath>
        <m:r>
          <m:rPr>
            <m:nor/>
          </m:rPr>
          <w:rPr>
            <w:rFonts w:ascii="Times New Roman" w:hAnsi="Times New Roman" w:cs="Times New Roman"/>
            <w:spacing w:val="-2"/>
          </w:rPr>
          <m:t>↑</m:t>
        </m:r>
        <m:r>
          <m:rPr>
            <m:nor/>
          </m:rPr>
          <w:rPr>
            <w:i/>
            <w:iCs/>
            <w:spacing w:val="-2"/>
          </w:rPr>
          <m:t>E</m:t>
        </m:r>
        <m:r>
          <w:rPr>
            <w:rFonts w:ascii="Cambria Math" w:hAnsi="Cambria Math"/>
            <w:spacing w:val="-2"/>
          </w:rPr>
          <m:t>∙</m:t>
        </m:r>
        <m:r>
          <m:rPr>
            <m:nor/>
          </m:rPr>
          <w:rPr>
            <w:i/>
            <w:iCs/>
            <w:spacing w:val="-2"/>
          </w:rPr>
          <m:t>B*</m:t>
        </m:r>
      </m:oMath>
      <w:r w:rsidRPr="00387773">
        <w:rPr>
          <w:spacing w:val="-2"/>
        </w:rPr>
        <w:t>) y, por tanto, también a un aumento de la riqueza (</w:t>
      </w:r>
      <m:oMath>
        <m:r>
          <m:rPr>
            <m:nor/>
          </m:rPr>
          <w:rPr>
            <w:rFonts w:ascii="Times New Roman" w:hAnsi="Times New Roman" w:cs="Times New Roman"/>
            <w:spacing w:val="-2"/>
          </w:rPr>
          <m:t>↑</m:t>
        </m:r>
        <m:r>
          <m:rPr>
            <m:nor/>
          </m:rPr>
          <w:rPr>
            <w:i/>
            <w:iCs/>
            <w:spacing w:val="-2"/>
          </w:rPr>
          <m:t>W</m:t>
        </m:r>
      </m:oMath>
      <w:r w:rsidRPr="00387773">
        <w:rPr>
          <w:spacing w:val="-2"/>
        </w:rPr>
        <w:t>). El aumento de la riqueza da lugar a una mayor demanda de dinero (</w:t>
      </w:r>
      <m:oMath>
        <m:r>
          <m:rPr>
            <m:nor/>
          </m:rPr>
          <w:rPr>
            <w:rFonts w:ascii="Times New Roman" w:hAnsi="Times New Roman" w:cs="Times New Roman"/>
            <w:spacing w:val="-2"/>
          </w:rPr>
          <m:t>↑</m:t>
        </m:r>
        <m:r>
          <m:rPr>
            <m:nor/>
          </m:rPr>
          <w:rPr>
            <w:i/>
            <w:iCs/>
            <w:spacing w:val="-2"/>
          </w:rPr>
          <m:t>M</m:t>
        </m:r>
      </m:oMath>
      <w:r w:rsidRPr="00387773">
        <w:rPr>
          <w:spacing w:val="-2"/>
        </w:rPr>
        <w:t>) y de bonos nacionales (</w:t>
      </w:r>
      <m:oMath>
        <m:r>
          <m:rPr>
            <m:nor/>
          </m:rPr>
          <w:rPr>
            <w:rFonts w:ascii="Times New Roman" w:hAnsi="Times New Roman" w:cs="Times New Roman"/>
            <w:spacing w:val="-2"/>
          </w:rPr>
          <m:t>↑</m:t>
        </m:r>
        <m:r>
          <m:rPr>
            <m:nor/>
          </m:rPr>
          <w:rPr>
            <w:i/>
            <w:iCs/>
            <w:spacing w:val="-2"/>
          </w:rPr>
          <m:t>B</m:t>
        </m:r>
      </m:oMath>
      <w:r w:rsidRPr="00387773">
        <w:rPr>
          <w:spacing w:val="-2"/>
        </w:rPr>
        <w:t>).</w:t>
      </w:r>
    </w:p>
    <w:p w14:paraId="0A827DE5" w14:textId="795FA90C" w:rsidR="00DA2706" w:rsidRDefault="00DA2706" w:rsidP="00DA2706">
      <w:pPr>
        <w:pStyle w:val="Nivel3SM"/>
      </w:pPr>
      <w:r>
        <w:t xml:space="preserve">Para reequilibrar el </w:t>
      </w:r>
      <w:r w:rsidRPr="00DA2706">
        <w:rPr>
          <w:i/>
          <w:iCs/>
        </w:rPr>
        <w:t>mercado de dinero</w:t>
      </w:r>
      <w:r>
        <w:t xml:space="preserve"> se requerirá un aumento del tipo de interés</w:t>
      </w:r>
      <w:r w:rsidR="00387773">
        <w:t xml:space="preserve"> (ya que la oferta de dinero está dada)</w:t>
      </w:r>
      <w:r>
        <w:t>, por tanto</w:t>
      </w:r>
      <w:r w:rsidR="004160AE">
        <w:t>,</w:t>
      </w:r>
      <w:r>
        <w:t xml:space="preserve"> </w:t>
      </w:r>
      <w:r w:rsidRPr="00137FAF">
        <w:rPr>
          <w:i/>
          <w:iCs/>
        </w:rPr>
        <w:t>M</w:t>
      </w:r>
      <w:r w:rsidR="00484A2E" w:rsidRPr="00137FAF">
        <w:rPr>
          <w:i/>
          <w:iCs/>
        </w:rPr>
        <w:t>M</w:t>
      </w:r>
      <w:r>
        <w:t xml:space="preserve"> tendrá pendiente positiva en el espacio</w:t>
      </w:r>
      <w:r w:rsidR="00403F4A">
        <w:t> </w:t>
      </w:r>
      <w:r w:rsidRPr="00DA2706">
        <w:rPr>
          <w:i/>
          <w:iCs/>
        </w:rPr>
        <w:t>E</w:t>
      </w:r>
      <w:r>
        <w:t>-</w:t>
      </w:r>
      <w:r w:rsidRPr="00DA2706">
        <w:rPr>
          <w:i/>
          <w:iCs/>
        </w:rPr>
        <w:t>i</w:t>
      </w:r>
      <w:r>
        <w:t>.</w:t>
      </w:r>
    </w:p>
    <w:p w14:paraId="4EC6DE31" w14:textId="2526CD93" w:rsidR="00DA2706" w:rsidRPr="00DA2706" w:rsidRDefault="00DA2706" w:rsidP="00DA2706">
      <w:pPr>
        <w:pStyle w:val="Nivel3SM"/>
        <w:rPr>
          <w:spacing w:val="-3"/>
        </w:rPr>
      </w:pPr>
      <w:r w:rsidRPr="00DA2706">
        <w:rPr>
          <w:spacing w:val="-3"/>
        </w:rPr>
        <w:t xml:space="preserve">Por el contrario, en el </w:t>
      </w:r>
      <w:r w:rsidRPr="00DA2706">
        <w:rPr>
          <w:i/>
          <w:iCs/>
          <w:spacing w:val="-3"/>
        </w:rPr>
        <w:t>mercado de bonos nacionales</w:t>
      </w:r>
      <w:r w:rsidRPr="00DA2706">
        <w:rPr>
          <w:spacing w:val="-3"/>
        </w:rPr>
        <w:t xml:space="preserve"> se precisa una reducción del tipo de interés para equilibrar el mercado, por eso la pendiente de </w:t>
      </w:r>
      <w:r w:rsidRPr="00137FAF">
        <w:rPr>
          <w:i/>
          <w:iCs/>
          <w:spacing w:val="-3"/>
        </w:rPr>
        <w:t>B</w:t>
      </w:r>
      <w:r w:rsidR="00484A2E" w:rsidRPr="00137FAF">
        <w:rPr>
          <w:i/>
          <w:iCs/>
          <w:spacing w:val="-3"/>
        </w:rPr>
        <w:t>B</w:t>
      </w:r>
      <w:r w:rsidRPr="00DA2706">
        <w:rPr>
          <w:spacing w:val="-3"/>
        </w:rPr>
        <w:t xml:space="preserve"> será negativa en el espacio</w:t>
      </w:r>
      <w:r w:rsidR="00403F4A">
        <w:rPr>
          <w:i/>
          <w:iCs/>
          <w:spacing w:val="-3"/>
        </w:rPr>
        <w:t> </w:t>
      </w:r>
      <w:r w:rsidRPr="00DA2706">
        <w:rPr>
          <w:i/>
          <w:iCs/>
          <w:spacing w:val="-3"/>
        </w:rPr>
        <w:t>E</w:t>
      </w:r>
      <w:r w:rsidRPr="00DA2706">
        <w:rPr>
          <w:spacing w:val="-3"/>
        </w:rPr>
        <w:t>-</w:t>
      </w:r>
      <w:r w:rsidRPr="00DA2706">
        <w:rPr>
          <w:i/>
          <w:iCs/>
          <w:spacing w:val="-3"/>
        </w:rPr>
        <w:t>i</w:t>
      </w:r>
      <w:r w:rsidRPr="00DA2706">
        <w:rPr>
          <w:spacing w:val="-3"/>
        </w:rPr>
        <w:t>.</w:t>
      </w:r>
    </w:p>
    <w:p w14:paraId="0908D772" w14:textId="33E942DF" w:rsidR="00DA2706" w:rsidRDefault="00DA2706" w:rsidP="00DA2706">
      <w:pPr>
        <w:pStyle w:val="Nivel3SM"/>
      </w:pPr>
      <w:r>
        <w:lastRenderedPageBreak/>
        <w:t xml:space="preserve">Finalmente, según aumenta el tipo de interés, los agentes ajustan sus carteras sustituyendo </w:t>
      </w:r>
      <m:oMath>
        <m:r>
          <m:rPr>
            <m:nor/>
          </m:rPr>
          <w:rPr>
            <w:i/>
            <w:iCs/>
          </w:rPr>
          <m:t>B*</m:t>
        </m:r>
      </m:oMath>
      <w:r>
        <w:rPr>
          <w:rFonts w:eastAsiaTheme="minorEastAsia"/>
          <w:iCs/>
        </w:rPr>
        <w:t xml:space="preserve"> por </w:t>
      </w:r>
      <m:oMath>
        <m:r>
          <m:rPr>
            <m:nor/>
          </m:rPr>
          <w:rPr>
            <w:i/>
            <w:iCs/>
          </w:rPr>
          <m:t>B</m:t>
        </m:r>
      </m:oMath>
      <w:r>
        <w:rPr>
          <w:rFonts w:eastAsiaTheme="minorEastAsia"/>
          <w:iCs/>
        </w:rPr>
        <w:t xml:space="preserve">. En consecuencia, un aumento del tipo de interés reduce la demanda de </w:t>
      </w:r>
      <m:oMath>
        <m:r>
          <m:rPr>
            <m:nor/>
          </m:rPr>
          <w:rPr>
            <w:i/>
            <w:iCs/>
          </w:rPr>
          <m:t>B*</m:t>
        </m:r>
      </m:oMath>
      <w:r>
        <w:rPr>
          <w:rFonts w:eastAsiaTheme="minorEastAsia"/>
          <w:iCs/>
        </w:rPr>
        <w:t xml:space="preserve"> lo que deberá ir asociado a una apreciación del tipo de cambio (</w:t>
      </w:r>
      <m:oMath>
        <m:r>
          <m:rPr>
            <m:nor/>
          </m:rPr>
          <w:rPr>
            <w:rFonts w:ascii="Times New Roman" w:hAnsi="Times New Roman" w:cs="Times New Roman"/>
          </w:rPr>
          <m:t>↓</m:t>
        </m:r>
        <m:r>
          <m:rPr>
            <m:nor/>
          </m:rPr>
          <w:rPr>
            <w:i/>
            <w:iCs/>
          </w:rPr>
          <m:t>E</m:t>
        </m:r>
      </m:oMath>
      <w:r>
        <w:rPr>
          <w:rFonts w:eastAsiaTheme="minorEastAsia"/>
          <w:iCs/>
        </w:rPr>
        <w:t xml:space="preserve">) para mantener el equilibrio en el </w:t>
      </w:r>
      <w:r w:rsidRPr="00DA2706">
        <w:rPr>
          <w:rFonts w:eastAsiaTheme="minorEastAsia"/>
          <w:i/>
        </w:rPr>
        <w:t>mercado de bonos internacionales</w:t>
      </w:r>
      <w:r>
        <w:rPr>
          <w:rFonts w:eastAsiaTheme="minorEastAsia"/>
          <w:iCs/>
        </w:rPr>
        <w:t xml:space="preserve"> (para una oferta dada de </w:t>
      </w:r>
      <m:oMath>
        <m:r>
          <m:rPr>
            <m:nor/>
          </m:rPr>
          <w:rPr>
            <w:i/>
            <w:iCs/>
          </w:rPr>
          <m:t>B*</m:t>
        </m:r>
      </m:oMath>
      <w:r>
        <w:rPr>
          <w:rFonts w:eastAsiaTheme="minorEastAsia"/>
          <w:iCs/>
        </w:rPr>
        <w:t>). Por eso</w:t>
      </w:r>
      <w:r w:rsidR="00EE3CC0">
        <w:rPr>
          <w:rFonts w:eastAsiaTheme="minorEastAsia"/>
          <w:iCs/>
        </w:rPr>
        <w:t>,</w:t>
      </w:r>
      <w:r>
        <w:rPr>
          <w:rFonts w:eastAsiaTheme="minorEastAsia"/>
          <w:iCs/>
        </w:rPr>
        <w:t xml:space="preserve"> la pendiente de </w:t>
      </w:r>
      <w:r w:rsidR="00484A2E" w:rsidRPr="00137FAF">
        <w:rPr>
          <w:rFonts w:eastAsiaTheme="minorEastAsia"/>
          <w:i/>
        </w:rPr>
        <w:t>B*B*</w:t>
      </w:r>
      <w:r>
        <w:rPr>
          <w:rFonts w:eastAsiaTheme="minorEastAsia"/>
          <w:iCs/>
        </w:rPr>
        <w:t xml:space="preserve"> será negativa </w:t>
      </w:r>
      <w:r>
        <w:t>en el espacio</w:t>
      </w:r>
      <w:r w:rsidRPr="00DA2706">
        <w:rPr>
          <w:i/>
          <w:iCs/>
        </w:rPr>
        <w:t xml:space="preserve"> E</w:t>
      </w:r>
      <w:r>
        <w:t>-</w:t>
      </w:r>
      <w:r w:rsidRPr="00DA2706">
        <w:rPr>
          <w:i/>
          <w:iCs/>
        </w:rPr>
        <w:t>i</w:t>
      </w:r>
      <w:r>
        <w:t xml:space="preserve">, pero con una pendiente de menor valor absoluto que </w:t>
      </w:r>
      <w:r w:rsidRPr="00E12461">
        <w:rPr>
          <w:i/>
          <w:iCs/>
        </w:rPr>
        <w:t>B</w:t>
      </w:r>
      <w:r w:rsidR="00484A2E" w:rsidRPr="00E12461">
        <w:rPr>
          <w:i/>
          <w:iCs/>
        </w:rPr>
        <w:t>B</w:t>
      </w:r>
      <w:r>
        <w:t xml:space="preserve"> por el supuesto de que un cambio en el tipo de interés doméstico afecta en mayor medida a la demanda de </w:t>
      </w:r>
      <m:oMath>
        <m:r>
          <m:rPr>
            <m:nor/>
          </m:rPr>
          <w:rPr>
            <w:i/>
            <w:iCs/>
          </w:rPr>
          <m:t>B</m:t>
        </m:r>
      </m:oMath>
      <w:r>
        <w:rPr>
          <w:rFonts w:eastAsiaTheme="minorEastAsia"/>
          <w:iCs/>
        </w:rPr>
        <w:t xml:space="preserve"> que a la de </w:t>
      </w:r>
      <m:oMath>
        <m:r>
          <m:rPr>
            <m:nor/>
          </m:rPr>
          <w:rPr>
            <w:i/>
            <w:iCs/>
          </w:rPr>
          <m:t>B*</m:t>
        </m:r>
      </m:oMath>
      <w:r w:rsidR="00824408">
        <w:rPr>
          <w:rStyle w:val="Refdenotaalpie"/>
          <w:rFonts w:eastAsiaTheme="minorEastAsia"/>
          <w:iCs/>
        </w:rPr>
        <w:footnoteReference w:id="35"/>
      </w:r>
      <w:r>
        <w:rPr>
          <w:rFonts w:eastAsiaTheme="minorEastAsia"/>
          <w:iCs/>
        </w:rPr>
        <w:t>.</w:t>
      </w:r>
    </w:p>
    <w:p w14:paraId="2AAB28EA" w14:textId="65689115" w:rsidR="00EA3768" w:rsidRDefault="00EA3768" w:rsidP="00EA3768">
      <w:pPr>
        <w:pStyle w:val="Nivel2SM"/>
        <w:keepNext/>
        <w:spacing w:after="0"/>
      </w:pPr>
      <w:r>
        <w:t xml:space="preserve">La intersección de las </w:t>
      </w:r>
      <w:r w:rsidR="00E12461">
        <w:t>3 </w:t>
      </w:r>
      <w:r>
        <w:t xml:space="preserve">rectas determina el </w:t>
      </w:r>
      <w:r w:rsidRPr="00E12461">
        <w:rPr>
          <w:b/>
          <w:bCs/>
        </w:rPr>
        <w:t>equilibrio a corto plazo</w:t>
      </w:r>
      <w:r>
        <w:t>.</w:t>
      </w:r>
    </w:p>
    <w:p w14:paraId="3EE8311A" w14:textId="4B6D4EEB" w:rsidR="00FF58D9" w:rsidRDefault="00EA3768" w:rsidP="00EA3768">
      <w:pPr>
        <w:pStyle w:val="Nivel3SM"/>
      </w:pPr>
      <w:r>
        <w:t xml:space="preserve">En realidad, si </w:t>
      </w:r>
      <w:r w:rsidR="00824408">
        <w:t>2</w:t>
      </w:r>
      <w:r>
        <w:t xml:space="preserve"> de estos </w:t>
      </w:r>
      <w:r w:rsidR="00824408">
        <w:t>3</w:t>
      </w:r>
      <w:r w:rsidR="002C6323">
        <w:t> </w:t>
      </w:r>
      <w:r>
        <w:t>mercados están en equilibrio, por la Ley de Walras, también deberá estarlo el tercero, de modo que será suficiente con analizar dos de estos mercados.</w:t>
      </w:r>
    </w:p>
    <w:p w14:paraId="6C78E995" w14:textId="1C6DCB15" w:rsidR="00EA3768" w:rsidRPr="00FF4597" w:rsidRDefault="00EA3768" w:rsidP="00EA3768">
      <w:pPr>
        <w:pStyle w:val="Nivel1SM"/>
        <w:keepNext/>
        <w:spacing w:after="0"/>
      </w:pPr>
      <w:r w:rsidRPr="00FF4597">
        <w:t>Veamos qué efectos tienen los shocks más habituales:</w:t>
      </w:r>
    </w:p>
    <w:p w14:paraId="4B2F3992" w14:textId="4C9BFB80" w:rsidR="00DF7529" w:rsidRPr="00FF4597" w:rsidRDefault="00EF53A6" w:rsidP="00DF7529">
      <w:pPr>
        <w:pStyle w:val="Nivel2SM"/>
        <w:keepNext/>
        <w:spacing w:after="0"/>
      </w:pPr>
      <w:r w:rsidRPr="00FF4597">
        <w:t xml:space="preserve">Una </w:t>
      </w:r>
      <w:r w:rsidRPr="00FF4597">
        <w:rPr>
          <w:i/>
          <w:iCs/>
          <w:u w:val="single"/>
        </w:rPr>
        <w:t>política monetaria expansiva</w:t>
      </w:r>
      <w:r w:rsidR="00EA3768" w:rsidRPr="00FF4597">
        <w:t xml:space="preserve"> (</w:t>
      </w:r>
      <m:oMath>
        <m:r>
          <m:rPr>
            <m:nor/>
          </m:rPr>
          <w:rPr>
            <w:rFonts w:ascii="Times New Roman" w:hAnsi="Times New Roman" w:cs="Times New Roman"/>
          </w:rPr>
          <m:t>↑</m:t>
        </m:r>
        <m:r>
          <m:rPr>
            <m:nor/>
          </m:rPr>
          <w:rPr>
            <w:i/>
            <w:iCs/>
          </w:rPr>
          <m:t>M</m:t>
        </m:r>
      </m:oMath>
      <w:r w:rsidR="00EA3768" w:rsidRPr="00FF4597">
        <w:t>),</w:t>
      </w:r>
    </w:p>
    <w:p w14:paraId="2F739BB3" w14:textId="1825A60D" w:rsidR="00DF7529" w:rsidRPr="00FF4597" w:rsidRDefault="00DF7529" w:rsidP="00DF7529">
      <w:pPr>
        <w:pStyle w:val="Nivel3SM"/>
      </w:pPr>
      <w:r w:rsidRPr="00FF4597">
        <w:t>Provoca que la recta</w:t>
      </w:r>
      <w:r w:rsidR="00982D11">
        <w:t> </w:t>
      </w:r>
      <w:r w:rsidRPr="00FF4597">
        <w:rPr>
          <w:i/>
          <w:iCs/>
        </w:rPr>
        <w:t>MM</w:t>
      </w:r>
      <w:r w:rsidRPr="00FF4597">
        <w:t xml:space="preserve"> se desplace a la izquierda. Esto ocurre porque, para que se vacíe el mercado monetario con una mayor oferta de dinero, el tipo de interés deberá disminuir. Por tanto, para cada nivel de tipo de cambio, el equilibrio se alcanzará con un tipo de interés menor que antes.</w:t>
      </w:r>
    </w:p>
    <w:p w14:paraId="564DA9DA" w14:textId="77777777" w:rsidR="00DF7529" w:rsidRPr="00FF4597" w:rsidRDefault="00DF7529" w:rsidP="00DF7529">
      <w:pPr>
        <w:pStyle w:val="Nivel3SM"/>
      </w:pPr>
      <w:r w:rsidRPr="00FF4597">
        <w:t>La mayor oferta de dinero, da lugar a una mayor riqueza, lo que se traduce en una mayor demanda de bonos nacionales y extranjeros:</w:t>
      </w:r>
    </w:p>
    <w:p w14:paraId="463FFC50" w14:textId="41645155" w:rsidR="00DF7529" w:rsidRPr="00FF4597" w:rsidRDefault="00DF7529" w:rsidP="00DF7529">
      <w:pPr>
        <w:pStyle w:val="Nivel4"/>
        <w:ind w:left="1474"/>
      </w:pPr>
      <w:r w:rsidRPr="00FF4597">
        <w:t>El exceso de demanda de bonos nacionales provoca un aumento de su precio y, por tanto, una caída de su rentabilidad (i.e. el tipo de interés), por lo que la recta</w:t>
      </w:r>
      <w:r w:rsidR="00982D11">
        <w:t> </w:t>
      </w:r>
      <w:r w:rsidRPr="00FF4597">
        <w:rPr>
          <w:i/>
          <w:iCs/>
        </w:rPr>
        <w:t>BB</w:t>
      </w:r>
      <w:r w:rsidRPr="00FF4597">
        <w:t xml:space="preserve"> se desplaza a la izquierda.</w:t>
      </w:r>
    </w:p>
    <w:p w14:paraId="4BE2B9C0" w14:textId="5BC6188E" w:rsidR="00DF7529" w:rsidRPr="00FF4597" w:rsidRDefault="00DF7529" w:rsidP="00DF7529">
      <w:pPr>
        <w:pStyle w:val="Nivel4"/>
        <w:ind w:left="1474"/>
      </w:pPr>
      <w:r w:rsidRPr="00FF4597">
        <w:t>El exceso de demanda de bonos extranjeros provoca una depreciación de la moneda nacional (pues se compra moneda extranjera y se vende moneda nacional), por lo que la recta</w:t>
      </w:r>
      <w:r w:rsidR="00982D11">
        <w:t> </w:t>
      </w:r>
      <w:r w:rsidRPr="00FF4597">
        <w:rPr>
          <w:i/>
          <w:iCs/>
        </w:rPr>
        <w:t>B*B*</w:t>
      </w:r>
      <w:r w:rsidRPr="00FF4597">
        <w:t xml:space="preserve"> se desplaza hacia arriba.</w:t>
      </w:r>
    </w:p>
    <w:p w14:paraId="09CC5BB7" w14:textId="5F71DE9C" w:rsidR="00DF7529" w:rsidRPr="00FF4597" w:rsidRDefault="00DF7529" w:rsidP="00DF7529">
      <w:pPr>
        <w:pStyle w:val="Nivel3SM"/>
        <w:keepNext/>
      </w:pPr>
      <w:r w:rsidRPr="00FF4597">
        <w:t>En definitiva, una política monetaria expansiva en el modelo de cartera provoca:</w:t>
      </w:r>
    </w:p>
    <w:p w14:paraId="2E75EC80" w14:textId="37C5EBB4" w:rsidR="00DF7529" w:rsidRPr="00FF4597" w:rsidRDefault="00DF7529" w:rsidP="00DF7529">
      <w:pPr>
        <w:pStyle w:val="Nivel4"/>
        <w:ind w:left="1474"/>
      </w:pPr>
      <w:r w:rsidRPr="00FF4597">
        <w:t>Una disminución del tipo de interés.</w:t>
      </w:r>
    </w:p>
    <w:p w14:paraId="19854940" w14:textId="77777777" w:rsidR="00DF7529" w:rsidRPr="00FF4597" w:rsidRDefault="00DF7529" w:rsidP="00DF7529">
      <w:pPr>
        <w:pStyle w:val="Nivel4"/>
        <w:ind w:left="1474"/>
      </w:pPr>
      <w:r w:rsidRPr="00FF4597">
        <w:t>Una depreciación de la moneda nacional.</w:t>
      </w:r>
    </w:p>
    <w:p w14:paraId="3EF023D8" w14:textId="042F130F" w:rsidR="00DF7529" w:rsidRPr="00FF4597" w:rsidRDefault="00DF7529" w:rsidP="00FF4597">
      <w:pPr>
        <w:pStyle w:val="Nivel4"/>
        <w:numPr>
          <w:ilvl w:val="0"/>
          <w:numId w:val="0"/>
        </w:numPr>
        <w:ind w:left="1474"/>
        <w:jc w:val="center"/>
      </w:pPr>
      <w:r w:rsidRPr="00FF4597">
        <w:rPr>
          <w:rFonts w:eastAsiaTheme="minorEastAsia"/>
          <w:iCs/>
          <w:noProof/>
        </w:rPr>
        <w:lastRenderedPageBreak/>
        <w:drawing>
          <wp:inline distT="0" distB="0" distL="0" distR="0" wp14:anchorId="28D335E8" wp14:editId="49C7DC1F">
            <wp:extent cx="1419225" cy="126682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9225" cy="1266825"/>
                    </a:xfrm>
                    <a:prstGeom prst="rect">
                      <a:avLst/>
                    </a:prstGeom>
                    <a:noFill/>
                  </pic:spPr>
                </pic:pic>
              </a:graphicData>
            </a:graphic>
          </wp:inline>
        </w:drawing>
      </w:r>
    </w:p>
    <w:p w14:paraId="49638568" w14:textId="4ABE91FC" w:rsidR="00EF53A6" w:rsidRPr="00FF4597" w:rsidRDefault="00EF53A6" w:rsidP="00EF53A6">
      <w:pPr>
        <w:pStyle w:val="Nivel2SM"/>
        <w:keepNext/>
        <w:spacing w:after="0"/>
      </w:pPr>
      <w:r w:rsidRPr="00FF4597">
        <w:t xml:space="preserve">Una </w:t>
      </w:r>
      <w:r w:rsidRPr="00FF4597">
        <w:rPr>
          <w:i/>
          <w:iCs/>
          <w:u w:val="single"/>
        </w:rPr>
        <w:t>política fiscal expansiva financiada con deuda</w:t>
      </w:r>
      <w:r w:rsidRPr="00FF4597">
        <w:t xml:space="preserve"> </w:t>
      </w:r>
      <w:r w:rsidRPr="00FF4597">
        <w:rPr>
          <w:rFonts w:eastAsiaTheme="minorEastAsia"/>
          <w:iCs/>
        </w:rPr>
        <w:t>(</w:t>
      </w:r>
      <m:oMath>
        <m:r>
          <m:rPr>
            <m:nor/>
          </m:rPr>
          <w:rPr>
            <w:rFonts w:ascii="Times New Roman" w:hAnsi="Times New Roman" w:cs="Times New Roman"/>
          </w:rPr>
          <m:t>↑</m:t>
        </m:r>
        <m:r>
          <m:rPr>
            <m:nor/>
          </m:rPr>
          <w:rPr>
            <w:i/>
            <w:iCs/>
          </w:rPr>
          <m:t>B</m:t>
        </m:r>
      </m:oMath>
      <w:r w:rsidRPr="00FF4597">
        <w:rPr>
          <w:rFonts w:eastAsiaTheme="minorEastAsia"/>
          <w:iCs/>
        </w:rPr>
        <w:t>),</w:t>
      </w:r>
    </w:p>
    <w:p w14:paraId="0BF340B9" w14:textId="750162DF" w:rsidR="00EF53A6" w:rsidRPr="00FF4597" w:rsidRDefault="00EF53A6" w:rsidP="00EF53A6">
      <w:pPr>
        <w:pStyle w:val="Nivel3SM"/>
      </w:pPr>
      <w:r w:rsidRPr="00FF4597">
        <w:t xml:space="preserve">El aumento de la oferta de bonos nacionales provoca una disminución de su precio y, por tanto, un aumento de su rentabilidad (i.e. tipo de interés), por lo que la recta </w:t>
      </w:r>
      <w:r w:rsidRPr="00FF4597">
        <w:rPr>
          <w:i/>
          <w:iCs/>
        </w:rPr>
        <w:t>BB</w:t>
      </w:r>
      <w:r w:rsidRPr="00FF4597">
        <w:t xml:space="preserve"> se desplaza hacia la derecha.</w:t>
      </w:r>
    </w:p>
    <w:p w14:paraId="513B0DFB" w14:textId="4EB24C8F" w:rsidR="00EF53A6" w:rsidRPr="00FF4597" w:rsidRDefault="00EF53A6" w:rsidP="00FF4597">
      <w:pPr>
        <w:pStyle w:val="Nivel3SM"/>
        <w:keepNext/>
      </w:pPr>
      <w:r w:rsidRPr="00FF4597">
        <w:t xml:space="preserve">La mayor rentabilidad da lugar a una mayor riqueza, </w:t>
      </w:r>
      <w:r w:rsidR="00FF4597" w:rsidRPr="00FF4597">
        <w:t>lo que se traduce en una mayor demanda de bonos extranjeros y de dinero:</w:t>
      </w:r>
    </w:p>
    <w:p w14:paraId="292FEE6E" w14:textId="26A36AC3" w:rsidR="00FF4597" w:rsidRPr="00FF4597" w:rsidRDefault="00FF4597" w:rsidP="00FF4597">
      <w:pPr>
        <w:pStyle w:val="Nivel4"/>
        <w:ind w:left="1474"/>
      </w:pPr>
      <w:r w:rsidRPr="00FF4597">
        <w:t xml:space="preserve">El exceso de demanda de bonos extranjeros provoca una depreciación de la moneda nacional, por lo que la recta </w:t>
      </w:r>
      <w:r w:rsidRPr="00FF4597">
        <w:rPr>
          <w:i/>
          <w:iCs/>
        </w:rPr>
        <w:t>B*B*</w:t>
      </w:r>
      <w:r w:rsidRPr="00FF4597">
        <w:t xml:space="preserve"> se desplaza hacia arriba.</w:t>
      </w:r>
    </w:p>
    <w:p w14:paraId="66437D99" w14:textId="77E254C5" w:rsidR="00FF4597" w:rsidRPr="00FF4597" w:rsidRDefault="00FF4597" w:rsidP="00FF4597">
      <w:pPr>
        <w:pStyle w:val="Nivel4"/>
        <w:ind w:left="1474"/>
      </w:pPr>
      <w:r w:rsidRPr="00FF4597">
        <w:t xml:space="preserve">El exceso de demanda de dinero provoca un aumento del tipo de interés (i.e. precio del dinero), por lo que la recta </w:t>
      </w:r>
      <w:r w:rsidRPr="00FF4597">
        <w:rPr>
          <w:i/>
          <w:iCs/>
        </w:rPr>
        <w:t>MM</w:t>
      </w:r>
      <w:r w:rsidRPr="00FF4597">
        <w:t xml:space="preserve"> se desplaza a la derecha.</w:t>
      </w:r>
    </w:p>
    <w:p w14:paraId="40DB02E1" w14:textId="19992A65" w:rsidR="00FF4597" w:rsidRPr="00FF4597" w:rsidRDefault="00FF4597" w:rsidP="00FF4597">
      <w:pPr>
        <w:pStyle w:val="Nivel3SM"/>
        <w:keepNext/>
      </w:pPr>
      <w:r w:rsidRPr="00FF4597">
        <w:t>En definitiva, una política fiscal expansiva financiada con deuda en el modelo de cartera provoca:</w:t>
      </w:r>
    </w:p>
    <w:p w14:paraId="12797E3B" w14:textId="0863A2E1" w:rsidR="00FF4597" w:rsidRPr="00FF4597" w:rsidRDefault="00FF4597" w:rsidP="00FF4597">
      <w:pPr>
        <w:pStyle w:val="Nivel4"/>
        <w:ind w:left="1474"/>
      </w:pPr>
      <w:r w:rsidRPr="00FF4597">
        <w:t>Un aumento del tipo de interés.</w:t>
      </w:r>
    </w:p>
    <w:p w14:paraId="716C400B" w14:textId="2BC5EE17" w:rsidR="00FF4597" w:rsidRPr="00FF4597" w:rsidRDefault="00FF4597" w:rsidP="00FF4597">
      <w:pPr>
        <w:pStyle w:val="Nivel4"/>
        <w:ind w:left="1474"/>
      </w:pPr>
      <w:r w:rsidRPr="00FF4597">
        <w:t>Un efecto ambiguo sobre el tipo de cambio (esto se debe a que una política fiscal expansiva provoca un aumento del tipo de interés, lo que genera un efecto riqueza positivo que estimula la demanda de bonos extranjeros, pero a su vez desvía la demanda de bonos extranjeros hacia bonos nacionales –pues ahora éstos reportan una mayor rentabilidad–).</w:t>
      </w:r>
    </w:p>
    <w:p w14:paraId="634BA652" w14:textId="0C58D4B1" w:rsidR="00FF4597" w:rsidRPr="00FF4597" w:rsidRDefault="00FF4597" w:rsidP="00FF4597">
      <w:pPr>
        <w:pStyle w:val="Nivel1"/>
        <w:numPr>
          <w:ilvl w:val="0"/>
          <w:numId w:val="0"/>
        </w:numPr>
        <w:ind w:left="623" w:hanging="198"/>
        <w:jc w:val="center"/>
      </w:pPr>
      <w:r w:rsidRPr="00FF4597">
        <w:rPr>
          <w:noProof/>
        </w:rPr>
        <w:drawing>
          <wp:inline distT="0" distB="0" distL="0" distR="0" wp14:anchorId="7481D4C3" wp14:editId="0009A057">
            <wp:extent cx="1314450" cy="1266825"/>
            <wp:effectExtent l="0" t="0" r="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14450" cy="1266825"/>
                    </a:xfrm>
                    <a:prstGeom prst="rect">
                      <a:avLst/>
                    </a:prstGeom>
                    <a:noFill/>
                  </pic:spPr>
                </pic:pic>
              </a:graphicData>
            </a:graphic>
          </wp:inline>
        </w:drawing>
      </w:r>
    </w:p>
    <w:p w14:paraId="01C9C312" w14:textId="453F96E7" w:rsidR="00477D38" w:rsidRPr="00FF4597" w:rsidRDefault="00FF4597" w:rsidP="00FF4597">
      <w:pPr>
        <w:pStyle w:val="Nivel2SM"/>
        <w:keepNext/>
        <w:spacing w:after="0"/>
      </w:pPr>
      <w:r w:rsidRPr="00FF4597">
        <w:t xml:space="preserve">Una </w:t>
      </w:r>
      <w:r w:rsidRPr="00FF4597">
        <w:rPr>
          <w:i/>
          <w:iCs/>
          <w:u w:val="single"/>
        </w:rPr>
        <w:t>operación de mercado abierto de expansión monetaria mediante la compra de bonos</w:t>
      </w:r>
      <w:r w:rsidRPr="00FF4597">
        <w:t xml:space="preserve"> (</w:t>
      </w:r>
      <m:oMath>
        <m:r>
          <m:rPr>
            <m:nor/>
          </m:rPr>
          <w:rPr>
            <w:rFonts w:ascii="Times New Roman" w:hAnsi="Times New Roman" w:cs="Times New Roman"/>
          </w:rPr>
          <m:t>↑</m:t>
        </m:r>
        <m:r>
          <m:rPr>
            <m:nor/>
          </m:rPr>
          <w:rPr>
            <w:i/>
          </w:rPr>
          <m:t>M</m:t>
        </m:r>
        <m:r>
          <w:rPr>
            <w:rFonts w:ascii="Cambria Math" w:hAnsi="Cambria Math"/>
          </w:rPr>
          <m:t>=</m:t>
        </m:r>
        <m:r>
          <m:rPr>
            <m:nor/>
          </m:rPr>
          <w:rPr>
            <w:rFonts w:ascii="Times New Roman" w:hAnsi="Times New Roman" w:cs="Times New Roman"/>
          </w:rPr>
          <m:t>↓</m:t>
        </m:r>
        <m:r>
          <m:rPr>
            <m:nor/>
          </m:rPr>
          <w:rPr>
            <w:i/>
          </w:rPr>
          <m:t>B</m:t>
        </m:r>
      </m:oMath>
      <w:r w:rsidRPr="00FF4597">
        <w:t>),</w:t>
      </w:r>
    </w:p>
    <w:p w14:paraId="5B71ABDA" w14:textId="77777777" w:rsidR="00FF4597" w:rsidRPr="00FF4597" w:rsidRDefault="00407522" w:rsidP="00FF4597">
      <w:pPr>
        <w:pStyle w:val="Nivel3SM"/>
      </w:pPr>
      <w:r w:rsidRPr="00FF4597">
        <w:t xml:space="preserve">Para inducir a los agentes a incrementar sus saldos monetarios es necesario que se reduzca el tipo de interés para un nivel dado de tipo de cambio (i.e. </w:t>
      </w:r>
      <w:r w:rsidRPr="00FF4597">
        <w:rPr>
          <w:i/>
          <w:iCs/>
        </w:rPr>
        <w:t>M</w:t>
      </w:r>
      <w:r w:rsidR="00484A2E" w:rsidRPr="00FF4597">
        <w:rPr>
          <w:i/>
          <w:iCs/>
        </w:rPr>
        <w:t>M</w:t>
      </w:r>
      <w:r w:rsidRPr="00FF4597">
        <w:t xml:space="preserve"> y </w:t>
      </w:r>
      <w:r w:rsidRPr="00FF4597">
        <w:rPr>
          <w:i/>
          <w:iCs/>
        </w:rPr>
        <w:t>B</w:t>
      </w:r>
      <w:r w:rsidR="00484A2E" w:rsidRPr="00FF4597">
        <w:rPr>
          <w:i/>
          <w:iCs/>
        </w:rPr>
        <w:t>B</w:t>
      </w:r>
      <w:r w:rsidRPr="00FF4597">
        <w:t xml:space="preserve"> se desplazan hacia la izquierda (</w:t>
      </w:r>
      <w:r w:rsidR="00484A2E" w:rsidRPr="00FF4597">
        <w:rPr>
          <w:i/>
        </w:rPr>
        <w:t>B*B*</w:t>
      </w:r>
      <w:r w:rsidRPr="00FF4597">
        <w:t xml:space="preserve"> no se mueve) y se alcanza un nu</w:t>
      </w:r>
      <w:r w:rsidR="00555CEA" w:rsidRPr="00FF4597">
        <w:t>ev</w:t>
      </w:r>
      <w:r w:rsidRPr="00FF4597">
        <w:t>o equilibrio</w:t>
      </w:r>
      <w:r w:rsidR="00367FB3" w:rsidRPr="00FF4597">
        <w:t xml:space="preserve"> </w:t>
      </w:r>
      <m:oMath>
        <m:sSub>
          <m:sSubPr>
            <m:ctrlPr>
              <w:rPr>
                <w:rFonts w:ascii="Cambria Math" w:hAnsi="Cambria Math"/>
                <w:i/>
              </w:rPr>
            </m:ctrlPr>
          </m:sSubPr>
          <m:e>
            <m:r>
              <m:rPr>
                <m:nor/>
              </m:rPr>
              <w:rPr>
                <w:i/>
              </w:rPr>
              <m:t>E</m:t>
            </m:r>
          </m:e>
          <m:sub>
            <m:r>
              <m:rPr>
                <m:nor/>
              </m:rPr>
              <w:rPr>
                <w:i/>
              </w:rPr>
              <m:t>1</m:t>
            </m:r>
          </m:sub>
        </m:sSub>
      </m:oMath>
      <w:r w:rsidRPr="00FF4597">
        <w:t>).</w:t>
      </w:r>
    </w:p>
    <w:p w14:paraId="6104018C" w14:textId="0D706414" w:rsidR="00037836" w:rsidRPr="00FF4597" w:rsidRDefault="00407522" w:rsidP="00FF4597">
      <w:pPr>
        <w:pStyle w:val="Nivel3SM"/>
      </w:pPr>
      <w:r w:rsidRPr="00FF4597">
        <w:t>De este modo, esta política monetaria expansiva dará lugar a una caída del tipo de interés y a una depreciación del tipo de cambio.</w:t>
      </w:r>
    </w:p>
    <w:p w14:paraId="68752C05" w14:textId="77777777" w:rsidR="00FF4597" w:rsidRPr="00FF4597" w:rsidRDefault="00FF4597" w:rsidP="00FF4597">
      <w:pPr>
        <w:pStyle w:val="Nivel3SM"/>
      </w:pPr>
      <w:r w:rsidRPr="00FF4597">
        <w:t xml:space="preserve">Si la operación de mercado abierto consistiera en comprar </w:t>
      </w:r>
      <m:oMath>
        <m:r>
          <m:rPr>
            <m:nor/>
          </m:rPr>
          <w:rPr>
            <w:i/>
          </w:rPr>
          <m:t>B*</m:t>
        </m:r>
      </m:oMath>
      <w:r w:rsidRPr="00FF4597">
        <w:t xml:space="preserve"> (con </w:t>
      </w:r>
      <m:oMath>
        <m:r>
          <m:rPr>
            <m:nor/>
          </m:rPr>
          <w:rPr>
            <w:rFonts w:ascii="Times New Roman" w:hAnsi="Times New Roman" w:cs="Times New Roman"/>
          </w:rPr>
          <m:t>↓</m:t>
        </m:r>
        <m:r>
          <m:rPr>
            <m:nor/>
          </m:rPr>
          <w:rPr>
            <w:i/>
          </w:rPr>
          <m:t>B*</m:t>
        </m:r>
        <m:r>
          <w:rPr>
            <w:rFonts w:ascii="Cambria Math" w:hAnsi="Cambria Math"/>
          </w:rPr>
          <m:t>=</m:t>
        </m:r>
        <m:r>
          <m:rPr>
            <m:nor/>
          </m:rPr>
          <w:rPr>
            <w:rFonts w:ascii="Times New Roman" w:hAnsi="Times New Roman" w:cs="Times New Roman"/>
          </w:rPr>
          <m:t>↑</m:t>
        </m:r>
        <m:r>
          <m:rPr>
            <m:nor/>
          </m:rPr>
          <w:rPr>
            <w:i/>
          </w:rPr>
          <m:t>M</m:t>
        </m:r>
      </m:oMath>
      <w:r w:rsidRPr="00FF4597">
        <w:t xml:space="preserve">), los efectos serían cualitativamente iguales a los del caso anterior, pero con un mayor impacto sobre el tipo de cambio (porque </w:t>
      </w:r>
      <w:r w:rsidRPr="00FF4597">
        <w:rPr>
          <w:i/>
        </w:rPr>
        <w:t>B*B*</w:t>
      </w:r>
      <w:r w:rsidRPr="00FF4597">
        <w:t xml:space="preserve"> tiene menor pendiente que </w:t>
      </w:r>
      <w:r w:rsidRPr="00FF4597">
        <w:rPr>
          <w:i/>
          <w:iCs/>
        </w:rPr>
        <w:t>BB</w:t>
      </w:r>
      <w:r w:rsidRPr="00FF4597">
        <w:t>).</w:t>
      </w:r>
    </w:p>
    <w:p w14:paraId="4DD05589" w14:textId="794632E9" w:rsidR="00037836" w:rsidRDefault="00037836" w:rsidP="00037836">
      <w:pPr>
        <w:pStyle w:val="Ttuloimagen"/>
        <w:rPr>
          <w:i/>
          <w:iCs/>
          <w:smallCaps w:val="0"/>
        </w:rPr>
      </w:pPr>
      <w:r>
        <w:lastRenderedPageBreak/>
        <w:t>Imagen</w:t>
      </w:r>
      <w:r w:rsidR="00C26C58">
        <w:t> </w:t>
      </w:r>
      <w:r>
        <w:fldChar w:fldCharType="begin"/>
      </w:r>
      <w:r>
        <w:instrText xml:space="preserve"> SEQ Ilustración \* ARABIC </w:instrText>
      </w:r>
      <w:r>
        <w:fldChar w:fldCharType="separate"/>
      </w:r>
      <w:r w:rsidR="00A448D4">
        <w:t>11</w:t>
      </w:r>
      <w:r>
        <w:fldChar w:fldCharType="end"/>
      </w:r>
      <w:r>
        <w:rPr>
          <w:smallCaps w:val="0"/>
        </w:rPr>
        <w:t xml:space="preserve">.– </w:t>
      </w:r>
      <w:r>
        <w:rPr>
          <w:i/>
          <w:iCs/>
          <w:smallCaps w:val="0"/>
        </w:rPr>
        <w:t>Equilibrio a corto plazo en el modelo de cartera (impacto de una expansión monetaria)</w:t>
      </w:r>
    </w:p>
    <w:p w14:paraId="4C6E4EE5" w14:textId="619B258D" w:rsidR="00037836" w:rsidRDefault="00FF5737" w:rsidP="00037836">
      <w:pPr>
        <w:pStyle w:val="Imagen"/>
      </w:pPr>
      <w:r>
        <w:drawing>
          <wp:inline distT="0" distB="0" distL="0" distR="0" wp14:anchorId="2D41C5B6" wp14:editId="17FC77E7">
            <wp:extent cx="3200221" cy="1800000"/>
            <wp:effectExtent l="0" t="0" r="635" b="0"/>
            <wp:docPr id="27" name="Imagen 2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Gráfico&#10;&#10;Descripción generada automáticamente"/>
                    <pic:cNvPicPr/>
                  </pic:nvPicPr>
                  <pic:blipFill>
                    <a:blip r:embed="rId22"/>
                    <a:stretch>
                      <a:fillRect/>
                    </a:stretch>
                  </pic:blipFill>
                  <pic:spPr>
                    <a:xfrm>
                      <a:off x="0" y="0"/>
                      <a:ext cx="3200221" cy="1800000"/>
                    </a:xfrm>
                    <a:prstGeom prst="rect">
                      <a:avLst/>
                    </a:prstGeom>
                  </pic:spPr>
                </pic:pic>
              </a:graphicData>
            </a:graphic>
          </wp:inline>
        </w:drawing>
      </w:r>
    </w:p>
    <w:p w14:paraId="3ED59722" w14:textId="24D9F215" w:rsidR="00037836" w:rsidRPr="00FF58D9" w:rsidRDefault="00037836" w:rsidP="00037836">
      <w:pPr>
        <w:pStyle w:val="PiedeImagen"/>
        <w:rPr>
          <w:i w:val="0"/>
          <w:iCs/>
        </w:rPr>
      </w:pPr>
      <w:r>
        <w:t>Fuente</w:t>
      </w:r>
      <w:r>
        <w:rPr>
          <w:i w:val="0"/>
          <w:iCs/>
        </w:rPr>
        <w:t xml:space="preserve">: </w:t>
      </w:r>
      <w:r w:rsidR="00FD7D24">
        <w:rPr>
          <w:i w:val="0"/>
          <w:iCs/>
        </w:rPr>
        <w:t>Elaboración propia</w:t>
      </w:r>
    </w:p>
    <w:p w14:paraId="1B2C9E00" w14:textId="3D043CBE" w:rsidR="00FF4597" w:rsidRPr="00037836" w:rsidRDefault="00FF4597" w:rsidP="00FF4597">
      <w:pPr>
        <w:pStyle w:val="Nivel1SM"/>
        <w:numPr>
          <w:ilvl w:val="0"/>
          <w:numId w:val="0"/>
        </w:numPr>
        <w:jc w:val="center"/>
      </w:pPr>
      <w:r>
        <w:rPr>
          <w:noProof/>
        </w:rPr>
        <w:drawing>
          <wp:inline distT="0" distB="0" distL="0" distR="0" wp14:anchorId="669B2441" wp14:editId="68CACCA5">
            <wp:extent cx="5025664" cy="6108700"/>
            <wp:effectExtent l="0" t="0" r="3810" b="6350"/>
            <wp:docPr id="16" name="Imagen 16"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Gráfico radial&#10;&#10;Descripción generada automáticamente"/>
                    <pic:cNvPicPr/>
                  </pic:nvPicPr>
                  <pic:blipFill>
                    <a:blip r:embed="rId23"/>
                    <a:stretch>
                      <a:fillRect/>
                    </a:stretch>
                  </pic:blipFill>
                  <pic:spPr>
                    <a:xfrm>
                      <a:off x="0" y="0"/>
                      <a:ext cx="5027185" cy="6110549"/>
                    </a:xfrm>
                    <a:prstGeom prst="rect">
                      <a:avLst/>
                    </a:prstGeom>
                  </pic:spPr>
                </pic:pic>
              </a:graphicData>
            </a:graphic>
          </wp:inline>
        </w:drawing>
      </w:r>
    </w:p>
    <w:p w14:paraId="4DCAC67B" w14:textId="48C5CA12" w:rsidR="00037836" w:rsidRPr="00037836" w:rsidRDefault="00037836" w:rsidP="00037836">
      <w:pPr>
        <w:pStyle w:val="Ttulo8"/>
        <w:rPr>
          <w:rFonts w:eastAsiaTheme="minorHAnsi"/>
        </w:rPr>
      </w:pPr>
      <w:r>
        <w:rPr>
          <w:rFonts w:eastAsiaTheme="minorHAnsi"/>
        </w:rPr>
        <w:t>Ajuste dinámico y equilibrio a largo plazo</w:t>
      </w:r>
    </w:p>
    <w:p w14:paraId="0847255D" w14:textId="2DEDE7B6" w:rsidR="00037836" w:rsidRPr="00037836" w:rsidRDefault="00037836" w:rsidP="00C26C58">
      <w:pPr>
        <w:pStyle w:val="Nivel1SM"/>
        <w:spacing w:before="0"/>
      </w:pPr>
      <w:r>
        <w:rPr>
          <w:rFonts w:eastAsiaTheme="minorEastAsia"/>
        </w:rPr>
        <w:t>En el análisis anterior no hemos considerado el impacto de la política monetaria sobre el tipo de cambio a través de cambios en los precios, ni tampoco la interacción flujo-stock entre el tipo de cambio, la cuenta corriente y el nivel de riqueza.</w:t>
      </w:r>
    </w:p>
    <w:p w14:paraId="1ADEF6E1" w14:textId="2F805364" w:rsidR="00037836" w:rsidRPr="004545C6" w:rsidRDefault="00037836" w:rsidP="00052BBA">
      <w:pPr>
        <w:pStyle w:val="Nivel1SM"/>
      </w:pPr>
      <w:r>
        <w:rPr>
          <w:rFonts w:eastAsiaTheme="minorEastAsia"/>
        </w:rPr>
        <w:t xml:space="preserve">Por ejemplo, un aumento de la oferta monetaria provocará un aumento del nivel de precios que terminará afectando a las exportaciones y al saldo de la cuenta corriente. A su vez, un cambio en el saldo de la cuenta corriente afectará al nivel de riqueza, dando lugar a un ajuste en las tenencias de </w:t>
      </w:r>
      <w:r>
        <w:rPr>
          <w:rFonts w:eastAsiaTheme="minorEastAsia"/>
        </w:rPr>
        <w:lastRenderedPageBreak/>
        <w:t xml:space="preserve">activos y </w:t>
      </w:r>
      <w:r w:rsidR="006F64E1">
        <w:rPr>
          <w:rFonts w:eastAsiaTheme="minorEastAsia"/>
        </w:rPr>
        <w:t>e</w:t>
      </w:r>
      <w:r>
        <w:rPr>
          <w:rFonts w:eastAsiaTheme="minorEastAsia"/>
        </w:rPr>
        <w:t>sto afectará al tipo de cambio, a medida que se produce el ajuste hasta el equilibrio de largo plazo.</w:t>
      </w:r>
    </w:p>
    <w:p w14:paraId="2B1B39CC" w14:textId="1648F3C1" w:rsidR="004545C6" w:rsidRPr="004545C6" w:rsidRDefault="00000000" w:rsidP="004545C6">
      <w:pPr>
        <w:pStyle w:val="Nivel1SM"/>
        <w:numPr>
          <w:ilvl w:val="0"/>
          <w:numId w:val="0"/>
        </w:numPr>
      </w:pPr>
      <m:oMathPara>
        <m:oMath>
          <m:limLow>
            <m:limLowPr>
              <m:ctrlPr>
                <w:rPr>
                  <w:rFonts w:ascii="Cambria Math" w:hAnsi="Cambria Math"/>
                  <w:i/>
                  <w:iCs/>
                </w:rPr>
              </m:ctrlPr>
            </m:limLowPr>
            <m:e>
              <m:groupChr>
                <m:groupChrPr>
                  <m:ctrlPr>
                    <w:rPr>
                      <w:rFonts w:ascii="Cambria Math" w:hAnsi="Cambria Math"/>
                      <w:i/>
                      <w:iCs/>
                    </w:rPr>
                  </m:ctrlPr>
                </m:groupChrPr>
                <m:e>
                  <m:r>
                    <m:rPr>
                      <m:nor/>
                    </m:rPr>
                    <w:rPr>
                      <w:i/>
                      <w:iCs/>
                    </w:rPr>
                    <m:t>B*</m:t>
                  </m:r>
                </m:e>
              </m:groupChr>
            </m:e>
            <m:lim>
              <m:r>
                <m:rPr>
                  <m:nor/>
                </m:rPr>
                <w:rPr>
                  <w:i/>
                  <w:iCs/>
                </w:rPr>
                <m:t>CF</m:t>
              </m:r>
            </m:lim>
          </m:limLow>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rPr>
                                <m:t>X</m:t>
                              </m:r>
                              <m:r>
                                <w:rPr>
                                  <w:rFonts w:ascii="Cambria Math" w:hAnsi="Cambria Math"/>
                                </w:rPr>
                                <m:t>-</m:t>
                              </m:r>
                              <m:r>
                                <m:rPr>
                                  <m:nor/>
                                </m:rPr>
                                <w:rPr>
                                  <w:i/>
                                  <w:iCs/>
                                </w:rPr>
                                <m:t>M</m:t>
                              </m:r>
                            </m:e>
                          </m:d>
                        </m:e>
                      </m:groupChr>
                    </m:e>
                    <m:lim>
                      <m:r>
                        <m:rPr>
                          <m:nor/>
                        </m:rPr>
                        <w:rPr>
                          <w:i/>
                          <w:iCs/>
                        </w:rPr>
                        <m:t>T</m:t>
                      </m:r>
                      <m:d>
                        <m:dPr>
                          <m:ctrlPr>
                            <w:rPr>
                              <w:rFonts w:ascii="Cambria Math" w:hAnsi="Cambria Math"/>
                              <w:i/>
                              <w:iCs/>
                            </w:rPr>
                          </m:ctrlPr>
                        </m:dPr>
                        <m:e>
                          <m:f>
                            <m:fPr>
                              <m:type m:val="lin"/>
                              <m:ctrlPr>
                                <w:rPr>
                                  <w:rFonts w:ascii="Cambria Math" w:hAnsi="Cambria Math"/>
                                  <w:i/>
                                  <w:iCs/>
                                </w:rPr>
                              </m:ctrlPr>
                            </m:fPr>
                            <m:num>
                              <m:r>
                                <m:rPr>
                                  <m:nor/>
                                </m:rPr>
                                <w:rPr>
                                  <w:i/>
                                  <w:iCs/>
                                </w:rPr>
                                <m:t>E</m:t>
                              </m:r>
                              <m:r>
                                <w:rPr>
                                  <w:rFonts w:ascii="Cambria Math" w:hAnsi="Cambria Math"/>
                                </w:rPr>
                                <m:t>∙</m:t>
                              </m:r>
                              <m:r>
                                <m:rPr>
                                  <m:nor/>
                                </m:rPr>
                                <w:rPr>
                                  <w:i/>
                                  <w:iCs/>
                                </w:rPr>
                                <m:t>P*</m:t>
                              </m:r>
                            </m:num>
                            <m:den>
                              <m:r>
                                <m:rPr>
                                  <m:nor/>
                                </m:rPr>
                                <w:rPr>
                                  <w:i/>
                                  <w:iCs/>
                                </w:rPr>
                                <m:t>P</m:t>
                              </m:r>
                            </m:den>
                          </m:f>
                        </m:e>
                      </m:d>
                    </m:lim>
                  </m:limUpp>
                  <m:r>
                    <w:rPr>
                      <w:rFonts w:ascii="Cambria Math"/>
                    </w:rPr>
                    <m:t>+</m:t>
                  </m:r>
                  <m:r>
                    <m:rPr>
                      <m:nor/>
                    </m:rPr>
                    <w:rPr>
                      <w:i/>
                      <w:iCs/>
                    </w:rPr>
                    <m:t>i*</m:t>
                  </m:r>
                  <m:r>
                    <w:rPr>
                      <w:rFonts w:ascii="Cambria Math" w:hAnsi="Cambria Math"/>
                    </w:rPr>
                    <m:t>∙</m:t>
                  </m:r>
                  <m:r>
                    <m:rPr>
                      <m:nor/>
                    </m:rPr>
                    <w:rPr>
                      <w:i/>
                      <w:iCs/>
                    </w:rPr>
                    <m:t>B*</m:t>
                  </m:r>
                </m:e>
              </m:groupChr>
            </m:e>
            <m:lim>
              <m:r>
                <m:rPr>
                  <m:nor/>
                </m:rPr>
                <w:rPr>
                  <w:i/>
                  <w:iCs/>
                </w:rPr>
                <m:t>CC</m:t>
              </m:r>
            </m:lim>
          </m:limLow>
          <m:r>
            <m:rPr>
              <m:sty m:val="p"/>
            </m:rPr>
            <w:br/>
          </m:r>
        </m:oMath>
      </m:oMathPara>
      <w:r w:rsidR="004545C6">
        <w:t xml:space="preserve">donde el saldo comercial </w:t>
      </w:r>
      <m:oMath>
        <m:d>
          <m:dPr>
            <m:ctrlPr>
              <w:rPr>
                <w:rFonts w:ascii="Cambria Math" w:hAnsi="Cambria Math"/>
                <w:i/>
                <w:iCs/>
              </w:rPr>
            </m:ctrlPr>
          </m:dPr>
          <m:e>
            <m:r>
              <m:rPr>
                <m:nor/>
              </m:rPr>
              <w:rPr>
                <w:i/>
                <w:iCs/>
              </w:rPr>
              <m:t>X</m:t>
            </m:r>
            <m:r>
              <w:rPr>
                <w:rFonts w:ascii="Cambria Math" w:hAnsi="Cambria Math"/>
              </w:rPr>
              <m:t>-</m:t>
            </m:r>
            <m:r>
              <m:rPr>
                <m:nor/>
              </m:rPr>
              <w:rPr>
                <w:i/>
                <w:iCs/>
              </w:rPr>
              <m:t>M</m:t>
            </m:r>
          </m:e>
        </m:d>
      </m:oMath>
      <w:r w:rsidR="00353272">
        <w:rPr>
          <w:rFonts w:eastAsiaTheme="minorEastAsia"/>
          <w:iCs/>
        </w:rPr>
        <w:t xml:space="preserve"> </w:t>
      </w:r>
      <w:r w:rsidR="004545C6">
        <w:t>es una función de la competitividad (dada por el tipo de cambio real). Por ejemplo, si una economía es exportadora de capital (</w:t>
      </w:r>
      <m:oMath>
        <m:r>
          <m:rPr>
            <m:nor/>
          </m:rPr>
          <w:rPr>
            <w:i/>
            <w:iCs/>
          </w:rPr>
          <m:t>i*</m:t>
        </m:r>
        <m:r>
          <w:rPr>
            <w:rFonts w:ascii="Cambria Math" w:hAnsi="Cambria Math"/>
          </w:rPr>
          <m:t>∙</m:t>
        </m:r>
        <m:r>
          <m:rPr>
            <m:nor/>
          </m:rPr>
          <w:rPr>
            <w:i/>
            <w:iCs/>
          </w:rPr>
          <m:t>B*</m:t>
        </m:r>
        <m:r>
          <w:rPr>
            <w:rFonts w:ascii="Cambria Math" w:eastAsiaTheme="minorEastAsia" w:hAnsi="Cambria Math"/>
          </w:rPr>
          <m:t>&gt;</m:t>
        </m:r>
        <m:r>
          <m:rPr>
            <m:nor/>
          </m:rPr>
          <w:rPr>
            <w:i/>
            <w:iCs/>
          </w:rPr>
          <m:t>0</m:t>
        </m:r>
      </m:oMath>
      <w:r w:rsidR="004545C6">
        <w:t>)</w:t>
      </w:r>
      <w:r w:rsidR="00353272">
        <w:t>, entonces para que la cuenta corriente esté en equilibrio (</w:t>
      </w:r>
      <m:oMath>
        <m:r>
          <m:rPr>
            <m:nor/>
          </m:rPr>
          <w:rPr>
            <w:i/>
            <w:iCs/>
          </w:rPr>
          <m:t>CC</m:t>
        </m:r>
        <m:r>
          <w:rPr>
            <w:rFonts w:ascii="Cambria Math" w:eastAsiaTheme="minorEastAsia" w:hAnsi="Cambria Math"/>
          </w:rPr>
          <m:t>=</m:t>
        </m:r>
        <m:r>
          <m:rPr>
            <m:nor/>
          </m:rPr>
          <w:rPr>
            <w:i/>
            <w:iCs/>
          </w:rPr>
          <m:t>0</m:t>
        </m:r>
      </m:oMath>
      <w:r w:rsidR="00353272">
        <w:t>) será necesario un déficit comercial (</w:t>
      </w:r>
      <m:oMath>
        <m:d>
          <m:dPr>
            <m:ctrlPr>
              <w:rPr>
                <w:rFonts w:ascii="Cambria Math" w:hAnsi="Cambria Math"/>
                <w:i/>
                <w:iCs/>
              </w:rPr>
            </m:ctrlPr>
          </m:dPr>
          <m:e>
            <m:r>
              <m:rPr>
                <m:nor/>
              </m:rPr>
              <w:rPr>
                <w:i/>
                <w:iCs/>
              </w:rPr>
              <m:t>X</m:t>
            </m:r>
            <m:r>
              <w:rPr>
                <w:rFonts w:ascii="Cambria Math" w:hAnsi="Cambria Math"/>
              </w:rPr>
              <m:t>-</m:t>
            </m:r>
            <m:r>
              <m:rPr>
                <m:nor/>
              </m:rPr>
              <w:rPr>
                <w:i/>
                <w:iCs/>
              </w:rPr>
              <m:t>M</m:t>
            </m:r>
          </m:e>
        </m:d>
        <m:r>
          <w:rPr>
            <w:rFonts w:ascii="Cambria Math" w:eastAsiaTheme="minorEastAsia" w:hAnsi="Cambria Math"/>
          </w:rPr>
          <m:t>&lt;</m:t>
        </m:r>
        <m:r>
          <m:rPr>
            <m:nor/>
          </m:rPr>
          <w:rPr>
            <w:i/>
            <w:iCs/>
          </w:rPr>
          <m:t>0</m:t>
        </m:r>
      </m:oMath>
      <w:r w:rsidR="00353272">
        <w:t>).</w:t>
      </w:r>
    </w:p>
    <w:p w14:paraId="4E4F0A2E" w14:textId="5452D822" w:rsidR="004545C6" w:rsidRPr="00353272" w:rsidRDefault="004545C6" w:rsidP="00052BBA">
      <w:pPr>
        <w:pStyle w:val="Nivel1SM"/>
      </w:pPr>
      <w:r>
        <w:rPr>
          <w:rFonts w:eastAsiaTheme="minorEastAsia"/>
        </w:rPr>
        <w:t>Su</w:t>
      </w:r>
      <w:r w:rsidR="00353272">
        <w:rPr>
          <w:rFonts w:eastAsiaTheme="minorEastAsia"/>
        </w:rPr>
        <w:t xml:space="preserve">pongamos una operación de mercado abierto por la cual la autoridad compra bonos domésticos financiando la operación con un aumento de la oferta de dinero. Para inducir a los agentes a mantener mayores saldos monetarios y reducir su tenencia de bonos se producirá una caída del tipo de interés (que es la contrapartida de un aumento del precio de </w:t>
      </w:r>
      <m:oMath>
        <m:r>
          <m:rPr>
            <m:nor/>
          </m:rPr>
          <w:rPr>
            <w:i/>
            <w:iCs/>
          </w:rPr>
          <m:t>B</m:t>
        </m:r>
      </m:oMath>
      <w:r w:rsidR="00353272">
        <w:rPr>
          <w:rFonts w:eastAsiaTheme="minorEastAsia"/>
          <w:iCs/>
        </w:rPr>
        <w:t xml:space="preserve">). Los agentes intentarán compensar su menor tenencia de activos rentables domésticos comprando </w:t>
      </w:r>
      <m:oMath>
        <m:r>
          <m:rPr>
            <m:nor/>
          </m:rPr>
          <w:rPr>
            <w:i/>
            <w:iCs/>
          </w:rPr>
          <m:t>B*</m:t>
        </m:r>
      </m:oMath>
      <w:r w:rsidR="00353272">
        <w:rPr>
          <w:rFonts w:eastAsiaTheme="minorEastAsia"/>
          <w:iCs/>
        </w:rPr>
        <w:t xml:space="preserve">, y esto provoca una depreciación del tipo de cambio (que hace que aumente el valor de </w:t>
      </w:r>
      <m:oMath>
        <m:r>
          <m:rPr>
            <m:nor/>
          </m:rPr>
          <w:rPr>
            <w:i/>
            <w:iCs/>
          </w:rPr>
          <m:t>B*</m:t>
        </m:r>
      </m:oMath>
      <w:r w:rsidR="00353272">
        <w:rPr>
          <w:rFonts w:eastAsiaTheme="minorEastAsia"/>
          <w:iCs/>
        </w:rPr>
        <w:t xml:space="preserve"> medido en moneda local). E</w:t>
      </w:r>
      <w:r w:rsidR="00484A2E">
        <w:rPr>
          <w:rFonts w:eastAsiaTheme="minorEastAsia"/>
          <w:iCs/>
        </w:rPr>
        <w:t>l</w:t>
      </w:r>
      <w:r w:rsidR="00353272">
        <w:rPr>
          <w:rFonts w:eastAsiaTheme="minorEastAsia"/>
          <w:iCs/>
        </w:rPr>
        <w:t xml:space="preserve"> efecto neto será una caída del tipo de interés y una depreciación de la moneda nacional. El equilibrio de largo plazo se alcanzará cuando la cuenta corriente se reequilibre (</w:t>
      </w:r>
      <m:oMath>
        <m:r>
          <w:rPr>
            <w:rFonts w:ascii="Cambria Math" w:eastAsiaTheme="minorEastAsia" w:hAnsi="Cambria Math"/>
          </w:rPr>
          <m:t>-</m:t>
        </m:r>
        <m:r>
          <m:rPr>
            <m:nor/>
          </m:rPr>
          <w:rPr>
            <w:i/>
            <w:iCs/>
          </w:rPr>
          <m:t>T</m:t>
        </m:r>
        <m:d>
          <m:dPr>
            <m:ctrlPr>
              <w:rPr>
                <w:rFonts w:ascii="Cambria Math" w:hAnsi="Cambria Math"/>
                <w:i/>
                <w:iCs/>
              </w:rPr>
            </m:ctrlPr>
          </m:dPr>
          <m:e>
            <m:f>
              <m:fPr>
                <m:type m:val="lin"/>
                <m:ctrlPr>
                  <w:rPr>
                    <w:rFonts w:ascii="Cambria Math" w:hAnsi="Cambria Math"/>
                    <w:i/>
                    <w:iCs/>
                  </w:rPr>
                </m:ctrlPr>
              </m:fPr>
              <m:num>
                <m:r>
                  <m:rPr>
                    <m:nor/>
                  </m:rPr>
                  <w:rPr>
                    <w:i/>
                    <w:iCs/>
                  </w:rPr>
                  <m:t>E</m:t>
                </m:r>
                <m:r>
                  <w:rPr>
                    <w:rFonts w:ascii="Cambria Math" w:hAnsi="Cambria Math"/>
                  </w:rPr>
                  <m:t>∙</m:t>
                </m:r>
                <m:r>
                  <m:rPr>
                    <m:nor/>
                  </m:rPr>
                  <w:rPr>
                    <w:i/>
                    <w:iCs/>
                  </w:rPr>
                  <m:t>P*</m:t>
                </m:r>
              </m:num>
              <m:den>
                <m:r>
                  <m:rPr>
                    <m:nor/>
                  </m:rPr>
                  <w:rPr>
                    <w:i/>
                    <w:iCs/>
                  </w:rPr>
                  <m:t>P</m:t>
                </m:r>
              </m:den>
            </m:f>
          </m:e>
        </m:d>
        <m:r>
          <w:rPr>
            <w:rFonts w:ascii="Cambria Math"/>
          </w:rPr>
          <m:t>=</m:t>
        </m:r>
        <m:r>
          <m:rPr>
            <m:nor/>
          </m:rPr>
          <w:rPr>
            <w:i/>
            <w:iCs/>
          </w:rPr>
          <m:t>i*</m:t>
        </m:r>
        <m:r>
          <w:rPr>
            <w:rFonts w:ascii="Cambria Math" w:hAnsi="Cambria Math"/>
          </w:rPr>
          <m:t>∙</m:t>
        </m:r>
        <m:r>
          <m:rPr>
            <m:nor/>
          </m:rPr>
          <w:rPr>
            <w:i/>
            <w:iCs/>
          </w:rPr>
          <m:t>B*</m:t>
        </m:r>
      </m:oMath>
      <w:r w:rsidR="00353272">
        <w:rPr>
          <w:rFonts w:eastAsiaTheme="minorEastAsia"/>
          <w:iCs/>
        </w:rPr>
        <w:t>), de forma que ya no se produzca más acumulación de activos extranjeros.</w:t>
      </w:r>
    </w:p>
    <w:p w14:paraId="4F08D972" w14:textId="77777777" w:rsidR="00353272" w:rsidRPr="00353272" w:rsidRDefault="00353272" w:rsidP="00353272">
      <w:pPr>
        <w:pStyle w:val="Nivel1SM"/>
        <w:keepNext/>
        <w:spacing w:after="0"/>
      </w:pPr>
      <w:r>
        <w:rPr>
          <w:rFonts w:eastAsiaTheme="minorEastAsia"/>
          <w:iCs/>
        </w:rPr>
        <w:t xml:space="preserve">El efecto neto final de esta operación de mercado abierto es una depreciación del tipo de cambio, con una sobrerreacción inicial. Se trata de un comportamiento similar al del modelo de </w:t>
      </w:r>
      <w:proofErr w:type="spellStart"/>
      <w:r>
        <w:rPr>
          <w:rFonts w:eastAsiaTheme="minorEastAsia"/>
          <w:iCs/>
          <w:smallCaps/>
        </w:rPr>
        <w:t>Dornbusch</w:t>
      </w:r>
      <w:proofErr w:type="spellEnd"/>
      <w:r>
        <w:rPr>
          <w:rFonts w:eastAsiaTheme="minorEastAsia"/>
          <w:iCs/>
        </w:rPr>
        <w:t>:</w:t>
      </w:r>
    </w:p>
    <w:p w14:paraId="70D36C82" w14:textId="5300B5C3" w:rsidR="00353272" w:rsidRPr="00353272" w:rsidRDefault="00353272" w:rsidP="00353272">
      <w:pPr>
        <w:pStyle w:val="Nivel2SM"/>
      </w:pPr>
      <w:r>
        <w:t>El tipo de cambio nominal salta inicialmente más allá de su nivel de equilibrio a largo plazo y luego se va ajustando gradualmente.</w:t>
      </w:r>
    </w:p>
    <w:p w14:paraId="12D1A13C" w14:textId="77777777" w:rsidR="00353272" w:rsidRDefault="00353272" w:rsidP="00353272">
      <w:pPr>
        <w:pStyle w:val="Nivel2SM"/>
        <w:keepNext/>
        <w:spacing w:after="0"/>
      </w:pPr>
      <w:r>
        <w:t xml:space="preserve">Sin embargo, a diferencia del modelo monetario con precios rígidos, en este modelo de cartera, el </w:t>
      </w:r>
      <w:proofErr w:type="spellStart"/>
      <w:r>
        <w:rPr>
          <w:i/>
          <w:iCs/>
        </w:rPr>
        <w:t>overshooting</w:t>
      </w:r>
      <w:proofErr w:type="spellEnd"/>
      <w:r>
        <w:t xml:space="preserve"> no se debe a la inercia en los precios, que son plenamente flexibles, sino a la progresiva interacción entre el tipo de cambio, la cuenta corriente y la riqueza.</w:t>
      </w:r>
    </w:p>
    <w:p w14:paraId="545A7B07" w14:textId="086CF54B" w:rsidR="00353272" w:rsidRDefault="00353272" w:rsidP="00353272">
      <w:pPr>
        <w:pStyle w:val="Nivel3SM"/>
      </w:pPr>
      <w:r>
        <w:t>Así, por ejemplo, un aumento de la oferta monetaria d</w:t>
      </w:r>
      <w:r w:rsidR="006F64E1">
        <w:t>a</w:t>
      </w:r>
      <w:r>
        <w:t xml:space="preserve"> lugar a una depreciación del tipo de cambio nominal. Siempre que</w:t>
      </w:r>
      <w:r w:rsidR="00050DE2">
        <w:t xml:space="preserve"> </w:t>
      </w:r>
      <m:oMath>
        <m:r>
          <m:rPr>
            <m:nor/>
          </m:rPr>
          <w:rPr>
            <w:rFonts w:ascii="Times New Roman" w:hAnsi="Times New Roman" w:cs="Times New Roman"/>
          </w:rPr>
          <m:t>↑</m:t>
        </m:r>
        <m:r>
          <m:rPr>
            <m:nor/>
          </m:rPr>
          <w:rPr>
            <w:i/>
          </w:rPr>
          <m:t>E</m:t>
        </m:r>
        <m:r>
          <w:rPr>
            <w:rFonts w:ascii="Cambria Math" w:eastAsiaTheme="minorEastAsia" w:hAnsi="Cambria Math"/>
          </w:rPr>
          <m:t>&gt;</m:t>
        </m:r>
        <m:r>
          <m:rPr>
            <m:nor/>
          </m:rPr>
          <w:rPr>
            <w:rFonts w:ascii="Times New Roman" w:hAnsi="Times New Roman" w:cs="Times New Roman"/>
          </w:rPr>
          <m:t>↑</m:t>
        </m:r>
        <m:r>
          <m:rPr>
            <m:nor/>
          </m:rPr>
          <w:rPr>
            <w:i/>
          </w:rPr>
          <m:t>P</m:t>
        </m:r>
      </m:oMath>
      <w:r>
        <w:t>, el resultado será una mejora de la competitividad externa que se traducirá en un saldo comercial y de la cuenta comercial positivos que harán necesaria una apreciación progresiva hacia el tipo de cambio de equilibrio a largo plazo.</w:t>
      </w:r>
    </w:p>
    <w:p w14:paraId="282BD8CF" w14:textId="65C22A6F" w:rsidR="00353272" w:rsidRPr="000A70AC" w:rsidRDefault="00353272" w:rsidP="00367FB3">
      <w:pPr>
        <w:pStyle w:val="Nivel2SM"/>
      </w:pPr>
      <w:r>
        <w:t xml:space="preserve">Por simplicidad, en este análisis hemos supuesto que </w:t>
      </w:r>
      <w:r w:rsidR="000A70AC">
        <w:t>las</w:t>
      </w:r>
      <w:r>
        <w:t xml:space="preserve"> expectativas sobre el tipo de cambio son estáticas (</w:t>
      </w:r>
      <m:oMath>
        <m:sSup>
          <m:sSupPr>
            <m:ctrlPr>
              <w:rPr>
                <w:rFonts w:ascii="Cambria Math" w:hAnsi="Cambria Math"/>
                <w:i/>
                <w:iCs/>
              </w:rPr>
            </m:ctrlPr>
          </m:sSupPr>
          <m:e>
            <m:r>
              <m:rPr>
                <m:nor/>
              </m:rPr>
              <w:rPr>
                <w:i/>
                <w:iCs/>
              </w:rPr>
              <m:t>γE</m:t>
            </m:r>
          </m:e>
          <m:sup>
            <m:r>
              <m:rPr>
                <m:nor/>
              </m:rPr>
              <w:rPr>
                <w:i/>
                <w:iCs/>
              </w:rPr>
              <m:t>e</m:t>
            </m:r>
          </m:sup>
        </m:sSup>
        <m:r>
          <w:rPr>
            <w:rFonts w:ascii="Cambria Math" w:hAnsi="Cambria Math"/>
          </w:rPr>
          <m:t xml:space="preserve">= </m:t>
        </m:r>
        <m:r>
          <m:rPr>
            <m:nor/>
          </m:rPr>
          <w:rPr>
            <w:i/>
            <w:iCs/>
          </w:rPr>
          <m:t>0</m:t>
        </m:r>
      </m:oMath>
      <w:r>
        <w:t>)</w:t>
      </w:r>
      <w:r w:rsidR="000A70AC">
        <w:t>. En este modelo se podría incorporar el supuesto de expectativas racionales y se mantienen la mayoría de las propiedades y resultados, aunque haría necesario distinguir entre shocks anticipados (cuyo efecto ya estará descontado en el tipo de cambio actual) y perturbaciones no anticipadas, que requerirán un salto inicial en el tipo de cambio y un posterior ajuste lento hacia el nuevo equilibrio.</w:t>
      </w:r>
    </w:p>
    <w:p w14:paraId="78C4BB64" w14:textId="1F88D86B" w:rsidR="00353272" w:rsidRPr="00712FD3" w:rsidRDefault="00353272" w:rsidP="00367FB3">
      <w:pPr>
        <w:pStyle w:val="Nivel2SM"/>
      </w:pPr>
      <w:r>
        <w:t>En definitiva,</w:t>
      </w:r>
      <w:r w:rsidR="000A70AC">
        <w:t xml:space="preserve"> el modelo de equilibrio de cartera da lugar a unos efectos de</w:t>
      </w:r>
      <w:r w:rsidR="00367FB3">
        <w:t xml:space="preserve"> </w:t>
      </w:r>
      <w:r w:rsidR="000A70AC">
        <w:t xml:space="preserve">los shocks similares a los del enfoque monetario (puede dar lugar también a una sobrerreacción como en el modelo de </w:t>
      </w:r>
      <w:proofErr w:type="spellStart"/>
      <w:r w:rsidR="000A70AC">
        <w:rPr>
          <w:smallCaps/>
        </w:rPr>
        <w:t>Dornbusch</w:t>
      </w:r>
      <w:proofErr w:type="spellEnd"/>
      <w:r w:rsidR="000A70AC">
        <w:t>) y permite un análisis más rico de los posibles shocks y mecanismos de transmisión. Sin embargo, esto conlleva también una mayor complejidad del modelo.</w:t>
      </w:r>
    </w:p>
    <w:p w14:paraId="52BBF5F2" w14:textId="3D27EC98" w:rsidR="00F33A23" w:rsidRDefault="00F33A23" w:rsidP="00F33A23">
      <w:pPr>
        <w:pStyle w:val="Ttulo7"/>
      </w:pPr>
      <w:r>
        <w:t>Implicaciones</w:t>
      </w:r>
    </w:p>
    <w:p w14:paraId="3FAC5677" w14:textId="3B92A580" w:rsidR="00712FD3" w:rsidRPr="00712FD3" w:rsidRDefault="00712FD3" w:rsidP="00C26C58">
      <w:pPr>
        <w:pStyle w:val="Nivel1SM"/>
        <w:spacing w:before="0"/>
      </w:pPr>
      <w:r w:rsidRPr="00712FD3">
        <w:t xml:space="preserve">El </w:t>
      </w:r>
      <w:r>
        <w:t>tipo de cambio</w:t>
      </w:r>
      <w:r w:rsidRPr="00712FD3">
        <w:t xml:space="preserve"> vendrá determinado no sólo cuando hay perturbaciones en el m</w:t>
      </w:r>
      <w:r>
        <w:t>erca</w:t>
      </w:r>
      <w:r w:rsidRPr="00712FD3">
        <w:t>do monetario, sino también cuando se producen perturbaciones en los m</w:t>
      </w:r>
      <w:r>
        <w:t>erca</w:t>
      </w:r>
      <w:r w:rsidRPr="00712FD3">
        <w:t>dos de otros activos f</w:t>
      </w:r>
      <w:r>
        <w:t>inancie</w:t>
      </w:r>
      <w:r w:rsidRPr="00712FD3">
        <w:t>ros p</w:t>
      </w:r>
      <w:r>
        <w:t>orque</w:t>
      </w:r>
      <w:r w:rsidRPr="00712FD3">
        <w:t xml:space="preserve"> los individuos ajustarán su cartera de activos nacionales y extranjeros hasta alcanzar el nuevo grado óptimo de diversificación</w:t>
      </w:r>
      <w:r>
        <w:t>.</w:t>
      </w:r>
    </w:p>
    <w:p w14:paraId="02387FE8" w14:textId="03E3F047" w:rsidR="00F33A23" w:rsidRDefault="00F33A23" w:rsidP="00F33A23">
      <w:pPr>
        <w:pStyle w:val="Ttulo6"/>
      </w:pPr>
      <w:bookmarkStart w:id="70" w:name="_Toc136424389"/>
      <w:r w:rsidRPr="00592811">
        <w:t>Evidencia empírica</w:t>
      </w:r>
      <w:bookmarkEnd w:id="70"/>
    </w:p>
    <w:p w14:paraId="5A857FED" w14:textId="77777777" w:rsidR="00712FD3" w:rsidRPr="00712FD3" w:rsidRDefault="00712FD3" w:rsidP="00C26C58">
      <w:pPr>
        <w:pStyle w:val="Nivel1SM"/>
        <w:spacing w:before="0"/>
      </w:pPr>
    </w:p>
    <w:p w14:paraId="79AAB1B5" w14:textId="64D5E28A" w:rsidR="00F31B9A" w:rsidRDefault="00F33A23" w:rsidP="00F33A23">
      <w:pPr>
        <w:pStyle w:val="Ttulo6"/>
      </w:pPr>
      <w:bookmarkStart w:id="71" w:name="_Toc136424390"/>
      <w:r w:rsidRPr="00592811">
        <w:lastRenderedPageBreak/>
        <w:t>Valoración</w:t>
      </w:r>
      <w:bookmarkEnd w:id="71"/>
    </w:p>
    <w:p w14:paraId="7C60AC02" w14:textId="77777777" w:rsidR="00712FD3" w:rsidRPr="00712FD3" w:rsidRDefault="00712FD3" w:rsidP="00C26C58">
      <w:pPr>
        <w:pStyle w:val="Nivel1SM"/>
        <w:spacing w:before="0"/>
      </w:pPr>
    </w:p>
    <w:p w14:paraId="51B04E41" w14:textId="0C4A3738" w:rsidR="00F54C19" w:rsidRDefault="00F54C19" w:rsidP="00F31B9A">
      <w:pPr>
        <w:pStyle w:val="Ttulo2"/>
      </w:pPr>
      <w:bookmarkStart w:id="72" w:name="_Toc136424398"/>
      <w:r>
        <w:t>Contrastación empírica</w:t>
      </w:r>
      <w:bookmarkEnd w:id="72"/>
    </w:p>
    <w:p w14:paraId="2A1E5DF2" w14:textId="36F91605" w:rsidR="00422A3A" w:rsidRPr="00422A3A" w:rsidRDefault="00B937F6" w:rsidP="00C26C58">
      <w:pPr>
        <w:pStyle w:val="Ttulo3"/>
        <w:spacing w:before="0"/>
      </w:pPr>
      <w:bookmarkStart w:id="73" w:name="_Toc136424399"/>
      <w:r>
        <w:t>L</w:t>
      </w:r>
      <w:r w:rsidRPr="00B937F6">
        <w:t>os</w:t>
      </w:r>
      <w:r>
        <w:t xml:space="preserve"> hechos </w:t>
      </w:r>
      <w:r w:rsidR="00ED7865">
        <w:t>empíricos</w:t>
      </w:r>
      <w:r>
        <w:t xml:space="preserve"> de </w:t>
      </w:r>
      <w:proofErr w:type="spellStart"/>
      <w:r w:rsidR="00D25BCD">
        <w:rPr>
          <w:smallCaps/>
        </w:rPr>
        <w:t>Mussa</w:t>
      </w:r>
      <w:proofErr w:type="spellEnd"/>
      <w:r w:rsidR="00D25BCD">
        <w:t xml:space="preserve"> (1979)</w:t>
      </w:r>
      <w:bookmarkEnd w:id="73"/>
    </w:p>
    <w:p w14:paraId="4A0A51B2" w14:textId="73DCA42A" w:rsidR="00C2658E" w:rsidRDefault="00D25BCD" w:rsidP="00C26C58">
      <w:pPr>
        <w:pStyle w:val="Nivel1SM"/>
        <w:keepNext/>
        <w:spacing w:before="0" w:after="0"/>
      </w:pPr>
      <w:proofErr w:type="spellStart"/>
      <w:r w:rsidRPr="004D5609">
        <w:rPr>
          <w:smallCaps/>
        </w:rPr>
        <w:t>Mussa</w:t>
      </w:r>
      <w:proofErr w:type="spellEnd"/>
      <w:r w:rsidRPr="004D5609">
        <w:t xml:space="preserve"> (1979) destacó </w:t>
      </w:r>
      <w:r w:rsidR="004D5609" w:rsidRPr="004D5609">
        <w:t xml:space="preserve">los siguientes </w:t>
      </w:r>
      <w:r w:rsidRPr="004D5609">
        <w:rPr>
          <w:b/>
          <w:bCs/>
        </w:rPr>
        <w:t xml:space="preserve">hechos </w:t>
      </w:r>
      <w:r w:rsidR="004D5609" w:rsidRPr="004D5609">
        <w:rPr>
          <w:b/>
          <w:bCs/>
        </w:rPr>
        <w:t>empíricos</w:t>
      </w:r>
      <w:r w:rsidRPr="004D5609">
        <w:t xml:space="preserve"> relativos a los tipos de cambio en un marco de </w:t>
      </w:r>
      <w:r w:rsidRPr="006B0C7E">
        <w:t>flotación: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9033"/>
      </w:tblGrid>
      <w:tr w:rsidR="005027F0" w14:paraId="16120613" w14:textId="77777777" w:rsidTr="005027F0">
        <w:trPr>
          <w:cantSplit/>
          <w:trHeight w:val="1134"/>
        </w:trPr>
        <w:tc>
          <w:tcPr>
            <w:tcW w:w="421" w:type="dxa"/>
            <w:tcBorders>
              <w:bottom w:val="single" w:sz="48" w:space="0" w:color="FFFFFF" w:themeColor="background1"/>
              <w:right w:val="single" w:sz="4" w:space="0" w:color="00B050"/>
            </w:tcBorders>
            <w:textDirection w:val="btLr"/>
            <w:vAlign w:val="center"/>
          </w:tcPr>
          <w:p w14:paraId="30CDC423" w14:textId="48CD5BCF" w:rsidR="005027F0" w:rsidRPr="000B1B99" w:rsidRDefault="005027F0" w:rsidP="005027F0">
            <w:pPr>
              <w:ind w:left="113" w:right="113"/>
              <w:jc w:val="center"/>
              <w:rPr>
                <w:sz w:val="19"/>
                <w:szCs w:val="19"/>
              </w:rPr>
            </w:pPr>
            <w:r w:rsidRPr="000B1B99">
              <w:rPr>
                <w:color w:val="00B050"/>
                <w:sz w:val="19"/>
                <w:szCs w:val="19"/>
              </w:rPr>
              <w:t>Relaciones a corto plazo</w:t>
            </w:r>
          </w:p>
        </w:tc>
        <w:tc>
          <w:tcPr>
            <w:tcW w:w="9207" w:type="dxa"/>
            <w:tcBorders>
              <w:left w:val="single" w:sz="4" w:space="0" w:color="00B050"/>
              <w:bottom w:val="single" w:sz="48" w:space="0" w:color="FFFFFF" w:themeColor="background1"/>
            </w:tcBorders>
          </w:tcPr>
          <w:p w14:paraId="6F647616" w14:textId="77777777" w:rsidR="005027F0" w:rsidRPr="006B0C7E" w:rsidRDefault="005027F0" w:rsidP="000B1B99">
            <w:pPr>
              <w:pStyle w:val="Nmero"/>
              <w:keepNext/>
              <w:numPr>
                <w:ilvl w:val="0"/>
                <w:numId w:val="10"/>
              </w:numPr>
              <w:spacing w:after="100"/>
              <w:ind w:left="284" w:hanging="284"/>
              <w:contextualSpacing/>
            </w:pPr>
            <w:r w:rsidRPr="006B0C7E">
              <w:t>Sobre una base diaria, las variaciones en los tipos de cambio nominales son altamente impredecibles.</w:t>
            </w:r>
          </w:p>
          <w:p w14:paraId="7C1311D7" w14:textId="77777777" w:rsidR="005027F0" w:rsidRDefault="005027F0" w:rsidP="000B1B99">
            <w:pPr>
              <w:pStyle w:val="Nmero"/>
              <w:keepNext/>
              <w:numPr>
                <w:ilvl w:val="0"/>
                <w:numId w:val="10"/>
              </w:numPr>
              <w:spacing w:after="0"/>
              <w:ind w:left="284" w:hanging="284"/>
              <w:contextualSpacing/>
            </w:pPr>
            <w:r>
              <w:t>Sobre una base mensual, más del 90 % de los movimientos en los tipos de cambio son inesperados.</w:t>
            </w:r>
          </w:p>
          <w:p w14:paraId="60EA42D0" w14:textId="0E253FDA" w:rsidR="005027F0" w:rsidRPr="00F45DA6" w:rsidRDefault="005027F0" w:rsidP="005027F0">
            <w:pPr>
              <w:pStyle w:val="Nmero"/>
              <w:numPr>
                <w:ilvl w:val="0"/>
                <w:numId w:val="10"/>
              </w:numPr>
              <w:spacing w:after="100"/>
              <w:ind w:left="284" w:hanging="284"/>
              <w:contextualSpacing/>
              <w:rPr>
                <w:spacing w:val="-3"/>
              </w:rPr>
            </w:pPr>
            <w:r w:rsidRPr="00F45DA6">
              <w:rPr>
                <w:spacing w:val="-3"/>
              </w:rPr>
              <w:t xml:space="preserve">De hecho, y en línea con </w:t>
            </w:r>
            <w:r w:rsidR="00AD34B6" w:rsidRPr="00F45DA6">
              <w:rPr>
                <w:spacing w:val="-3"/>
              </w:rPr>
              <w:t>l</w:t>
            </w:r>
            <w:r w:rsidRPr="00F45DA6">
              <w:rPr>
                <w:spacing w:val="-3"/>
              </w:rPr>
              <w:t>as dos observaciones</w:t>
            </w:r>
            <w:r w:rsidR="00AD34B6" w:rsidRPr="00F45DA6">
              <w:rPr>
                <w:spacing w:val="-3"/>
              </w:rPr>
              <w:t xml:space="preserve"> previas</w:t>
            </w:r>
            <w:r w:rsidRPr="00F45DA6">
              <w:rPr>
                <w:spacing w:val="-3"/>
              </w:rPr>
              <w:t xml:space="preserve">, </w:t>
            </w:r>
            <w:r w:rsidRPr="00F45DA6">
              <w:rPr>
                <w:b/>
                <w:bCs/>
                <w:spacing w:val="-3"/>
              </w:rPr>
              <w:t xml:space="preserve">las variaciones en el tipo de cambio spot tienden a </w:t>
            </w:r>
            <w:proofErr w:type="spellStart"/>
            <w:r w:rsidRPr="00F45DA6">
              <w:rPr>
                <w:b/>
                <w:bCs/>
                <w:spacing w:val="-3"/>
              </w:rPr>
              <w:t>sobrerreaccionar</w:t>
            </w:r>
            <w:proofErr w:type="spellEnd"/>
            <w:r w:rsidRPr="00F45DA6">
              <w:rPr>
                <w:b/>
                <w:bCs/>
                <w:spacing w:val="-3"/>
              </w:rPr>
              <w:t xml:space="preserve"> a corto plazo respecto a variaciones de los fundamentos económicos</w:t>
            </w:r>
            <w:r w:rsidRPr="00F45DA6">
              <w:rPr>
                <w:spacing w:val="-3"/>
              </w:rPr>
              <w:t>; en otras palabras, los tipos de cambio nominales son demasiado volátiles para ser explicados mediante ajustes hacia la paridad de poder de compra.</w:t>
            </w:r>
          </w:p>
        </w:tc>
      </w:tr>
      <w:tr w:rsidR="005027F0" w14:paraId="4F7C92A8" w14:textId="77777777" w:rsidTr="005027F0">
        <w:trPr>
          <w:cantSplit/>
          <w:trHeight w:val="1134"/>
        </w:trPr>
        <w:tc>
          <w:tcPr>
            <w:tcW w:w="421" w:type="dxa"/>
            <w:tcBorders>
              <w:top w:val="single" w:sz="48" w:space="0" w:color="FFFFFF" w:themeColor="background1"/>
              <w:right w:val="single" w:sz="4" w:space="0" w:color="C00000"/>
            </w:tcBorders>
            <w:textDirection w:val="btLr"/>
            <w:vAlign w:val="center"/>
          </w:tcPr>
          <w:p w14:paraId="4C7FB894" w14:textId="7FCCBF20" w:rsidR="005027F0" w:rsidRPr="000B1B99" w:rsidRDefault="005027F0" w:rsidP="005027F0">
            <w:pPr>
              <w:pStyle w:val="Nivel1SM"/>
              <w:keepNext/>
              <w:numPr>
                <w:ilvl w:val="0"/>
                <w:numId w:val="0"/>
              </w:numPr>
              <w:spacing w:after="0"/>
              <w:ind w:left="113" w:right="113"/>
              <w:jc w:val="center"/>
              <w:rPr>
                <w:sz w:val="19"/>
                <w:szCs w:val="19"/>
              </w:rPr>
            </w:pPr>
            <w:r w:rsidRPr="000B1B99">
              <w:rPr>
                <w:color w:val="C00000"/>
                <w:sz w:val="19"/>
                <w:szCs w:val="19"/>
              </w:rPr>
              <w:t>Relaciones a largo plazo</w:t>
            </w:r>
          </w:p>
        </w:tc>
        <w:tc>
          <w:tcPr>
            <w:tcW w:w="9207" w:type="dxa"/>
            <w:tcBorders>
              <w:top w:val="single" w:sz="48" w:space="0" w:color="FFFFFF" w:themeColor="background1"/>
              <w:left w:val="single" w:sz="4" w:space="0" w:color="C00000"/>
            </w:tcBorders>
          </w:tcPr>
          <w:p w14:paraId="13660C9A" w14:textId="140A39EE" w:rsidR="005027F0" w:rsidRDefault="005027F0" w:rsidP="000B1B99">
            <w:pPr>
              <w:pStyle w:val="Nmero"/>
              <w:keepNext/>
              <w:numPr>
                <w:ilvl w:val="0"/>
                <w:numId w:val="10"/>
              </w:numPr>
              <w:spacing w:after="0"/>
              <w:ind w:left="284" w:hanging="284"/>
              <w:contextualSpacing/>
            </w:pPr>
            <w:r>
              <w:t xml:space="preserve">Los países con elevadas tasas de inflación experimentan depreciaciones de su tipo de cambio. A largo plazo, la tasa de depreciación del tipo de cambio entre dos economías es aproximadamente igual a la diferencia entre las tasas de inflación. Esto implica que, </w:t>
            </w:r>
            <w:r w:rsidRPr="005027F0">
              <w:rPr>
                <w:b/>
                <w:bCs/>
              </w:rPr>
              <w:t>a largo plazo, se cumple la PPA relativa</w:t>
            </w:r>
            <w:r>
              <w:t>.</w:t>
            </w:r>
          </w:p>
          <w:p w14:paraId="38FBA257" w14:textId="77777777" w:rsidR="009A6D69" w:rsidRDefault="009A6D69" w:rsidP="009A6D69">
            <w:pPr>
              <w:pStyle w:val="Nmero"/>
              <w:keepNext/>
              <w:numPr>
                <w:ilvl w:val="0"/>
                <w:numId w:val="10"/>
              </w:numPr>
              <w:spacing w:after="100"/>
              <w:ind w:left="284" w:hanging="284"/>
              <w:contextualSpacing/>
            </w:pPr>
            <w:r>
              <w:t xml:space="preserve">A largo plazo, el diferencial de tipos de interés entre dos economías es aproximadamente igual a la tasa de depreciación. Esto implica que, </w:t>
            </w:r>
            <w:r w:rsidRPr="005027F0">
              <w:rPr>
                <w:b/>
                <w:bCs/>
              </w:rPr>
              <w:t xml:space="preserve">a largo plazo, se cumple la </w:t>
            </w:r>
            <w:r>
              <w:rPr>
                <w:b/>
                <w:bCs/>
              </w:rPr>
              <w:t>paridad de intereses</w:t>
            </w:r>
            <w:r>
              <w:t>. A corto plazo, esta relación es mucho más tenue.</w:t>
            </w:r>
          </w:p>
          <w:p w14:paraId="4CFE375A" w14:textId="44A02412" w:rsidR="005027F0" w:rsidRDefault="005027F0" w:rsidP="000B1B99">
            <w:pPr>
              <w:pStyle w:val="Nmero"/>
              <w:keepNext/>
              <w:numPr>
                <w:ilvl w:val="0"/>
                <w:numId w:val="10"/>
              </w:numPr>
              <w:spacing w:after="100"/>
              <w:ind w:left="284" w:hanging="284"/>
              <w:contextualSpacing/>
            </w:pPr>
            <w:r>
              <w:t xml:space="preserve">Las monedas de los países con </w:t>
            </w:r>
            <w:r w:rsidRPr="009A6D69">
              <w:rPr>
                <w:b/>
                <w:bCs/>
              </w:rPr>
              <w:t>fuerte crecimiento de la oferta monetaria tienden a depreciarse</w:t>
            </w:r>
            <w:r>
              <w:t xml:space="preserve"> respecto a la de los países con menor crecimiento monetario.</w:t>
            </w:r>
          </w:p>
          <w:p w14:paraId="5AD8F003" w14:textId="040867CA" w:rsidR="005027F0" w:rsidRDefault="005027F0" w:rsidP="005027F0">
            <w:pPr>
              <w:pStyle w:val="Nmero"/>
              <w:numPr>
                <w:ilvl w:val="0"/>
                <w:numId w:val="10"/>
              </w:numPr>
              <w:spacing w:after="100"/>
              <w:ind w:left="284" w:hanging="284"/>
              <w:contextualSpacing/>
            </w:pPr>
            <w:r>
              <w:t>A largo plazo, las economías con grandes déficits comerciales tienden a experimentar depreciaciones de sus monedas.</w:t>
            </w:r>
          </w:p>
        </w:tc>
      </w:tr>
    </w:tbl>
    <w:p w14:paraId="6626BDA1" w14:textId="24065D08" w:rsidR="00D25BCD" w:rsidRPr="00A02C0A" w:rsidRDefault="00D25BCD" w:rsidP="00831D05">
      <w:pPr>
        <w:pStyle w:val="Nivel1SM"/>
      </w:pPr>
      <w:r>
        <w:t xml:space="preserve">Un modelo de determinación del tipo de cambio debería ser capaz de explicar estos hechos observados en la realidad. La capacidad para explicarlos sería un criterio para valorar la idoneidad de un modelo de tipo de cambio. </w:t>
      </w:r>
      <w:proofErr w:type="spellStart"/>
      <w:r>
        <w:rPr>
          <w:smallCaps/>
        </w:rPr>
        <w:t>Mussa</w:t>
      </w:r>
      <w:proofErr w:type="spellEnd"/>
      <w:r>
        <w:t xml:space="preserve"> consideraba que ninguno de los modelos de los años</w:t>
      </w:r>
      <w:r w:rsidR="000908D6">
        <w:t> </w:t>
      </w:r>
      <w:r>
        <w:t>70 era capaz de ofrecer una explicación adecuada de la mayoría de esos fenómenos.</w:t>
      </w:r>
    </w:p>
    <w:p w14:paraId="63DDB86D" w14:textId="11BD5B76" w:rsidR="00F31B9A" w:rsidRDefault="00A02C0A" w:rsidP="00F54C19">
      <w:pPr>
        <w:pStyle w:val="Ttulo3"/>
      </w:pPr>
      <w:bookmarkStart w:id="74" w:name="_Toc136424400"/>
      <w:r w:rsidRPr="00A02C0A">
        <w:t>Contrastación empírica de los modelos</w:t>
      </w:r>
      <w:r>
        <w:rPr>
          <w:smallCaps/>
        </w:rPr>
        <w:t xml:space="preserve">: </w:t>
      </w:r>
      <w:proofErr w:type="spellStart"/>
      <w:r w:rsidR="00F31B9A">
        <w:rPr>
          <w:smallCaps/>
        </w:rPr>
        <w:t>Meese</w:t>
      </w:r>
      <w:proofErr w:type="spellEnd"/>
      <w:r w:rsidR="00F31B9A">
        <w:t xml:space="preserve"> &amp; </w:t>
      </w:r>
      <w:proofErr w:type="spellStart"/>
      <w:r w:rsidR="00F31B9A">
        <w:rPr>
          <w:smallCaps/>
        </w:rPr>
        <w:t>Rogoff</w:t>
      </w:r>
      <w:proofErr w:type="spellEnd"/>
      <w:r w:rsidR="00F31B9A">
        <w:t xml:space="preserve"> (1983)</w:t>
      </w:r>
      <w:bookmarkEnd w:id="74"/>
    </w:p>
    <w:p w14:paraId="10BC5EF4" w14:textId="277CCB8A" w:rsidR="00831D05" w:rsidRPr="00831D05" w:rsidRDefault="00831D05" w:rsidP="00C26C58">
      <w:pPr>
        <w:pStyle w:val="Ttulo6"/>
        <w:spacing w:before="0"/>
      </w:pPr>
      <w:bookmarkStart w:id="75" w:name="_Toc136424401"/>
      <w:r>
        <w:t>Idea</w:t>
      </w:r>
      <w:bookmarkEnd w:id="75"/>
    </w:p>
    <w:p w14:paraId="246C253F" w14:textId="10E97DD5" w:rsidR="00F31B9A" w:rsidRDefault="00F31B9A" w:rsidP="00C26C58">
      <w:pPr>
        <w:pStyle w:val="Nivel1SM"/>
        <w:keepNext/>
        <w:spacing w:before="0" w:after="0"/>
      </w:pPr>
      <w:r>
        <w:t xml:space="preserve">Siguiendo a </w:t>
      </w:r>
      <w:r>
        <w:rPr>
          <w:smallCaps/>
        </w:rPr>
        <w:t>Blaug</w:t>
      </w:r>
      <w:r>
        <w:t xml:space="preserve"> (1980)</w:t>
      </w:r>
      <w:r w:rsidR="00061DD1">
        <w:t>,</w:t>
      </w:r>
      <w:r>
        <w:t xml:space="preserve"> </w:t>
      </w:r>
      <w:r w:rsidRPr="00831D05">
        <w:rPr>
          <w:i/>
          <w:iCs/>
        </w:rPr>
        <w:t>“cuando se nos da una explicación que no nos provee de una predicción, ¿es porque no podemos estar seguros de toda la información relevante acerca de las condiciones iniciales, o es porque nos están dando gato por liebre?”</w:t>
      </w:r>
      <w:r w:rsidR="009C7065" w:rsidRPr="009C7065">
        <w:t>.</w:t>
      </w:r>
    </w:p>
    <w:p w14:paraId="3D10A86E" w14:textId="77777777" w:rsidR="00831D05" w:rsidRDefault="009C7065" w:rsidP="00831D05">
      <w:pPr>
        <w:pStyle w:val="Nivel2SM"/>
      </w:pPr>
      <w:r>
        <w:t>La determinación del tipo de cambio ofrece un buen ejemplo de este dilema.</w:t>
      </w:r>
    </w:p>
    <w:p w14:paraId="098E3DE1" w14:textId="731DFB8C" w:rsidR="00831D05" w:rsidRDefault="009C7065" w:rsidP="00831D05">
      <w:pPr>
        <w:pStyle w:val="Nivel2SM"/>
      </w:pPr>
      <w:r>
        <w:t xml:space="preserve">Sorprendentemente, no se realizó ningún test riguroso de la capacidad predictiva de los modelos estructurales de la determinación del tipo de cambio que constituyen la teoría moderna hasta el artículo de </w:t>
      </w:r>
      <w:proofErr w:type="spellStart"/>
      <w:r>
        <w:rPr>
          <w:smallCaps/>
        </w:rPr>
        <w:t>Meese</w:t>
      </w:r>
      <w:proofErr w:type="spellEnd"/>
      <w:r>
        <w:t xml:space="preserve"> y </w:t>
      </w:r>
      <w:proofErr w:type="spellStart"/>
      <w:r>
        <w:rPr>
          <w:smallCaps/>
        </w:rPr>
        <w:t>Rogoff</w:t>
      </w:r>
      <w:proofErr w:type="spellEnd"/>
      <w:r>
        <w:t xml:space="preserve"> (1983).</w:t>
      </w:r>
    </w:p>
    <w:p w14:paraId="60482411" w14:textId="7D5E63C6" w:rsidR="00831D05" w:rsidRPr="00644231" w:rsidRDefault="00831D05" w:rsidP="00831D05">
      <w:pPr>
        <w:pStyle w:val="Ttulo6"/>
        <w:rPr>
          <w:sz w:val="19"/>
          <w:szCs w:val="19"/>
        </w:rPr>
      </w:pPr>
      <w:bookmarkStart w:id="76" w:name="_Toc136424402"/>
      <w:r>
        <w:t>Desarrollo</w:t>
      </w:r>
      <w:r w:rsidRPr="00644231">
        <w:rPr>
          <w:sz w:val="19"/>
          <w:szCs w:val="19"/>
          <w:u w:val="none"/>
        </w:rPr>
        <w:t xml:space="preserve"> (estudio empírico </w:t>
      </w:r>
      <w:proofErr w:type="spellStart"/>
      <w:r w:rsidRPr="00644231">
        <w:rPr>
          <w:i/>
          <w:iCs/>
          <w:sz w:val="19"/>
          <w:szCs w:val="19"/>
          <w:u w:val="none"/>
        </w:rPr>
        <w:t>out-of</w:t>
      </w:r>
      <w:proofErr w:type="spellEnd"/>
      <w:r w:rsidRPr="00644231">
        <w:rPr>
          <w:i/>
          <w:iCs/>
          <w:sz w:val="19"/>
          <w:szCs w:val="19"/>
          <w:u w:val="none"/>
        </w:rPr>
        <w:t>-</w:t>
      </w:r>
      <w:r w:rsidR="00644231" w:rsidRPr="00644231">
        <w:rPr>
          <w:i/>
          <w:iCs/>
          <w:sz w:val="19"/>
          <w:szCs w:val="19"/>
          <w:u w:val="none"/>
        </w:rPr>
        <w:t xml:space="preserve"> </w:t>
      </w:r>
      <w:proofErr w:type="spellStart"/>
      <w:r w:rsidRPr="00644231">
        <w:rPr>
          <w:i/>
          <w:iCs/>
          <w:sz w:val="19"/>
          <w:szCs w:val="19"/>
          <w:u w:val="none"/>
        </w:rPr>
        <w:t>sample</w:t>
      </w:r>
      <w:proofErr w:type="spellEnd"/>
      <w:r w:rsidR="00644231" w:rsidRPr="00644231">
        <w:rPr>
          <w:sz w:val="19"/>
          <w:szCs w:val="19"/>
          <w:u w:val="none"/>
        </w:rPr>
        <w:t xml:space="preserve"> y comparación con paseo aleatorio</w:t>
      </w:r>
      <w:r w:rsidRPr="00644231">
        <w:rPr>
          <w:sz w:val="19"/>
          <w:szCs w:val="19"/>
          <w:u w:val="none"/>
        </w:rPr>
        <w:t>)</w:t>
      </w:r>
      <w:bookmarkEnd w:id="76"/>
    </w:p>
    <w:p w14:paraId="1E067038" w14:textId="7AE26256" w:rsidR="00831D05" w:rsidRDefault="00831D05" w:rsidP="00C26C58">
      <w:pPr>
        <w:pStyle w:val="Nivel1SM"/>
        <w:keepNext/>
        <w:spacing w:before="0" w:after="0"/>
      </w:pPr>
      <w:r>
        <w:t xml:space="preserve">El estudio empírico de </w:t>
      </w:r>
      <w:proofErr w:type="spellStart"/>
      <w:r>
        <w:rPr>
          <w:smallCaps/>
        </w:rPr>
        <w:t>Meese</w:t>
      </w:r>
      <w:proofErr w:type="spellEnd"/>
      <w:r>
        <w:t xml:space="preserve"> y </w:t>
      </w:r>
      <w:proofErr w:type="spellStart"/>
      <w:r>
        <w:rPr>
          <w:smallCaps/>
        </w:rPr>
        <w:t>Rogoff</w:t>
      </w:r>
      <w:proofErr w:type="spellEnd"/>
      <w:r>
        <w:t xml:space="preserve"> (1983) destaca por su carácter pionero a la hora de </w:t>
      </w:r>
      <w:r w:rsidR="00644231">
        <w:t xml:space="preserve">examinar la capacidad predictiva de los modelos de determinación de tipo de cambio </w:t>
      </w:r>
      <w:r w:rsidR="00644231">
        <w:rPr>
          <w:i/>
          <w:iCs/>
        </w:rPr>
        <w:t>fuera de la muestra</w:t>
      </w:r>
      <w:r w:rsidR="00644231">
        <w:t xml:space="preserve"> y comparar los resultados de los modelos con el resultado de un </w:t>
      </w:r>
      <w:r w:rsidR="00644231">
        <w:rPr>
          <w:i/>
          <w:iCs/>
        </w:rPr>
        <w:t>paseo aleatorio</w:t>
      </w:r>
      <w:r w:rsidR="00644231">
        <w:t>.</w:t>
      </w:r>
    </w:p>
    <w:p w14:paraId="7577AF9B" w14:textId="555855F4" w:rsidR="00644231" w:rsidRDefault="009C7065" w:rsidP="00644231">
      <w:pPr>
        <w:pStyle w:val="Nivel2SM"/>
        <w:keepNext/>
        <w:spacing w:after="0"/>
      </w:pPr>
      <w:r>
        <w:t xml:space="preserve">La capacidad predictiva dentro de la muestra no </w:t>
      </w:r>
      <w:r w:rsidR="00644231">
        <w:t>es</w:t>
      </w:r>
      <w:r>
        <w:t xml:space="preserve"> un buen test, ya que simplemente nos dice si el modelo se ajusta a los datos de manera aceptable. Lo que hicieron </w:t>
      </w:r>
      <w:proofErr w:type="spellStart"/>
      <w:r>
        <w:rPr>
          <w:smallCaps/>
        </w:rPr>
        <w:t>Meese</w:t>
      </w:r>
      <w:proofErr w:type="spellEnd"/>
      <w:r w:rsidR="00D81FAD">
        <w:t xml:space="preserve"> </w:t>
      </w:r>
      <w:r>
        <w:t xml:space="preserve">y </w:t>
      </w:r>
      <w:proofErr w:type="spellStart"/>
      <w:r>
        <w:rPr>
          <w:smallCaps/>
        </w:rPr>
        <w:t>Rogoff</w:t>
      </w:r>
      <w:proofErr w:type="spellEnd"/>
      <w:r>
        <w:t xml:space="preserve"> fue examinar la capacidad predictiva de estos modelos </w:t>
      </w:r>
      <w:r w:rsidRPr="00C01857">
        <w:rPr>
          <w:i/>
          <w:iCs/>
          <w:u w:val="single"/>
        </w:rPr>
        <w:t>fuera de la muestra</w:t>
      </w:r>
      <w:r>
        <w:t>.</w:t>
      </w:r>
    </w:p>
    <w:p w14:paraId="61C232CC" w14:textId="5681EDD9" w:rsidR="00C01857" w:rsidRDefault="00C01857" w:rsidP="00C01857">
      <w:pPr>
        <w:pStyle w:val="Nivel3SM"/>
      </w:pPr>
      <w:r>
        <w:t>Esto consiste en que, d</w:t>
      </w:r>
      <w:r w:rsidRPr="00C01857">
        <w:t xml:space="preserve">ada una muestra de datos temporales (p.ej. entre 1970 y 2020), </w:t>
      </w:r>
      <w:r>
        <w:t>se utiliza</w:t>
      </w:r>
      <w:r w:rsidRPr="00C01857">
        <w:t xml:space="preserve"> una submuestra de los datos (p.ej. entre 1970 y 1995) para estimar las ecuaciones </w:t>
      </w:r>
      <w:r w:rsidRPr="00C01857">
        <w:lastRenderedPageBreak/>
        <w:t>del modelo. Las ecuaciones estimadas son usadas para generar predicciones fuera de la muestra a lo largo del período restante en la muestra (1996-2020)</w:t>
      </w:r>
      <w:r>
        <w:t>.</w:t>
      </w:r>
    </w:p>
    <w:p w14:paraId="6EFC5F5C" w14:textId="62F452D1" w:rsidR="00D00603" w:rsidRDefault="009C7065" w:rsidP="00D00603">
      <w:pPr>
        <w:pStyle w:val="Nivel2SM"/>
        <w:keepNext/>
        <w:spacing w:after="0"/>
      </w:pPr>
      <w:r>
        <w:t xml:space="preserve">Como un modelo de base tomaron un simple modelo de </w:t>
      </w:r>
      <w:r w:rsidRPr="00C01857">
        <w:rPr>
          <w:i/>
          <w:iCs/>
          <w:u w:val="single"/>
        </w:rPr>
        <w:t>paseo aleatorio</w:t>
      </w:r>
      <w:r>
        <w:t>, de acuerdo al cual la predicción en el período</w:t>
      </w:r>
      <w:r w:rsidR="004E4BD5">
        <w:t> </w:t>
      </w:r>
      <w:r>
        <w:rPr>
          <w:i/>
          <w:iCs/>
        </w:rPr>
        <w:t>t</w:t>
      </w:r>
      <w:r>
        <w:t xml:space="preserve"> del valor de una variable en el período</w:t>
      </w:r>
      <w:r w:rsidR="00484419">
        <w:t> </w:t>
      </w:r>
      <w:r>
        <w:rPr>
          <w:i/>
          <w:iCs/>
        </w:rPr>
        <w:t>t</w:t>
      </w:r>
      <w:r w:rsidRPr="009C7065">
        <w:rPr>
          <w:i/>
          <w:iCs/>
        </w:rPr>
        <w:t>+</w:t>
      </w:r>
      <w:r>
        <w:rPr>
          <w:i/>
          <w:iCs/>
        </w:rPr>
        <w:t>1</w:t>
      </w:r>
      <w:r>
        <w:t>, es el valor actual en el período</w:t>
      </w:r>
      <w:r w:rsidR="00484419">
        <w:t> </w:t>
      </w:r>
      <w:r w:rsidRPr="009C7065">
        <w:rPr>
          <w:i/>
          <w:iCs/>
        </w:rPr>
        <w:t>t</w:t>
      </w:r>
      <w:r>
        <w:t xml:space="preserve"> </w:t>
      </w:r>
      <w:r w:rsidRPr="009C7065">
        <w:t>de</w:t>
      </w:r>
      <w:r>
        <w:t xml:space="preserve"> la variable</w:t>
      </w:r>
      <w:r>
        <w:rPr>
          <w:rStyle w:val="Refdenotaalpie"/>
        </w:rPr>
        <w:footnoteReference w:id="36"/>
      </w:r>
      <w:r>
        <w:t>.</w:t>
      </w:r>
    </w:p>
    <w:p w14:paraId="3135AC41" w14:textId="6FC0487C" w:rsidR="00831D05" w:rsidRDefault="0098760C" w:rsidP="00D00603">
      <w:pPr>
        <w:pStyle w:val="Nivel3SM"/>
      </w:pPr>
      <w:r>
        <w:t xml:space="preserve">Es </w:t>
      </w:r>
      <w:r w:rsidR="0027131A">
        <w:t>conocido</w:t>
      </w:r>
      <w:r>
        <w:t xml:space="preserve"> que la capacidad predictiva de un paseo aleatorio disminuye a medida que el número de periodos disminuye, por lo que no debería ser difícil conseguir una mejor predicción que la de este modelo.</w:t>
      </w:r>
    </w:p>
    <w:p w14:paraId="6E72DADB" w14:textId="0938787D" w:rsidR="00831D05" w:rsidRDefault="00831D05" w:rsidP="00831D05">
      <w:pPr>
        <w:pStyle w:val="Ttulo6"/>
      </w:pPr>
      <w:bookmarkStart w:id="77" w:name="_Toc136424403"/>
      <w:r>
        <w:t>Resultados</w:t>
      </w:r>
      <w:bookmarkEnd w:id="77"/>
    </w:p>
    <w:p w14:paraId="3A9F3ED7" w14:textId="77777777" w:rsidR="00644231" w:rsidRDefault="0098760C" w:rsidP="00C26C58">
      <w:pPr>
        <w:pStyle w:val="Nivel1SM"/>
        <w:keepNext/>
        <w:spacing w:before="0" w:after="0"/>
      </w:pPr>
      <w:r>
        <w:t xml:space="preserve">En cualquier caso, </w:t>
      </w:r>
      <w:proofErr w:type="spellStart"/>
      <w:r>
        <w:rPr>
          <w:smallCaps/>
        </w:rPr>
        <w:t>Meese</w:t>
      </w:r>
      <w:proofErr w:type="spellEnd"/>
      <w:r>
        <w:t xml:space="preserve"> y </w:t>
      </w:r>
      <w:proofErr w:type="spellStart"/>
      <w:r>
        <w:rPr>
          <w:smallCaps/>
        </w:rPr>
        <w:t>Rogoff</w:t>
      </w:r>
      <w:proofErr w:type="spellEnd"/>
      <w:r>
        <w:t xml:space="preserve"> hallaron que los modelos estructurales tienen peor capacidad predictiva que el modelo de paseo aleatorio incluso cuando se usaban los valores </w:t>
      </w:r>
      <w:r w:rsidR="00C55B59">
        <w:t xml:space="preserve">materializados </w:t>
      </w:r>
      <w:r>
        <w:t>de las variables explicativas (</w:t>
      </w:r>
      <w:r w:rsidRPr="00E04E5C">
        <w:rPr>
          <w:i/>
          <w:iCs/>
          <w:u w:val="single"/>
        </w:rPr>
        <w:t>predicciones ex post</w:t>
      </w:r>
      <w:r>
        <w:t>)</w:t>
      </w:r>
      <w:r>
        <w:rPr>
          <w:rStyle w:val="Refdenotaalpie"/>
        </w:rPr>
        <w:footnoteReference w:id="37"/>
      </w:r>
      <w:r>
        <w:t>.</w:t>
      </w:r>
    </w:p>
    <w:p w14:paraId="2D7F4929" w14:textId="5A66F3AE" w:rsidR="009C7065" w:rsidRDefault="00C55B59" w:rsidP="00644231">
      <w:pPr>
        <w:pStyle w:val="Nivel2SM"/>
      </w:pPr>
      <w:r>
        <w:t xml:space="preserve">La elección de predicciones ex post fue realizada por </w:t>
      </w:r>
      <w:proofErr w:type="spellStart"/>
      <w:r>
        <w:rPr>
          <w:smallCaps/>
        </w:rPr>
        <w:t>Meese</w:t>
      </w:r>
      <w:proofErr w:type="spellEnd"/>
      <w:r>
        <w:t xml:space="preserve"> </w:t>
      </w:r>
      <w:r w:rsidRPr="00C55B59">
        <w:t>y</w:t>
      </w:r>
      <w:r>
        <w:rPr>
          <w:smallCaps/>
        </w:rPr>
        <w:t xml:space="preserve"> </w:t>
      </w:r>
      <w:proofErr w:type="spellStart"/>
      <w:r>
        <w:rPr>
          <w:smallCaps/>
        </w:rPr>
        <w:t>Rogoff</w:t>
      </w:r>
      <w:proofErr w:type="spellEnd"/>
      <w:r>
        <w:t xml:space="preserve"> para prevenir cualquier posible defensa de los modelos estructurales, a saber, que no funcionan bien solo por los errores de predicción de las variables exógenas que han de ser usadas para pronosticar el tipo de cambio como una variable endógena.</w:t>
      </w:r>
    </w:p>
    <w:p w14:paraId="1DD9D431" w14:textId="77777777" w:rsidR="00644231" w:rsidRDefault="004477E0" w:rsidP="00644231">
      <w:pPr>
        <w:pStyle w:val="Nivel1SM"/>
        <w:keepNext/>
        <w:spacing w:after="0"/>
      </w:pPr>
      <w:r>
        <w:t xml:space="preserve">Por lo tanto, la evidencia hallada por </w:t>
      </w:r>
      <w:proofErr w:type="spellStart"/>
      <w:r>
        <w:rPr>
          <w:smallCaps/>
        </w:rPr>
        <w:t>Meese</w:t>
      </w:r>
      <w:proofErr w:type="spellEnd"/>
      <w:r>
        <w:t xml:space="preserve"> y </w:t>
      </w:r>
      <w:proofErr w:type="spellStart"/>
      <w:r>
        <w:rPr>
          <w:smallCaps/>
        </w:rPr>
        <w:t>Rogoff</w:t>
      </w:r>
      <w:proofErr w:type="spellEnd"/>
      <w:r>
        <w:t xml:space="preserve"> sugiere que los modelos no funcionan bien en la práctica, y, por lo tanto, </w:t>
      </w:r>
      <w:r w:rsidRPr="00A87AF5">
        <w:rPr>
          <w:b/>
          <w:bCs/>
        </w:rPr>
        <w:t>“nos están dando gato por liebre”</w:t>
      </w:r>
      <w:r>
        <w:t>.</w:t>
      </w:r>
    </w:p>
    <w:p w14:paraId="1718151C" w14:textId="70E42C00" w:rsidR="00644231" w:rsidRDefault="004477E0" w:rsidP="00644231">
      <w:pPr>
        <w:pStyle w:val="Nivel2SM"/>
      </w:pPr>
      <w:r>
        <w:t xml:space="preserve">Esta visión metodológica ha hecho que se siga el procedimiento de </w:t>
      </w:r>
      <w:proofErr w:type="spellStart"/>
      <w:r>
        <w:rPr>
          <w:smallCaps/>
        </w:rPr>
        <w:t>Meese</w:t>
      </w:r>
      <w:proofErr w:type="spellEnd"/>
      <w:r>
        <w:t xml:space="preserve"> y </w:t>
      </w:r>
      <w:proofErr w:type="spellStart"/>
      <w:r>
        <w:rPr>
          <w:smallCaps/>
        </w:rPr>
        <w:t>Rogoff</w:t>
      </w:r>
      <w:proofErr w:type="spellEnd"/>
      <w:r>
        <w:t xml:space="preserve"> como estándar en </w:t>
      </w:r>
      <w:r w:rsidR="000B1B99">
        <w:t>mucho</w:t>
      </w:r>
      <w:r>
        <w:t>s estudios empíricos del tipo de cambio.</w:t>
      </w:r>
    </w:p>
    <w:p w14:paraId="26A10F16" w14:textId="0D086BB1" w:rsidR="00644231" w:rsidRDefault="00A02C0A" w:rsidP="00644231">
      <w:pPr>
        <w:pStyle w:val="Nivel2SM"/>
        <w:keepNext/>
        <w:spacing w:after="0"/>
      </w:pPr>
      <w:r>
        <w:t xml:space="preserve">De hecho, este artículo fue una de las manifestaciones más destacadas de lo que luego </w:t>
      </w:r>
      <w:r>
        <w:rPr>
          <w:smallCaps/>
        </w:rPr>
        <w:t>Obstfeld</w:t>
      </w:r>
      <w:r>
        <w:t xml:space="preserve"> y </w:t>
      </w:r>
      <w:proofErr w:type="spellStart"/>
      <w:r>
        <w:rPr>
          <w:smallCaps/>
        </w:rPr>
        <w:t>Rogoff</w:t>
      </w:r>
      <w:proofErr w:type="spellEnd"/>
      <w:r>
        <w:t xml:space="preserve"> (2001) han popularizado como la </w:t>
      </w:r>
      <w:r w:rsidRPr="00644231">
        <w:rPr>
          <w:b/>
          <w:bCs/>
        </w:rPr>
        <w:t>paradoja de la desconexión entre el tipo de cambio y los fundamentos macroeconómicos</w:t>
      </w:r>
      <w:r>
        <w:t xml:space="preserve"> (</w:t>
      </w:r>
      <w:proofErr w:type="spellStart"/>
      <w:r>
        <w:rPr>
          <w:i/>
          <w:iCs/>
        </w:rPr>
        <w:t>exchange</w:t>
      </w:r>
      <w:proofErr w:type="spellEnd"/>
      <w:r>
        <w:rPr>
          <w:i/>
          <w:iCs/>
        </w:rPr>
        <w:t xml:space="preserve"> </w:t>
      </w:r>
      <w:proofErr w:type="spellStart"/>
      <w:r>
        <w:rPr>
          <w:i/>
          <w:iCs/>
        </w:rPr>
        <w:t>rate</w:t>
      </w:r>
      <w:proofErr w:type="spellEnd"/>
      <w:r>
        <w:rPr>
          <w:i/>
          <w:iCs/>
        </w:rPr>
        <w:t xml:space="preserve"> </w:t>
      </w:r>
      <w:proofErr w:type="spellStart"/>
      <w:r>
        <w:rPr>
          <w:i/>
          <w:iCs/>
        </w:rPr>
        <w:t>disconnect</w:t>
      </w:r>
      <w:proofErr w:type="spellEnd"/>
      <w:r>
        <w:rPr>
          <w:i/>
          <w:iCs/>
        </w:rPr>
        <w:t xml:space="preserve"> </w:t>
      </w:r>
      <w:proofErr w:type="spellStart"/>
      <w:r>
        <w:rPr>
          <w:i/>
          <w:iCs/>
        </w:rPr>
        <w:t>puzzle</w:t>
      </w:r>
      <w:proofErr w:type="spellEnd"/>
      <w:r>
        <w:t>).</w:t>
      </w:r>
    </w:p>
    <w:p w14:paraId="1A476114" w14:textId="1A7C1E3F" w:rsidR="004477E0" w:rsidRDefault="00A02C0A" w:rsidP="00644231">
      <w:pPr>
        <w:pStyle w:val="Nivel3SM"/>
      </w:pPr>
      <w:r>
        <w:t xml:space="preserve">Buena parte de los desarrollos teóricos posteriores a </w:t>
      </w:r>
      <w:proofErr w:type="spellStart"/>
      <w:r>
        <w:rPr>
          <w:smallCaps/>
        </w:rPr>
        <w:t>Meese</w:t>
      </w:r>
      <w:proofErr w:type="spellEnd"/>
      <w:r>
        <w:t xml:space="preserve"> y </w:t>
      </w:r>
      <w:proofErr w:type="spellStart"/>
      <w:r>
        <w:rPr>
          <w:smallCaps/>
        </w:rPr>
        <w:t>Rogoff</w:t>
      </w:r>
      <w:proofErr w:type="spellEnd"/>
      <w:r>
        <w:t xml:space="preserve"> (1983) han tenido como objetivo superar esta paradoja.</w:t>
      </w:r>
    </w:p>
    <w:p w14:paraId="7900BD61" w14:textId="66244E38" w:rsidR="00A02C0A" w:rsidRDefault="00A02C0A" w:rsidP="00831D05">
      <w:pPr>
        <w:pStyle w:val="Ttulo6"/>
      </w:pPr>
      <w:bookmarkStart w:id="78" w:name="_Toc136424404"/>
      <w:r>
        <w:t>Posibl</w:t>
      </w:r>
      <w:r w:rsidR="007A524C">
        <w:t>es explicaciones a la naturaleza de paseo aleatorio del tipo de cambio</w:t>
      </w:r>
      <w:bookmarkEnd w:id="78"/>
    </w:p>
    <w:p w14:paraId="571AAB64" w14:textId="71BBBE1F" w:rsidR="00592729" w:rsidRPr="00592729" w:rsidRDefault="00592729" w:rsidP="00592729">
      <w:pPr>
        <w:pStyle w:val="Ttulo7"/>
        <w:spacing w:before="0"/>
      </w:pPr>
      <w:r>
        <w:t>Fundamento no observable también sigue un paseo aleatorio (</w:t>
      </w:r>
      <w:r>
        <w:rPr>
          <w:smallCaps/>
        </w:rPr>
        <w:t>Engel</w:t>
      </w:r>
      <w:r>
        <w:t xml:space="preserve"> y </w:t>
      </w:r>
      <w:r>
        <w:rPr>
          <w:smallCaps/>
        </w:rPr>
        <w:t>West</w:t>
      </w:r>
      <w:r>
        <w:t>, 2004)</w:t>
      </w:r>
    </w:p>
    <w:p w14:paraId="5FA15FF4" w14:textId="42A4F0A1" w:rsidR="00B67620" w:rsidRPr="00F5704A" w:rsidRDefault="00B67620" w:rsidP="00F5704A">
      <w:pPr>
        <w:pStyle w:val="Nivel1SM"/>
        <w:keepNext/>
        <w:keepLines/>
        <w:spacing w:before="0" w:after="0"/>
        <w:rPr>
          <w:spacing w:val="-2"/>
        </w:rPr>
      </w:pPr>
      <w:r w:rsidRPr="00F5704A">
        <w:rPr>
          <w:smallCaps/>
          <w:spacing w:val="-2"/>
        </w:rPr>
        <w:t>Engel</w:t>
      </w:r>
      <w:r w:rsidRPr="00F5704A">
        <w:rPr>
          <w:spacing w:val="-2"/>
        </w:rPr>
        <w:t xml:space="preserve"> y </w:t>
      </w:r>
      <w:r w:rsidRPr="00F5704A">
        <w:rPr>
          <w:smallCaps/>
          <w:spacing w:val="-2"/>
        </w:rPr>
        <w:t>West</w:t>
      </w:r>
      <w:r w:rsidRPr="00F5704A">
        <w:rPr>
          <w:spacing w:val="-2"/>
        </w:rPr>
        <w:t xml:space="preserve"> (2004) consideran que u</w:t>
      </w:r>
      <w:r w:rsidR="007A524C" w:rsidRPr="00F5704A">
        <w:rPr>
          <w:spacing w:val="-2"/>
        </w:rPr>
        <w:t>na posible explicación para la naturaleza de paseo aleatorio del tipo de cambio es que existe algún fundamento no</w:t>
      </w:r>
      <w:r w:rsidR="00F5704A" w:rsidRPr="00F5704A">
        <w:rPr>
          <w:spacing w:val="-2"/>
        </w:rPr>
        <w:t> </w:t>
      </w:r>
      <w:r w:rsidR="007A524C" w:rsidRPr="00F5704A">
        <w:rPr>
          <w:spacing w:val="-2"/>
        </w:rPr>
        <w:t>observable que también sigue un pas</w:t>
      </w:r>
      <w:r w:rsidR="00A87AF5" w:rsidRPr="00F5704A">
        <w:rPr>
          <w:spacing w:val="-2"/>
        </w:rPr>
        <w:t>e</w:t>
      </w:r>
      <w:r w:rsidR="007A524C" w:rsidRPr="00F5704A">
        <w:rPr>
          <w:spacing w:val="-2"/>
        </w:rPr>
        <w:t xml:space="preserve">o aleatorio </w:t>
      </w:r>
      <w:r w:rsidR="007A524C" w:rsidRPr="00F5704A">
        <w:rPr>
          <w:spacing w:val="-4"/>
          <w:sz w:val="19"/>
          <w:szCs w:val="19"/>
        </w:rPr>
        <w:t>(no</w:t>
      </w:r>
      <w:r w:rsidR="00F5704A" w:rsidRPr="00F5704A">
        <w:rPr>
          <w:spacing w:val="-4"/>
          <w:sz w:val="19"/>
          <w:szCs w:val="19"/>
        </w:rPr>
        <w:t> </w:t>
      </w:r>
      <w:r w:rsidR="007A524C" w:rsidRPr="00F5704A">
        <w:rPr>
          <w:spacing w:val="-4"/>
          <w:sz w:val="19"/>
          <w:szCs w:val="19"/>
        </w:rPr>
        <w:t xml:space="preserve">observable porque los fundamentos </w:t>
      </w:r>
      <w:r w:rsidR="00F5704A" w:rsidRPr="00F5704A">
        <w:rPr>
          <w:spacing w:val="-4"/>
          <w:sz w:val="19"/>
          <w:szCs w:val="19"/>
        </w:rPr>
        <w:t>señalados por los modelos expuestos</w:t>
      </w:r>
      <w:r w:rsidR="007A524C" w:rsidRPr="00F5704A">
        <w:rPr>
          <w:spacing w:val="-4"/>
          <w:sz w:val="19"/>
          <w:szCs w:val="19"/>
        </w:rPr>
        <w:t xml:space="preserve"> sabemos que no</w:t>
      </w:r>
      <w:r w:rsidR="00F5704A" w:rsidRPr="00F5704A">
        <w:rPr>
          <w:spacing w:val="-4"/>
          <w:sz w:val="19"/>
          <w:szCs w:val="19"/>
        </w:rPr>
        <w:t> </w:t>
      </w:r>
      <w:r w:rsidR="007A524C" w:rsidRPr="00F5704A">
        <w:rPr>
          <w:spacing w:val="-4"/>
          <w:sz w:val="19"/>
          <w:szCs w:val="19"/>
        </w:rPr>
        <w:t>siguen un paseo aleatorio)</w:t>
      </w:r>
      <w:r w:rsidR="007A524C" w:rsidRPr="00F5704A">
        <w:rPr>
          <w:spacing w:val="-4"/>
        </w:rPr>
        <w:t>.</w:t>
      </w:r>
    </w:p>
    <w:p w14:paraId="1F4527BC" w14:textId="26822C0F" w:rsidR="00B67620" w:rsidRDefault="007A524C" w:rsidP="00052BBA">
      <w:pPr>
        <w:pStyle w:val="Nivel2SM"/>
        <w:keepNext/>
        <w:spacing w:after="0"/>
      </w:pPr>
      <w:r w:rsidRPr="00537ECB">
        <w:rPr>
          <w:smallCaps/>
        </w:rPr>
        <w:t>Engel</w:t>
      </w:r>
      <w:r>
        <w:t xml:space="preserve"> y</w:t>
      </w:r>
      <w:r w:rsidR="0053175A">
        <w:t xml:space="preserve"> </w:t>
      </w:r>
      <w:r w:rsidRPr="00537ECB">
        <w:rPr>
          <w:smallCaps/>
        </w:rPr>
        <w:t>West</w:t>
      </w:r>
      <w:r>
        <w:t xml:space="preserve"> (2004) dan una nueva perspectiva sobre la previsibilidad de los tipos de cambio al demostrar que, bajo ciertos supuestos plausibles, el tipo de cambio puede comportarse de forma muy parecida a un paseo aleatorio.</w:t>
      </w:r>
      <w:r w:rsidR="00537ECB">
        <w:t xml:space="preserve"> </w:t>
      </w:r>
      <w:r w:rsidR="00B67620">
        <w:t xml:space="preserve">Los modelos tradicionales (planteados como valor </w:t>
      </w:r>
      <w:r w:rsidR="00B67620">
        <w:lastRenderedPageBreak/>
        <w:t>presente de los fundamentos actuales y esperados para el futuro) pre</w:t>
      </w:r>
      <w:r w:rsidR="009A6D69">
        <w:t>di</w:t>
      </w:r>
      <w:r w:rsidR="00B67620">
        <w:t>cen un tipo de cambio con un comportamiento similar a un pa</w:t>
      </w:r>
      <w:r w:rsidR="008E72AA">
        <w:t>s</w:t>
      </w:r>
      <w:r w:rsidR="00B67620">
        <w:t>eo aleatorio.</w:t>
      </w:r>
    </w:p>
    <w:p w14:paraId="55C88405" w14:textId="77777777" w:rsidR="00537ECB" w:rsidRDefault="00B67620" w:rsidP="00537ECB">
      <w:pPr>
        <w:pStyle w:val="Nivel3SM"/>
        <w:keepNext/>
      </w:pPr>
      <w:r>
        <w:t xml:space="preserve">Por tanto, el resultado de </w:t>
      </w:r>
      <w:proofErr w:type="spellStart"/>
      <w:r>
        <w:rPr>
          <w:smallCaps/>
        </w:rPr>
        <w:t>Meese</w:t>
      </w:r>
      <w:proofErr w:type="spellEnd"/>
      <w:r>
        <w:t xml:space="preserve"> y </w:t>
      </w:r>
      <w:proofErr w:type="spellStart"/>
      <w:r>
        <w:rPr>
          <w:smallCaps/>
        </w:rPr>
        <w:t>Rogoff</w:t>
      </w:r>
      <w:proofErr w:type="spellEnd"/>
      <w:r>
        <w:t xml:space="preserve"> no tiene por qué llevarnos a considerar inadecuados los modelos clásicos. Comparar capacidad de predicción con la del paseo aleatorio no sería un criterio adecuado para evaluar un modelo del tipo de cambio.</w:t>
      </w:r>
    </w:p>
    <w:p w14:paraId="31D03960" w14:textId="77777777" w:rsidR="00537ECB" w:rsidRPr="00537ECB" w:rsidRDefault="00B67620" w:rsidP="00537ECB">
      <w:pPr>
        <w:pStyle w:val="Nivel4"/>
        <w:ind w:left="1474"/>
        <w:rPr>
          <w:spacing w:val="-1"/>
        </w:rPr>
      </w:pPr>
      <w:r w:rsidRPr="00537ECB">
        <w:rPr>
          <w:spacing w:val="-1"/>
        </w:rPr>
        <w:t>Los modelos de precios de activos son, en general, difíciles de contrastar porque están protagonizados por los cambios en las expectativas y éstas son difíciles de medir.</w:t>
      </w:r>
    </w:p>
    <w:p w14:paraId="2D539D5A" w14:textId="1DE69433" w:rsidR="00537ECB" w:rsidRDefault="00B67620" w:rsidP="00537ECB">
      <w:pPr>
        <w:pStyle w:val="Nivel4"/>
        <w:ind w:left="1474"/>
      </w:pPr>
      <w:r>
        <w:t>Un criterio alternativo para valorar los modelos de tipo de cambio sería comprobar si los tipos de cambio nos aportan información (ayudan a predecir) los fundamentos futuros. Los autores encuentran alguna evidencia favorable pero débil.</w:t>
      </w:r>
    </w:p>
    <w:p w14:paraId="38DEE41D" w14:textId="268D3262" w:rsidR="00592729" w:rsidRDefault="00B67620" w:rsidP="00592729">
      <w:pPr>
        <w:pStyle w:val="Nivel2SM"/>
      </w:pPr>
      <w:r>
        <w:t xml:space="preserve">Finalmente, </w:t>
      </w:r>
      <w:r>
        <w:rPr>
          <w:smallCaps/>
        </w:rPr>
        <w:t>Engel</w:t>
      </w:r>
      <w:r>
        <w:t xml:space="preserve"> y </w:t>
      </w:r>
      <w:r>
        <w:rPr>
          <w:smallCaps/>
        </w:rPr>
        <w:t>West</w:t>
      </w:r>
      <w:r>
        <w:t xml:space="preserve"> proponen la introducción de una regla de Taylor en el modelo de determinación del tipo de cambio, iniciando una interesante línea de trabajo que luego veremos con más detalle.</w:t>
      </w:r>
    </w:p>
    <w:p w14:paraId="23292E06" w14:textId="77777777" w:rsidR="00537ECB" w:rsidRPr="00537ECB" w:rsidRDefault="00B67620" w:rsidP="00537ECB">
      <w:pPr>
        <w:pStyle w:val="Nivel1SM"/>
        <w:keepNext/>
        <w:spacing w:after="0"/>
        <w:rPr>
          <w:smallCaps/>
        </w:rPr>
      </w:pPr>
      <w:proofErr w:type="spellStart"/>
      <w:r w:rsidRPr="00B67620">
        <w:rPr>
          <w:smallCaps/>
        </w:rPr>
        <w:t>Sarno</w:t>
      </w:r>
      <w:proofErr w:type="spellEnd"/>
      <w:r w:rsidRPr="00B67620">
        <w:t xml:space="preserve"> y</w:t>
      </w:r>
      <w:r w:rsidRPr="00B67620">
        <w:rPr>
          <w:smallCaps/>
        </w:rPr>
        <w:t xml:space="preserve"> </w:t>
      </w:r>
      <w:proofErr w:type="spellStart"/>
      <w:r w:rsidRPr="00B67620">
        <w:rPr>
          <w:smallCaps/>
        </w:rPr>
        <w:t>Schmeling</w:t>
      </w:r>
      <w:proofErr w:type="spellEnd"/>
      <w:r>
        <w:t xml:space="preserve"> (2014) presentan evidencia que respalda la tesis de </w:t>
      </w:r>
      <w:r>
        <w:rPr>
          <w:smallCaps/>
        </w:rPr>
        <w:t>Engel</w:t>
      </w:r>
      <w:r>
        <w:t xml:space="preserve"> y </w:t>
      </w:r>
      <w:r>
        <w:rPr>
          <w:smallCaps/>
        </w:rPr>
        <w:t>West</w:t>
      </w:r>
      <w:r>
        <w:t>: encuentran relación entre el tipo de cambio y los fundamentos macroeconómicos, con una muestra muy amplia.</w:t>
      </w:r>
    </w:p>
    <w:p w14:paraId="370644C9" w14:textId="77777777" w:rsidR="00537ECB" w:rsidRPr="00537ECB" w:rsidRDefault="00B67620" w:rsidP="00537ECB">
      <w:pPr>
        <w:pStyle w:val="Nivel2SM"/>
        <w:rPr>
          <w:smallCaps/>
        </w:rPr>
      </w:pPr>
      <w:r>
        <w:t>Particularmente sobre los fundamentos nominales (IPC, oferta monetaria y PIB nominal).</w:t>
      </w:r>
    </w:p>
    <w:p w14:paraId="4ED6FE64" w14:textId="77777777" w:rsidR="00537ECB" w:rsidRPr="00537ECB" w:rsidRDefault="00B67620" w:rsidP="00537ECB">
      <w:pPr>
        <w:pStyle w:val="Nivel2SM"/>
        <w:keepNext/>
        <w:spacing w:after="0"/>
        <w:rPr>
          <w:smallCaps/>
        </w:rPr>
      </w:pPr>
      <w:r>
        <w:t>Con las variables reales, en general hay escasa relación (PIB real, saldos monetarios reales).</w:t>
      </w:r>
    </w:p>
    <w:p w14:paraId="31AEBA25" w14:textId="6B76FD0E" w:rsidR="00B67620" w:rsidRPr="00592729" w:rsidRDefault="00B67620" w:rsidP="00537ECB">
      <w:pPr>
        <w:pStyle w:val="Nivel3SM"/>
        <w:rPr>
          <w:smallCaps/>
        </w:rPr>
      </w:pPr>
      <w:r>
        <w:t xml:space="preserve">Esta evidencia es compatible con el </w:t>
      </w:r>
      <w:r w:rsidRPr="00537ECB">
        <w:rPr>
          <w:i/>
          <w:iCs/>
        </w:rPr>
        <w:t>enfoque de activos</w:t>
      </w:r>
      <w:r>
        <w:t xml:space="preserve"> (tipo de cambio como valor presente de fundamentos actuales y esperados) y también con que las </w:t>
      </w:r>
      <w:r w:rsidRPr="00592729">
        <w:rPr>
          <w:i/>
          <w:iCs/>
        </w:rPr>
        <w:t>variaciones en el tipo de cambio actual afecten a variables macroeconómicas futuras</w:t>
      </w:r>
      <w:r>
        <w:t>.</w:t>
      </w:r>
    </w:p>
    <w:p w14:paraId="59D7C7B1" w14:textId="4422369E" w:rsidR="00592729" w:rsidRDefault="00592729" w:rsidP="00592729">
      <w:pPr>
        <w:pStyle w:val="Ttulo7"/>
      </w:pPr>
      <w:r>
        <w:t>Teoría del caos determinista</w:t>
      </w:r>
    </w:p>
    <w:p w14:paraId="088E9358" w14:textId="77777777" w:rsidR="00592729" w:rsidRDefault="00592729" w:rsidP="00592729">
      <w:pPr>
        <w:pStyle w:val="Nivel1SM"/>
        <w:keepNext/>
        <w:spacing w:before="0" w:after="0"/>
      </w:pPr>
      <w:r>
        <w:t xml:space="preserve">La teoría del caos es una teoría matemática relativamente reciente y compleja, por lo que sólo daremos unas ideas muy generales. Para nuestra exposición, la siguiente definición </w:t>
      </w:r>
      <w:proofErr w:type="spellStart"/>
      <w:r>
        <w:t>sera</w:t>
      </w:r>
      <w:proofErr w:type="spellEnd"/>
      <w:r>
        <w:t xml:space="preserve"> suficiente: </w:t>
      </w:r>
      <w:r w:rsidRPr="004E52A4">
        <w:rPr>
          <w:i/>
          <w:iCs/>
          <w:u w:val="single"/>
        </w:rPr>
        <w:t>caos es un comportamiento aparentemente estocástico generado por un sistema determinístico dinámico</w:t>
      </w:r>
      <w:r>
        <w:rPr>
          <w:rStyle w:val="Refdenotaalpie"/>
        </w:rPr>
        <w:footnoteReference w:id="38"/>
      </w:r>
      <w:r>
        <w:t>.</w:t>
      </w:r>
    </w:p>
    <w:p w14:paraId="60B7536F" w14:textId="77777777" w:rsidR="00592729" w:rsidRDefault="00592729" w:rsidP="00592729">
      <w:pPr>
        <w:pStyle w:val="Nivel2SM"/>
        <w:keepNext/>
        <w:spacing w:after="0"/>
      </w:pPr>
      <w:r>
        <w:t xml:space="preserve">Por </w:t>
      </w:r>
      <w:r w:rsidRPr="001703F6">
        <w:rPr>
          <w:i/>
          <w:iCs/>
        </w:rPr>
        <w:t>“aparentemente estocástico”</w:t>
      </w:r>
      <w:r>
        <w:t xml:space="preserve"> nos referimos a una trayectoria aleatoria que a primera vista no puede distinguirse de una trayectoria generada por una variable estocástica.</w:t>
      </w:r>
    </w:p>
    <w:p w14:paraId="7408B990" w14:textId="77777777" w:rsidR="00592729" w:rsidRDefault="00592729" w:rsidP="00592729">
      <w:pPr>
        <w:pStyle w:val="Nivel3SM"/>
      </w:pPr>
      <w:r>
        <w:t>Un ejemplo de esto sería un programa que genere números aleatorios en el ordenador. El algoritmo utilizado por el ordenador es puramente determinístico, pero lo que produce es una serie de números que parece aleatoria y que engañarían a cualquier estadístico, en el sentido de que pasaría cualquier test de aleatoriedad. De hecho, los números aleatorios generados de esta forma son utilizados normalmente en el análisis estadístico.</w:t>
      </w:r>
    </w:p>
    <w:p w14:paraId="0DC3CD44" w14:textId="77777777" w:rsidR="00592729" w:rsidRDefault="00592729" w:rsidP="00592729">
      <w:pPr>
        <w:pStyle w:val="Nivel2SM"/>
        <w:keepNext/>
        <w:spacing w:after="0"/>
        <w:rPr>
          <w:spacing w:val="-2"/>
        </w:rPr>
      </w:pPr>
      <w:r w:rsidRPr="001703F6">
        <w:rPr>
          <w:spacing w:val="-2"/>
        </w:rPr>
        <w:t xml:space="preserve">Una característica que se cita a menudo como típica del comportamiento caótico de las variables deterministas es la </w:t>
      </w:r>
      <w:r w:rsidRPr="001703F6">
        <w:rPr>
          <w:i/>
          <w:iCs/>
          <w:spacing w:val="-2"/>
        </w:rPr>
        <w:t>imposibilidad de predecir los valores futuros</w:t>
      </w:r>
      <w:r w:rsidRPr="001703F6">
        <w:rPr>
          <w:spacing w:val="-2"/>
        </w:rPr>
        <w:t xml:space="preserve"> de las variables afectadas.</w:t>
      </w:r>
    </w:p>
    <w:p w14:paraId="2BA6583C" w14:textId="77777777" w:rsidR="00592729" w:rsidRPr="001703F6" w:rsidRDefault="00592729" w:rsidP="00592729">
      <w:pPr>
        <w:pStyle w:val="Nivel3SM"/>
      </w:pPr>
      <w:r w:rsidRPr="001703F6">
        <w:t xml:space="preserve">Esto puede parecer una contradicción –si tenemos un sistema dinámico determinístico, incluso si no podemos solucionarlo analíticamente, podemos simularlo numéricamente y por lo tanto computar los valores de las variables para cualquier valor futuro de </w:t>
      </w:r>
      <w:r w:rsidRPr="001703F6">
        <w:rPr>
          <w:i/>
          <w:iCs/>
        </w:rPr>
        <w:t>t–</w:t>
      </w:r>
      <w:r w:rsidRPr="001703F6">
        <w:t>.</w:t>
      </w:r>
    </w:p>
    <w:p w14:paraId="2793C7EC" w14:textId="77777777" w:rsidR="00592729" w:rsidRDefault="00592729" w:rsidP="00592729">
      <w:pPr>
        <w:pStyle w:val="Nivel2SM"/>
        <w:keepNext/>
        <w:spacing w:after="0"/>
      </w:pPr>
      <w:r w:rsidRPr="00F041B1">
        <w:t xml:space="preserve">Aquí entra en juego otra característica del caos, la </w:t>
      </w:r>
      <w:r w:rsidRPr="00F041B1">
        <w:rPr>
          <w:i/>
          <w:iCs/>
        </w:rPr>
        <w:t>dependencia sensitiva en las condiciones iniciales</w:t>
      </w:r>
      <w:r w:rsidRPr="00F041B1">
        <w:t>.</w:t>
      </w:r>
    </w:p>
    <w:p w14:paraId="6B695F34" w14:textId="77777777" w:rsidR="00592729" w:rsidRDefault="00592729" w:rsidP="00592729">
      <w:pPr>
        <w:pStyle w:val="Nivel3SM"/>
      </w:pPr>
      <w:r w:rsidRPr="00F041B1">
        <w:t>Esta característica implica que variaciones muy pequeñas en las condiciones iniciales causan trayectorias muy diferentes, un fenómeno que ocurre para cualquier conjunto admisible de condiciones iniciales.</w:t>
      </w:r>
    </w:p>
    <w:p w14:paraId="4476501E" w14:textId="77777777" w:rsidR="00592729" w:rsidRPr="00F041B1" w:rsidRDefault="00592729" w:rsidP="00592729">
      <w:pPr>
        <w:pStyle w:val="Nivel3SM"/>
      </w:pPr>
      <w:r w:rsidRPr="00F041B1">
        <w:t xml:space="preserve">En contraposición, </w:t>
      </w:r>
      <w:r>
        <w:t xml:space="preserve">en </w:t>
      </w:r>
      <w:r w:rsidRPr="00F041B1">
        <w:t>un sistema determinístico “normal”, todas las trayectorias que empiezan siendo muy cercanas entre ellas, se mantienen cercanas en el futuro en la mayoría de los casos.</w:t>
      </w:r>
    </w:p>
    <w:p w14:paraId="6ED75E8D" w14:textId="673F936D" w:rsidR="00592729" w:rsidRPr="00592729" w:rsidRDefault="00592729" w:rsidP="00592729">
      <w:pPr>
        <w:pStyle w:val="Nivel2SM"/>
        <w:rPr>
          <w:spacing w:val="-3"/>
        </w:rPr>
      </w:pPr>
      <w:r w:rsidRPr="0056215A">
        <w:rPr>
          <w:spacing w:val="-3"/>
        </w:rPr>
        <w:t xml:space="preserve">En resumen, el tipo de cambio nominal </w:t>
      </w:r>
      <w:r w:rsidRPr="0056215A">
        <w:rPr>
          <w:i/>
          <w:iCs/>
          <w:spacing w:val="-3"/>
        </w:rPr>
        <w:t>parece seguir un paseo aleatorio</w:t>
      </w:r>
      <w:r w:rsidRPr="0056215A">
        <w:rPr>
          <w:spacing w:val="-3"/>
        </w:rPr>
        <w:t xml:space="preserve"> (i.e. el mejor predictor futuro es su valor pasado). Sin embargo, se observa que el término de perturbación </w:t>
      </w:r>
      <w:r w:rsidRPr="0056215A">
        <w:rPr>
          <w:b/>
          <w:bCs/>
          <w:spacing w:val="-3"/>
        </w:rPr>
        <w:t>no es ruido blanco</w:t>
      </w:r>
      <w:r w:rsidRPr="0056215A">
        <w:rPr>
          <w:spacing w:val="-3"/>
        </w:rPr>
        <w:t xml:space="preserve">, </w:t>
      </w:r>
      <w:r w:rsidRPr="0056215A">
        <w:rPr>
          <w:spacing w:val="-3"/>
        </w:rPr>
        <w:lastRenderedPageBreak/>
        <w:t xml:space="preserve">por lo que en realidad sigue una tendencia de </w:t>
      </w:r>
      <w:r w:rsidRPr="0056215A">
        <w:rPr>
          <w:b/>
          <w:bCs/>
          <w:spacing w:val="-3"/>
        </w:rPr>
        <w:t>caos determinista</w:t>
      </w:r>
      <w:r w:rsidRPr="0056215A">
        <w:rPr>
          <w:spacing w:val="-3"/>
        </w:rPr>
        <w:t xml:space="preserve"> (i.e. pequeñas variaciones en las condiciones iniciales pueden implicar grandes diferencias en el comportamiento futuro).</w:t>
      </w:r>
    </w:p>
    <w:p w14:paraId="6FE5B4B7" w14:textId="3FA1CA05" w:rsidR="00606E13" w:rsidRDefault="00F31B9A" w:rsidP="00F31B9A">
      <w:pPr>
        <w:pStyle w:val="Ttulo1"/>
      </w:pPr>
      <w:bookmarkStart w:id="79" w:name="_Toc136424405"/>
      <w:r>
        <w:t>DESARROLLOS RECIENTES</w:t>
      </w:r>
      <w:bookmarkEnd w:id="79"/>
    </w:p>
    <w:p w14:paraId="25DDC6A8" w14:textId="2468D573" w:rsidR="00F31B9A" w:rsidRDefault="004477E0" w:rsidP="00C26C58">
      <w:pPr>
        <w:pStyle w:val="Nivel1SM"/>
        <w:keepNext/>
        <w:spacing w:before="0" w:after="0"/>
      </w:pPr>
      <w:r>
        <w:t xml:space="preserve">Los resultados de </w:t>
      </w:r>
      <w:proofErr w:type="spellStart"/>
      <w:r>
        <w:rPr>
          <w:smallCaps/>
        </w:rPr>
        <w:t>Meese</w:t>
      </w:r>
      <w:proofErr w:type="spellEnd"/>
      <w:r>
        <w:t xml:space="preserve"> y </w:t>
      </w:r>
      <w:proofErr w:type="spellStart"/>
      <w:r>
        <w:rPr>
          <w:smallCaps/>
        </w:rPr>
        <w:t>Rogoff</w:t>
      </w:r>
      <w:proofErr w:type="spellEnd"/>
      <w:r>
        <w:t xml:space="preserve"> </w:t>
      </w:r>
      <w:r w:rsidR="00926735">
        <w:t xml:space="preserve">(1983) </w:t>
      </w:r>
      <w:r>
        <w:t>han sido actualizados y confirmados por m</w:t>
      </w:r>
      <w:r w:rsidR="00D25BCD">
        <w:t xml:space="preserve">últiples estudios posteriores, y han llevado a </w:t>
      </w:r>
      <w:r w:rsidR="00484419">
        <w:t>2 </w:t>
      </w:r>
      <w:r w:rsidR="00D25BCD">
        <w:t xml:space="preserve">categorías </w:t>
      </w:r>
      <w:r w:rsidR="00024C5B">
        <w:t>o</w:t>
      </w:r>
      <w:r w:rsidR="00D25BCD">
        <w:t>puestas de reacciones:</w:t>
      </w:r>
    </w:p>
    <w:p w14:paraId="3D901FB7" w14:textId="0C67D40F" w:rsidR="00D25BCD" w:rsidRDefault="00D25BCD" w:rsidP="00F242A0">
      <w:pPr>
        <w:pStyle w:val="Prrafodelista"/>
        <w:numPr>
          <w:ilvl w:val="4"/>
          <w:numId w:val="16"/>
        </w:numPr>
        <w:spacing w:after="100"/>
        <w:ind w:left="568" w:hanging="284"/>
      </w:pPr>
      <w:r>
        <w:t xml:space="preserve">Por un lado, hay algunos autores que buscan </w:t>
      </w:r>
      <w:r w:rsidRPr="00537ECB">
        <w:rPr>
          <w:b/>
          <w:bCs/>
        </w:rPr>
        <w:t xml:space="preserve">mejorar </w:t>
      </w:r>
      <w:r w:rsidR="00955817" w:rsidRPr="00537ECB">
        <w:rPr>
          <w:b/>
          <w:bCs/>
        </w:rPr>
        <w:t>el funcionamiento de los modelos estructurales</w:t>
      </w:r>
      <w:r w:rsidR="00955817">
        <w:t xml:space="preserve"> como sea (p.ej. usando técnicas más sofisticadas como modelos de corrección de errores, coeficientes que varían en el tiempo, técnicas de cointegración…), pero sin mejoras apreciables en la mayoría de los casos.</w:t>
      </w:r>
    </w:p>
    <w:p w14:paraId="3BCE5F20" w14:textId="67FBF326" w:rsidR="00955817" w:rsidRDefault="00955817" w:rsidP="00F242A0">
      <w:pPr>
        <w:pStyle w:val="Prrafodelista"/>
        <w:numPr>
          <w:ilvl w:val="4"/>
          <w:numId w:val="16"/>
        </w:numPr>
        <w:spacing w:after="100"/>
        <w:ind w:left="568" w:hanging="284"/>
      </w:pPr>
      <w:r>
        <w:t xml:space="preserve">Por otro lado, hay economistas que toman el fallo de los modelos estructurales como un fallo de la teoría económica y consideran la necesidad de moverse hacia un </w:t>
      </w:r>
      <w:r w:rsidRPr="00537ECB">
        <w:rPr>
          <w:b/>
          <w:bCs/>
        </w:rPr>
        <w:t>“análisis técnico”</w:t>
      </w:r>
      <w:r>
        <w:t xml:space="preserve"> puro, consistente en una serie de procedimientos para identificar patrones en la evolución del tipo de cambio y utilizarlos para su predicción (predicción sin explicación). Los analistas que utilizan análisis técnico son a menudo llamados “</w:t>
      </w:r>
      <w:proofErr w:type="spellStart"/>
      <w:r>
        <w:t>chartistas</w:t>
      </w:r>
      <w:proofErr w:type="spellEnd"/>
      <w:r>
        <w:t>” en contraposición con los “fundamentalistas” que confían en los fundamentales propuestos por la teoría económica</w:t>
      </w:r>
      <w:r>
        <w:rPr>
          <w:rStyle w:val="Refdenotaalpie"/>
        </w:rPr>
        <w:footnoteReference w:id="39"/>
      </w:r>
      <w:r>
        <w:t>.</w:t>
      </w:r>
    </w:p>
    <w:p w14:paraId="7C94FE1A" w14:textId="77777777" w:rsidR="00C01A4E" w:rsidRDefault="00C01A4E" w:rsidP="00C01A4E">
      <w:pPr>
        <w:pStyle w:val="Ttulo2"/>
      </w:pPr>
      <w:bookmarkStart w:id="80" w:name="_Toc136424406"/>
      <w:r>
        <w:t>Nuevas líneas teóricas</w:t>
      </w:r>
      <w:bookmarkEnd w:id="80"/>
    </w:p>
    <w:p w14:paraId="45FC762B" w14:textId="77777777" w:rsidR="00C01A4E" w:rsidRDefault="00C01A4E" w:rsidP="00592729">
      <w:pPr>
        <w:pStyle w:val="Ttulo3"/>
        <w:spacing w:before="0"/>
      </w:pPr>
      <w:bookmarkStart w:id="81" w:name="_Toc136424408"/>
      <w:r>
        <w:t>Incumplimiento de la PPA: la paradoja de la apreciación y los modelos de la regla de Taylor</w:t>
      </w:r>
      <w:bookmarkEnd w:id="81"/>
    </w:p>
    <w:p w14:paraId="014E184E" w14:textId="77777777" w:rsidR="00C01A4E" w:rsidRDefault="00C01A4E" w:rsidP="00C26C58">
      <w:pPr>
        <w:pStyle w:val="Ttulo6"/>
        <w:spacing w:before="0"/>
      </w:pPr>
      <w:bookmarkStart w:id="82" w:name="_Toc136424409"/>
      <w:r>
        <w:t>Idea</w:t>
      </w:r>
      <w:bookmarkEnd w:id="82"/>
    </w:p>
    <w:p w14:paraId="2C072328" w14:textId="70164D0C" w:rsidR="00C01A4E" w:rsidRDefault="00C01A4E" w:rsidP="00C26C58">
      <w:pPr>
        <w:pStyle w:val="Nivel1SM"/>
        <w:keepNext/>
        <w:spacing w:before="0" w:after="0"/>
      </w:pPr>
      <w:r>
        <w:t>Hasta ahora, hemos visto que países con altas tasas de inflación (comparadas con el resto del mundo) verán su tipo de cambio depreciarse</w:t>
      </w:r>
      <w:r w:rsidR="00D76EE4">
        <w:t xml:space="preserve"> </w:t>
      </w:r>
      <w:r w:rsidR="00D76EE4" w:rsidRPr="00C5426C">
        <w:rPr>
          <w:color w:val="767171" w:themeColor="background2" w:themeShade="80"/>
          <w:sz w:val="19"/>
          <w:szCs w:val="19"/>
        </w:rPr>
        <w:t>[</w:t>
      </w:r>
      <w:r w:rsidR="00D76EE4">
        <w:rPr>
          <w:i/>
          <w:iCs/>
          <w:color w:val="767171" w:themeColor="background2" w:themeShade="80"/>
          <w:sz w:val="19"/>
          <w:szCs w:val="19"/>
        </w:rPr>
        <w:t>ver anexo </w:t>
      </w:r>
      <w:r w:rsidR="00D76EE4">
        <w:rPr>
          <w:i/>
          <w:iCs/>
          <w:color w:val="767171" w:themeColor="background2" w:themeShade="80"/>
          <w:sz w:val="19"/>
          <w:szCs w:val="19"/>
        </w:rPr>
        <w:fldChar w:fldCharType="begin"/>
      </w:r>
      <w:r w:rsidR="00D76EE4">
        <w:rPr>
          <w:i/>
          <w:iCs/>
          <w:color w:val="767171" w:themeColor="background2" w:themeShade="80"/>
          <w:sz w:val="19"/>
          <w:szCs w:val="19"/>
        </w:rPr>
        <w:instrText xml:space="preserve"> REF _Ref112946050 \r \h </w:instrText>
      </w:r>
      <w:r w:rsidR="00D76EE4">
        <w:rPr>
          <w:i/>
          <w:iCs/>
          <w:color w:val="767171" w:themeColor="background2" w:themeShade="80"/>
          <w:sz w:val="19"/>
          <w:szCs w:val="19"/>
        </w:rPr>
      </w:r>
      <w:r w:rsidR="00D76EE4">
        <w:rPr>
          <w:i/>
          <w:iCs/>
          <w:color w:val="767171" w:themeColor="background2" w:themeShade="80"/>
          <w:sz w:val="19"/>
          <w:szCs w:val="19"/>
        </w:rPr>
        <w:fldChar w:fldCharType="separate"/>
      </w:r>
      <w:r w:rsidR="00A448D4">
        <w:rPr>
          <w:i/>
          <w:iCs/>
          <w:color w:val="767171" w:themeColor="background2" w:themeShade="80"/>
          <w:sz w:val="19"/>
          <w:szCs w:val="19"/>
        </w:rPr>
        <w:t>A.1</w:t>
      </w:r>
      <w:r w:rsidR="00D76EE4">
        <w:rPr>
          <w:i/>
          <w:iCs/>
          <w:color w:val="767171" w:themeColor="background2" w:themeShade="80"/>
          <w:sz w:val="19"/>
          <w:szCs w:val="19"/>
        </w:rPr>
        <w:fldChar w:fldCharType="end"/>
      </w:r>
      <w:r w:rsidR="00D76EE4">
        <w:rPr>
          <w:i/>
          <w:iCs/>
          <w:color w:val="767171" w:themeColor="background2" w:themeShade="80"/>
          <w:sz w:val="19"/>
          <w:szCs w:val="19"/>
        </w:rPr>
        <w:t xml:space="preserve"> donde se exponen la evidencia empírica acerca de la PPA</w:t>
      </w:r>
      <w:r w:rsidR="00D76EE4" w:rsidRPr="00C5426C">
        <w:rPr>
          <w:color w:val="767171" w:themeColor="background2" w:themeShade="80"/>
          <w:sz w:val="19"/>
          <w:szCs w:val="19"/>
        </w:rPr>
        <w:t>]</w:t>
      </w:r>
      <w:r>
        <w:t>.</w:t>
      </w:r>
    </w:p>
    <w:p w14:paraId="28DC7F90" w14:textId="77777777" w:rsidR="00C01A4E" w:rsidRDefault="00C01A4E" w:rsidP="00C01A4E">
      <w:pPr>
        <w:pStyle w:val="Nivel2SM"/>
      </w:pPr>
      <w:r>
        <w:t xml:space="preserve">Sin embargo, encontramos en la literatura empírica un fenómeno denominado </w:t>
      </w:r>
      <w:r>
        <w:rPr>
          <w:i/>
          <w:iCs/>
        </w:rPr>
        <w:t>“paradoja de la apreciación”</w:t>
      </w:r>
      <w:r>
        <w:t xml:space="preserve">. </w:t>
      </w:r>
      <w:r>
        <w:rPr>
          <w:smallCaps/>
        </w:rPr>
        <w:t>Richard Clarida</w:t>
      </w:r>
      <w:r>
        <w:t xml:space="preserve"> encuentra para una muestra de divisas que noticias de que la inflación es inesperadamente alta llevan a que la moneda se aprecie (en contra de las predicciones que hemos hecho hasta ahora, según las cuales se depreciaría).</w:t>
      </w:r>
    </w:p>
    <w:p w14:paraId="2E1687F9" w14:textId="77777777" w:rsidR="00C01A4E" w:rsidRPr="00AF1499" w:rsidRDefault="00C01A4E" w:rsidP="00C01A4E">
      <w:pPr>
        <w:pStyle w:val="Nivel2SM"/>
      </w:pPr>
      <w:r>
        <w:t>Esto es inconsistente con los modelos expuestos y requiere una explicación.</w:t>
      </w:r>
    </w:p>
    <w:p w14:paraId="316B36AF" w14:textId="77777777" w:rsidR="00C01A4E" w:rsidRDefault="00C01A4E" w:rsidP="00C01A4E">
      <w:pPr>
        <w:pStyle w:val="Ttulo6"/>
      </w:pPr>
      <w:bookmarkStart w:id="83" w:name="_Toc136424410"/>
      <w:r>
        <w:t>Desarrollo</w:t>
      </w:r>
      <w:bookmarkEnd w:id="83"/>
    </w:p>
    <w:p w14:paraId="791DA3E3" w14:textId="77777777" w:rsidR="00C01A4E" w:rsidRDefault="00C01A4E" w:rsidP="00C26C58">
      <w:pPr>
        <w:pStyle w:val="Nivel1SM"/>
        <w:keepNext/>
        <w:spacing w:before="0" w:after="0"/>
      </w:pPr>
      <w:r>
        <w:t>Hasta ahora hemos supuesto un shock exógeno de política monetaria. El elemento central de los modelo basados en la regla de Taylor es que la política monetaria es endógena y sigue una regla de tipo Taylor.</w:t>
      </w:r>
    </w:p>
    <w:p w14:paraId="01252887" w14:textId="77777777" w:rsidR="00C01A4E" w:rsidRPr="00AF1499" w:rsidRDefault="00C01A4E" w:rsidP="00C01A4E">
      <w:pPr>
        <w:pStyle w:val="Nivel2SM"/>
      </w:pPr>
      <w:r>
        <w:t>De este modo, sigue una regla de tipo de interés en la que el tipo de interés (principal instrumento de política monetaria) actúa ante cambios en el output gap y desviaciones de la inflación con respecto al objetivo.</w:t>
      </w:r>
    </w:p>
    <w:p w14:paraId="099071E0" w14:textId="77777777" w:rsidR="00C01A4E" w:rsidRDefault="00C01A4E" w:rsidP="00C01A4E">
      <w:pPr>
        <w:pStyle w:val="Ttulo6"/>
      </w:pPr>
      <w:bookmarkStart w:id="84" w:name="_Toc136424411"/>
      <w:r>
        <w:t>Relevancia</w:t>
      </w:r>
      <w:bookmarkEnd w:id="84"/>
    </w:p>
    <w:p w14:paraId="056D6603" w14:textId="77777777" w:rsidR="00C01A4E" w:rsidRDefault="00C01A4E" w:rsidP="00C26C58">
      <w:pPr>
        <w:pStyle w:val="Nivel1SM"/>
        <w:keepNext/>
        <w:spacing w:before="0" w:after="0"/>
      </w:pPr>
      <w:r>
        <w:t xml:space="preserve">Los modelos que hemos visto (p.ej. modelo de </w:t>
      </w:r>
      <w:proofErr w:type="spellStart"/>
      <w:r>
        <w:rPr>
          <w:i/>
          <w:iCs/>
        </w:rPr>
        <w:t>overshooting</w:t>
      </w:r>
      <w:proofErr w:type="spellEnd"/>
      <w:r>
        <w:t>), una mayor inflación se traduce en una depreciación de la moneda. ¿Cómo es posible que suceda lo contrario?</w:t>
      </w:r>
    </w:p>
    <w:p w14:paraId="50EF3294" w14:textId="77777777" w:rsidR="00C01A4E" w:rsidRDefault="00C01A4E" w:rsidP="00C01A4E">
      <w:pPr>
        <w:pStyle w:val="Nivel2SM"/>
      </w:pPr>
      <w:r>
        <w:t>Si el Banco Central aumenta los tipos de interés cuando la inflación aumenta, se producirá una entrada de capitales y una apreciación de la moneda</w:t>
      </w:r>
      <w:r>
        <w:rPr>
          <w:rStyle w:val="Refdenotaalpie"/>
        </w:rPr>
        <w:footnoteReference w:id="40"/>
      </w:r>
      <w:r>
        <w:t>.</w:t>
      </w:r>
    </w:p>
    <w:p w14:paraId="037443C7" w14:textId="77777777" w:rsidR="00C01A4E" w:rsidRDefault="00C01A4E" w:rsidP="00C01A4E">
      <w:pPr>
        <w:pStyle w:val="Nivel2SM"/>
      </w:pPr>
      <w:r>
        <w:t xml:space="preserve">Así, la </w:t>
      </w:r>
      <w:proofErr w:type="spellStart"/>
      <w:r>
        <w:t>endogeneización</w:t>
      </w:r>
      <w:proofErr w:type="spellEnd"/>
      <w:r>
        <w:t xml:space="preserve"> de la política monetaria permite resolver la </w:t>
      </w:r>
      <w:r w:rsidRPr="00651F08">
        <w:rPr>
          <w:i/>
          <w:iCs/>
        </w:rPr>
        <w:t>paradoja de la apreciación</w:t>
      </w:r>
      <w:r>
        <w:t>.</w:t>
      </w:r>
    </w:p>
    <w:p w14:paraId="1E58E995" w14:textId="77777777" w:rsidR="00C01A4E" w:rsidRPr="00651F08" w:rsidRDefault="00C01A4E" w:rsidP="00C01A4E">
      <w:pPr>
        <w:pStyle w:val="Nivel1SM"/>
      </w:pPr>
      <w:r>
        <w:t>La evidencia reciente sugiere que este enfoque aumenta de forma significativa la capacidad predictiva (particularmente a corto plazo) de los modelos de tipo de cambio tradicionales.</w:t>
      </w:r>
    </w:p>
    <w:p w14:paraId="5405CD1F" w14:textId="77777777" w:rsidR="00C01A4E" w:rsidRPr="00AF1499" w:rsidRDefault="00C01A4E" w:rsidP="00C01A4E">
      <w:pPr>
        <w:pStyle w:val="Ttulo6"/>
      </w:pPr>
      <w:bookmarkStart w:id="85" w:name="_Toc136424412"/>
      <w:r>
        <w:lastRenderedPageBreak/>
        <w:t>Evidencia empírica</w:t>
      </w:r>
      <w:bookmarkEnd w:id="85"/>
    </w:p>
    <w:p w14:paraId="7D9B0FD9" w14:textId="77777777" w:rsidR="00C01A4E" w:rsidRPr="00AF2969" w:rsidRDefault="00C01A4E" w:rsidP="00C26C58">
      <w:pPr>
        <w:pStyle w:val="Nivel1SM"/>
        <w:spacing w:before="0"/>
      </w:pPr>
      <w:r>
        <w:t xml:space="preserve">El economista </w:t>
      </w:r>
      <w:r>
        <w:rPr>
          <w:smallCaps/>
        </w:rPr>
        <w:t>Richard Clarida</w:t>
      </w:r>
      <w:r>
        <w:t xml:space="preserve"> ofrece evidencia estadística consistente con esta explicación. De media, para las diez divisas que estudia, observa que la inflación inesperadamente alta conduce a una apreciación de la moneda del país y no a una depreciación.</w:t>
      </w:r>
    </w:p>
    <w:p w14:paraId="40BC061F" w14:textId="007F0149" w:rsidR="00C01A4E" w:rsidRDefault="00C01A4E" w:rsidP="00C01A4E">
      <w:pPr>
        <w:pStyle w:val="Ttulo3"/>
        <w:rPr>
          <w:smallCaps/>
        </w:rPr>
      </w:pPr>
      <w:bookmarkStart w:id="86" w:name="_Toc136424413"/>
      <w:r>
        <w:t>Incumplimientos de la P</w:t>
      </w:r>
      <w:r w:rsidR="00316A28">
        <w:t>NC</w:t>
      </w:r>
      <w:r>
        <w:t>I: la paradoja del margen forward</w:t>
      </w:r>
      <w:bookmarkEnd w:id="86"/>
    </w:p>
    <w:p w14:paraId="26F89442" w14:textId="77777777" w:rsidR="00C01A4E" w:rsidRDefault="00C01A4E" w:rsidP="00C26C58">
      <w:pPr>
        <w:pStyle w:val="Ttulo6"/>
        <w:spacing w:before="0"/>
      </w:pPr>
      <w:bookmarkStart w:id="87" w:name="_Toc136424414"/>
      <w:r>
        <w:t>Idea</w:t>
      </w:r>
      <w:bookmarkEnd w:id="87"/>
    </w:p>
    <w:p w14:paraId="295C6BCA" w14:textId="1EC8C4AA" w:rsidR="00C01A4E" w:rsidRDefault="00C01A4E" w:rsidP="00C26C58">
      <w:pPr>
        <w:pStyle w:val="Nivel1SM"/>
        <w:spacing w:before="0"/>
      </w:pPr>
      <w:r>
        <w:t>Si los mercados financieros fueran eficientes, el tipo de cambio forward sería el mejor predictor el tipo de cambio spot esperado y ello llevaría a que se cumpliera la P</w:t>
      </w:r>
      <w:r w:rsidR="00316A28">
        <w:t>NC</w:t>
      </w:r>
      <w:r>
        <w:t>I. Sin embargo, si los mercados financieros no son eficientes (como de hecho muestra la evidencia empírica), tenemos que realizar nuevas explicaciones de por</w:t>
      </w:r>
      <w:r w:rsidR="00C15AFE">
        <w:t xml:space="preserve"> </w:t>
      </w:r>
      <w:r>
        <w:t>qu</w:t>
      </w:r>
      <w:r w:rsidR="00C15AFE">
        <w:t>é</w:t>
      </w:r>
      <w:r>
        <w:t xml:space="preserve"> se incumple la P</w:t>
      </w:r>
      <w:r w:rsidR="00316A28">
        <w:t>NC</w:t>
      </w:r>
      <w:r>
        <w:t>I y arrojar nueva luz sobre la determinación del tipo de cambio.</w:t>
      </w:r>
    </w:p>
    <w:p w14:paraId="599FE69E" w14:textId="77777777" w:rsidR="00C01A4E" w:rsidRDefault="00C01A4E" w:rsidP="00C01A4E">
      <w:pPr>
        <w:pStyle w:val="Ttulo6"/>
      </w:pPr>
      <w:bookmarkStart w:id="88" w:name="_Toc136424415"/>
      <w:r>
        <w:t>Desarrollo</w:t>
      </w:r>
      <w:bookmarkEnd w:id="88"/>
    </w:p>
    <w:p w14:paraId="665F2B1D" w14:textId="77777777" w:rsidR="00C01A4E" w:rsidRPr="00200172" w:rsidRDefault="00C01A4E" w:rsidP="00C26C58">
      <w:pPr>
        <w:pStyle w:val="Ttulo7"/>
        <w:spacing w:before="0"/>
        <w:rPr>
          <w:smallCaps/>
        </w:rPr>
      </w:pPr>
      <w:r>
        <w:t xml:space="preserve">Definición de mercado eficiente de </w:t>
      </w:r>
      <w:r>
        <w:rPr>
          <w:smallCaps/>
        </w:rPr>
        <w:t>Fama</w:t>
      </w:r>
      <w:r>
        <w:t xml:space="preserve"> (1970), la </w:t>
      </w:r>
      <w:proofErr w:type="spellStart"/>
      <w:r>
        <w:t>joint</w:t>
      </w:r>
      <w:proofErr w:type="spellEnd"/>
      <w:r>
        <w:t xml:space="preserve"> </w:t>
      </w:r>
      <w:proofErr w:type="spellStart"/>
      <w:r>
        <w:t>hypothesis</w:t>
      </w:r>
      <w:proofErr w:type="spellEnd"/>
      <w:r w:rsidRPr="00200172">
        <w:t xml:space="preserve"> y</w:t>
      </w:r>
      <w:r>
        <w:t xml:space="preserve"> aplicación al mercado de divisas</w:t>
      </w:r>
    </w:p>
    <w:p w14:paraId="6C05F111" w14:textId="280F498A" w:rsidR="00C01A4E" w:rsidRDefault="00C01A4E" w:rsidP="00C26C58">
      <w:pPr>
        <w:pStyle w:val="Nivel1SM"/>
        <w:keepNext/>
        <w:spacing w:before="0" w:after="0"/>
      </w:pPr>
      <w:r>
        <w:rPr>
          <w:smallCaps/>
        </w:rPr>
        <w:t>Eugene Fama</w:t>
      </w:r>
      <w:r>
        <w:t xml:space="preserve"> recibe el Premio Nobel de Economía en 2013 precisamente </w:t>
      </w:r>
      <w:r w:rsidRPr="00A300F1">
        <w:t>«</w:t>
      </w:r>
      <w:r>
        <w:t>p</w:t>
      </w:r>
      <w:r w:rsidRPr="00A300F1">
        <w:t>or su trabajo en el análisis empírico de precios de posesiones capitales»</w:t>
      </w:r>
      <w:r>
        <w:t>, es decir, por sus contribuciones con respecto a la hipótesis de los mercados eficientes</w:t>
      </w:r>
      <w:r>
        <w:rPr>
          <w:rStyle w:val="Refdenotaalpie"/>
        </w:rPr>
        <w:footnoteReference w:id="41"/>
      </w:r>
      <w:r>
        <w:t xml:space="preserve">. En su discurso de recepción del Premio Nobel menciona lo que él ha denominado la </w:t>
      </w:r>
      <w:proofErr w:type="spellStart"/>
      <w:r>
        <w:rPr>
          <w:i/>
          <w:iCs/>
        </w:rPr>
        <w:t>joint</w:t>
      </w:r>
      <w:proofErr w:type="spellEnd"/>
      <w:r>
        <w:rPr>
          <w:i/>
          <w:iCs/>
        </w:rPr>
        <w:t xml:space="preserve"> </w:t>
      </w:r>
      <w:proofErr w:type="spellStart"/>
      <w:r>
        <w:rPr>
          <w:i/>
          <w:iCs/>
        </w:rPr>
        <w:t>hypothesis</w:t>
      </w:r>
      <w:proofErr w:type="spellEnd"/>
      <w:r>
        <w:t xml:space="preserve">. Según esta, para que los mercados financieros sean eficientes es necesario que se cumplan </w:t>
      </w:r>
      <w:r w:rsidR="00C26C58">
        <w:t>2 </w:t>
      </w:r>
      <w:r>
        <w:t>condiciones:</w:t>
      </w:r>
    </w:p>
    <w:p w14:paraId="7C1A0E30" w14:textId="77777777" w:rsidR="0062112A" w:rsidRPr="0062112A" w:rsidRDefault="00C01A4E" w:rsidP="00052BBA">
      <w:pPr>
        <w:pStyle w:val="Nmeroromano"/>
        <w:numPr>
          <w:ilvl w:val="0"/>
          <w:numId w:val="19"/>
        </w:numPr>
        <w:spacing w:after="0"/>
        <w:ind w:left="567" w:hanging="102"/>
      </w:pPr>
      <w:r w:rsidRPr="0062112A">
        <w:rPr>
          <w:spacing w:val="-2"/>
        </w:rPr>
        <w:t>Que exista un modelo de valoración de activos por arbitraje (por ejemplo, el CAPM o el APT).</w:t>
      </w:r>
    </w:p>
    <w:p w14:paraId="3EF2C913" w14:textId="4D16BB3E" w:rsidR="00C01A4E" w:rsidRDefault="00C01A4E" w:rsidP="00052BBA">
      <w:pPr>
        <w:pStyle w:val="Nmeroromano"/>
        <w:numPr>
          <w:ilvl w:val="0"/>
          <w:numId w:val="19"/>
        </w:numPr>
        <w:spacing w:after="0"/>
        <w:ind w:left="567" w:hanging="102"/>
      </w:pPr>
      <w:r>
        <w:t>Que los activos reflejen toda la información disponible.</w:t>
      </w:r>
    </w:p>
    <w:p w14:paraId="0318B81F" w14:textId="77777777" w:rsidR="00C01A4E" w:rsidRDefault="00C01A4E" w:rsidP="00C01A4E">
      <w:pPr>
        <w:pStyle w:val="Nivel1SM"/>
      </w:pPr>
      <w:r>
        <w:t xml:space="preserve">Por lo tanto, </w:t>
      </w:r>
      <w:r w:rsidRPr="005C265E">
        <w:rPr>
          <w:b/>
          <w:bCs/>
        </w:rPr>
        <w:t>testar la hipótesis de los mercados financieros eficientes es difícil</w:t>
      </w:r>
      <w:r>
        <w:t xml:space="preserve"> porque no sabemos si los incumplimientos se deben a que estamos trabajando con un modelo de valoración de activos incompleto o si efectivamente la hipótesis de los mercados eficientes no se cumple.</w:t>
      </w:r>
    </w:p>
    <w:p w14:paraId="665C250C" w14:textId="77777777" w:rsidR="00C01A4E" w:rsidRDefault="00C01A4E" w:rsidP="00C01A4E">
      <w:pPr>
        <w:pStyle w:val="Ttulo7"/>
      </w:pPr>
      <w:r>
        <w:t>Distintas maneras de entender eficiencia en un mercado financiero</w:t>
      </w:r>
    </w:p>
    <w:p w14:paraId="78062882" w14:textId="0BB68A47" w:rsidR="00C01A4E" w:rsidRDefault="00C01A4E" w:rsidP="00C26C58">
      <w:pPr>
        <w:pStyle w:val="Nivel1SM"/>
        <w:keepNext/>
        <w:spacing w:before="0" w:after="0"/>
      </w:pPr>
      <w:r>
        <w:t xml:space="preserve">También lo que complica el análisis es que van a existir distintos factores o distintas maneras de entender que es eficiencia en el mercado financiero. Concretamente, siguiendo el libro de valoración de activos de </w:t>
      </w:r>
      <w:proofErr w:type="spellStart"/>
      <w:r>
        <w:rPr>
          <w:smallCaps/>
        </w:rPr>
        <w:t>Darrell</w:t>
      </w:r>
      <w:proofErr w:type="spellEnd"/>
      <w:r>
        <w:rPr>
          <w:smallCaps/>
        </w:rPr>
        <w:t xml:space="preserve"> </w:t>
      </w:r>
      <w:proofErr w:type="spellStart"/>
      <w:r>
        <w:rPr>
          <w:smallCaps/>
        </w:rPr>
        <w:t>Duffie</w:t>
      </w:r>
      <w:proofErr w:type="spellEnd"/>
      <w:r>
        <w:t xml:space="preserve">, la palabra eficiencia se usa en </w:t>
      </w:r>
      <w:r w:rsidR="009774CB">
        <w:t>3 </w:t>
      </w:r>
      <w:r>
        <w:t>sentidos:</w:t>
      </w:r>
    </w:p>
    <w:p w14:paraId="1F4CEA55" w14:textId="4B40FD3B" w:rsidR="00C01A4E" w:rsidRPr="006640EF" w:rsidRDefault="00C01A4E" w:rsidP="002E1526">
      <w:pPr>
        <w:pStyle w:val="Prrafodelista"/>
        <w:numPr>
          <w:ilvl w:val="0"/>
          <w:numId w:val="45"/>
        </w:numPr>
        <w:spacing w:after="100"/>
        <w:ind w:left="568" w:hanging="284"/>
      </w:pPr>
      <w:r>
        <w:t xml:space="preserve">Eficiencia como </w:t>
      </w:r>
      <w:r w:rsidRPr="002E1526">
        <w:rPr>
          <w:b/>
          <w:bCs/>
        </w:rPr>
        <w:t>ausencia de posibilidades de arbitraje</w:t>
      </w:r>
      <w:r>
        <w:t xml:space="preserve">: </w:t>
      </w:r>
      <w:r w:rsidR="00064516">
        <w:t>S</w:t>
      </w:r>
      <w:r>
        <w:t>ignifica que e</w:t>
      </w:r>
      <w:r w:rsidRPr="006640EF">
        <w:t xml:space="preserve">n un mercado en equilibrio no deben existir oportunidades de inversión sin explotar, es decir, que </w:t>
      </w:r>
      <w:r w:rsidRPr="002E1526">
        <w:rPr>
          <w:i/>
          <w:iCs/>
        </w:rPr>
        <w:t>ningún inversor que cambie la composición de la cartera podrá obtener mediante arbitraje una rentabilidad superior a la que venía consiguiendo con el mismo riesgo</w:t>
      </w:r>
      <w:r w:rsidRPr="00274790">
        <w:rPr>
          <w:rStyle w:val="Refdenotaalpie"/>
        </w:rPr>
        <w:footnoteReference w:id="42"/>
      </w:r>
      <w:r w:rsidRPr="006640EF">
        <w:t>.</w:t>
      </w:r>
    </w:p>
    <w:p w14:paraId="64C66FF4" w14:textId="07F7C4FF" w:rsidR="00C01A4E" w:rsidRDefault="00C01A4E" w:rsidP="002E1526">
      <w:pPr>
        <w:pStyle w:val="Prrafodelista"/>
        <w:keepNext/>
        <w:numPr>
          <w:ilvl w:val="0"/>
          <w:numId w:val="45"/>
        </w:numPr>
        <w:spacing w:after="0"/>
        <w:ind w:left="568" w:hanging="284"/>
      </w:pPr>
      <w:r>
        <w:t xml:space="preserve">Eficiencia como </w:t>
      </w:r>
      <w:r w:rsidRPr="002E1526">
        <w:rPr>
          <w:b/>
          <w:bCs/>
        </w:rPr>
        <w:t>transmisión de toda la información</w:t>
      </w:r>
      <w:r>
        <w:t>: Según esta definición el mercado será eficiente cuando el precio determinado por la oferta y la demanda es una buena forma de estimar el valor real del activo, es decir, su valor intrínseco. Esto supone que el precio incluye toda la información necesaria y es la principal y más fiable señal del mercado y que éste funciona sin distorsiones</w:t>
      </w:r>
      <w:bookmarkStart w:id="89" w:name="_Ref106968902"/>
      <w:r>
        <w:rPr>
          <w:rStyle w:val="Refdenotaalpie"/>
        </w:rPr>
        <w:footnoteReference w:id="43"/>
      </w:r>
      <w:bookmarkEnd w:id="89"/>
      <w:r>
        <w:t xml:space="preserve">. La eficiencia con la que el precio cumpla su función en el mercado </w:t>
      </w:r>
      <w:r>
        <w:lastRenderedPageBreak/>
        <w:t xml:space="preserve">está en función de la cantidad de información que incorpora y de la velocidad con la que ésta se incorpora. El profesor </w:t>
      </w:r>
      <w:r w:rsidRPr="002E1526">
        <w:rPr>
          <w:smallCaps/>
        </w:rPr>
        <w:t>Harry Roberts</w:t>
      </w:r>
      <w:r>
        <w:t xml:space="preserve"> </w:t>
      </w:r>
      <w:r w:rsidR="00F910A9">
        <w:t>(</w:t>
      </w:r>
      <w:r>
        <w:t>1967</w:t>
      </w:r>
      <w:r w:rsidR="00F910A9">
        <w:t>)</w:t>
      </w:r>
      <w:r>
        <w:t xml:space="preserve"> clasificó la información en tres grupos:</w:t>
      </w:r>
    </w:p>
    <w:p w14:paraId="2BC1E2DF" w14:textId="7DA314E3" w:rsidR="00C01A4E" w:rsidRDefault="00C01A4E" w:rsidP="00C01A4E">
      <w:pPr>
        <w:pStyle w:val="Nivel3SM"/>
      </w:pPr>
      <w:r w:rsidRPr="004C2EC7">
        <w:rPr>
          <w:i/>
          <w:iCs/>
        </w:rPr>
        <w:t>Información histórica</w:t>
      </w:r>
      <w:r>
        <w:t xml:space="preserve">: </w:t>
      </w:r>
      <w:r w:rsidR="00064516">
        <w:t>A</w:t>
      </w:r>
      <w:r>
        <w:t>quella que se puede conseguir en bases de datos y en medios de comunicación, fundamentalmente contiene series históricas.</w:t>
      </w:r>
    </w:p>
    <w:p w14:paraId="482948D2" w14:textId="55DABFFF" w:rsidR="00C01A4E" w:rsidRDefault="00C01A4E" w:rsidP="00C01A4E">
      <w:pPr>
        <w:pStyle w:val="Nivel3SM"/>
      </w:pPr>
      <w:r w:rsidRPr="004C2EC7">
        <w:rPr>
          <w:i/>
          <w:iCs/>
        </w:rPr>
        <w:t>Información pública</w:t>
      </w:r>
      <w:r>
        <w:t xml:space="preserve">: </w:t>
      </w:r>
      <w:r w:rsidR="00064516">
        <w:t>T</w:t>
      </w:r>
      <w:r>
        <w:t>oda la información referida a la empresa, desde cuentas anuales a hechos y circunstancias de la empresa.</w:t>
      </w:r>
    </w:p>
    <w:p w14:paraId="72DB88E3" w14:textId="5DFB47C6" w:rsidR="00C01A4E" w:rsidRDefault="00C01A4E" w:rsidP="00C01A4E">
      <w:pPr>
        <w:pStyle w:val="Nivel3SM"/>
      </w:pPr>
      <w:r w:rsidRPr="004C2EC7">
        <w:rPr>
          <w:i/>
          <w:iCs/>
        </w:rPr>
        <w:t>Información privada</w:t>
      </w:r>
      <w:r>
        <w:t xml:space="preserve">: </w:t>
      </w:r>
      <w:r w:rsidR="00064516">
        <w:t>E</w:t>
      </w:r>
      <w:r>
        <w:t>s aquella información privilegiada en manos de muy pocas personas y que, en general, no trasciende al público.</w:t>
      </w:r>
    </w:p>
    <w:p w14:paraId="6B1F5C2E" w14:textId="77777777" w:rsidR="00C01A4E" w:rsidRDefault="00C01A4E" w:rsidP="00C01A4E">
      <w:pPr>
        <w:pStyle w:val="Nivel2"/>
        <w:keepNext/>
        <w:numPr>
          <w:ilvl w:val="0"/>
          <w:numId w:val="0"/>
        </w:numPr>
        <w:spacing w:after="0"/>
        <w:ind w:left="567"/>
      </w:pPr>
      <w:r w:rsidRPr="008A2A3D">
        <w:t xml:space="preserve">Basándonos en </w:t>
      </w:r>
      <w:r>
        <w:t>esta clasificación, y en función de la información que se maneja en el mercado para valorar los activos, podemos clasificar la eficiencia de ese mercado como:</w:t>
      </w:r>
    </w:p>
    <w:p w14:paraId="2D204A52" w14:textId="77777777" w:rsidR="00C01A4E" w:rsidRDefault="00C01A4E" w:rsidP="00C01A4E">
      <w:pPr>
        <w:pStyle w:val="Nivel3SM"/>
      </w:pPr>
      <w:r w:rsidRPr="004C2EC7">
        <w:rPr>
          <w:i/>
          <w:iCs/>
          <w:u w:val="single"/>
        </w:rPr>
        <w:t>Hipótesis fuerte</w:t>
      </w:r>
      <w:r>
        <w:t>: Implica que los precios indican toda la información disponible (privada, pública e histórica), de forma que nadie puede obtener un rendimiento superior al de mercado.</w:t>
      </w:r>
    </w:p>
    <w:p w14:paraId="4ACFFE23" w14:textId="77777777" w:rsidR="00C01A4E" w:rsidRDefault="00C01A4E" w:rsidP="00C01A4E">
      <w:pPr>
        <w:pStyle w:val="Nivel3SM"/>
      </w:pPr>
      <w:r w:rsidRPr="004C2EC7">
        <w:rPr>
          <w:i/>
          <w:iCs/>
          <w:u w:val="single"/>
        </w:rPr>
        <w:t xml:space="preserve">Hipótesis </w:t>
      </w:r>
      <w:proofErr w:type="spellStart"/>
      <w:r w:rsidRPr="004C2EC7">
        <w:rPr>
          <w:i/>
          <w:iCs/>
          <w:u w:val="single"/>
        </w:rPr>
        <w:t>semifuerte</w:t>
      </w:r>
      <w:proofErr w:type="spellEnd"/>
      <w:r>
        <w:t>: Implica que los inversores no son capaces de superar el rendimiento del mercado usando información histórica y pública, ya que dicha información se incorpora directamente en el precio. Las técnicas de análisis fundamental no serán capaces de lograr rendimientos superiores a los de mercado, ya que éstos sólo se podrán obtener con información privada.</w:t>
      </w:r>
    </w:p>
    <w:p w14:paraId="28555018" w14:textId="77777777" w:rsidR="00C01A4E" w:rsidRPr="008A2A3D" w:rsidRDefault="00C01A4E" w:rsidP="00C01A4E">
      <w:pPr>
        <w:pStyle w:val="Nivel3SM"/>
      </w:pPr>
      <w:r w:rsidRPr="004C2EC7">
        <w:rPr>
          <w:i/>
          <w:iCs/>
          <w:u w:val="single"/>
        </w:rPr>
        <w:t>Eficiencia débil</w:t>
      </w:r>
      <w:r>
        <w:t>: Supone que la cotización de los títulos refleja la información pasada obtenida de las series históricas de precios. En consecuencia, no es posible hallar estrategias de inversión basadas en los precios históricos de las acciones. Esto implica que el análisis técnico no es útil, pero el análisis fundamental sí (siendo esta definición de eficiencia la única que abre la puerta a una racionalidad de gestión activa de carteras).</w:t>
      </w:r>
    </w:p>
    <w:p w14:paraId="6BEE7837" w14:textId="6A4C25BE" w:rsidR="00C01A4E" w:rsidRDefault="00C01A4E" w:rsidP="002E1526">
      <w:pPr>
        <w:pStyle w:val="Prrafodelista"/>
        <w:numPr>
          <w:ilvl w:val="0"/>
          <w:numId w:val="45"/>
        </w:numPr>
        <w:spacing w:after="100"/>
        <w:ind w:left="568" w:hanging="284"/>
      </w:pPr>
      <w:r>
        <w:t xml:space="preserve">Eficiencia como </w:t>
      </w:r>
      <w:r w:rsidRPr="002E1526">
        <w:rPr>
          <w:b/>
          <w:bCs/>
        </w:rPr>
        <w:t>optimalidad de Pareto</w:t>
      </w:r>
      <w:r>
        <w:t xml:space="preserve">: Este criterio es el que se aplica habitualmente en Economía del Bienestar para valorar los mercados financieros. Es la más restrictiva de las </w:t>
      </w:r>
      <w:r w:rsidR="00F57003">
        <w:t>3 </w:t>
      </w:r>
      <w:r>
        <w:t xml:space="preserve">definiciones pues requiere que no exista una asignación de los recursos de la sociedad alternativa a la que genera el mercado que permita al menos a un agente mejorar su situación sin empeorar la situación de nadie. Esta situación es muy poco plausible ya que existen una serie de fenómenos como externalidades o información asimétrica que impedirán que se cumpla el 1TFEB </w:t>
      </w:r>
      <w:r w:rsidRPr="002E1526">
        <w:rPr>
          <w:color w:val="767171" w:themeColor="background2" w:themeShade="80"/>
          <w:sz w:val="19"/>
          <w:szCs w:val="19"/>
        </w:rPr>
        <w:t>[ver tema 3.A.22]</w:t>
      </w:r>
      <w:r>
        <w:t>.</w:t>
      </w:r>
    </w:p>
    <w:p w14:paraId="3686CB78" w14:textId="77777777" w:rsidR="00C01A4E" w:rsidRDefault="00C01A4E" w:rsidP="00C01A4E">
      <w:pPr>
        <w:pStyle w:val="Ttulo7"/>
      </w:pPr>
      <w:r>
        <w:lastRenderedPageBreak/>
        <w:t>En nuestro análisis del mercado de divisas: eficiencia como transmisión de toda la información</w:t>
      </w:r>
    </w:p>
    <w:p w14:paraId="6C388D3D" w14:textId="77777777" w:rsidR="00C01A4E" w:rsidRDefault="00C01A4E" w:rsidP="00C26C58">
      <w:pPr>
        <w:pStyle w:val="Nivel1SM"/>
        <w:keepNext/>
        <w:spacing w:before="0" w:after="0"/>
        <w:rPr>
          <w:rStyle w:val="Hipervnculo"/>
          <w:color w:val="auto"/>
          <w:u w:val="none"/>
        </w:rPr>
      </w:pPr>
      <w:r>
        <w:rPr>
          <w:rStyle w:val="Hipervnculo"/>
          <w:color w:val="auto"/>
          <w:u w:val="none"/>
        </w:rPr>
        <w:t>Entenderemos la eficiencia en el mercado como transmisión de toda la información. Por lo tanto, el tipo de cambio refleja toda la información disponible en un momento determinado. De este modo, cualquier modificación en el conjunto de información disponible debe quedar recogida inmediatamente por el mercado y reflejada en los tipos de cambio</w:t>
      </w:r>
      <w:r w:rsidRPr="00200172">
        <w:t xml:space="preserve"> </w:t>
      </w:r>
      <w:r>
        <w:t>(i.e.</w:t>
      </w:r>
      <w:r w:rsidRPr="004C2EC7">
        <w:rPr>
          <w:rStyle w:val="Hipervnculo"/>
          <w:color w:val="auto"/>
          <w:u w:val="none"/>
        </w:rPr>
        <w:t xml:space="preserve"> los precios actuales reflejan toda la información disponible y por lo tanto no hay oportunidades de beneficio sin explotar</w:t>
      </w:r>
      <w:r>
        <w:rPr>
          <w:rStyle w:val="Hipervnculo"/>
          <w:color w:val="auto"/>
          <w:u w:val="none"/>
        </w:rPr>
        <w:t>).</w:t>
      </w:r>
    </w:p>
    <w:p w14:paraId="508F4469" w14:textId="77777777" w:rsidR="00C01A4E" w:rsidRDefault="00C01A4E" w:rsidP="00C01A4E">
      <w:pPr>
        <w:pStyle w:val="Nivel2SM"/>
        <w:rPr>
          <w:rStyle w:val="Hipervnculo"/>
          <w:color w:val="auto"/>
          <w:u w:val="none"/>
        </w:rPr>
      </w:pPr>
      <w:r>
        <w:rPr>
          <w:rStyle w:val="Hipervnculo"/>
          <w:color w:val="auto"/>
          <w:u w:val="none"/>
        </w:rPr>
        <w:t xml:space="preserve">La </w:t>
      </w:r>
      <w:r w:rsidRPr="00200172">
        <w:rPr>
          <w:rStyle w:val="Hipervnculo"/>
          <w:i/>
          <w:iCs/>
          <w:color w:val="auto"/>
          <w:u w:val="none"/>
        </w:rPr>
        <w:t>hipótesis de eficiencia en el mercado de divisas</w:t>
      </w:r>
      <w:r>
        <w:rPr>
          <w:rStyle w:val="Hipervnculo"/>
          <w:color w:val="auto"/>
          <w:u w:val="none"/>
        </w:rPr>
        <w:t xml:space="preserve"> como transmisión de toda la información implica que el tipo de cambio forward debe ser el mejor predictor del tipo de cambio spot esperado.</w:t>
      </w:r>
    </w:p>
    <w:p w14:paraId="234055AD" w14:textId="4A9CDC4C" w:rsidR="00C01A4E" w:rsidRDefault="00C01A4E" w:rsidP="00C01A4E">
      <w:pPr>
        <w:pStyle w:val="Nivel2SM"/>
        <w:rPr>
          <w:rStyle w:val="Hipervnculo"/>
          <w:color w:val="auto"/>
          <w:u w:val="none"/>
        </w:rPr>
      </w:pPr>
      <w:r w:rsidRPr="004C2EC7">
        <w:rPr>
          <w:rStyle w:val="Hipervnculo"/>
          <w:color w:val="auto"/>
          <w:u w:val="none"/>
        </w:rPr>
        <w:t>Entonces, por definición, en un mercado de divisas eficiente, tanto la PCI como la P</w:t>
      </w:r>
      <w:r w:rsidR="00316A28">
        <w:rPr>
          <w:rStyle w:val="Hipervnculo"/>
          <w:color w:val="auto"/>
          <w:u w:val="none"/>
        </w:rPr>
        <w:t>NC</w:t>
      </w:r>
      <w:r w:rsidRPr="004C2EC7">
        <w:rPr>
          <w:rStyle w:val="Hipervnculo"/>
          <w:color w:val="auto"/>
          <w:u w:val="none"/>
        </w:rPr>
        <w:t>I deben ser aplicables.</w:t>
      </w:r>
    </w:p>
    <w:p w14:paraId="7623860A" w14:textId="77777777" w:rsidR="00C01A4E" w:rsidRDefault="00C01A4E" w:rsidP="00C01A4E">
      <w:pPr>
        <w:pStyle w:val="Nivel1SM"/>
      </w:pPr>
      <w:r w:rsidRPr="004C2EC7">
        <w:t xml:space="preserve">El supuesto de eficiencia en el mercado de divisas, junto con las condiciones de paridad, ha sido objeto de innumerables </w:t>
      </w:r>
      <w:r w:rsidRPr="00DE1C16">
        <w:rPr>
          <w:b/>
          <w:bCs/>
        </w:rPr>
        <w:t>estudios empíricos</w:t>
      </w:r>
      <w:r w:rsidRPr="004C2EC7">
        <w:t>.</w:t>
      </w:r>
    </w:p>
    <w:p w14:paraId="4BDA36AD" w14:textId="77777777" w:rsidR="00C01A4E" w:rsidRDefault="00C01A4E" w:rsidP="00C01A4E">
      <w:pPr>
        <w:pStyle w:val="Ttulo7"/>
        <w:jc w:val="left"/>
      </w:pPr>
      <w:r>
        <w:t>Contrastación de la hipótesis de eficiencia en el mercado de divisas y la paradoja del margen forward (</w:t>
      </w:r>
      <w:proofErr w:type="spellStart"/>
      <w:r>
        <w:rPr>
          <w:smallCaps/>
        </w:rPr>
        <w:t>Froot</w:t>
      </w:r>
      <w:proofErr w:type="spellEnd"/>
      <w:r>
        <w:t xml:space="preserve"> y </w:t>
      </w:r>
      <w:proofErr w:type="spellStart"/>
      <w:r>
        <w:rPr>
          <w:smallCaps/>
        </w:rPr>
        <w:t>Thaler</w:t>
      </w:r>
      <w:proofErr w:type="spellEnd"/>
      <w:r>
        <w:t>, 1990)</w:t>
      </w:r>
    </w:p>
    <w:p w14:paraId="0D706D3B" w14:textId="6C23538A" w:rsidR="00C01A4E" w:rsidRDefault="00C01A4E" w:rsidP="00C26C58">
      <w:pPr>
        <w:pStyle w:val="Nivel1SM"/>
        <w:keepNext/>
        <w:spacing w:before="0" w:after="0"/>
      </w:pPr>
      <w:r>
        <w:t xml:space="preserve">Para que el mercado de divisas sea eficiente, se tienen que cumplir tanto la PCI (i.e. la cotización de las divisas descuenta ya toda la información pública) como la </w:t>
      </w:r>
      <w:r w:rsidRPr="009E0697">
        <w:t>P</w:t>
      </w:r>
      <w:r w:rsidR="00316A28">
        <w:t>NC</w:t>
      </w:r>
      <w:r w:rsidRPr="009E0697">
        <w:t>I</w:t>
      </w:r>
      <w:r>
        <w:t xml:space="preserve"> (i.e. la cotización de las divisas descuenta también toda la información privada), de manera que no se puede obtener ningún tipo de rentabilidad extraordinaria</w:t>
      </w:r>
      <w:r w:rsidR="002A0ED1">
        <w:rPr>
          <w:rStyle w:val="Refdenotaalpie"/>
        </w:rPr>
        <w:footnoteReference w:id="44"/>
      </w:r>
      <w:r>
        <w:t>:</w:t>
      </w:r>
    </w:p>
    <w:p w14:paraId="2D1B36DE" w14:textId="021E6890" w:rsidR="00C01A4E" w:rsidRPr="00B55227" w:rsidRDefault="00000000" w:rsidP="00C65FB2">
      <w:pPr>
        <w:pStyle w:val="Nivel1SM"/>
        <w:numPr>
          <w:ilvl w:val="0"/>
          <w:numId w:val="0"/>
        </w:numPr>
        <w:spacing w:before="0"/>
      </w:pPr>
      <m:oMathPara>
        <m:oMath>
          <m:m>
            <m:mPr>
              <m:mcs>
                <m:mc>
                  <m:mcPr>
                    <m:count m:val="1"/>
                    <m:mcJc m:val="center"/>
                  </m:mcPr>
                </m:mc>
              </m:mcs>
              <m:ctrlPr>
                <w:rPr>
                  <w:rFonts w:ascii="Cambria Math" w:hAnsi="Cambria Math"/>
                  <w:i/>
                  <w:iCs/>
                </w:rPr>
              </m:ctrlPr>
            </m:mPr>
            <m:mr>
              <m:e>
                <m:r>
                  <m:rPr>
                    <m:nor/>
                  </m:rPr>
                  <w:rPr>
                    <w:i/>
                  </w:rPr>
                  <m:t>PCI</m:t>
                </m:r>
                <m:r>
                  <m:rPr>
                    <m:nor/>
                  </m:rPr>
                  <w:rPr>
                    <w:iCs/>
                  </w:rPr>
                  <m:t>:</m:t>
                </m:r>
                <m:r>
                  <m:rPr>
                    <m:nor/>
                  </m:rPr>
                  <w:rPr>
                    <w:rFonts w:ascii="Cambria Math" w:hAnsi="Cambria Math"/>
                    <w:i/>
                  </w:rPr>
                  <m:t xml:space="preserve"> </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r>
                  <m:rPr>
                    <m:nor/>
                  </m:rPr>
                  <w:rPr>
                    <w:rFonts w:ascii="Cambria Math"/>
                    <w:iCs/>
                  </w:rPr>
                  <m:t xml:space="preserve">     </m:t>
                </m:r>
                <m:r>
                  <m:rPr>
                    <m:nor/>
                  </m:rPr>
                  <w:rPr>
                    <w:iCs/>
                  </w:rPr>
                  <m:t xml:space="preserve"> </m:t>
                </m:r>
                <m:r>
                  <m:rPr>
                    <m:nor/>
                  </m:rPr>
                  <w:rPr>
                    <w:rFonts w:ascii="Cambria Math"/>
                    <w:iCs/>
                  </w:rPr>
                  <m:t xml:space="preserve">    </m:t>
                </m:r>
                <m:r>
                  <m:rPr>
                    <m:nor/>
                  </m:rPr>
                  <w:rPr>
                    <w:iCs/>
                  </w:rPr>
                  <m:t xml:space="preserve">y </m:t>
                </m:r>
                <m:r>
                  <m:rPr>
                    <m:nor/>
                  </m:rPr>
                  <w:rPr>
                    <w:rFonts w:ascii="Cambria Math"/>
                    <w:iCs/>
                  </w:rPr>
                  <m:t xml:space="preserve">         </m:t>
                </m:r>
                <m:r>
                  <m:rPr>
                    <m:nor/>
                  </m:rPr>
                  <w:rPr>
                    <w:i/>
                  </w:rPr>
                  <m:t>PNCI</m:t>
                </m:r>
                <m:r>
                  <m:rPr>
                    <m:nor/>
                  </m:rPr>
                  <w:rPr>
                    <w:iCs/>
                  </w:rPr>
                  <m:t>:</m:t>
                </m:r>
                <m:r>
                  <m:rPr>
                    <m:nor/>
                  </m:rPr>
                  <w:rPr>
                    <w:rFonts w:ascii="Cambria Math"/>
                    <w:iCs/>
                  </w:rPr>
                  <m:t xml:space="preserve"> </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e>
            </m:mr>
            <m:mr>
              <m:e>
                <m:r>
                  <w:rPr>
                    <w:rFonts w:ascii="Cambria Math" w:hAnsi="Cambria Math"/>
                  </w:rPr>
                  <m:t>⇓</m:t>
                </m:r>
              </m:e>
            </m:mr>
            <m:mr>
              <m:e>
                <m:m>
                  <m:mPr>
                    <m:mcs>
                      <m:mc>
                        <m:mcPr>
                          <m:count m:val="1"/>
                          <m:mcJc m:val="center"/>
                        </m:mcPr>
                      </m:mc>
                    </m:mcs>
                    <m:ctrlPr>
                      <w:rPr>
                        <w:rFonts w:ascii="Cambria Math" w:hAnsi="Cambria Math"/>
                        <w:i/>
                        <w:iCs/>
                      </w:rPr>
                    </m:ctrlPr>
                  </m:mPr>
                  <m:mr>
                    <m:e>
                      <m:r>
                        <m:rPr>
                          <m:nor/>
                        </m:rPr>
                        <w:rPr>
                          <w:i/>
                        </w:rPr>
                        <m:t>PCI</m:t>
                      </m:r>
                      <m:r>
                        <m:rPr>
                          <m:nor/>
                        </m:rPr>
                        <w:rPr>
                          <w:iCs/>
                        </w:rPr>
                        <m:t>:</m:t>
                      </m:r>
                      <m:r>
                        <m:rPr>
                          <m:nor/>
                        </m:rPr>
                        <w:rPr>
                          <w:rFonts w:ascii="Cambria Math" w:hAnsi="Cambria Math"/>
                          <w:i/>
                        </w:rPr>
                        <m:t xml:space="preserve"> </m:t>
                      </m:r>
                      <m:r>
                        <m:rPr>
                          <m:nor/>
                        </m:rPr>
                        <w:rPr>
                          <w:i/>
                        </w:rPr>
                        <m:t>i</m:t>
                      </m:r>
                      <m:r>
                        <w:rPr>
                          <w:rFonts w:ascii="Cambria Math" w:hAnsi="Cambria Math"/>
                        </w:rPr>
                        <m:t>-</m:t>
                      </m:r>
                      <m:r>
                        <m:rPr>
                          <m:nor/>
                        </m:rPr>
                        <w:rPr>
                          <w:i/>
                        </w:rPr>
                        <m:t>i*</m:t>
                      </m:r>
                      <m:r>
                        <w:rPr>
                          <w:rFonts w:ascii="Cambria Math" w:eastAsiaTheme="minorEastAsia" w:hAnsi="Cambria Math"/>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r>
                        <m:rPr>
                          <m:nor/>
                        </m:rPr>
                        <w:rPr>
                          <w:rFonts w:ascii="Cambria Math"/>
                          <w:iCs/>
                        </w:rPr>
                        <m:t xml:space="preserve">     </m:t>
                      </m:r>
                      <m:r>
                        <m:rPr>
                          <m:nor/>
                        </m:rPr>
                        <w:rPr>
                          <w:iCs/>
                        </w:rPr>
                        <m:t xml:space="preserve"> </m:t>
                      </m:r>
                      <m:r>
                        <m:rPr>
                          <m:nor/>
                        </m:rPr>
                        <w:rPr>
                          <w:rFonts w:ascii="Cambria Math"/>
                          <w:iCs/>
                        </w:rPr>
                        <m:t xml:space="preserve">    </m:t>
                      </m:r>
                      <m:r>
                        <m:rPr>
                          <m:nor/>
                        </m:rPr>
                        <w:rPr>
                          <w:iCs/>
                        </w:rPr>
                        <m:t xml:space="preserve">y </m:t>
                      </m:r>
                      <m:r>
                        <m:rPr>
                          <m:nor/>
                        </m:rPr>
                        <w:rPr>
                          <w:rFonts w:ascii="Cambria Math"/>
                          <w:iCs/>
                        </w:rPr>
                        <m:t xml:space="preserve">         </m:t>
                      </m:r>
                      <m:r>
                        <m:rPr>
                          <m:nor/>
                        </m:rPr>
                        <w:rPr>
                          <w:i/>
                        </w:rPr>
                        <m:t>PNCI</m:t>
                      </m:r>
                      <m:r>
                        <m:rPr>
                          <m:nor/>
                        </m:rPr>
                        <w:rPr>
                          <w:iCs/>
                        </w:rPr>
                        <m:t>:</m:t>
                      </m:r>
                      <m:r>
                        <m:rPr>
                          <m:nor/>
                        </m:rPr>
                        <w:rPr>
                          <w:rFonts w:ascii="Cambria Math"/>
                          <w:iCs/>
                        </w:rPr>
                        <m:t xml:space="preserve"> </m:t>
                      </m:r>
                      <m:r>
                        <m:rPr>
                          <m:nor/>
                        </m:rPr>
                        <w:rPr>
                          <w:i/>
                        </w:rPr>
                        <m:t>i</m:t>
                      </m:r>
                      <m:r>
                        <w:rPr>
                          <w:rFonts w:ascii="Cambria Math" w:hAnsi="Cambria Math"/>
                        </w:rPr>
                        <m:t>-</m:t>
                      </m:r>
                      <m:r>
                        <m:rPr>
                          <m:nor/>
                        </m:rPr>
                        <w:rPr>
                          <w:i/>
                        </w:rPr>
                        <m:t>i*</m:t>
                      </m:r>
                      <m:r>
                        <w:rPr>
                          <w:rFonts w:ascii="Cambria Math" w:eastAsiaTheme="minorEastAsia" w:hAnsi="Cambria Math"/>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mr>
                  <m:mr>
                    <m:e>
                      <m:r>
                        <w:rPr>
                          <w:rFonts w:ascii="Cambria Math" w:hAnsi="Cambria Math"/>
                        </w:rPr>
                        <m:t>⇓</m:t>
                      </m:r>
                    </m:e>
                  </m:mr>
                  <m:mr>
                    <m:e>
                      <m:r>
                        <w:rPr>
                          <w:rFonts w:ascii="Cambria Math" w:hAnsi="Cambria Math"/>
                        </w:rPr>
                        <m:t xml:space="preserve">                                                          </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r>
                        <w:rPr>
                          <w:rFonts w:ascii="Cambria Math" w:hAnsi="Cambria Math"/>
                        </w:rPr>
                        <m:t>⟹</m:t>
                      </m:r>
                      <m:borderBox>
                        <m:borderBoxPr>
                          <m:ctrlPr>
                            <w:rPr>
                              <w:rFonts w:ascii="Cambria Math" w:eastAsiaTheme="minorEastAsia" w:hAnsi="Cambria Math"/>
                              <w:i/>
                            </w:rPr>
                          </m:ctrlPr>
                        </m:borderBoxPr>
                        <m:e>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r>
                            <w:rPr>
                              <w:rFonts w:ascii="Cambria Math" w:eastAsiaTheme="minorEastAsia"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e>
                              </m:groupChr>
                            </m:e>
                            <m:lim>
                              <m:r>
                                <m:rPr>
                                  <m:nor/>
                                </m:rPr>
                                <w:rPr>
                                  <w:i/>
                                  <w:iCs/>
                                </w:rPr>
                                <m:t>Δ</m:t>
                              </m:r>
                              <m:sSubSup>
                                <m:sSubSupPr>
                                  <m:ctrlPr>
                                    <w:rPr>
                                      <w:rFonts w:ascii="Cambria Math" w:hAnsi="Cambria Math"/>
                                      <w:i/>
                                      <w:iCs/>
                                    </w:rPr>
                                  </m:ctrlPr>
                                </m:sSubSupPr>
                                <m:e>
                                  <m:r>
                                    <m:rPr>
                                      <m:nor/>
                                    </m:rPr>
                                    <w:rPr>
                                      <w:i/>
                                      <w:iCs/>
                                    </w:rPr>
                                    <m:t>E</m:t>
                                  </m:r>
                                </m:e>
                                <m:sub>
                                  <m:r>
                                    <m:rPr>
                                      <m:nor/>
                                    </m:rPr>
                                    <w:rPr>
                                      <w:i/>
                                      <w:iCs/>
                                    </w:rPr>
                                    <m:t>s</m:t>
                                  </m:r>
                                </m:sub>
                                <m:sup>
                                  <m:r>
                                    <m:rPr>
                                      <m:nor/>
                                    </m:rPr>
                                    <w:rPr>
                                      <w:i/>
                                      <w:iCs/>
                                    </w:rPr>
                                    <m:t>e</m:t>
                                  </m:r>
                                </m:sup>
                              </m:sSubSup>
                            </m:lim>
                          </m:limLow>
                        </m:e>
                      </m:borderBox>
                    </m:e>
                  </m:mr>
                </m:m>
              </m:e>
            </m:mr>
          </m:m>
        </m:oMath>
      </m:oMathPara>
    </w:p>
    <w:p w14:paraId="0814B29A" w14:textId="77777777" w:rsidR="00C01A4E" w:rsidRDefault="00C01A4E" w:rsidP="00C01A4E">
      <w:pPr>
        <w:pStyle w:val="Nivel1SM"/>
        <w:keepNext/>
        <w:spacing w:after="0"/>
      </w:pPr>
      <w:r>
        <w:t>La condición de eficiencia en el mercado puede contrastarse mediante la siguiente regresión:</w:t>
      </w:r>
    </w:p>
    <w:p w14:paraId="1D146A28" w14:textId="48854083" w:rsidR="00C01A4E" w:rsidRPr="0042562E" w:rsidRDefault="00C01A4E" w:rsidP="00C26C58">
      <w:pPr>
        <w:pStyle w:val="Nivel1SM"/>
        <w:keepNext/>
        <w:numPr>
          <w:ilvl w:val="0"/>
          <w:numId w:val="0"/>
        </w:numPr>
        <w:spacing w:before="0" w:after="0"/>
        <w:rPr>
          <w:rFonts w:eastAsiaTheme="minorEastAsia"/>
          <w:i/>
          <w:iCs/>
          <w:lang w:val="fr-FR"/>
        </w:rPr>
      </w:pPr>
      <m:oMathPara>
        <m:oMath>
          <m:r>
            <w:rPr>
              <w:rFonts w:ascii="Cambria Math" w:eastAsiaTheme="minorEastAsia" w:hAnsi="Cambria Math"/>
              <w:lang w:val="fr-FR"/>
            </w:rPr>
            <m:t xml:space="preserve">  </m:t>
          </m:r>
          <m:limLow>
            <m:limLowPr>
              <m:ctrlPr>
                <w:rPr>
                  <w:rFonts w:ascii="Cambria Math" w:hAnsi="Cambria Math"/>
                  <w:i/>
                  <w:iCs/>
                </w:rPr>
              </m:ctrlPr>
            </m:limLowPr>
            <m:e>
              <m:groupChr>
                <m:groupChrPr>
                  <m:ctrlPr>
                    <w:rPr>
                      <w:rFonts w:ascii="Cambria Math" w:hAnsi="Cambria Math"/>
                      <w:i/>
                      <w:iCs/>
                    </w:rPr>
                  </m:ctrlPr>
                </m:groupChrPr>
                <m:e>
                  <m:r>
                    <m:rPr>
                      <m:nor/>
                    </m:rPr>
                    <w:rPr>
                      <w:i/>
                      <w:iCs/>
                    </w:rPr>
                    <m:t>Δ</m:t>
                  </m:r>
                  <m:sSub>
                    <m:sSubPr>
                      <m:ctrlPr>
                        <w:rPr>
                          <w:rFonts w:ascii="Cambria Math" w:hAnsi="Cambria Math"/>
                          <w:i/>
                        </w:rPr>
                      </m:ctrlPr>
                    </m:sSubPr>
                    <m:e>
                      <m:r>
                        <m:rPr>
                          <m:nor/>
                        </m:rPr>
                        <w:rPr>
                          <w:i/>
                          <w:lang w:val="fr-FR"/>
                        </w:rPr>
                        <m:t>s</m:t>
                      </m:r>
                    </m:e>
                    <m:sub>
                      <m:r>
                        <m:rPr>
                          <m:nor/>
                        </m:rPr>
                        <w:rPr>
                          <w:i/>
                          <w:lang w:val="fr-FR"/>
                        </w:rPr>
                        <m:t>t</m:t>
                      </m:r>
                      <m:r>
                        <m:rPr>
                          <m:nor/>
                        </m:rPr>
                        <w:rPr>
                          <w:rFonts w:eastAsiaTheme="minorEastAsia"/>
                          <w:i/>
                          <w:lang w:val="fr-FR"/>
                        </w:rPr>
                        <m:t>+1</m:t>
                      </m:r>
                    </m:sub>
                  </m:sSub>
                </m:e>
              </m:groupChr>
            </m:e>
            <m:lim>
              <m:sSub>
                <m:sSubPr>
                  <m:ctrlPr>
                    <w:rPr>
                      <w:rFonts w:ascii="Cambria Math" w:hAnsi="Cambria Math"/>
                      <w:i/>
                    </w:rPr>
                  </m:ctrlPr>
                </m:sSubPr>
                <m:e>
                  <m:r>
                    <m:rPr>
                      <m:nor/>
                    </m:rPr>
                    <w:rPr>
                      <w:i/>
                      <w:lang w:val="fr-FR"/>
                    </w:rPr>
                    <m:t>s</m:t>
                  </m:r>
                </m:e>
                <m:sub>
                  <m:r>
                    <m:rPr>
                      <m:nor/>
                    </m:rPr>
                    <w:rPr>
                      <w:i/>
                      <w:lang w:val="fr-FR"/>
                    </w:rPr>
                    <m:t>t</m:t>
                  </m:r>
                  <m:r>
                    <m:rPr>
                      <m:nor/>
                    </m:rPr>
                    <w:rPr>
                      <w:rFonts w:eastAsiaTheme="minorEastAsia"/>
                      <w:i/>
                      <w:lang w:val="fr-FR"/>
                    </w:rPr>
                    <m:t>+1</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lim>
          </m:limLow>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d>
            <m:dPr>
              <m:ctrlPr>
                <w:rPr>
                  <w:rFonts w:ascii="Cambria Math" w:hAnsi="Cambria Math"/>
                  <w:i/>
                  <w:iCs/>
                </w:rPr>
              </m:ctrlPr>
            </m:dPr>
            <m:e>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iCs/>
                </w:rPr>
                <m:t>ε</m:t>
              </m:r>
            </m:e>
            <m:sub>
              <m:r>
                <m:rPr>
                  <m:nor/>
                </m:rPr>
                <w:rPr>
                  <w:i/>
                  <w:lang w:val="fr-FR"/>
                </w:rPr>
                <m:t>t</m:t>
              </m:r>
              <m:r>
                <m:rPr>
                  <m:nor/>
                </m:rPr>
                <w:rPr>
                  <w:rFonts w:eastAsiaTheme="minorEastAsia"/>
                  <w:i/>
                  <w:lang w:val="fr-FR"/>
                </w:rPr>
                <m:t>+1</m:t>
              </m:r>
            </m:sub>
          </m:sSub>
        </m:oMath>
      </m:oMathPara>
    </w:p>
    <w:p w14:paraId="60941B75" w14:textId="77777777" w:rsidR="002A0ED1" w:rsidRDefault="002A0ED1" w:rsidP="002A0ED1">
      <w:pPr>
        <w:pStyle w:val="Nivel2SM"/>
        <w:keepNext/>
        <w:spacing w:after="0"/>
      </w:pPr>
      <w:r>
        <w:t xml:space="preserve">En esta contrastación, lo que estamos viendo es cómo las diferencias entre el tipo </w:t>
      </w:r>
      <w:r w:rsidRPr="007D61D3">
        <w:rPr>
          <w:i/>
          <w:iCs/>
        </w:rPr>
        <w:t>forward</w:t>
      </w:r>
      <w:r>
        <w:t xml:space="preserve"> y el tipo </w:t>
      </w:r>
      <w:r w:rsidRPr="007D61D3">
        <w:rPr>
          <w:i/>
          <w:iCs/>
        </w:rPr>
        <w:t>spot</w:t>
      </w:r>
      <w:r>
        <w:t xml:space="preserve"> afectan a la depreciación del tipo de cambio.</w:t>
      </w:r>
    </w:p>
    <w:p w14:paraId="2CEE41E7" w14:textId="77777777" w:rsidR="002A0ED1" w:rsidRPr="00D310A5" w:rsidRDefault="002A0ED1" w:rsidP="002A0ED1">
      <w:pPr>
        <w:pStyle w:val="Nivel2SM"/>
        <w:keepNext/>
        <w:spacing w:after="0"/>
      </w:pPr>
      <w:r>
        <w:t xml:space="preserve">Si el tipo </w:t>
      </w:r>
      <w:r w:rsidRPr="007D61D3">
        <w:rPr>
          <w:i/>
          <w:iCs/>
        </w:rPr>
        <w:t>forward</w:t>
      </w:r>
      <w:r>
        <w:t xml:space="preserve"> fuese un predictor insesgado del tipo </w:t>
      </w:r>
      <w:r w:rsidRPr="007D61D3">
        <w:rPr>
          <w:i/>
          <w:iCs/>
        </w:rPr>
        <w:t>spot</w:t>
      </w:r>
      <w:r>
        <w:t>, e</w:t>
      </w:r>
      <w:r w:rsidRPr="00EC1270">
        <w:t>n esta contrastación, esperaríamos q</w:t>
      </w:r>
      <w:r>
        <w:t xml:space="preserve">ue </w:t>
      </w:r>
      <m:oMath>
        <m:sSub>
          <m:sSubPr>
            <m:ctrlPr>
              <w:rPr>
                <w:rFonts w:ascii="Cambria Math" w:hAnsi="Cambria Math"/>
                <w:i/>
                <w:iCs/>
              </w:rPr>
            </m:ctrlPr>
          </m:sSubPr>
          <m:e>
            <m:r>
              <m:rPr>
                <m:nor/>
              </m:rPr>
              <w:rPr>
                <w:i/>
                <w:iCs/>
              </w:rPr>
              <m:t>β</m:t>
            </m:r>
          </m:e>
          <m:sub>
            <m:r>
              <m:rPr>
                <m:nor/>
              </m:rPr>
              <w:rPr>
                <w:i/>
                <w:iCs/>
              </w:rPr>
              <m:t>1</m:t>
            </m:r>
          </m:sub>
        </m:sSub>
        <m:r>
          <w:rPr>
            <w:rFonts w:ascii="Cambria Math" w:hAnsi="Cambria Math"/>
          </w:rPr>
          <m:t>=</m:t>
        </m:r>
        <m:r>
          <m:rPr>
            <m:nor/>
          </m:rPr>
          <w:rPr>
            <w:i/>
            <w:iCs/>
          </w:rPr>
          <m:t>1</m:t>
        </m:r>
      </m:oMath>
      <w:r>
        <w:rPr>
          <w:rFonts w:eastAsiaTheme="minorEastAsia"/>
          <w:iCs/>
        </w:rPr>
        <w:t>.</w:t>
      </w:r>
    </w:p>
    <w:p w14:paraId="2C496F0B" w14:textId="77777777" w:rsidR="00C01A4E" w:rsidRDefault="00C01A4E" w:rsidP="00C01A4E">
      <w:pPr>
        <w:pStyle w:val="Nivel3SM"/>
      </w:pPr>
      <w:r>
        <w:t xml:space="preserve">Sin embargo, la mayoría de estudios empíricos </w:t>
      </w:r>
      <w:r>
        <w:rPr>
          <w:i/>
        </w:rPr>
        <w:t>rechazan</w:t>
      </w:r>
      <w:r>
        <w:t xml:space="preserve"> la hipótesis de eficiencia en el mercado de divisas.</w:t>
      </w:r>
    </w:p>
    <w:p w14:paraId="7A1690AF" w14:textId="2B354ABD" w:rsidR="00C71D2A" w:rsidRPr="007D61D3" w:rsidRDefault="00C71D2A" w:rsidP="00C71D2A">
      <w:pPr>
        <w:pStyle w:val="Nivel3SM"/>
        <w:keepNext/>
      </w:pPr>
      <w:r w:rsidRPr="00EC1270">
        <w:t xml:space="preserve">Es más, es un hecho estilizado que las estimaciones de </w:t>
      </w:r>
      <m:oMath>
        <m:sSub>
          <m:sSubPr>
            <m:ctrlPr>
              <w:rPr>
                <w:rFonts w:ascii="Cambria Math" w:hAnsi="Cambria Math"/>
                <w:i/>
                <w:iCs/>
              </w:rPr>
            </m:ctrlPr>
          </m:sSubPr>
          <m:e>
            <m:r>
              <m:rPr>
                <m:nor/>
              </m:rPr>
              <w:rPr>
                <w:i/>
                <w:iCs/>
              </w:rPr>
              <m:t>β</m:t>
            </m:r>
          </m:e>
          <m:sub>
            <m:r>
              <m:rPr>
                <m:nor/>
              </m:rPr>
              <w:rPr>
                <w:i/>
                <w:iCs/>
              </w:rPr>
              <m:t>1</m:t>
            </m:r>
          </m:sub>
        </m:sSub>
      </m:oMath>
      <w:r w:rsidRPr="00EC1270">
        <w:rPr>
          <w:rFonts w:eastAsiaTheme="minorEastAsia"/>
          <w:iCs/>
        </w:rPr>
        <w:t xml:space="preserve"> están más cerca de </w:t>
      </w:r>
      <w:bookmarkStart w:id="90" w:name="_Hlk124679934"/>
      <m:oMath>
        <m:r>
          <w:rPr>
            <w:rFonts w:ascii="Cambria Math" w:eastAsiaTheme="minorEastAsia" w:hAnsi="Cambria Math" w:cs="Times New Roman"/>
          </w:rPr>
          <m:t>-</m:t>
        </m:r>
        <m:r>
          <m:rPr>
            <m:nor/>
          </m:rPr>
          <w:rPr>
            <w:rFonts w:eastAsiaTheme="minorEastAsia" w:cs="Times New Roman"/>
            <w:i/>
          </w:rPr>
          <m:t>1</m:t>
        </m:r>
      </m:oMath>
      <w:r w:rsidRPr="00EC1270">
        <w:rPr>
          <w:rFonts w:eastAsiaTheme="minorEastAsia" w:cs="Times New Roman"/>
          <w:iCs/>
        </w:rPr>
        <w:t xml:space="preserve"> que </w:t>
      </w:r>
      <w:proofErr w:type="spellStart"/>
      <w:r w:rsidRPr="00EC1270">
        <w:rPr>
          <w:rFonts w:eastAsiaTheme="minorEastAsia" w:cs="Times New Roman"/>
          <w:iCs/>
        </w:rPr>
        <w:t>de</w:t>
      </w:r>
      <w:proofErr w:type="spellEnd"/>
      <w:r w:rsidRPr="00EC1270">
        <w:rPr>
          <w:rFonts w:eastAsiaTheme="minorEastAsia" w:cs="Times New Roman"/>
          <w:iCs/>
        </w:rPr>
        <w:t xml:space="preserve"> </w:t>
      </w:r>
      <m:oMath>
        <m:r>
          <w:rPr>
            <w:rFonts w:ascii="Cambria Math" w:eastAsiaTheme="minorEastAsia" w:hAnsi="Cambria Math" w:cs="Times New Roman"/>
          </w:rPr>
          <m:t>+</m:t>
        </m:r>
        <m:r>
          <m:rPr>
            <m:nor/>
          </m:rPr>
          <w:rPr>
            <w:rFonts w:eastAsiaTheme="minorEastAsia" w:cs="Times New Roman"/>
            <w:i/>
          </w:rPr>
          <m:t>1</m:t>
        </m:r>
      </m:oMath>
      <w:bookmarkEnd w:id="90"/>
      <w:r w:rsidRPr="00EC1270">
        <w:rPr>
          <w:rFonts w:eastAsiaTheme="minorEastAsia" w:cs="Times New Roman"/>
          <w:iCs/>
        </w:rPr>
        <w:t xml:space="preserve"> (</w:t>
      </w:r>
      <w:proofErr w:type="spellStart"/>
      <w:r w:rsidRPr="00EC1270">
        <w:rPr>
          <w:rFonts w:eastAsiaTheme="minorEastAsia" w:cs="Times New Roman"/>
          <w:iCs/>
          <w:smallCaps/>
        </w:rPr>
        <w:t>Froot</w:t>
      </w:r>
      <w:proofErr w:type="spellEnd"/>
      <w:r w:rsidRPr="00EC1270">
        <w:rPr>
          <w:rFonts w:eastAsiaTheme="minorEastAsia" w:cs="Times New Roman"/>
          <w:iCs/>
        </w:rPr>
        <w:t xml:space="preserve"> y </w:t>
      </w:r>
      <w:proofErr w:type="spellStart"/>
      <w:r w:rsidRPr="00EC1270">
        <w:rPr>
          <w:rFonts w:eastAsiaTheme="minorEastAsia" w:cs="Times New Roman"/>
          <w:iCs/>
          <w:smallCaps/>
        </w:rPr>
        <w:t>Thaler</w:t>
      </w:r>
      <w:proofErr w:type="spellEnd"/>
      <w:r w:rsidRPr="00EC1270">
        <w:rPr>
          <w:rFonts w:eastAsiaTheme="minorEastAsia" w:cs="Times New Roman"/>
          <w:iCs/>
        </w:rPr>
        <w:t>, 1990)</w:t>
      </w:r>
      <w:r w:rsidR="002A0ED1" w:rsidRPr="002A0ED1">
        <w:rPr>
          <w:rFonts w:eastAsiaTheme="minorEastAsia" w:cs="Times New Roman"/>
          <w:iCs/>
        </w:rPr>
        <w:t xml:space="preserve"> </w:t>
      </w:r>
      <w:r w:rsidR="002A0ED1">
        <w:rPr>
          <w:rStyle w:val="Refdenotaalpie"/>
          <w:rFonts w:eastAsiaTheme="minorEastAsia" w:cs="Times New Roman"/>
          <w:iCs/>
        </w:rPr>
        <w:footnoteReference w:id="45"/>
      </w:r>
      <w:r w:rsidRPr="00EC1270">
        <w:rPr>
          <w:rFonts w:eastAsiaTheme="minorEastAsia" w:cs="Times New Roman"/>
          <w:iCs/>
        </w:rPr>
        <w:t xml:space="preserve">, por lo que suele decirse que el tipo forward es un mal predictor, </w:t>
      </w:r>
      <w:r w:rsidRPr="00EC1270">
        <w:rPr>
          <w:rFonts w:eastAsiaTheme="minorEastAsia" w:cs="Times New Roman"/>
          <w:iCs/>
        </w:rPr>
        <w:lastRenderedPageBreak/>
        <w:t xml:space="preserve">no ya de la magnitud del cambio en los tipos spot futuros, sino incluso de su dirección (la llamada </w:t>
      </w:r>
      <w:r w:rsidRPr="00EC1270">
        <w:rPr>
          <w:rFonts w:eastAsiaTheme="minorEastAsia" w:cs="Times New Roman"/>
          <w:i/>
        </w:rPr>
        <w:t>“paradoja del margen forward”</w:t>
      </w:r>
      <w:r w:rsidRPr="00EC1270">
        <w:rPr>
          <w:rFonts w:eastAsiaTheme="minorEastAsia" w:cs="Times New Roman"/>
          <w:iCs/>
        </w:rPr>
        <w:t>)</w:t>
      </w:r>
      <w:r>
        <w:rPr>
          <w:rFonts w:eastAsiaTheme="minorEastAsia" w:cs="Times New Roman"/>
          <w:iCs/>
        </w:rPr>
        <w:t>.</w:t>
      </w:r>
    </w:p>
    <w:p w14:paraId="4EB995FD" w14:textId="77777777" w:rsidR="00C71D2A" w:rsidRPr="00EC1270" w:rsidRDefault="00C71D2A" w:rsidP="00C71D2A">
      <w:pPr>
        <w:pStyle w:val="Nivel4"/>
        <w:ind w:left="1474"/>
      </w:pPr>
      <w:r>
        <w:t>Esta anomalía refleja el hecho de que los países con tipos de interés relativamente más altos parecen experimentar apreciaciones en su tipo de cambio nominal, mientras que la PCI señalaría que estos altos tipos de interés deberían estar asociados a depreciaciones del tipo de cambio nominal</w:t>
      </w:r>
      <w:bookmarkStart w:id="91" w:name="_Hlk124679859"/>
      <w:r>
        <w:rPr>
          <w:rStyle w:val="Refdenotaalpie"/>
        </w:rPr>
        <w:footnoteReference w:id="46"/>
      </w:r>
      <w:bookmarkEnd w:id="91"/>
      <w:r>
        <w:t>.</w:t>
      </w:r>
    </w:p>
    <w:p w14:paraId="2B22BCFA" w14:textId="77777777" w:rsidR="00937869" w:rsidRDefault="00937869" w:rsidP="00937869">
      <w:pPr>
        <w:pStyle w:val="Ttulo6"/>
      </w:pPr>
      <w:bookmarkStart w:id="92" w:name="_Toc136424416"/>
      <w:bookmarkStart w:id="93" w:name="_Toc55381925"/>
      <w:bookmarkStart w:id="94" w:name="_Toc55382060"/>
      <w:bookmarkStart w:id="95" w:name="_Toc55382095"/>
      <w:bookmarkStart w:id="96" w:name="_Toc55382523"/>
      <w:r>
        <w:t>Implicaciones (posibles salidas a la paradoja del margen forward)</w:t>
      </w:r>
      <w:bookmarkEnd w:id="92"/>
    </w:p>
    <w:p w14:paraId="6EB89EE8" w14:textId="77777777" w:rsidR="00937869" w:rsidRPr="00FC2872" w:rsidRDefault="00937869" w:rsidP="00C26C58">
      <w:pPr>
        <w:pStyle w:val="Ttulo7"/>
        <w:numPr>
          <w:ilvl w:val="0"/>
          <w:numId w:val="46"/>
        </w:numPr>
        <w:spacing w:before="0"/>
        <w:ind w:left="1135" w:hanging="284"/>
      </w:pPr>
      <w:r>
        <w:t xml:space="preserve">Agentes aversos al riesgo (prima de riesgo) – </w:t>
      </w:r>
      <w:r>
        <w:rPr>
          <w:smallCaps/>
        </w:rPr>
        <w:t>Fama</w:t>
      </w:r>
    </w:p>
    <w:p w14:paraId="3BB50D30" w14:textId="77777777" w:rsidR="00937869" w:rsidRDefault="00937869" w:rsidP="00C26C58">
      <w:pPr>
        <w:pStyle w:val="Nivel1SM"/>
        <w:keepNext/>
        <w:spacing w:before="0" w:after="0"/>
        <w:rPr>
          <w:rStyle w:val="Hipervnculo"/>
          <w:color w:val="auto"/>
          <w:u w:val="none"/>
        </w:rPr>
      </w:pPr>
      <w:r>
        <w:rPr>
          <w:rStyle w:val="Hipervnculo"/>
          <w:smallCaps/>
          <w:color w:val="auto"/>
          <w:u w:val="none"/>
        </w:rPr>
        <w:t>Fama</w:t>
      </w:r>
      <w:r>
        <w:rPr>
          <w:rStyle w:val="Hipervnculo"/>
          <w:color w:val="auto"/>
          <w:u w:val="none"/>
        </w:rPr>
        <w:t xml:space="preserve"> propone que las diferencias entre el tipo de cambio forward y el tipo de cambio spot futuro reflejaban la existencia de una </w:t>
      </w:r>
      <w:r w:rsidRPr="00262B22">
        <w:rPr>
          <w:rStyle w:val="Hipervnculo"/>
          <w:b/>
          <w:bCs/>
          <w:color w:val="auto"/>
          <w:u w:val="none"/>
        </w:rPr>
        <w:t>prima de riesgo</w:t>
      </w:r>
      <w:r>
        <w:rPr>
          <w:rStyle w:val="Hipervnculo"/>
          <w:color w:val="auto"/>
          <w:u w:val="none"/>
        </w:rPr>
        <w:t xml:space="preserve">, es decir, el tipo de cambio </w:t>
      </w:r>
      <w:r w:rsidRPr="00AB15F1">
        <w:rPr>
          <w:rStyle w:val="Hipervnculo"/>
          <w:i/>
          <w:iCs/>
          <w:color w:val="auto"/>
          <w:u w:val="none"/>
        </w:rPr>
        <w:t>forward</w:t>
      </w:r>
      <w:r>
        <w:rPr>
          <w:rStyle w:val="Hipervnculo"/>
          <w:color w:val="auto"/>
          <w:u w:val="none"/>
        </w:rPr>
        <w:t xml:space="preserve"> era igual al tipo de cambio </w:t>
      </w:r>
      <w:r w:rsidRPr="00AB15F1">
        <w:rPr>
          <w:rStyle w:val="Hipervnculo"/>
          <w:i/>
          <w:iCs/>
          <w:color w:val="auto"/>
          <w:u w:val="none"/>
        </w:rPr>
        <w:t>spot</w:t>
      </w:r>
      <w:r>
        <w:rPr>
          <w:rStyle w:val="Hipervnculo"/>
          <w:color w:val="auto"/>
          <w:u w:val="none"/>
        </w:rPr>
        <w:t xml:space="preserve"> futuro más una prima de riesgo.</w:t>
      </w:r>
    </w:p>
    <w:p w14:paraId="2BC7BB49" w14:textId="0EF3D3DE" w:rsidR="00937869" w:rsidRDefault="00937869" w:rsidP="00937869">
      <w:pPr>
        <w:pStyle w:val="Nivel2SM"/>
        <w:rPr>
          <w:rStyle w:val="Hipervnculo"/>
          <w:color w:val="auto"/>
          <w:u w:val="none"/>
        </w:rPr>
      </w:pPr>
      <w:r>
        <w:rPr>
          <w:rStyle w:val="Hipervnculo"/>
          <w:color w:val="auto"/>
          <w:u w:val="none"/>
        </w:rPr>
        <w:t>Sin embargo, algunos estudios reflejan que estas divergencias no</w:t>
      </w:r>
      <w:r w:rsidR="00EB6E46">
        <w:rPr>
          <w:rStyle w:val="Hipervnculo"/>
          <w:color w:val="auto"/>
          <w:u w:val="none"/>
        </w:rPr>
        <w:t> </w:t>
      </w:r>
      <w:r>
        <w:rPr>
          <w:rStyle w:val="Hipervnculo"/>
          <w:color w:val="auto"/>
          <w:u w:val="none"/>
        </w:rPr>
        <w:t>puede</w:t>
      </w:r>
      <w:r w:rsidR="00EB6E46">
        <w:rPr>
          <w:rStyle w:val="Hipervnculo"/>
          <w:color w:val="auto"/>
          <w:u w:val="none"/>
        </w:rPr>
        <w:t>n</w:t>
      </w:r>
      <w:r>
        <w:rPr>
          <w:rStyle w:val="Hipervnculo"/>
          <w:color w:val="auto"/>
          <w:u w:val="none"/>
        </w:rPr>
        <w:t xml:space="preserve"> explicarse únicamente mediante la inclusión de la prima de riesgo, por lo que el mercado en realidad refleja que los inversores tienen expectativas sesgadas.</w:t>
      </w:r>
    </w:p>
    <w:p w14:paraId="2868B8FC" w14:textId="55AC8357" w:rsidR="00937869" w:rsidRPr="00A07FD9" w:rsidRDefault="00937869" w:rsidP="00937869">
      <w:pPr>
        <w:pStyle w:val="Nivel2SM"/>
      </w:pPr>
      <w:r>
        <w:rPr>
          <w:rStyle w:val="Hipervnculo"/>
          <w:color w:val="auto"/>
          <w:u w:val="none"/>
        </w:rPr>
        <w:t>Esto puede ocurrir, por ejemplo, cuando los inversores esperan una devaluación de la moneda pero no saben cuándo ocurrirá con exactitud (</w:t>
      </w:r>
      <w:r>
        <w:rPr>
          <w:rStyle w:val="Hipervnculo"/>
          <w:i/>
          <w:iCs/>
          <w:color w:val="auto"/>
          <w:u w:val="none"/>
        </w:rPr>
        <w:t xml:space="preserve">peso </w:t>
      </w:r>
      <w:proofErr w:type="spellStart"/>
      <w:r>
        <w:rPr>
          <w:rStyle w:val="Hipervnculo"/>
          <w:i/>
          <w:iCs/>
          <w:color w:val="auto"/>
          <w:u w:val="none"/>
        </w:rPr>
        <w:t>problems</w:t>
      </w:r>
      <w:proofErr w:type="spellEnd"/>
      <w:r>
        <w:rPr>
          <w:rStyle w:val="Hipervnculo"/>
          <w:color w:val="auto"/>
          <w:u w:val="none"/>
        </w:rPr>
        <w:t>)</w:t>
      </w:r>
      <w:r w:rsidR="00C65FB2">
        <w:rPr>
          <w:rStyle w:val="Refdenotaalpie"/>
        </w:rPr>
        <w:footnoteReference w:id="47"/>
      </w:r>
      <w:r>
        <w:rPr>
          <w:rStyle w:val="Hipervnculo"/>
          <w:color w:val="auto"/>
          <w:u w:val="none"/>
        </w:rPr>
        <w:t>.</w:t>
      </w:r>
    </w:p>
    <w:p w14:paraId="548D70BD" w14:textId="77777777" w:rsidR="00937869" w:rsidRDefault="00937869" w:rsidP="00C26C58">
      <w:pPr>
        <w:pStyle w:val="Ttulo7"/>
        <w:numPr>
          <w:ilvl w:val="0"/>
          <w:numId w:val="46"/>
        </w:numPr>
        <w:ind w:left="1135" w:hanging="284"/>
      </w:pPr>
      <w:r>
        <w:t xml:space="preserve">Expectativas heterogéneas – </w:t>
      </w:r>
      <w:proofErr w:type="spellStart"/>
      <w:r>
        <w:rPr>
          <w:smallCaps/>
        </w:rPr>
        <w:t>Froot</w:t>
      </w:r>
      <w:proofErr w:type="spellEnd"/>
      <w:r>
        <w:t xml:space="preserve"> y </w:t>
      </w:r>
      <w:proofErr w:type="spellStart"/>
      <w:r>
        <w:rPr>
          <w:smallCaps/>
        </w:rPr>
        <w:t>Thaler</w:t>
      </w:r>
      <w:proofErr w:type="spellEnd"/>
    </w:p>
    <w:p w14:paraId="512AF0A7" w14:textId="77777777" w:rsidR="00937869" w:rsidRDefault="00937869" w:rsidP="00C26C58">
      <w:pPr>
        <w:pStyle w:val="Nivel1SM"/>
        <w:keepNext/>
        <w:spacing w:before="0" w:after="0"/>
      </w:pPr>
      <w:bookmarkStart w:id="97" w:name="_Hlk143074177"/>
      <w:r>
        <w:t xml:space="preserve">Los propios </w:t>
      </w:r>
      <w:proofErr w:type="spellStart"/>
      <w:r>
        <w:rPr>
          <w:smallCaps/>
        </w:rPr>
        <w:t>Froot</w:t>
      </w:r>
      <w:proofErr w:type="spellEnd"/>
      <w:r>
        <w:t xml:space="preserve"> y </w:t>
      </w:r>
      <w:proofErr w:type="spellStart"/>
      <w:r>
        <w:rPr>
          <w:smallCaps/>
        </w:rPr>
        <w:t>Thaler</w:t>
      </w:r>
      <w:proofErr w:type="spellEnd"/>
      <w:r>
        <w:t xml:space="preserve"> sugieren que las divergencias vienen de expectativas heterogéneas de los agentes. En este sentido, señalan que en los mercados financieros operan </w:t>
      </w:r>
      <w:r w:rsidRPr="00262B22">
        <w:rPr>
          <w:b/>
          <w:bCs/>
        </w:rPr>
        <w:t>agentes heterogéneos</w:t>
      </w:r>
      <w:r>
        <w:t>.</w:t>
      </w:r>
    </w:p>
    <w:p w14:paraId="775F2961" w14:textId="2D25D1FE" w:rsidR="00937869" w:rsidRDefault="00937869" w:rsidP="00937869">
      <w:pPr>
        <w:pStyle w:val="Nivel2SM"/>
      </w:pPr>
      <w:r>
        <w:t>Por un lado</w:t>
      </w:r>
      <w:r w:rsidR="00C65FB2">
        <w:t>,</w:t>
      </w:r>
      <w:r>
        <w:t xml:space="preserve"> están los </w:t>
      </w:r>
      <w:proofErr w:type="spellStart"/>
      <w:r w:rsidRPr="00262B22">
        <w:rPr>
          <w:i/>
          <w:iCs/>
        </w:rPr>
        <w:t>chartistas</w:t>
      </w:r>
      <w:proofErr w:type="spellEnd"/>
      <w:r>
        <w:t xml:space="preserve"> (que se mueven por inercia o se basan en comportamientos pasados del tipo de cambio).</w:t>
      </w:r>
    </w:p>
    <w:p w14:paraId="18C371F7" w14:textId="1EF5C5A8" w:rsidR="00937869" w:rsidRDefault="00937869" w:rsidP="00937869">
      <w:pPr>
        <w:pStyle w:val="Nivel2SM"/>
      </w:pPr>
      <w:r>
        <w:t>Por otro lado</w:t>
      </w:r>
      <w:r w:rsidR="00C65FB2">
        <w:t>,</w:t>
      </w:r>
      <w:r>
        <w:t xml:space="preserve"> están los </w:t>
      </w:r>
      <w:r w:rsidRPr="00262B22">
        <w:rPr>
          <w:i/>
          <w:iCs/>
        </w:rPr>
        <w:t>fundamentalistas</w:t>
      </w:r>
      <w:r>
        <w:t xml:space="preserve"> (que se mueven por el valor intrínseco de las divisas).</w:t>
      </w:r>
    </w:p>
    <w:p w14:paraId="1CF7D0CC" w14:textId="77777777" w:rsidR="00937869" w:rsidRDefault="00937869" w:rsidP="00937869">
      <w:pPr>
        <w:pStyle w:val="Nivel1SM"/>
      </w:pPr>
      <w:r>
        <w:t xml:space="preserve">Como los fundamentalistas saben cuál va a ser el comportamiento de los </w:t>
      </w:r>
      <w:proofErr w:type="spellStart"/>
      <w:r>
        <w:t>chartistas</w:t>
      </w:r>
      <w:proofErr w:type="spellEnd"/>
      <w:r>
        <w:t>, pueden dudar de que el tipo de cambio vaya a retornar a su valor de equilibrio. Estas dudas pueden hacerlos desistir de apostar por el retorno al equilibrio, lo que explicaría que durante períodos largos de tiempo el tipo de cambio se separe considerablemente del que vendría dado por los fundamentales.</w:t>
      </w:r>
    </w:p>
    <w:p w14:paraId="6A11E132" w14:textId="77777777" w:rsidR="00937869" w:rsidRDefault="00937869" w:rsidP="00937869">
      <w:pPr>
        <w:pStyle w:val="Nivel1SM"/>
        <w:keepNext/>
        <w:spacing w:after="0"/>
      </w:pPr>
      <w:r>
        <w:t xml:space="preserve">Este tipo de comportamientos ha sido modelizado por </w:t>
      </w:r>
      <w:r>
        <w:rPr>
          <w:smallCaps/>
        </w:rPr>
        <w:t>Grimaldi</w:t>
      </w:r>
      <w:r>
        <w:t xml:space="preserve"> y </w:t>
      </w:r>
      <w:r>
        <w:rPr>
          <w:smallCaps/>
        </w:rPr>
        <w:t xml:space="preserve">De </w:t>
      </w:r>
      <w:proofErr w:type="spellStart"/>
      <w:r>
        <w:rPr>
          <w:smallCaps/>
        </w:rPr>
        <w:t>Grauwe</w:t>
      </w:r>
      <w:proofErr w:type="spellEnd"/>
      <w:r w:rsidRPr="00B35265">
        <w:t xml:space="preserve"> (</w:t>
      </w:r>
      <w:proofErr w:type="spellStart"/>
      <w:r w:rsidRPr="00B35265">
        <w:rPr>
          <w:i/>
          <w:iCs/>
        </w:rPr>
        <w:t>The</w:t>
      </w:r>
      <w:proofErr w:type="spellEnd"/>
      <w:r w:rsidRPr="00B35265">
        <w:rPr>
          <w:i/>
          <w:iCs/>
        </w:rPr>
        <w:t xml:space="preserve"> </w:t>
      </w:r>
      <w:proofErr w:type="spellStart"/>
      <w:r w:rsidRPr="00B35265">
        <w:rPr>
          <w:i/>
          <w:iCs/>
        </w:rPr>
        <w:t>exchange</w:t>
      </w:r>
      <w:proofErr w:type="spellEnd"/>
      <w:r w:rsidRPr="00B35265">
        <w:rPr>
          <w:i/>
          <w:iCs/>
        </w:rPr>
        <w:t xml:space="preserve"> </w:t>
      </w:r>
      <w:proofErr w:type="spellStart"/>
      <w:r w:rsidRPr="00B35265">
        <w:rPr>
          <w:i/>
          <w:iCs/>
        </w:rPr>
        <w:t>rate</w:t>
      </w:r>
      <w:proofErr w:type="spellEnd"/>
      <w:r w:rsidRPr="00B35265">
        <w:rPr>
          <w:i/>
          <w:iCs/>
        </w:rPr>
        <w:t xml:space="preserve"> in a </w:t>
      </w:r>
      <w:proofErr w:type="spellStart"/>
      <w:r w:rsidRPr="00B35265">
        <w:rPr>
          <w:i/>
          <w:iCs/>
        </w:rPr>
        <w:t>behavioral</w:t>
      </w:r>
      <w:proofErr w:type="spellEnd"/>
      <w:r w:rsidRPr="00B35265">
        <w:rPr>
          <w:i/>
          <w:iCs/>
        </w:rPr>
        <w:t xml:space="preserve"> </w:t>
      </w:r>
      <w:proofErr w:type="spellStart"/>
      <w:r w:rsidRPr="00B35265">
        <w:rPr>
          <w:i/>
          <w:iCs/>
        </w:rPr>
        <w:t>finance</w:t>
      </w:r>
      <w:proofErr w:type="spellEnd"/>
      <w:r w:rsidRPr="00B35265">
        <w:rPr>
          <w:i/>
          <w:iCs/>
        </w:rPr>
        <w:t xml:space="preserve"> </w:t>
      </w:r>
      <w:proofErr w:type="spellStart"/>
      <w:r w:rsidRPr="00B35265">
        <w:rPr>
          <w:i/>
          <w:iCs/>
        </w:rPr>
        <w:t>framework</w:t>
      </w:r>
      <w:proofErr w:type="spellEnd"/>
      <w:r w:rsidRPr="00B35265">
        <w:t>, 2006)</w:t>
      </w:r>
      <w:r>
        <w:rPr>
          <w:rStyle w:val="Refdenotaalpie"/>
        </w:rPr>
        <w:footnoteReference w:id="48"/>
      </w:r>
      <w:r>
        <w:t>.</w:t>
      </w:r>
    </w:p>
    <w:p w14:paraId="4AF9391E" w14:textId="77777777" w:rsidR="00937869" w:rsidRDefault="00937869" w:rsidP="00937869">
      <w:pPr>
        <w:pStyle w:val="Nivel2SM"/>
        <w:keepNext/>
        <w:spacing w:after="0"/>
      </w:pPr>
      <w:r w:rsidRPr="00AF3476">
        <w:rPr>
          <w:b/>
          <w:bCs/>
        </w:rPr>
        <w:t>Idea</w:t>
      </w:r>
      <w:r>
        <w:t>.</w:t>
      </w:r>
    </w:p>
    <w:p w14:paraId="56111AB3" w14:textId="77777777" w:rsidR="00937869" w:rsidRDefault="00937869" w:rsidP="00937869">
      <w:pPr>
        <w:pStyle w:val="Nivel3SM"/>
      </w:pPr>
      <w:r w:rsidRPr="00AF3476">
        <w:t>Siguen</w:t>
      </w:r>
      <w:r>
        <w:t xml:space="preserve"> la línea de los modelos de cartera (comparten el mismo espíritu, entienden el tipo de cambio como el precio de un activo) pero incluyen desviaciones de racionalidad de los agentes y </w:t>
      </w:r>
      <w:proofErr w:type="spellStart"/>
      <w:r>
        <w:t>microfundamentan</w:t>
      </w:r>
      <w:proofErr w:type="spellEnd"/>
      <w:r>
        <w:t xml:space="preserve"> el modelo.</w:t>
      </w:r>
    </w:p>
    <w:p w14:paraId="693A26F5" w14:textId="061B3EB7" w:rsidR="00937869" w:rsidRDefault="00937869" w:rsidP="00937869">
      <w:pPr>
        <w:pStyle w:val="Nivel3SM"/>
      </w:pPr>
      <w:r>
        <w:t xml:space="preserve">Este modelo muestra una fuerte influencia de la economía del comportamiento y de los trabajos de autores como </w:t>
      </w:r>
      <w:r w:rsidRPr="009E0697">
        <w:rPr>
          <w:smallCaps/>
        </w:rPr>
        <w:t>Kahneman</w:t>
      </w:r>
      <w:r>
        <w:t xml:space="preserve">, </w:t>
      </w:r>
      <w:proofErr w:type="spellStart"/>
      <w:r w:rsidRPr="009E0697">
        <w:rPr>
          <w:smallCaps/>
        </w:rPr>
        <w:t>Tversky</w:t>
      </w:r>
      <w:proofErr w:type="spellEnd"/>
      <w:r>
        <w:t xml:space="preserve"> y </w:t>
      </w:r>
      <w:proofErr w:type="spellStart"/>
      <w:r w:rsidRPr="009E0697">
        <w:rPr>
          <w:smallCaps/>
        </w:rPr>
        <w:t>Thaler</w:t>
      </w:r>
      <w:proofErr w:type="spellEnd"/>
      <w:r>
        <w:t xml:space="preserve">. Los agentes confrontamos con situaciones de riesgo e incertidumbre no se comportan siguiendo los postulados de la Teoría de la Utilidad Esperada y pueden usar reglas de comportamiento basada en </w:t>
      </w:r>
      <w:r w:rsidRPr="009E0697">
        <w:rPr>
          <w:i/>
          <w:iCs/>
        </w:rPr>
        <w:t xml:space="preserve">rules </w:t>
      </w:r>
      <w:proofErr w:type="spellStart"/>
      <w:r w:rsidRPr="009E0697">
        <w:rPr>
          <w:i/>
          <w:iCs/>
        </w:rPr>
        <w:t>of</w:t>
      </w:r>
      <w:proofErr w:type="spellEnd"/>
      <w:r w:rsidRPr="009E0697">
        <w:rPr>
          <w:i/>
          <w:iCs/>
        </w:rPr>
        <w:t xml:space="preserve"> </w:t>
      </w:r>
      <w:proofErr w:type="spellStart"/>
      <w:r w:rsidRPr="009E0697">
        <w:rPr>
          <w:i/>
          <w:iCs/>
        </w:rPr>
        <w:t>thumb</w:t>
      </w:r>
      <w:proofErr w:type="spellEnd"/>
      <w:r>
        <w:t xml:space="preserve"> para simplificar la complejidad de la realidad </w:t>
      </w:r>
      <w:r w:rsidRPr="00274BDA">
        <w:rPr>
          <w:color w:val="767171" w:themeColor="background2" w:themeShade="80"/>
          <w:sz w:val="19"/>
          <w:szCs w:val="19"/>
        </w:rPr>
        <w:t>[ver tema 3.A.</w:t>
      </w:r>
      <w:r w:rsidR="004D26D9">
        <w:rPr>
          <w:color w:val="767171" w:themeColor="background2" w:themeShade="80"/>
          <w:sz w:val="19"/>
          <w:szCs w:val="19"/>
        </w:rPr>
        <w:t>10</w:t>
      </w:r>
      <w:r w:rsidRPr="00274BDA">
        <w:rPr>
          <w:color w:val="767171" w:themeColor="background2" w:themeShade="80"/>
          <w:sz w:val="19"/>
          <w:szCs w:val="19"/>
        </w:rPr>
        <w:t>]</w:t>
      </w:r>
      <w:r>
        <w:t>.</w:t>
      </w:r>
    </w:p>
    <w:p w14:paraId="76F56E5A" w14:textId="77777777" w:rsidR="00937869" w:rsidRDefault="00937869" w:rsidP="00937869">
      <w:pPr>
        <w:pStyle w:val="Nivel2SM"/>
        <w:keepNext/>
        <w:spacing w:after="0"/>
      </w:pPr>
      <w:r w:rsidRPr="00AF3476">
        <w:rPr>
          <w:b/>
          <w:bCs/>
        </w:rPr>
        <w:lastRenderedPageBreak/>
        <w:t>Relevancia</w:t>
      </w:r>
      <w:r>
        <w:t>.</w:t>
      </w:r>
    </w:p>
    <w:p w14:paraId="40975B5F" w14:textId="77777777" w:rsidR="00937869" w:rsidRDefault="00937869" w:rsidP="00937869">
      <w:pPr>
        <w:pStyle w:val="Nivel3SM"/>
      </w:pPr>
      <w:r>
        <w:t xml:space="preserve">Los modelos de </w:t>
      </w:r>
      <w:proofErr w:type="spellStart"/>
      <w:r w:rsidRPr="00B35265">
        <w:rPr>
          <w:i/>
          <w:iCs/>
        </w:rPr>
        <w:t>behavioral</w:t>
      </w:r>
      <w:proofErr w:type="spellEnd"/>
      <w:r w:rsidRPr="00B35265">
        <w:rPr>
          <w:i/>
          <w:iCs/>
        </w:rPr>
        <w:t xml:space="preserve"> </w:t>
      </w:r>
      <w:proofErr w:type="spellStart"/>
      <w:r w:rsidRPr="00B35265">
        <w:rPr>
          <w:i/>
          <w:iCs/>
        </w:rPr>
        <w:t>finance</w:t>
      </w:r>
      <w:proofErr w:type="spellEnd"/>
      <w:r>
        <w:t xml:space="preserve"> ofrecen una alternativa que permite considerar algunas características de cómo se comportan de los individuos en los mercados financieros, lo que puede tener impacto sobre el tipo de cambio.</w:t>
      </w:r>
    </w:p>
    <w:p w14:paraId="09991BEA" w14:textId="77777777" w:rsidR="00937869" w:rsidRDefault="00937869" w:rsidP="00937869">
      <w:pPr>
        <w:pStyle w:val="Nivel2SM"/>
        <w:keepNext/>
        <w:spacing w:after="0"/>
      </w:pPr>
      <w:r w:rsidRPr="00AF3476">
        <w:rPr>
          <w:b/>
          <w:bCs/>
        </w:rPr>
        <w:t>Supuestos</w:t>
      </w:r>
      <w:r>
        <w:t>.</w:t>
      </w:r>
    </w:p>
    <w:p w14:paraId="51D08FA9" w14:textId="40B2C73C" w:rsidR="00937869" w:rsidRDefault="00937869" w:rsidP="00937869">
      <w:pPr>
        <w:pStyle w:val="Nivel3SM"/>
      </w:pPr>
      <w:r w:rsidRPr="00B35265">
        <w:rPr>
          <w:i/>
          <w:iCs/>
        </w:rPr>
        <w:t>Agentes heterogéneos</w:t>
      </w:r>
      <w:r>
        <w:t xml:space="preserve">: </w:t>
      </w:r>
      <w:r w:rsidR="00EB6E46">
        <w:t>D</w:t>
      </w:r>
      <w:r>
        <w:t>istinta manera de confrontar la incertidumbre que en este modelo se ve escenificada en no conocer el tipo de cambio futuro.</w:t>
      </w:r>
    </w:p>
    <w:p w14:paraId="49243450" w14:textId="77777777" w:rsidR="00937869" w:rsidRDefault="00937869" w:rsidP="00937869">
      <w:pPr>
        <w:pStyle w:val="Nivel3SM"/>
      </w:pPr>
      <w:r>
        <w:t>Agentes maximizan su utilidad que depende de la riqueza.</w:t>
      </w:r>
    </w:p>
    <w:p w14:paraId="0CF7CCD0" w14:textId="77777777" w:rsidR="00937869" w:rsidRDefault="00937869" w:rsidP="00EB6E46">
      <w:pPr>
        <w:pStyle w:val="Nivel2SM"/>
        <w:keepNext/>
        <w:spacing w:after="0"/>
      </w:pPr>
      <w:r w:rsidRPr="00AF3476">
        <w:rPr>
          <w:b/>
          <w:bCs/>
        </w:rPr>
        <w:t>Desarrollo</w:t>
      </w:r>
      <w:r>
        <w:t>.</w:t>
      </w:r>
    </w:p>
    <w:p w14:paraId="197902AF" w14:textId="3246D352" w:rsidR="00937869" w:rsidRDefault="00EB6E46" w:rsidP="00EB6E46">
      <w:pPr>
        <w:pStyle w:val="Nivel3SM"/>
        <w:keepNext/>
      </w:pPr>
      <w:r>
        <w:t xml:space="preserve">Por el lado de la </w:t>
      </w:r>
      <w:r w:rsidRPr="00EB6E46">
        <w:rPr>
          <w:i/>
          <w:iCs/>
          <w:u w:val="single"/>
        </w:rPr>
        <w:t>demanda de activos</w:t>
      </w:r>
      <w:r>
        <w:t>, c</w:t>
      </w:r>
      <w:r w:rsidR="00937869">
        <w:t>ada tipo de agente maximiza su utilidad y selecciona una cartera que está formada por activos domésticos y por activos denominados en moneda extranjera. La utilidad depende de forma positiva del rendimiento esperado de la cartera y de forma negativa de la varianza y de un parámetro de aversión al riesgo.</w:t>
      </w:r>
    </w:p>
    <w:p w14:paraId="5268B31D" w14:textId="77777777" w:rsidR="00937869" w:rsidRDefault="00937869" w:rsidP="00937869">
      <w:pPr>
        <w:pStyle w:val="Nivel2SM"/>
        <w:numPr>
          <w:ilvl w:val="0"/>
          <w:numId w:val="0"/>
        </w:numPr>
        <w:spacing w:after="0"/>
        <w:ind w:left="1135"/>
        <w:jc w:val="center"/>
      </w:pPr>
      <w:r>
        <w:rPr>
          <w:noProof/>
          <w:color w:val="FF0000"/>
          <w:sz w:val="18"/>
          <w:szCs w:val="18"/>
          <w:bdr w:val="none" w:sz="0" w:space="0" w:color="auto" w:frame="1"/>
        </w:rPr>
        <w:drawing>
          <wp:inline distT="0" distB="0" distL="0" distR="0" wp14:anchorId="095ED2AC" wp14:editId="3603E4EE">
            <wp:extent cx="1989397" cy="2286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t="18734" b="14776"/>
                    <a:stretch/>
                  </pic:blipFill>
                  <pic:spPr bwMode="auto">
                    <a:xfrm>
                      <a:off x="0" y="0"/>
                      <a:ext cx="2009206" cy="230876"/>
                    </a:xfrm>
                    <a:prstGeom prst="rect">
                      <a:avLst/>
                    </a:prstGeom>
                    <a:noFill/>
                    <a:ln>
                      <a:noFill/>
                    </a:ln>
                    <a:extLst>
                      <a:ext uri="{53640926-AAD7-44D8-BBD7-CCE9431645EC}">
                        <a14:shadowObscured xmlns:a14="http://schemas.microsoft.com/office/drawing/2010/main"/>
                      </a:ext>
                    </a:extLst>
                  </pic:spPr>
                </pic:pic>
              </a:graphicData>
            </a:graphic>
          </wp:inline>
        </w:drawing>
      </w:r>
    </w:p>
    <w:p w14:paraId="15AC3A93" w14:textId="77777777" w:rsidR="00937869" w:rsidRDefault="00937869" w:rsidP="00EB6E46">
      <w:pPr>
        <w:pStyle w:val="Nivel4"/>
        <w:ind w:left="1474"/>
      </w:pPr>
      <w:r>
        <w:t xml:space="preserve">Se asume que la riqueza en </w:t>
      </w:r>
      <m:oMath>
        <m:r>
          <m:rPr>
            <m:nor/>
          </m:rPr>
          <w:rPr>
            <w:i/>
            <w:iCs/>
          </w:rPr>
          <m:t>t</m:t>
        </m:r>
        <m:r>
          <w:rPr>
            <w:rFonts w:ascii="Cambria Math" w:hAnsi="Cambria Math"/>
          </w:rPr>
          <m:t>+</m:t>
        </m:r>
        <m:r>
          <m:rPr>
            <m:nor/>
          </m:rPr>
          <w:rPr>
            <w:i/>
            <w:iCs/>
          </w:rPr>
          <m:t>1</m:t>
        </m:r>
      </m:oMath>
      <w:r>
        <w:t xml:space="preserve"> viene dada del rendimiento ponderado por lo que ha invertido en activos nacionales y extranjeros.</w:t>
      </w:r>
    </w:p>
    <w:p w14:paraId="0B4FE77B" w14:textId="77777777" w:rsidR="00937869" w:rsidRDefault="00937869" w:rsidP="00EB6E46">
      <w:pPr>
        <w:pStyle w:val="Nivel4"/>
        <w:keepNext/>
        <w:ind w:left="1474"/>
      </w:pPr>
      <w:r>
        <w:t>La proporción que cada agente invierte en el activo nacional depende de:</w:t>
      </w:r>
    </w:p>
    <w:p w14:paraId="13701781" w14:textId="77777777" w:rsidR="00937869" w:rsidRDefault="00937869" w:rsidP="00EB6E46">
      <w:pPr>
        <w:pStyle w:val="Nivel5"/>
        <w:ind w:left="1871"/>
      </w:pPr>
      <w:r>
        <w:t>Diferencial de tipos de interés (+).</w:t>
      </w:r>
    </w:p>
    <w:p w14:paraId="4E425DB8" w14:textId="714D8423" w:rsidR="00937869" w:rsidRDefault="00937869" w:rsidP="00EB6E46">
      <w:pPr>
        <w:pStyle w:val="Nivel5"/>
        <w:ind w:left="1871"/>
      </w:pPr>
      <w:r>
        <w:t>Expectativas de depreciación de la moneda doméstica (i.e. de la diferencia entre el tipo de cambio en el periodo</w:t>
      </w:r>
      <w:r w:rsidR="00EB6E46">
        <w:t> </w:t>
      </w:r>
      <m:oMath>
        <m:r>
          <m:rPr>
            <m:nor/>
          </m:rPr>
          <w:rPr>
            <w:i/>
            <w:iCs/>
          </w:rPr>
          <m:t>t</m:t>
        </m:r>
        <m:r>
          <w:rPr>
            <w:rFonts w:ascii="Cambria Math" w:hAnsi="Cambria Math"/>
          </w:rPr>
          <m:t>+</m:t>
        </m:r>
        <m:r>
          <m:rPr>
            <m:nor/>
          </m:rPr>
          <w:rPr>
            <w:i/>
            <w:iCs/>
          </w:rPr>
          <m:t>1</m:t>
        </m:r>
      </m:oMath>
      <w:r>
        <w:t xml:space="preserve"> y el tipo de cambio hoy).</w:t>
      </w:r>
    </w:p>
    <w:p w14:paraId="63123BFA" w14:textId="77777777" w:rsidR="00937869" w:rsidRDefault="00937869" w:rsidP="00EB6E46">
      <w:pPr>
        <w:pStyle w:val="Nivel3SM"/>
        <w:numPr>
          <w:ilvl w:val="0"/>
          <w:numId w:val="0"/>
        </w:numPr>
        <w:ind w:left="963"/>
      </w:pPr>
      <w:r>
        <w:t xml:space="preserve">Considerando todos los agentes de la economía, podríamos hallar la </w:t>
      </w:r>
      <w:r w:rsidRPr="00EB6E46">
        <w:rPr>
          <w:i/>
          <w:iCs/>
        </w:rPr>
        <w:t>demanda de activos extranjeros</w:t>
      </w:r>
      <w:r>
        <w:t>.</w:t>
      </w:r>
    </w:p>
    <w:p w14:paraId="4D93C162" w14:textId="77777777" w:rsidR="00937869" w:rsidRDefault="00937869" w:rsidP="00EB6E46">
      <w:pPr>
        <w:pStyle w:val="Nivel3SM"/>
      </w:pPr>
      <w:r>
        <w:t xml:space="preserve">Se asume que la </w:t>
      </w:r>
      <w:r w:rsidRPr="00EB6E46">
        <w:rPr>
          <w:i/>
          <w:iCs/>
          <w:u w:val="single"/>
        </w:rPr>
        <w:t>oferta de activos extranjeros</w:t>
      </w:r>
      <w:r>
        <w:t xml:space="preserve"> es </w:t>
      </w:r>
      <w:r w:rsidRPr="00EB6E46">
        <w:rPr>
          <w:i/>
          <w:iCs/>
        </w:rPr>
        <w:t>exógena</w:t>
      </w:r>
      <w:r>
        <w:t>.</w:t>
      </w:r>
    </w:p>
    <w:p w14:paraId="386EA518" w14:textId="77777777" w:rsidR="00937869" w:rsidRDefault="00937869" w:rsidP="00EB6E46">
      <w:pPr>
        <w:pStyle w:val="Nivel3SM"/>
        <w:keepNext/>
      </w:pPr>
      <w:r>
        <w:t xml:space="preserve">El </w:t>
      </w:r>
      <w:r w:rsidRPr="00EB6E46">
        <w:rPr>
          <w:i/>
          <w:iCs/>
          <w:u w:val="single"/>
        </w:rPr>
        <w:t>tipo de cambio</w:t>
      </w:r>
      <w:r>
        <w:t xml:space="preserve"> sale de </w:t>
      </w:r>
      <w:r w:rsidRPr="00EB6E46">
        <w:rPr>
          <w:i/>
          <w:iCs/>
        </w:rPr>
        <w:t>igualar demanda de activos extranjeros y oferta de activos extranjeros</w:t>
      </w:r>
      <w:r>
        <w:t>.</w:t>
      </w:r>
    </w:p>
    <w:p w14:paraId="07C0510E" w14:textId="77777777" w:rsidR="00937869" w:rsidRPr="00AF3476" w:rsidRDefault="00937869" w:rsidP="00937869">
      <w:pPr>
        <w:pStyle w:val="Nivel4"/>
        <w:ind w:left="1474"/>
      </w:pPr>
      <w:r>
        <w:t>El tipo de cambio determinado dependerá de las expectativas de los agentes con respecto al tipo de cambio futuro.</w:t>
      </w:r>
    </w:p>
    <w:p w14:paraId="77F23690" w14:textId="51BAD4B5" w:rsidR="00937869" w:rsidRPr="003B1BBF" w:rsidRDefault="00937869" w:rsidP="00EB6E46">
      <w:pPr>
        <w:pStyle w:val="Nivel3SM"/>
        <w:keepNext/>
      </w:pPr>
      <w:r>
        <w:t xml:space="preserve">¿Cómo se forman esas expectativas? Hay </w:t>
      </w:r>
      <w:r w:rsidR="00C40584">
        <w:t>2 </w:t>
      </w:r>
      <w:r>
        <w:t xml:space="preserve">tipos de agentes: fundamentalistas y </w:t>
      </w:r>
      <w:proofErr w:type="spellStart"/>
      <w:r>
        <w:t>chartistas</w:t>
      </w:r>
      <w:proofErr w:type="spellEnd"/>
      <w:r>
        <w:t xml:space="preserve">. </w:t>
      </w:r>
      <w:r w:rsidRPr="003B1BBF">
        <w:t xml:space="preserve">La idea de distinguir entre ellos fue introducida por </w:t>
      </w:r>
      <w:proofErr w:type="spellStart"/>
      <w:r w:rsidRPr="003B1BBF">
        <w:rPr>
          <w:smallCaps/>
        </w:rPr>
        <w:t>Frankel</w:t>
      </w:r>
      <w:proofErr w:type="spellEnd"/>
      <w:r w:rsidRPr="003B1BBF">
        <w:t xml:space="preserve"> </w:t>
      </w:r>
      <w:r>
        <w:t>y</w:t>
      </w:r>
      <w:r w:rsidRPr="003B1BBF">
        <w:t xml:space="preserve"> </w:t>
      </w:r>
      <w:proofErr w:type="spellStart"/>
      <w:r w:rsidRPr="003B1BBF">
        <w:rPr>
          <w:smallCaps/>
        </w:rPr>
        <w:t>Froot</w:t>
      </w:r>
      <w:proofErr w:type="spellEnd"/>
      <w:r w:rsidRPr="003B1BBF">
        <w:t>.</w:t>
      </w:r>
    </w:p>
    <w:p w14:paraId="22242029" w14:textId="77777777" w:rsidR="00937869" w:rsidRPr="00AF3476" w:rsidRDefault="00937869" w:rsidP="00937869">
      <w:pPr>
        <w:pStyle w:val="Nivel4"/>
        <w:keepNext/>
        <w:ind w:left="1474"/>
        <w:rPr>
          <w:lang w:val="en-US"/>
        </w:rPr>
      </w:pPr>
      <w:r>
        <w:t>Fundamentalistas</w:t>
      </w:r>
    </w:p>
    <w:p w14:paraId="5EF28375" w14:textId="48E92C3A" w:rsidR="00937869" w:rsidRPr="00AF3476" w:rsidRDefault="00937869" w:rsidP="00937869">
      <w:pPr>
        <w:pStyle w:val="Nivel5"/>
        <w:ind w:left="1871"/>
      </w:pPr>
      <w:r>
        <w:t>Los fundamentalistas tratan de predecir el tipo de cambio futuro en base a la diferencia entre el tipo de cambio de mercado y el tipo de cambio fundamental (i.e. prevén que el tipo de cambio de mercado regrese al tipo de cambio fundamental en el futuro</w:t>
      </w:r>
      <w:r w:rsidR="007E7984">
        <w:t>)</w:t>
      </w:r>
      <w:r>
        <w:t>. Es decir, introducen una dinámica de reversión a la media del tipo de cambio.</w:t>
      </w:r>
    </w:p>
    <w:p w14:paraId="18AA130C" w14:textId="77777777" w:rsidR="00937869" w:rsidRDefault="00937869" w:rsidP="00937869">
      <w:pPr>
        <w:pStyle w:val="Nivel5"/>
        <w:keepNext/>
        <w:ind w:left="1871"/>
      </w:pPr>
      <w:r>
        <w:t>El valor esperado de la variación del tipo de cambio futuro vendrá dado por la diferencia entre el valor observado de mercado y el valor fundamental del tipo de cambio (ponderada por un parámetro de velocidad de dispersión).</w:t>
      </w:r>
    </w:p>
    <w:p w14:paraId="4FA96A48" w14:textId="77777777" w:rsidR="00937869" w:rsidRDefault="00937869" w:rsidP="00937869">
      <w:pPr>
        <w:pStyle w:val="Nivel5"/>
        <w:numPr>
          <w:ilvl w:val="0"/>
          <w:numId w:val="0"/>
        </w:numPr>
        <w:ind w:left="1871"/>
        <w:jc w:val="center"/>
      </w:pPr>
      <w:r w:rsidRPr="009342FE">
        <w:rPr>
          <w:noProof/>
        </w:rPr>
        <w:drawing>
          <wp:inline distT="0" distB="0" distL="0" distR="0" wp14:anchorId="3A8CEFCC" wp14:editId="4B95E455">
            <wp:extent cx="2280066" cy="199097"/>
            <wp:effectExtent l="0" t="0" r="0" b="0"/>
            <wp:docPr id="30" name="Imagen 30"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Texto&#10;&#10;Descripción generada automáticamente con confianza media"/>
                    <pic:cNvPicPr/>
                  </pic:nvPicPr>
                  <pic:blipFill rotWithShape="1">
                    <a:blip r:embed="rId25"/>
                    <a:srcRect t="24480" b="20087"/>
                    <a:stretch/>
                  </pic:blipFill>
                  <pic:spPr bwMode="auto">
                    <a:xfrm>
                      <a:off x="0" y="0"/>
                      <a:ext cx="2285357" cy="199559"/>
                    </a:xfrm>
                    <a:prstGeom prst="rect">
                      <a:avLst/>
                    </a:prstGeom>
                    <a:ln>
                      <a:noFill/>
                    </a:ln>
                    <a:extLst>
                      <a:ext uri="{53640926-AAD7-44D8-BBD7-CCE9431645EC}">
                        <a14:shadowObscured xmlns:a14="http://schemas.microsoft.com/office/drawing/2010/main"/>
                      </a:ext>
                    </a:extLst>
                  </pic:spPr>
                </pic:pic>
              </a:graphicData>
            </a:graphic>
          </wp:inline>
        </w:drawing>
      </w:r>
    </w:p>
    <w:p w14:paraId="315F2B77" w14:textId="77777777" w:rsidR="00937869" w:rsidRDefault="00937869" w:rsidP="00937869">
      <w:pPr>
        <w:pStyle w:val="Nivel4"/>
        <w:keepNext/>
        <w:ind w:left="1474"/>
      </w:pPr>
      <w:proofErr w:type="spellStart"/>
      <w:r>
        <w:t>Chartistas</w:t>
      </w:r>
      <w:proofErr w:type="spellEnd"/>
    </w:p>
    <w:p w14:paraId="2B134FDF" w14:textId="77777777" w:rsidR="00937869" w:rsidRDefault="00937869" w:rsidP="00937869">
      <w:pPr>
        <w:pStyle w:val="Nivel5"/>
        <w:keepNext/>
        <w:ind w:left="1871"/>
      </w:pPr>
      <w:r>
        <w:t xml:space="preserve">Los </w:t>
      </w:r>
      <w:proofErr w:type="spellStart"/>
      <w:r>
        <w:t>chartistas</w:t>
      </w:r>
      <w:proofErr w:type="spellEnd"/>
      <w:r>
        <w:t xml:space="preserve"> tratan de predecir el </w:t>
      </w:r>
      <w:bookmarkStart w:id="98" w:name="_Hlk122342520"/>
      <w:r>
        <w:t>tipo de cambio</w:t>
      </w:r>
      <w:bookmarkEnd w:id="98"/>
      <w:r>
        <w:t xml:space="preserve"> futuro en base a información histórica sobre el tipo de cambio; se basan en gráficas para analizar movimientos del tipo de cambio. A diferencia de los fundamentalistas, no tienen en cuenta información sobre el tipo de cambio fundamental.</w:t>
      </w:r>
    </w:p>
    <w:p w14:paraId="1EEBD71C" w14:textId="77777777" w:rsidR="00937869" w:rsidRDefault="00937869" w:rsidP="00937869">
      <w:pPr>
        <w:pStyle w:val="Nivel5"/>
        <w:numPr>
          <w:ilvl w:val="0"/>
          <w:numId w:val="0"/>
        </w:numPr>
        <w:ind w:left="1871"/>
        <w:jc w:val="center"/>
      </w:pPr>
      <w:r w:rsidRPr="009342FE">
        <w:rPr>
          <w:noProof/>
        </w:rPr>
        <w:drawing>
          <wp:inline distT="0" distB="0" distL="0" distR="0" wp14:anchorId="3F252248" wp14:editId="7F307AE3">
            <wp:extent cx="1750053" cy="211015"/>
            <wp:effectExtent l="0" t="0" r="3175" b="0"/>
            <wp:docPr id="31" name="Imagen 3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Imagen que contiene Gráfico&#10;&#10;Descripción generada automáticamente"/>
                    <pic:cNvPicPr/>
                  </pic:nvPicPr>
                  <pic:blipFill rotWithShape="1">
                    <a:blip r:embed="rId26"/>
                    <a:srcRect t="21018" b="15857"/>
                    <a:stretch/>
                  </pic:blipFill>
                  <pic:spPr bwMode="auto">
                    <a:xfrm>
                      <a:off x="0" y="0"/>
                      <a:ext cx="1757926" cy="211964"/>
                    </a:xfrm>
                    <a:prstGeom prst="rect">
                      <a:avLst/>
                    </a:prstGeom>
                    <a:ln>
                      <a:noFill/>
                    </a:ln>
                    <a:extLst>
                      <a:ext uri="{53640926-AAD7-44D8-BBD7-CCE9431645EC}">
                        <a14:shadowObscured xmlns:a14="http://schemas.microsoft.com/office/drawing/2010/main"/>
                      </a:ext>
                    </a:extLst>
                  </pic:spPr>
                </pic:pic>
              </a:graphicData>
            </a:graphic>
          </wp:inline>
        </w:drawing>
      </w:r>
    </w:p>
    <w:p w14:paraId="58A81062" w14:textId="77777777" w:rsidR="00937869" w:rsidRDefault="00937869" w:rsidP="00937869">
      <w:pPr>
        <w:pStyle w:val="Nivel2SM"/>
        <w:keepNext/>
        <w:spacing w:after="0"/>
      </w:pPr>
      <w:r w:rsidRPr="00AF3476">
        <w:rPr>
          <w:b/>
          <w:bCs/>
        </w:rPr>
        <w:t>Determinación del tipo de cambio</w:t>
      </w:r>
      <w:r>
        <w:t>.</w:t>
      </w:r>
    </w:p>
    <w:p w14:paraId="428956D1" w14:textId="4C9FF8E4" w:rsidR="00937869" w:rsidRDefault="00937869" w:rsidP="00937869">
      <w:pPr>
        <w:pStyle w:val="Nivel3SM"/>
        <w:keepNext/>
      </w:pPr>
      <w:bookmarkStart w:id="99" w:name="_Hlk124680413"/>
      <w:r>
        <w:t xml:space="preserve">Posibilidad de </w:t>
      </w:r>
      <w:r w:rsidRPr="003B1BBF">
        <w:rPr>
          <w:i/>
          <w:iCs/>
        </w:rPr>
        <w:t>equilibrios múltiples</w:t>
      </w:r>
      <w:r>
        <w:t xml:space="preserve">. A grandes rasgos,  existen </w:t>
      </w:r>
      <w:r w:rsidR="00EB6E46">
        <w:t>2 </w:t>
      </w:r>
      <w:r>
        <w:t>tipos de equilibrio</w:t>
      </w:r>
      <w:r w:rsidR="00EB6E46">
        <w:t>:</w:t>
      </w:r>
    </w:p>
    <w:p w14:paraId="29D47A40" w14:textId="77777777" w:rsidR="00937869" w:rsidRDefault="00937869" w:rsidP="00937869">
      <w:pPr>
        <w:pStyle w:val="Prrafodelista"/>
        <w:numPr>
          <w:ilvl w:val="0"/>
          <w:numId w:val="44"/>
        </w:numPr>
        <w:spacing w:after="0"/>
        <w:ind w:left="1418" w:hanging="284"/>
      </w:pPr>
      <w:r>
        <w:t xml:space="preserve">Coexistencia fundamentales y </w:t>
      </w:r>
      <w:proofErr w:type="spellStart"/>
      <w:r>
        <w:t>chartistas</w:t>
      </w:r>
      <w:proofErr w:type="spellEnd"/>
      <w:r>
        <w:t>.</w:t>
      </w:r>
    </w:p>
    <w:p w14:paraId="5762B96C" w14:textId="77777777" w:rsidR="00937869" w:rsidRDefault="00937869" w:rsidP="00937869">
      <w:pPr>
        <w:pStyle w:val="Prrafodelista"/>
        <w:keepNext/>
        <w:numPr>
          <w:ilvl w:val="0"/>
          <w:numId w:val="44"/>
        </w:numPr>
        <w:spacing w:after="0"/>
        <w:ind w:left="1418" w:hanging="284"/>
      </w:pPr>
      <w:proofErr w:type="spellStart"/>
      <w:r>
        <w:lastRenderedPageBreak/>
        <w:t>Chartistas</w:t>
      </w:r>
      <w:proofErr w:type="spellEnd"/>
      <w:r>
        <w:t xml:space="preserve"> se imponen.</w:t>
      </w:r>
    </w:p>
    <w:p w14:paraId="01704BB7" w14:textId="77777777" w:rsidR="00937869" w:rsidRPr="00286D8F" w:rsidRDefault="00937869" w:rsidP="00937869">
      <w:pPr>
        <w:pStyle w:val="Nivel5"/>
        <w:ind w:left="1871"/>
        <w:rPr>
          <w:spacing w:val="-5"/>
        </w:rPr>
      </w:pPr>
      <w:r w:rsidRPr="00286D8F">
        <w:rPr>
          <w:smallCaps/>
          <w:spacing w:val="-5"/>
        </w:rPr>
        <w:t>Grimaldi</w:t>
      </w:r>
      <w:r w:rsidRPr="00286D8F">
        <w:rPr>
          <w:spacing w:val="-5"/>
        </w:rPr>
        <w:t xml:space="preserve"> y </w:t>
      </w:r>
      <w:r w:rsidRPr="00286D8F">
        <w:rPr>
          <w:smallCaps/>
          <w:spacing w:val="-5"/>
        </w:rPr>
        <w:t xml:space="preserve">de </w:t>
      </w:r>
      <w:proofErr w:type="spellStart"/>
      <w:r w:rsidRPr="00286D8F">
        <w:rPr>
          <w:smallCaps/>
          <w:spacing w:val="-5"/>
        </w:rPr>
        <w:t>Grauwe</w:t>
      </w:r>
      <w:proofErr w:type="spellEnd"/>
      <w:r w:rsidRPr="00286D8F">
        <w:rPr>
          <w:spacing w:val="-5"/>
        </w:rPr>
        <w:t xml:space="preserve"> consideran que el hecho de que los fundamentalistas observen la pujanza de los </w:t>
      </w:r>
      <w:proofErr w:type="spellStart"/>
      <w:r w:rsidRPr="00286D8F">
        <w:rPr>
          <w:spacing w:val="-5"/>
        </w:rPr>
        <w:t>chartistas</w:t>
      </w:r>
      <w:proofErr w:type="spellEnd"/>
      <w:r w:rsidRPr="00286D8F">
        <w:rPr>
          <w:spacing w:val="-5"/>
        </w:rPr>
        <w:t xml:space="preserve"> puede hacerlos desistir de apostar por el retorno al equilibrio, lo que explicaría que durante períodos largos de tiempo, el tipo de cambio se separe considerablemente del que vendría dado por los fundamentales.</w:t>
      </w:r>
    </w:p>
    <w:bookmarkEnd w:id="99"/>
    <w:p w14:paraId="4C155909" w14:textId="77777777" w:rsidR="00937869" w:rsidRDefault="00937869" w:rsidP="00937869">
      <w:pPr>
        <w:pStyle w:val="Nivel2SM"/>
        <w:keepNext/>
        <w:spacing w:after="0"/>
      </w:pPr>
      <w:r>
        <w:rPr>
          <w:b/>
          <w:bCs/>
        </w:rPr>
        <w:t>R</w:t>
      </w:r>
      <w:r w:rsidRPr="00AF3476">
        <w:rPr>
          <w:b/>
          <w:bCs/>
        </w:rPr>
        <w:t>esumen</w:t>
      </w:r>
      <w:r>
        <w:t>.</w:t>
      </w:r>
    </w:p>
    <w:p w14:paraId="6A0598E4" w14:textId="77777777" w:rsidR="00937869" w:rsidRPr="00C563A9" w:rsidRDefault="00937869" w:rsidP="00937869">
      <w:pPr>
        <w:pStyle w:val="Nivel3SM"/>
      </w:pPr>
      <w:r>
        <w:t>En definitiva, estos modelos las interacciones entre agentes heterogéneos puede dar lugar a dinámicas complejas y a un tipo de cambio muy volátil y posiblemente desconectado con los fundamentos económicos.</w:t>
      </w:r>
    </w:p>
    <w:bookmarkEnd w:id="97"/>
    <w:p w14:paraId="73C75A56" w14:textId="77777777" w:rsidR="00937869" w:rsidRPr="00D310A5" w:rsidRDefault="00937869" w:rsidP="00C26C58">
      <w:pPr>
        <w:pStyle w:val="Ttulo7"/>
        <w:numPr>
          <w:ilvl w:val="0"/>
          <w:numId w:val="46"/>
        </w:numPr>
        <w:ind w:left="1135" w:hanging="284"/>
        <w:rPr>
          <w:rFonts w:eastAsiaTheme="minorEastAsia"/>
        </w:rPr>
      </w:pPr>
      <w:r w:rsidRPr="00D310A5">
        <w:rPr>
          <w:rFonts w:eastAsiaTheme="minorEastAsia"/>
        </w:rPr>
        <w:t>Interpretación incorrecta</w:t>
      </w:r>
      <w:r>
        <w:t xml:space="preserve"> – </w:t>
      </w:r>
      <w:r>
        <w:rPr>
          <w:smallCaps/>
        </w:rPr>
        <w:t>Hodrick</w:t>
      </w:r>
    </w:p>
    <w:p w14:paraId="41E18A95" w14:textId="77777777" w:rsidR="00937869" w:rsidRDefault="00937869" w:rsidP="00C26C58">
      <w:pPr>
        <w:pStyle w:val="Nivel1SM"/>
        <w:keepNext/>
        <w:spacing w:before="0" w:after="0"/>
      </w:pPr>
      <w:r w:rsidRPr="00C563A9">
        <w:rPr>
          <w:smallCaps/>
        </w:rPr>
        <w:t>Hodrick</w:t>
      </w:r>
      <w:r w:rsidRPr="00C563A9">
        <w:t xml:space="preserve"> (1990) señala que </w:t>
      </w:r>
      <w:r w:rsidRPr="00262B22">
        <w:rPr>
          <w:b/>
          <w:bCs/>
        </w:rPr>
        <w:t>dicha paradoja podría no darse si se tiene en cuenta el término constante de la regresión</w:t>
      </w:r>
      <w:r>
        <w:t xml:space="preserve"> (el intercepto, </w:t>
      </w:r>
      <m:oMath>
        <m:sSub>
          <m:sSubPr>
            <m:ctrlPr>
              <w:rPr>
                <w:rFonts w:ascii="Cambria Math" w:hAnsi="Cambria Math"/>
                <w:i/>
                <w:iCs/>
              </w:rPr>
            </m:ctrlPr>
          </m:sSubPr>
          <m:e>
            <m:r>
              <m:rPr>
                <m:nor/>
              </m:rPr>
              <w:rPr>
                <w:i/>
                <w:iCs/>
              </w:rPr>
              <m:t>β</m:t>
            </m:r>
          </m:e>
          <m:sub>
            <m:r>
              <m:rPr>
                <m:nor/>
              </m:rPr>
              <w:rPr>
                <w:i/>
                <w:iCs/>
              </w:rPr>
              <m:t>0</m:t>
            </m:r>
          </m:sub>
        </m:sSub>
      </m:oMath>
      <w:r>
        <w:t>).</w:t>
      </w:r>
    </w:p>
    <w:p w14:paraId="048E3AFE" w14:textId="77777777" w:rsidR="00937869" w:rsidRPr="00C563A9" w:rsidRDefault="00000000" w:rsidP="00C26C58">
      <w:pPr>
        <w:pStyle w:val="Nivel1SM"/>
        <w:keepNext/>
        <w:numPr>
          <w:ilvl w:val="0"/>
          <w:numId w:val="0"/>
        </w:numPr>
        <w:spacing w:before="0" w:after="0"/>
        <w:rPr>
          <w:lang w:val="fr-FR"/>
        </w:rPr>
      </w:pPr>
      <m:oMathPara>
        <m:oMath>
          <m:limLow>
            <m:limLowPr>
              <m:ctrlPr>
                <w:rPr>
                  <w:rFonts w:ascii="Cambria Math" w:hAnsi="Cambria Math"/>
                  <w:i/>
                  <w:iCs/>
                </w:rPr>
              </m:ctrlPr>
            </m:limLowPr>
            <m:e>
              <m:groupChr>
                <m:groupChrPr>
                  <m:ctrlPr>
                    <w:rPr>
                      <w:rFonts w:ascii="Cambria Math" w:hAnsi="Cambria Math"/>
                      <w:i/>
                      <w:iCs/>
                    </w:rPr>
                  </m:ctrlPr>
                </m:groupChrPr>
                <m:e>
                  <m:r>
                    <m:rPr>
                      <m:nor/>
                    </m:rPr>
                    <w:rPr>
                      <w:i/>
                      <w:iCs/>
                    </w:rPr>
                    <m:t>Δ</m:t>
                  </m:r>
                  <m:sSubSup>
                    <m:sSubSupPr>
                      <m:ctrlPr>
                        <w:rPr>
                          <w:rFonts w:ascii="Cambria Math" w:hAnsi="Cambria Math"/>
                          <w:i/>
                          <w:iCs/>
                        </w:rPr>
                      </m:ctrlPr>
                    </m:sSubSupPr>
                    <m:e>
                      <m:r>
                        <m:rPr>
                          <m:nor/>
                        </m:rPr>
                        <w:rPr>
                          <w:i/>
                          <w:iCs/>
                          <w:lang w:val="fr-FR"/>
                        </w:rPr>
                        <m:t>E</m:t>
                      </m:r>
                    </m:e>
                    <m:sub>
                      <m:r>
                        <m:rPr>
                          <m:nor/>
                        </m:rPr>
                        <w:rPr>
                          <w:i/>
                          <w:iCs/>
                          <w:lang w:val="fr-FR"/>
                        </w:rPr>
                        <m:t>s</m:t>
                      </m:r>
                    </m:sub>
                    <m:sup>
                      <m:r>
                        <m:rPr>
                          <m:nor/>
                        </m:rPr>
                        <w:rPr>
                          <w:i/>
                          <w:iCs/>
                          <w:lang w:val="fr-FR"/>
                        </w:rPr>
                        <m:t>e</m:t>
                      </m:r>
                    </m:sup>
                  </m:sSubSup>
                </m:e>
              </m:groupChr>
            </m:e>
            <m:lim>
              <m:sSubSup>
                <m:sSubSupPr>
                  <m:ctrlPr>
                    <w:rPr>
                      <w:rFonts w:ascii="Cambria Math" w:eastAsiaTheme="minorEastAsia" w:hAnsi="Cambria Math"/>
                      <w:i/>
                    </w:rPr>
                  </m:ctrlPr>
                </m:sSubSupPr>
                <m:e>
                  <m:sSup>
                    <m:sSupPr>
                      <m:ctrlPr>
                        <w:rPr>
                          <w:rFonts w:ascii="Cambria Math" w:hAnsi="Cambria Math"/>
                          <w:i/>
                        </w:rPr>
                      </m:ctrlPr>
                    </m:sSupPr>
                    <m:e>
                      <m:r>
                        <m:rPr>
                          <m:nor/>
                        </m:rPr>
                        <w:rPr>
                          <w:i/>
                          <w:lang w:val="fr-FR"/>
                        </w:rPr>
                        <m:t>s</m:t>
                      </m:r>
                    </m:e>
                    <m:sup>
                      <m:r>
                        <m:rPr>
                          <m:nor/>
                        </m:rPr>
                        <w:rPr>
                          <w:i/>
                          <w:lang w:val="fr-FR"/>
                        </w:rPr>
                        <m:t>e</m:t>
                      </m:r>
                    </m:sup>
                  </m:sSup>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lim>
          </m:limLow>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d>
            <m:dPr>
              <m:ctrlPr>
                <w:rPr>
                  <w:rFonts w:ascii="Cambria Math" w:hAnsi="Cambria Math"/>
                  <w:i/>
                  <w:iCs/>
                </w:rPr>
              </m:ctrlPr>
            </m:dPr>
            <m:e>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e>
          </m:d>
          <m:r>
            <w:rPr>
              <w:rFonts w:ascii="Cambria Math" w:hAnsi="Cambria Math"/>
              <w:lang w:val="fr-FR"/>
            </w:rPr>
            <m:t>+</m:t>
          </m:r>
          <m:r>
            <m:rPr>
              <m:nor/>
            </m:rPr>
            <w:rPr>
              <w:i/>
              <w:iCs/>
            </w:rPr>
            <m:t>ε</m:t>
          </m:r>
        </m:oMath>
      </m:oMathPara>
    </w:p>
    <w:p w14:paraId="5F79D2FA" w14:textId="77777777" w:rsidR="00937869" w:rsidRPr="00C563A9" w:rsidRDefault="00937869" w:rsidP="00937869">
      <w:pPr>
        <w:pStyle w:val="Nivel2SM"/>
        <w:keepNext/>
        <w:spacing w:after="0"/>
      </w:pPr>
      <w:r>
        <w:t xml:space="preserve">Y es que, lo que realmente significa un valor negativo de </w:t>
      </w:r>
      <m:oMath>
        <m:sSub>
          <m:sSubPr>
            <m:ctrlPr>
              <w:rPr>
                <w:rFonts w:ascii="Cambria Math" w:hAnsi="Cambria Math"/>
                <w:i/>
                <w:iCs/>
              </w:rPr>
            </m:ctrlPr>
          </m:sSubPr>
          <m:e>
            <m:r>
              <m:rPr>
                <m:nor/>
              </m:rPr>
              <w:rPr>
                <w:i/>
                <w:iCs/>
              </w:rPr>
              <m:t>β</m:t>
            </m:r>
          </m:e>
          <m:sub>
            <m:r>
              <m:rPr>
                <m:nor/>
              </m:rPr>
              <w:rPr>
                <w:i/>
                <w:iCs/>
              </w:rPr>
              <m:t>1</m:t>
            </m:r>
          </m:sub>
        </m:sSub>
      </m:oMath>
      <w:r>
        <w:rPr>
          <w:rFonts w:eastAsiaTheme="minorEastAsia"/>
          <w:iCs/>
        </w:rPr>
        <w:t xml:space="preserve"> es que la depreciación esperada será menor cuanto más a descuento esté la moneda nacional </w:t>
      </w:r>
      <w:r w:rsidRPr="00C563A9">
        <w:rPr>
          <w:rFonts w:eastAsiaTheme="minorEastAsia"/>
          <w:iCs/>
          <w:sz w:val="19"/>
          <w:szCs w:val="19"/>
        </w:rPr>
        <w:t xml:space="preserve">(es decir, cuanto mayor sea </w:t>
      </w:r>
      <m:oMath>
        <m:sSubSup>
          <m:sSubSupPr>
            <m:ctrlPr>
              <w:rPr>
                <w:rFonts w:ascii="Cambria Math" w:eastAsiaTheme="minorEastAsia" w:hAnsi="Cambria Math"/>
                <w:i/>
                <w:sz w:val="19"/>
                <w:szCs w:val="19"/>
              </w:rPr>
            </m:ctrlPr>
          </m:sSubSupPr>
          <m:e>
            <m:r>
              <m:rPr>
                <m:nor/>
              </m:rPr>
              <w:rPr>
                <w:rFonts w:eastAsiaTheme="minorEastAsia"/>
                <w:i/>
                <w:sz w:val="19"/>
                <w:szCs w:val="19"/>
              </w:rPr>
              <m:t>f</m:t>
            </m:r>
          </m:e>
          <m:sub>
            <m:r>
              <m:rPr>
                <m:nor/>
              </m:rPr>
              <w:rPr>
                <w:rFonts w:eastAsiaTheme="minorEastAsia"/>
                <w:i/>
                <w:sz w:val="19"/>
                <w:szCs w:val="19"/>
              </w:rPr>
              <m:t>t</m:t>
            </m:r>
          </m:sub>
          <m:sup>
            <m:r>
              <m:rPr>
                <m:nor/>
              </m:rPr>
              <w:rPr>
                <w:rFonts w:ascii="Cambria Math" w:eastAsiaTheme="minorEastAsia"/>
                <w:i/>
                <w:sz w:val="19"/>
                <w:szCs w:val="19"/>
              </w:rPr>
              <m:t xml:space="preserve"> </m:t>
            </m:r>
            <m:r>
              <m:rPr>
                <m:nor/>
              </m:rPr>
              <w:rPr>
                <w:rFonts w:eastAsiaTheme="minorEastAsia"/>
                <w:i/>
                <w:sz w:val="19"/>
                <w:szCs w:val="19"/>
              </w:rPr>
              <m:t>t+1</m:t>
            </m:r>
          </m:sup>
        </m:sSubSup>
        <m:r>
          <w:rPr>
            <w:rFonts w:ascii="Cambria Math" w:eastAsiaTheme="minorEastAsia" w:hAnsi="Cambria Math"/>
            <w:sz w:val="19"/>
            <w:szCs w:val="19"/>
          </w:rPr>
          <m:t>-</m:t>
        </m:r>
        <m:sSub>
          <m:sSubPr>
            <m:ctrlPr>
              <w:rPr>
                <w:rFonts w:ascii="Cambria Math" w:hAnsi="Cambria Math"/>
                <w:i/>
                <w:sz w:val="19"/>
                <w:szCs w:val="19"/>
              </w:rPr>
            </m:ctrlPr>
          </m:sSubPr>
          <m:e>
            <m:r>
              <m:rPr>
                <m:nor/>
              </m:rPr>
              <w:rPr>
                <w:i/>
                <w:sz w:val="19"/>
                <w:szCs w:val="19"/>
              </w:rPr>
              <m:t>s</m:t>
            </m:r>
          </m:e>
          <m:sub>
            <m:r>
              <m:rPr>
                <m:nor/>
              </m:rPr>
              <w:rPr>
                <w:i/>
                <w:sz w:val="19"/>
                <w:szCs w:val="19"/>
              </w:rPr>
              <m:t>t</m:t>
            </m:r>
          </m:sub>
        </m:sSub>
      </m:oMath>
      <w:r w:rsidRPr="00C563A9">
        <w:rPr>
          <w:rFonts w:eastAsiaTheme="minorEastAsia"/>
          <w:iCs/>
          <w:sz w:val="19"/>
          <w:szCs w:val="19"/>
        </w:rPr>
        <w:t>)</w:t>
      </w:r>
      <w:r>
        <w:rPr>
          <w:rFonts w:eastAsiaTheme="minorEastAsia"/>
          <w:iCs/>
        </w:rPr>
        <w:t xml:space="preserve">, pero no que haya una apreciación esperada cuando la moneda está a descuento. En efecto, si el término independiente, </w:t>
      </w:r>
      <m:oMath>
        <m:sSub>
          <m:sSubPr>
            <m:ctrlPr>
              <w:rPr>
                <w:rFonts w:ascii="Cambria Math" w:hAnsi="Cambria Math"/>
                <w:i/>
                <w:iCs/>
              </w:rPr>
            </m:ctrlPr>
          </m:sSubPr>
          <m:e>
            <m:r>
              <m:rPr>
                <m:nor/>
              </m:rPr>
              <w:rPr>
                <w:i/>
                <w:iCs/>
              </w:rPr>
              <m:t>β</m:t>
            </m:r>
          </m:e>
          <m:sub>
            <m:r>
              <m:rPr>
                <m:nor/>
              </m:rPr>
              <w:rPr>
                <w:i/>
                <w:iCs/>
              </w:rPr>
              <m:t>0</m:t>
            </m:r>
          </m:sub>
        </m:sSub>
      </m:oMath>
      <w:r>
        <w:rPr>
          <w:rFonts w:eastAsiaTheme="minorEastAsia"/>
          <w:iCs/>
        </w:rPr>
        <w:t>, es positivo y lo suficientemente alto, aun cuando la moneda nacional esté a descuento, podría darse la depreciación esperada.</w:t>
      </w:r>
    </w:p>
    <w:p w14:paraId="5F9F9D35" w14:textId="77777777" w:rsidR="00937869" w:rsidRDefault="00937869" w:rsidP="00937869">
      <w:pPr>
        <w:pStyle w:val="Nivel3SM"/>
      </w:pPr>
      <w:r>
        <w:t xml:space="preserve">Y, de hecho, en la práctica, el valor de </w:t>
      </w:r>
      <m:oMath>
        <m:sSub>
          <m:sSubPr>
            <m:ctrlPr>
              <w:rPr>
                <w:rFonts w:ascii="Cambria Math" w:hAnsi="Cambria Math"/>
                <w:i/>
              </w:rPr>
            </m:ctrlPr>
          </m:sSubPr>
          <m:e>
            <m:r>
              <m:rPr>
                <m:nor/>
              </m:rPr>
              <w:rPr>
                <w:i/>
              </w:rPr>
              <m:t>β</m:t>
            </m:r>
          </m:e>
          <m:sub>
            <m:r>
              <m:rPr>
                <m:nor/>
              </m:rPr>
              <w:rPr>
                <w:i/>
              </w:rPr>
              <m:t>0</m:t>
            </m:r>
          </m:sub>
        </m:sSub>
      </m:oMath>
      <w:r>
        <w:t xml:space="preserve"> suele ser positivo y alto.</w:t>
      </w:r>
    </w:p>
    <w:p w14:paraId="4B2AB0E3" w14:textId="77777777" w:rsidR="00311D71" w:rsidRDefault="00311D71" w:rsidP="00311D71">
      <w:pPr>
        <w:pStyle w:val="Ttulo2"/>
      </w:pPr>
      <w:bookmarkStart w:id="100" w:name="_Toc136424417"/>
      <w:r>
        <w:t>Fundamentación microeconómica sólida</w:t>
      </w:r>
      <w:bookmarkEnd w:id="100"/>
    </w:p>
    <w:p w14:paraId="4AB21F0C" w14:textId="77777777" w:rsidR="00311D71" w:rsidRDefault="00311D71" w:rsidP="00C26C58">
      <w:pPr>
        <w:pStyle w:val="Ttulo3"/>
        <w:spacing w:before="0"/>
      </w:pPr>
      <w:bookmarkStart w:id="101" w:name="_Toc136424418"/>
      <w:r>
        <w:t xml:space="preserve">Modelo de </w:t>
      </w:r>
      <w:proofErr w:type="spellStart"/>
      <w:r w:rsidRPr="00C01A4E">
        <w:rPr>
          <w:smallCaps/>
        </w:rPr>
        <w:t>Corsetti</w:t>
      </w:r>
      <w:proofErr w:type="spellEnd"/>
      <w:r>
        <w:t xml:space="preserve"> y </w:t>
      </w:r>
      <w:proofErr w:type="spellStart"/>
      <w:r w:rsidRPr="00C01A4E">
        <w:rPr>
          <w:smallCaps/>
        </w:rPr>
        <w:t>Pesenti</w:t>
      </w:r>
      <w:proofErr w:type="spellEnd"/>
      <w:r>
        <w:t xml:space="preserve"> (2005)</w:t>
      </w:r>
      <w:bookmarkEnd w:id="101"/>
    </w:p>
    <w:p w14:paraId="2E5DF304" w14:textId="77777777" w:rsidR="00311D71" w:rsidRDefault="00311D71" w:rsidP="00C26C58">
      <w:pPr>
        <w:pStyle w:val="Ttulo6"/>
        <w:spacing w:before="0"/>
      </w:pPr>
      <w:bookmarkStart w:id="102" w:name="_Toc136424419"/>
      <w:r>
        <w:t>Idea</w:t>
      </w:r>
      <w:bookmarkEnd w:id="102"/>
    </w:p>
    <w:p w14:paraId="6540AA41" w14:textId="624723BF" w:rsidR="00311D71" w:rsidRDefault="00311D71" w:rsidP="00C26C58">
      <w:pPr>
        <w:pStyle w:val="Nivel1SM"/>
        <w:keepNext/>
        <w:spacing w:before="0" w:after="0"/>
      </w:pPr>
      <w:r>
        <w:t xml:space="preserve">En esta sección describiremos el modelo de </w:t>
      </w:r>
      <w:proofErr w:type="spellStart"/>
      <w:r w:rsidRPr="00CF47DE">
        <w:rPr>
          <w:smallCaps/>
        </w:rPr>
        <w:t>Corsetti</w:t>
      </w:r>
      <w:proofErr w:type="spellEnd"/>
      <w:r w:rsidRPr="005D524D">
        <w:t xml:space="preserve"> y </w:t>
      </w:r>
      <w:proofErr w:type="spellStart"/>
      <w:r w:rsidRPr="00CF47DE">
        <w:rPr>
          <w:smallCaps/>
        </w:rPr>
        <w:t>Pesenti</w:t>
      </w:r>
      <w:proofErr w:type="spellEnd"/>
      <w:r>
        <w:t xml:space="preserve"> (2005)</w:t>
      </w:r>
      <w:r w:rsidR="00CF47DE">
        <w:t xml:space="preserve">, </w:t>
      </w:r>
      <w:r w:rsidR="00CF47DE" w:rsidRPr="00CF47DE">
        <w:rPr>
          <w:i/>
          <w:iCs/>
        </w:rPr>
        <w:t>“</w:t>
      </w:r>
      <w:proofErr w:type="spellStart"/>
      <w:r w:rsidR="00CF47DE" w:rsidRPr="00CF47DE">
        <w:rPr>
          <w:i/>
          <w:iCs/>
        </w:rPr>
        <w:t>The</w:t>
      </w:r>
      <w:proofErr w:type="spellEnd"/>
      <w:r w:rsidR="00CF47DE" w:rsidRPr="00CF47DE">
        <w:rPr>
          <w:i/>
          <w:iCs/>
        </w:rPr>
        <w:t xml:space="preserve"> Simple </w:t>
      </w:r>
      <w:proofErr w:type="spellStart"/>
      <w:r w:rsidR="00CF47DE" w:rsidRPr="00CF47DE">
        <w:rPr>
          <w:i/>
          <w:iCs/>
        </w:rPr>
        <w:t>Geometry</w:t>
      </w:r>
      <w:proofErr w:type="spellEnd"/>
      <w:r w:rsidR="00CF47DE" w:rsidRPr="00CF47DE">
        <w:rPr>
          <w:i/>
          <w:iCs/>
        </w:rPr>
        <w:t xml:space="preserve"> </w:t>
      </w:r>
      <w:proofErr w:type="spellStart"/>
      <w:r w:rsidR="00CF47DE" w:rsidRPr="00CF47DE">
        <w:rPr>
          <w:i/>
          <w:iCs/>
        </w:rPr>
        <w:t>of</w:t>
      </w:r>
      <w:proofErr w:type="spellEnd"/>
      <w:r w:rsidR="00CF47DE" w:rsidRPr="00CF47DE">
        <w:rPr>
          <w:i/>
          <w:iCs/>
        </w:rPr>
        <w:t xml:space="preserve"> </w:t>
      </w:r>
      <w:proofErr w:type="spellStart"/>
      <w:r w:rsidR="00CF47DE" w:rsidRPr="00CF47DE">
        <w:rPr>
          <w:i/>
          <w:iCs/>
        </w:rPr>
        <w:t>Transmission</w:t>
      </w:r>
      <w:proofErr w:type="spellEnd"/>
      <w:r w:rsidR="00CF47DE" w:rsidRPr="00CF47DE">
        <w:rPr>
          <w:i/>
          <w:iCs/>
        </w:rPr>
        <w:t xml:space="preserve"> and </w:t>
      </w:r>
      <w:proofErr w:type="spellStart"/>
      <w:r w:rsidR="00CF47DE" w:rsidRPr="00CF47DE">
        <w:rPr>
          <w:i/>
          <w:iCs/>
        </w:rPr>
        <w:t>Stabilization</w:t>
      </w:r>
      <w:proofErr w:type="spellEnd"/>
      <w:r w:rsidR="00CF47DE" w:rsidRPr="00CF47DE">
        <w:rPr>
          <w:i/>
          <w:iCs/>
        </w:rPr>
        <w:t xml:space="preserve"> in </w:t>
      </w:r>
      <w:proofErr w:type="spellStart"/>
      <w:r w:rsidR="00CF47DE" w:rsidRPr="00CF47DE">
        <w:rPr>
          <w:i/>
          <w:iCs/>
        </w:rPr>
        <w:t>Closed</w:t>
      </w:r>
      <w:proofErr w:type="spellEnd"/>
      <w:r w:rsidR="00CF47DE" w:rsidRPr="00CF47DE">
        <w:rPr>
          <w:i/>
          <w:iCs/>
        </w:rPr>
        <w:t xml:space="preserve"> and Open </w:t>
      </w:r>
      <w:proofErr w:type="spellStart"/>
      <w:r w:rsidR="00CF47DE" w:rsidRPr="00CF47DE">
        <w:rPr>
          <w:i/>
          <w:iCs/>
        </w:rPr>
        <w:t>Economies</w:t>
      </w:r>
      <w:proofErr w:type="spellEnd"/>
      <w:r w:rsidR="00CF47DE" w:rsidRPr="00CF47DE">
        <w:rPr>
          <w:i/>
          <w:iCs/>
        </w:rPr>
        <w:t>”</w:t>
      </w:r>
      <w:r w:rsidRPr="005D524D">
        <w:t>.</w:t>
      </w:r>
      <w:r>
        <w:t xml:space="preserve"> Se trata de un modelo de la Nueva Macroeconomía de la Economía Abierta (NOEM), enfoque mayoritario en economía internacional iniciado a principios de los años</w:t>
      </w:r>
      <w:r w:rsidR="00C26C58">
        <w:t> </w:t>
      </w:r>
      <w:r>
        <w:t>90.</w:t>
      </w:r>
    </w:p>
    <w:p w14:paraId="7CD07C97" w14:textId="77777777" w:rsidR="00311D71" w:rsidRPr="005D524D" w:rsidRDefault="00311D71" w:rsidP="00311D71">
      <w:pPr>
        <w:pStyle w:val="Nivel2SM"/>
      </w:pPr>
      <w:r>
        <w:t>Ofrece un marco teórico nuevo para el análisis y diseño de las políticas de las economías abiertas.</w:t>
      </w:r>
    </w:p>
    <w:p w14:paraId="6548AC28" w14:textId="77777777" w:rsidR="00311D71" w:rsidRDefault="00311D71" w:rsidP="00311D71">
      <w:pPr>
        <w:pStyle w:val="Nivel2SM"/>
      </w:pPr>
      <w:r>
        <w:t xml:space="preserve">En pocas palabras, los modelos NOEM son modelos de ciclo real (RBC) aumentados con características de corte </w:t>
      </w:r>
      <w:proofErr w:type="spellStart"/>
      <w:r>
        <w:t>neokeynesiano</w:t>
      </w:r>
      <w:proofErr w:type="spellEnd"/>
      <w:r>
        <w:t xml:space="preserve"> y en economía abierta.</w:t>
      </w:r>
    </w:p>
    <w:p w14:paraId="30016BC0" w14:textId="77777777" w:rsidR="00311D71" w:rsidRDefault="00311D71" w:rsidP="00311D71">
      <w:pPr>
        <w:pStyle w:val="Nivel1SM"/>
        <w:keepNext/>
        <w:spacing w:after="0"/>
      </w:pPr>
      <w:r>
        <w:t>Se han convertido en el caballo de batalla de muchos organismos internacionales para el estudio de las economías abiertas.</w:t>
      </w:r>
    </w:p>
    <w:p w14:paraId="418F69D6" w14:textId="77777777" w:rsidR="00311D71" w:rsidRDefault="00311D71" w:rsidP="00311D71">
      <w:pPr>
        <w:pStyle w:val="Nivel2SM"/>
      </w:pPr>
      <w:r>
        <w:t xml:space="preserve">Ejemplo: modelos SIGMA de la Reserva Federal, </w:t>
      </w:r>
      <w:r w:rsidRPr="00D93F4A">
        <w:rPr>
          <w:i/>
          <w:iCs/>
        </w:rPr>
        <w:t xml:space="preserve">Global </w:t>
      </w:r>
      <w:proofErr w:type="spellStart"/>
      <w:r w:rsidRPr="00D93F4A">
        <w:rPr>
          <w:i/>
          <w:iCs/>
        </w:rPr>
        <w:t>Economy</w:t>
      </w:r>
      <w:proofErr w:type="spellEnd"/>
      <w:r w:rsidRPr="00D93F4A">
        <w:rPr>
          <w:i/>
          <w:iCs/>
        </w:rPr>
        <w:t xml:space="preserve"> </w:t>
      </w:r>
      <w:proofErr w:type="spellStart"/>
      <w:r w:rsidRPr="00D93F4A">
        <w:rPr>
          <w:i/>
          <w:iCs/>
        </w:rPr>
        <w:t>Model</w:t>
      </w:r>
      <w:proofErr w:type="spellEnd"/>
      <w:r>
        <w:t xml:space="preserve"> del FMI.</w:t>
      </w:r>
    </w:p>
    <w:p w14:paraId="35DBFC5A" w14:textId="77777777" w:rsidR="00311D71" w:rsidRDefault="00311D71" w:rsidP="00311D71">
      <w:pPr>
        <w:pStyle w:val="Nivel1SM"/>
      </w:pPr>
      <w:proofErr w:type="spellStart"/>
      <w:r w:rsidRPr="0036279C">
        <w:rPr>
          <w:smallCaps/>
        </w:rPr>
        <w:t>Corsetti</w:t>
      </w:r>
      <w:proofErr w:type="spellEnd"/>
      <w:r>
        <w:t xml:space="preserve"> y </w:t>
      </w:r>
      <w:proofErr w:type="spellStart"/>
      <w:r w:rsidRPr="0036279C">
        <w:rPr>
          <w:smallCaps/>
        </w:rPr>
        <w:t>Pesenti</w:t>
      </w:r>
      <w:proofErr w:type="spellEnd"/>
      <w:r>
        <w:t xml:space="preserve"> parten de un modelo eminentemente dinámico (EGDE) y lo simplifican hasta el punto de que admite una representación gráfica y una estática comparativa propias de modelos estáticos (de hecho, los autores persiguen con esta simplificación que se popularice el modelo y que se enseñe en universidades).</w:t>
      </w:r>
    </w:p>
    <w:p w14:paraId="536CD8B8" w14:textId="77777777" w:rsidR="00311D71" w:rsidRDefault="00311D71" w:rsidP="00311D71">
      <w:pPr>
        <w:pStyle w:val="Nivel1SM"/>
        <w:keepNext/>
        <w:spacing w:after="0"/>
      </w:pPr>
      <w:r>
        <w:t xml:space="preserve">Podemos hacer uso del modelo de </w:t>
      </w:r>
      <w:proofErr w:type="spellStart"/>
      <w:r w:rsidRPr="0036279C">
        <w:rPr>
          <w:smallCaps/>
        </w:rPr>
        <w:t>Corsetti</w:t>
      </w:r>
      <w:proofErr w:type="spellEnd"/>
      <w:r>
        <w:t xml:space="preserve"> y </w:t>
      </w:r>
      <w:proofErr w:type="spellStart"/>
      <w:r w:rsidRPr="0036279C">
        <w:rPr>
          <w:smallCaps/>
        </w:rPr>
        <w:t>Pesenti</w:t>
      </w:r>
      <w:proofErr w:type="spellEnd"/>
      <w:r>
        <w:t xml:space="preserve"> para estudiar la determinación del tipo de cambio, que dependerá crucialmente de la forma en la que las empresas fijan los precios y del tono de la política monetaria.</w:t>
      </w:r>
    </w:p>
    <w:p w14:paraId="11C2E463" w14:textId="216D96D6" w:rsidR="00311D71" w:rsidRPr="005D524D" w:rsidRDefault="00311D71" w:rsidP="00311D71">
      <w:pPr>
        <w:pStyle w:val="Nivel2SM"/>
      </w:pPr>
      <w:r w:rsidRPr="005D524D">
        <w:t>El valor añadido de este modelo es que nos permite analizar el papel que juegan las rigideces de precios (tanto intern</w:t>
      </w:r>
      <w:r w:rsidR="00F43363">
        <w:t>a</w:t>
      </w:r>
      <w:r w:rsidRPr="005D524D">
        <w:t>s como extern</w:t>
      </w:r>
      <w:r w:rsidR="00F43363">
        <w:t>a</w:t>
      </w:r>
      <w:r w:rsidRPr="005D524D">
        <w:t>s) en la determinación del tipo de cambio.</w:t>
      </w:r>
    </w:p>
    <w:p w14:paraId="7CC05FC3" w14:textId="77777777" w:rsidR="00311D71" w:rsidRDefault="00311D71" w:rsidP="00311D71">
      <w:pPr>
        <w:pStyle w:val="Nivel2SM"/>
      </w:pPr>
      <w:r>
        <w:t>Por tanto, el valor añadido de este modelo es ver cómo la determinación del tipo de cambio dependerá precisamente de la forma en la que las empresas fijan los precios.</w:t>
      </w:r>
    </w:p>
    <w:p w14:paraId="7B26A5B6" w14:textId="77777777" w:rsidR="00311D71" w:rsidRDefault="00311D71" w:rsidP="00311D71">
      <w:pPr>
        <w:pStyle w:val="Ttulo6"/>
      </w:pPr>
      <w:bookmarkStart w:id="103" w:name="_Toc136424420"/>
      <w:r>
        <w:lastRenderedPageBreak/>
        <w:t>Modelo</w:t>
      </w:r>
      <w:bookmarkEnd w:id="103"/>
    </w:p>
    <w:p w14:paraId="14B02A49" w14:textId="77777777" w:rsidR="00311D71" w:rsidRDefault="00311D71" w:rsidP="00471325">
      <w:pPr>
        <w:pStyle w:val="Ttulo7"/>
        <w:spacing w:before="0"/>
      </w:pPr>
      <w:r>
        <w:t>Supuestos</w:t>
      </w:r>
    </w:p>
    <w:p w14:paraId="4552ED0A" w14:textId="77777777" w:rsidR="00311D71" w:rsidRDefault="00311D71" w:rsidP="00471325">
      <w:pPr>
        <w:pStyle w:val="Nivel1SM"/>
        <w:spacing w:before="0"/>
      </w:pPr>
      <w:r>
        <w:t xml:space="preserve">Dos </w:t>
      </w:r>
      <w:r w:rsidRPr="001E6DF1">
        <w:t>países</w:t>
      </w:r>
    </w:p>
    <w:p w14:paraId="195C6D28" w14:textId="1ED8B89F" w:rsidR="00311D71" w:rsidRDefault="00311D71" w:rsidP="00311D71">
      <w:pPr>
        <w:pStyle w:val="Nivel1SM"/>
        <w:keepNext/>
        <w:spacing w:after="0"/>
      </w:pPr>
      <w:r>
        <w:t xml:space="preserve">Veremos </w:t>
      </w:r>
      <w:r w:rsidR="00F43363">
        <w:t>2 </w:t>
      </w:r>
      <w:r>
        <w:t>posibilidades:</w:t>
      </w:r>
    </w:p>
    <w:p w14:paraId="09D446D1" w14:textId="77777777" w:rsidR="00311D71" w:rsidRPr="001E6DF1" w:rsidRDefault="00311D71" w:rsidP="00311D71">
      <w:pPr>
        <w:pStyle w:val="Nivel2SM"/>
        <w:rPr>
          <w:i/>
          <w:iCs/>
        </w:rPr>
      </w:pPr>
      <w:r w:rsidRPr="001E6DF1">
        <w:rPr>
          <w:i/>
          <w:iCs/>
        </w:rPr>
        <w:t xml:space="preserve">Producer </w:t>
      </w:r>
      <w:proofErr w:type="spellStart"/>
      <w:r w:rsidRPr="001E6DF1">
        <w:rPr>
          <w:i/>
          <w:iCs/>
        </w:rPr>
        <w:t>currency</w:t>
      </w:r>
      <w:proofErr w:type="spellEnd"/>
      <w:r w:rsidRPr="001E6DF1">
        <w:rPr>
          <w:i/>
          <w:iCs/>
        </w:rPr>
        <w:t xml:space="preserve"> </w:t>
      </w:r>
      <w:proofErr w:type="spellStart"/>
      <w:r w:rsidRPr="001E6DF1">
        <w:rPr>
          <w:i/>
          <w:iCs/>
        </w:rPr>
        <w:t>pricing</w:t>
      </w:r>
      <w:proofErr w:type="spellEnd"/>
    </w:p>
    <w:p w14:paraId="2FAD64A4" w14:textId="77777777" w:rsidR="00311D71" w:rsidRPr="001E6DF1" w:rsidRDefault="00311D71" w:rsidP="00311D71">
      <w:pPr>
        <w:pStyle w:val="Nivel2SM"/>
        <w:rPr>
          <w:i/>
          <w:iCs/>
        </w:rPr>
      </w:pPr>
      <w:r w:rsidRPr="001E6DF1">
        <w:rPr>
          <w:i/>
          <w:iCs/>
        </w:rPr>
        <w:t xml:space="preserve">Local </w:t>
      </w:r>
      <w:proofErr w:type="spellStart"/>
      <w:r w:rsidRPr="001E6DF1">
        <w:rPr>
          <w:i/>
          <w:iCs/>
        </w:rPr>
        <w:t>currency</w:t>
      </w:r>
      <w:proofErr w:type="spellEnd"/>
      <w:r w:rsidRPr="001E6DF1">
        <w:rPr>
          <w:i/>
          <w:iCs/>
        </w:rPr>
        <w:t xml:space="preserve"> </w:t>
      </w:r>
      <w:proofErr w:type="spellStart"/>
      <w:r w:rsidRPr="001E6DF1">
        <w:rPr>
          <w:i/>
          <w:iCs/>
        </w:rPr>
        <w:t>pricing</w:t>
      </w:r>
      <w:proofErr w:type="spellEnd"/>
    </w:p>
    <w:p w14:paraId="29FAC192" w14:textId="77777777" w:rsidR="00311D71" w:rsidRDefault="00311D71" w:rsidP="00311D71">
      <w:pPr>
        <w:pStyle w:val="Ttulo7"/>
      </w:pPr>
      <w:r>
        <w:t>Desarrollo</w:t>
      </w:r>
    </w:p>
    <w:p w14:paraId="13E0B74A" w14:textId="77777777" w:rsidR="00311D71" w:rsidRDefault="00311D71" w:rsidP="00471325">
      <w:pPr>
        <w:pStyle w:val="Ttulo8"/>
        <w:spacing w:before="0"/>
      </w:pPr>
      <w:r>
        <w:t xml:space="preserve">Producer </w:t>
      </w:r>
      <w:proofErr w:type="spellStart"/>
      <w:r>
        <w:t>currency</w:t>
      </w:r>
      <w:proofErr w:type="spellEnd"/>
      <w:r>
        <w:t xml:space="preserve"> </w:t>
      </w:r>
      <w:proofErr w:type="spellStart"/>
      <w:r>
        <w:t>pricing</w:t>
      </w:r>
      <w:proofErr w:type="spellEnd"/>
    </w:p>
    <w:p w14:paraId="2EE43CAB" w14:textId="143AE3E9" w:rsidR="00311D71" w:rsidRDefault="00311D71" w:rsidP="00471325">
      <w:pPr>
        <w:pStyle w:val="Nivel1SM"/>
        <w:spacing w:before="0"/>
      </w:pPr>
      <w:r>
        <w:t xml:space="preserve">El productor extranjero fija precios en su propia moneda y deja que sus precios se vean afectados perfectamente por movimientos del tipo de cambio. Esto es, el exportador extranjero fija </w:t>
      </w:r>
      <w:r w:rsidRPr="001E6DF1">
        <w:rPr>
          <w:i/>
          <w:iCs/>
        </w:rPr>
        <w:t>P*</w:t>
      </w:r>
      <w:r>
        <w:t xml:space="preserve"> y los importadores nacionales pagan </w:t>
      </w:r>
      <m:oMath>
        <m:f>
          <m:fPr>
            <m:type m:val="lin"/>
            <m:ctrlPr>
              <w:rPr>
                <w:rFonts w:ascii="Cambria Math" w:hAnsi="Cambria Math"/>
                <w:i/>
              </w:rPr>
            </m:ctrlPr>
          </m:fPr>
          <m:num>
            <m:r>
              <m:rPr>
                <m:nor/>
              </m:rPr>
              <w:rPr>
                <w:i/>
              </w:rPr>
              <m:t>P*</m:t>
            </m:r>
          </m:num>
          <m:den>
            <m:r>
              <m:rPr>
                <m:nor/>
              </m:rPr>
              <w:rPr>
                <w:i/>
              </w:rPr>
              <m:t>E</m:t>
            </m:r>
          </m:den>
        </m:f>
      </m:oMath>
      <w:r>
        <w:t xml:space="preserve"> unidades de la moneda doméstica.</w:t>
      </w:r>
    </w:p>
    <w:p w14:paraId="04F83B19" w14:textId="77777777" w:rsidR="00311D71" w:rsidRDefault="00311D71" w:rsidP="00311D71">
      <w:pPr>
        <w:pStyle w:val="Nivel1SM"/>
      </w:pPr>
      <w:r>
        <w:t>Imaginemos que las autoridades del país doméstico deciden llevar a cabo una política monetaria de estabilización. La política monetaria expansiva deprecia el tipo de cambio. Se traslada toda variación del tipo de cambio a precios que se pagan por los bienes importados lo que lleva a que una depreciación nominal se traslada perfectamente a una depreciación real.</w:t>
      </w:r>
    </w:p>
    <w:p w14:paraId="41FFF2CB" w14:textId="77777777" w:rsidR="00311D71" w:rsidRDefault="00311D71" w:rsidP="00311D71">
      <w:pPr>
        <w:pStyle w:val="Nivel1SM"/>
      </w:pPr>
      <w:r>
        <w:t xml:space="preserve">Por tanto, a pesar de las rigideces nominales internas se restablece el resultado de los modelos de precios flexibles de </w:t>
      </w:r>
      <w:r w:rsidRPr="0036279C">
        <w:rPr>
          <w:smallCaps/>
        </w:rPr>
        <w:t>Frenkel</w:t>
      </w:r>
      <w:r>
        <w:t xml:space="preserve"> y </w:t>
      </w:r>
      <w:proofErr w:type="spellStart"/>
      <w:r w:rsidRPr="0036279C">
        <w:rPr>
          <w:smallCaps/>
        </w:rPr>
        <w:t>Mussa</w:t>
      </w:r>
      <w:proofErr w:type="spellEnd"/>
      <w:r>
        <w:t xml:space="preserve">: un aumento de la masa monetaria lleva al tipo de cambio nominal a aumentar inmediatamente a su valor de largo plazo. En otras palabras, no habría </w:t>
      </w:r>
      <w:proofErr w:type="spellStart"/>
      <w:r>
        <w:t>overshooting</w:t>
      </w:r>
      <w:proofErr w:type="spellEnd"/>
      <w:r>
        <w:t>.</w:t>
      </w:r>
    </w:p>
    <w:p w14:paraId="13121EE1" w14:textId="77777777" w:rsidR="00311D71" w:rsidRDefault="00311D71" w:rsidP="00311D71">
      <w:pPr>
        <w:pStyle w:val="Nivel1SM"/>
      </w:pPr>
      <w:r>
        <w:t>(...) Pero hay una segunda posibilidad</w:t>
      </w:r>
    </w:p>
    <w:p w14:paraId="39375C01" w14:textId="77777777" w:rsidR="00311D71" w:rsidRDefault="00311D71" w:rsidP="00311D71">
      <w:pPr>
        <w:pStyle w:val="Ttulo8"/>
      </w:pPr>
      <w:r>
        <w:t xml:space="preserve">Local </w:t>
      </w:r>
      <w:proofErr w:type="spellStart"/>
      <w:r>
        <w:t>currency</w:t>
      </w:r>
      <w:proofErr w:type="spellEnd"/>
      <w:r>
        <w:t xml:space="preserve"> </w:t>
      </w:r>
      <w:proofErr w:type="spellStart"/>
      <w:r>
        <w:t>pricing</w:t>
      </w:r>
      <w:proofErr w:type="spellEnd"/>
    </w:p>
    <w:p w14:paraId="1BD16A08" w14:textId="77777777" w:rsidR="00311D71" w:rsidRDefault="00311D71" w:rsidP="00471325">
      <w:pPr>
        <w:pStyle w:val="Nivel1SM"/>
        <w:spacing w:before="0"/>
      </w:pPr>
      <w:r>
        <w:t>El productor extranjero fija precios en la moneda del país nacional (</w:t>
      </w:r>
      <w:r w:rsidRPr="00C679F0">
        <w:rPr>
          <w:i/>
          <w:iCs/>
        </w:rPr>
        <w:t xml:space="preserve">Local </w:t>
      </w:r>
      <w:proofErr w:type="spellStart"/>
      <w:r w:rsidRPr="00C679F0">
        <w:rPr>
          <w:i/>
          <w:iCs/>
        </w:rPr>
        <w:t>Currency</w:t>
      </w:r>
      <w:proofErr w:type="spellEnd"/>
      <w:r w:rsidRPr="00C679F0">
        <w:rPr>
          <w:i/>
          <w:iCs/>
        </w:rPr>
        <w:t xml:space="preserve"> </w:t>
      </w:r>
      <w:proofErr w:type="spellStart"/>
      <w:r w:rsidRPr="00C679F0">
        <w:rPr>
          <w:i/>
          <w:iCs/>
        </w:rPr>
        <w:t>Pricing</w:t>
      </w:r>
      <w:proofErr w:type="spellEnd"/>
      <w:r>
        <w:t>, LCP). Esto implica que las variaciones del tipo de cambio no afectan a los precios de los bienes importados.</w:t>
      </w:r>
    </w:p>
    <w:p w14:paraId="4BDD7C50" w14:textId="77777777" w:rsidR="00311D71" w:rsidRDefault="00311D71" w:rsidP="00311D71">
      <w:pPr>
        <w:pStyle w:val="Nivel1SM"/>
        <w:keepNext/>
        <w:spacing w:after="0"/>
      </w:pPr>
      <w:r>
        <w:t>Relevancia:</w:t>
      </w:r>
    </w:p>
    <w:p w14:paraId="0AF6E6E0" w14:textId="77777777" w:rsidR="00311D71" w:rsidRDefault="00311D71" w:rsidP="00311D71">
      <w:pPr>
        <w:pStyle w:val="Nivel2SM"/>
      </w:pPr>
      <w:r>
        <w:t>Introduce una fuente adicional de rigidez nominal.</w:t>
      </w:r>
    </w:p>
    <w:p w14:paraId="3D03E2BC" w14:textId="77777777" w:rsidR="00311D71" w:rsidRPr="0036279C" w:rsidRDefault="00311D71" w:rsidP="00311D71">
      <w:pPr>
        <w:pStyle w:val="Nivel2SM"/>
      </w:pPr>
      <w:r>
        <w:t>Guarda un cierto respaldo empírico: muchas veces los precios de los bienes importados son poco sensibles a variaciones en el tipo de cambio, sobre todo en un mundo donde la fijación de precios en dólar (</w:t>
      </w:r>
      <w:proofErr w:type="spellStart"/>
      <w:r w:rsidRPr="00C679F0">
        <w:rPr>
          <w:i/>
          <w:iCs/>
        </w:rPr>
        <w:t>do</w:t>
      </w:r>
      <w:r>
        <w:rPr>
          <w:i/>
          <w:iCs/>
        </w:rPr>
        <w:t>l</w:t>
      </w:r>
      <w:r w:rsidRPr="00C679F0">
        <w:rPr>
          <w:i/>
          <w:iCs/>
        </w:rPr>
        <w:t>lar</w:t>
      </w:r>
      <w:proofErr w:type="spellEnd"/>
      <w:r w:rsidRPr="00C679F0">
        <w:rPr>
          <w:i/>
          <w:iCs/>
        </w:rPr>
        <w:t xml:space="preserve"> </w:t>
      </w:r>
      <w:proofErr w:type="spellStart"/>
      <w:r w:rsidRPr="00C679F0">
        <w:rPr>
          <w:i/>
          <w:iCs/>
        </w:rPr>
        <w:t>pricing</w:t>
      </w:r>
      <w:proofErr w:type="spellEnd"/>
      <w:r>
        <w:t>) está muy extendida.</w:t>
      </w:r>
    </w:p>
    <w:p w14:paraId="591E2B73" w14:textId="77777777" w:rsidR="00311D71" w:rsidRDefault="00311D71" w:rsidP="00311D71">
      <w:pPr>
        <w:pStyle w:val="Nivel1SM"/>
      </w:pPr>
      <w:r>
        <w:t xml:space="preserve">Una variación del tipo de cambio de la misma magnitud que en el caso de </w:t>
      </w:r>
      <w:r w:rsidRPr="00C679F0">
        <w:rPr>
          <w:i/>
          <w:iCs/>
        </w:rPr>
        <w:t xml:space="preserve">Producer </w:t>
      </w:r>
      <w:proofErr w:type="spellStart"/>
      <w:r w:rsidRPr="00C679F0">
        <w:rPr>
          <w:i/>
          <w:iCs/>
        </w:rPr>
        <w:t>Currency</w:t>
      </w:r>
      <w:proofErr w:type="spellEnd"/>
      <w:r w:rsidRPr="00C679F0">
        <w:rPr>
          <w:i/>
          <w:iCs/>
        </w:rPr>
        <w:t xml:space="preserve"> </w:t>
      </w:r>
      <w:proofErr w:type="spellStart"/>
      <w:r w:rsidRPr="00C679F0">
        <w:rPr>
          <w:i/>
          <w:iCs/>
        </w:rPr>
        <w:t>Pricing</w:t>
      </w:r>
      <w:proofErr w:type="spellEnd"/>
      <w:r>
        <w:t>, va a tener un efecto mucho menor en cuanto a efectos sobre importaciones y exportaciones.</w:t>
      </w:r>
    </w:p>
    <w:p w14:paraId="7575BCDB" w14:textId="77777777" w:rsidR="00311D71" w:rsidRDefault="00311D71" w:rsidP="00311D71">
      <w:pPr>
        <w:pStyle w:val="Nivel1SM"/>
      </w:pPr>
      <w:r>
        <w:t>Sin embargo, ante un aumento de la oferta monetaria, se precisa que exista una partida de ajuste.</w:t>
      </w:r>
    </w:p>
    <w:p w14:paraId="40DB14D8" w14:textId="77777777" w:rsidR="00311D71" w:rsidRPr="0036279C" w:rsidRDefault="00311D71" w:rsidP="00311D71">
      <w:pPr>
        <w:pStyle w:val="Nivel1SM"/>
      </w:pPr>
      <w:proofErr w:type="spellStart"/>
      <w:r w:rsidRPr="0036279C">
        <w:rPr>
          <w:smallCaps/>
        </w:rPr>
        <w:t>Betts</w:t>
      </w:r>
      <w:proofErr w:type="spellEnd"/>
      <w:r>
        <w:t xml:space="preserve"> y </w:t>
      </w:r>
      <w:r w:rsidRPr="0036279C">
        <w:rPr>
          <w:smallCaps/>
        </w:rPr>
        <w:t>Devereux</w:t>
      </w:r>
      <w:r>
        <w:t xml:space="preserve"> argumentan que el tipo de cambio sigue siendo la partida de ajuste pero debe </w:t>
      </w:r>
      <w:proofErr w:type="spellStart"/>
      <w:r>
        <w:t>sobrerreaccionar</w:t>
      </w:r>
      <w:proofErr w:type="spellEnd"/>
      <w:r>
        <w:t xml:space="preserve"> para permitir el ajuste = resultado de </w:t>
      </w:r>
      <w:proofErr w:type="spellStart"/>
      <w:r w:rsidRPr="0036279C">
        <w:rPr>
          <w:smallCaps/>
        </w:rPr>
        <w:t>Dornbusch</w:t>
      </w:r>
      <w:proofErr w:type="spellEnd"/>
      <w:r>
        <w:t>.</w:t>
      </w:r>
    </w:p>
    <w:p w14:paraId="2FBB82E7" w14:textId="77777777" w:rsidR="00311D71" w:rsidRDefault="00311D71" w:rsidP="00311D71">
      <w:pPr>
        <w:pStyle w:val="Ttulo7"/>
      </w:pPr>
      <w:r>
        <w:t>Implicaciones</w:t>
      </w:r>
    </w:p>
    <w:p w14:paraId="4799A8FE" w14:textId="77777777" w:rsidR="00311D71" w:rsidRPr="00C01A4E" w:rsidRDefault="00311D71" w:rsidP="00471325">
      <w:pPr>
        <w:pStyle w:val="Nivel1SM"/>
        <w:spacing w:before="0"/>
      </w:pPr>
      <w:r>
        <w:t xml:space="preserve">En un modelo con rigideces nominales internas y externas, se da el resultado del </w:t>
      </w:r>
      <w:proofErr w:type="spellStart"/>
      <w:r w:rsidRPr="0036279C">
        <w:rPr>
          <w:i/>
          <w:iCs/>
        </w:rPr>
        <w:t>overshooting</w:t>
      </w:r>
      <w:proofErr w:type="spellEnd"/>
      <w:r>
        <w:t xml:space="preserve">, cuando la magnitud de las rigideces nominales externas es considerable, en otras palabras, cuando existe un cierto fenómeno de </w:t>
      </w:r>
      <w:r w:rsidRPr="0036279C">
        <w:rPr>
          <w:i/>
          <w:iCs/>
        </w:rPr>
        <w:t>“</w:t>
      </w:r>
      <w:proofErr w:type="spellStart"/>
      <w:r w:rsidRPr="0036279C">
        <w:rPr>
          <w:i/>
          <w:iCs/>
        </w:rPr>
        <w:t>Pricing</w:t>
      </w:r>
      <w:proofErr w:type="spellEnd"/>
      <w:r w:rsidRPr="0036279C">
        <w:rPr>
          <w:i/>
          <w:iCs/>
        </w:rPr>
        <w:t xml:space="preserve"> </w:t>
      </w:r>
      <w:proofErr w:type="spellStart"/>
      <w:r w:rsidRPr="0036279C">
        <w:rPr>
          <w:i/>
          <w:iCs/>
        </w:rPr>
        <w:t>to</w:t>
      </w:r>
      <w:proofErr w:type="spellEnd"/>
      <w:r w:rsidRPr="0036279C">
        <w:rPr>
          <w:i/>
          <w:iCs/>
        </w:rPr>
        <w:t xml:space="preserve"> </w:t>
      </w:r>
      <w:proofErr w:type="spellStart"/>
      <w:r w:rsidRPr="0036279C">
        <w:rPr>
          <w:i/>
          <w:iCs/>
        </w:rPr>
        <w:t>Market</w:t>
      </w:r>
      <w:proofErr w:type="spellEnd"/>
      <w:r w:rsidRPr="0036279C">
        <w:rPr>
          <w:i/>
          <w:iCs/>
        </w:rPr>
        <w:t>”</w:t>
      </w:r>
      <w:r>
        <w:t xml:space="preserve">, algo con cierto respaldo empírico (comercio internacional = </w:t>
      </w:r>
      <w:proofErr w:type="spellStart"/>
      <w:r>
        <w:t>dollar</w:t>
      </w:r>
      <w:proofErr w:type="spellEnd"/>
      <w:r>
        <w:t xml:space="preserve"> </w:t>
      </w:r>
      <w:proofErr w:type="spellStart"/>
      <w:r>
        <w:t>pricing</w:t>
      </w:r>
      <w:proofErr w:type="spellEnd"/>
      <w:r>
        <w:t>).</w:t>
      </w:r>
    </w:p>
    <w:p w14:paraId="6CF4E047" w14:textId="77777777" w:rsidR="00311D71" w:rsidRPr="00C01A4E" w:rsidRDefault="00311D71" w:rsidP="00311D71">
      <w:pPr>
        <w:pStyle w:val="Ttulo6"/>
      </w:pPr>
      <w:bookmarkStart w:id="104" w:name="_Toc136424421"/>
      <w:r>
        <w:t>Valoración</w:t>
      </w:r>
      <w:bookmarkEnd w:id="104"/>
    </w:p>
    <w:p w14:paraId="094CF2FD" w14:textId="77777777" w:rsidR="00311D71" w:rsidRDefault="00311D71" w:rsidP="00311D71">
      <w:pPr>
        <w:pStyle w:val="Ttulo3"/>
      </w:pPr>
      <w:bookmarkStart w:id="105" w:name="_Toc136424422"/>
      <w:r>
        <w:t>Modelo de flujo de órdenes (</w:t>
      </w:r>
      <w:r>
        <w:rPr>
          <w:smallCaps/>
        </w:rPr>
        <w:t>Evans</w:t>
      </w:r>
      <w:r>
        <w:t xml:space="preserve"> y </w:t>
      </w:r>
      <w:proofErr w:type="spellStart"/>
      <w:r>
        <w:rPr>
          <w:smallCaps/>
        </w:rPr>
        <w:t>Lyons</w:t>
      </w:r>
      <w:proofErr w:type="spellEnd"/>
      <w:r>
        <w:t>, 2002)</w:t>
      </w:r>
      <w:bookmarkEnd w:id="105"/>
    </w:p>
    <w:p w14:paraId="68129CAA" w14:textId="77777777" w:rsidR="00311D71" w:rsidRPr="00C01A4E" w:rsidRDefault="00311D71" w:rsidP="00471325">
      <w:pPr>
        <w:pStyle w:val="Ttulo6"/>
        <w:spacing w:before="0"/>
      </w:pPr>
      <w:bookmarkStart w:id="106" w:name="_Toc136424423"/>
      <w:r>
        <w:t>Idea</w:t>
      </w:r>
      <w:bookmarkEnd w:id="106"/>
    </w:p>
    <w:p w14:paraId="2D110DE9" w14:textId="77777777" w:rsidR="00311D71" w:rsidRDefault="00311D71" w:rsidP="00471325">
      <w:pPr>
        <w:pStyle w:val="Nivel1SM"/>
        <w:spacing w:before="0"/>
      </w:pPr>
      <w:r>
        <w:t>Hay que incorporar la estructura microeconómica de los mercados de cambio, es decir, los aspectos institucionales que afectan a los agentes cuando toman decisiones de compra o venta de divisas</w:t>
      </w:r>
    </w:p>
    <w:p w14:paraId="024F698F" w14:textId="4A65AD7B" w:rsidR="00311D71" w:rsidRDefault="00311D71" w:rsidP="00311D71">
      <w:pPr>
        <w:pStyle w:val="Nivel1SM"/>
        <w:keepNext/>
        <w:spacing w:after="0"/>
      </w:pPr>
      <w:r>
        <w:lastRenderedPageBreak/>
        <w:t>Surge como alternativa a los modelos macroeconómicos ante la incapacidad de explicar de forma satisfactoria la evolución del tipo de cambio especialmente en horizontes inferiores a los 2</w:t>
      </w:r>
      <w:r w:rsidR="004D111D">
        <w:t> </w:t>
      </w:r>
      <w:r>
        <w:t>años.</w:t>
      </w:r>
    </w:p>
    <w:p w14:paraId="3B91321F" w14:textId="77777777" w:rsidR="00311D71" w:rsidRDefault="00311D71" w:rsidP="00311D71">
      <w:pPr>
        <w:pStyle w:val="Nivel2SM"/>
        <w:keepNext/>
        <w:spacing w:after="0"/>
      </w:pPr>
      <w:r>
        <w:t>La idea es que las variables macroeconómicas que habitualmente toman como referencia los modelos macroeconómicos suelen variar lentamente.</w:t>
      </w:r>
    </w:p>
    <w:p w14:paraId="4C3C9852" w14:textId="77777777" w:rsidR="00311D71" w:rsidRPr="00753EC9" w:rsidRDefault="00311D71" w:rsidP="00311D71">
      <w:pPr>
        <w:pStyle w:val="Nivel3SM"/>
        <w:rPr>
          <w:spacing w:val="-2"/>
        </w:rPr>
      </w:pPr>
      <w:r w:rsidRPr="00753EC9">
        <w:rPr>
          <w:spacing w:val="-2"/>
        </w:rPr>
        <w:t>Así, parece razonable buscar alguna explicación alternativa del tipo de cambio a corto plazo.</w:t>
      </w:r>
    </w:p>
    <w:p w14:paraId="4BAC5017" w14:textId="4D2C83F1" w:rsidR="00311D71" w:rsidRDefault="00311D71" w:rsidP="00311D71">
      <w:pPr>
        <w:pStyle w:val="Nivel2SM"/>
      </w:pPr>
      <w:r>
        <w:t>Aquí es donde cobran mayor sentido los enfoques microeconómicos, que prestan particular atención a la forma en que se realizan las transacciones en el mercado de divisas, en especial, a la información de los agentes a la hora de forma</w:t>
      </w:r>
      <w:r w:rsidR="00495085">
        <w:t>r</w:t>
      </w:r>
      <w:r>
        <w:t xml:space="preserve"> sus expectativas.</w:t>
      </w:r>
    </w:p>
    <w:p w14:paraId="2C895514" w14:textId="77777777" w:rsidR="00311D71" w:rsidRDefault="00311D71" w:rsidP="00311D71">
      <w:pPr>
        <w:pStyle w:val="Ttulo6"/>
      </w:pPr>
      <w:bookmarkStart w:id="107" w:name="_Toc136424424"/>
      <w:r>
        <w:t>Modelo</w:t>
      </w:r>
      <w:bookmarkEnd w:id="107"/>
    </w:p>
    <w:p w14:paraId="2B91A820" w14:textId="77777777" w:rsidR="00311D71" w:rsidRDefault="00311D71" w:rsidP="00471325">
      <w:pPr>
        <w:pStyle w:val="Ttulo7"/>
        <w:spacing w:before="0"/>
      </w:pPr>
      <w:r>
        <w:t>Supuestos</w:t>
      </w:r>
    </w:p>
    <w:p w14:paraId="0DEB8E86" w14:textId="3FCE92D0" w:rsidR="00311D71" w:rsidRDefault="00311D71" w:rsidP="00471325">
      <w:pPr>
        <w:pStyle w:val="Nivel1SM"/>
        <w:spacing w:before="0"/>
      </w:pPr>
      <w:r>
        <w:t xml:space="preserve">Con información pública apenas hay margen para predecir el tipo de cambio. Sin embargo, </w:t>
      </w:r>
      <w:r w:rsidRPr="0036279C">
        <w:rPr>
          <w:smallCaps/>
        </w:rPr>
        <w:t>Evans</w:t>
      </w:r>
      <w:r>
        <w:t xml:space="preserve"> y </w:t>
      </w:r>
      <w:proofErr w:type="spellStart"/>
      <w:r w:rsidRPr="0036279C">
        <w:rPr>
          <w:smallCaps/>
        </w:rPr>
        <w:t>Lyons</w:t>
      </w:r>
      <w:proofErr w:type="spellEnd"/>
      <w:r>
        <w:t xml:space="preserve"> abren la puerta a predecir el tipo de cambio en base a información privada</w:t>
      </w:r>
      <w:r w:rsidR="00495085">
        <w:t>.</w:t>
      </w:r>
    </w:p>
    <w:p w14:paraId="20C75551" w14:textId="77777777" w:rsidR="00311D71" w:rsidRDefault="00311D71" w:rsidP="00311D71">
      <w:pPr>
        <w:pStyle w:val="Ttulo7"/>
      </w:pPr>
      <w:r>
        <w:t>Desarrollo</w:t>
      </w:r>
    </w:p>
    <w:p w14:paraId="1A20C577" w14:textId="43769F84" w:rsidR="00311D71" w:rsidRDefault="00311D71" w:rsidP="00471325">
      <w:pPr>
        <w:pStyle w:val="Nivel1SM"/>
        <w:spacing w:before="0"/>
      </w:pPr>
      <w:r>
        <w:t xml:space="preserve">Pues bien, podemos sintetizar el mercado de divisas como caracterizado por la presencia de </w:t>
      </w:r>
      <w:r w:rsidR="00495085">
        <w:t>2 </w:t>
      </w:r>
      <w:r>
        <w:t>tipos de agentes principales: creadores de mercado y agentes que se benefician de la liquidez.</w:t>
      </w:r>
    </w:p>
    <w:p w14:paraId="7644332E" w14:textId="17729DFB" w:rsidR="00311D71" w:rsidRDefault="00495085" w:rsidP="00495085">
      <w:pPr>
        <w:pStyle w:val="Nivel1SM"/>
        <w:keepNext/>
        <w:spacing w:after="0"/>
      </w:pPr>
      <w:r>
        <w:t>Los c</w:t>
      </w:r>
      <w:r w:rsidR="00311D71">
        <w:t>readores de mercado</w:t>
      </w:r>
      <w:r>
        <w:t xml:space="preserve"> </w:t>
      </w:r>
      <w:r w:rsidR="00311D71">
        <w:t>facilitan las transacciones cotizando precio de compra (</w:t>
      </w:r>
      <w:proofErr w:type="spellStart"/>
      <w:r w:rsidR="00311D71" w:rsidRPr="0036279C">
        <w:rPr>
          <w:i/>
          <w:iCs/>
        </w:rPr>
        <w:t>bid</w:t>
      </w:r>
      <w:proofErr w:type="spellEnd"/>
      <w:r w:rsidR="00311D71">
        <w:t>) y precio de venta (</w:t>
      </w:r>
      <w:proofErr w:type="spellStart"/>
      <w:r w:rsidR="00311D71" w:rsidRPr="0036279C">
        <w:rPr>
          <w:i/>
          <w:iCs/>
        </w:rPr>
        <w:t>ask</w:t>
      </w:r>
      <w:proofErr w:type="spellEnd"/>
      <w:r w:rsidR="00311D71">
        <w:t>).</w:t>
      </w:r>
    </w:p>
    <w:p w14:paraId="316C5A75" w14:textId="58E62A04" w:rsidR="00311D71" w:rsidRDefault="00311D71" w:rsidP="00495085">
      <w:pPr>
        <w:pStyle w:val="Nivel2SM"/>
      </w:pPr>
      <w:r>
        <w:t>La idea es que las órdenes de los clientes son una importante fuente de información privada para los creadores de mercado: son una señal de cómo interpretan los clientes las noticias públicas.</w:t>
      </w:r>
    </w:p>
    <w:p w14:paraId="24D6FFF7" w14:textId="710A3AB2" w:rsidR="00311D71" w:rsidRDefault="00311D71" w:rsidP="00495085">
      <w:pPr>
        <w:pStyle w:val="Nivel2SM"/>
      </w:pPr>
      <w:r>
        <w:t xml:space="preserve">Esta información privada es revelada posteriormente al resto del mercado cuando los dealers realizan operaciones entre sí motivados principalmente por motivos de gestión de liquidez (mercado </w:t>
      </w:r>
      <w:proofErr w:type="spellStart"/>
      <w:r>
        <w:t>interdealer</w:t>
      </w:r>
      <w:proofErr w:type="spellEnd"/>
      <w:r>
        <w:t>).</w:t>
      </w:r>
    </w:p>
    <w:p w14:paraId="672668D1" w14:textId="77777777" w:rsidR="00311D71" w:rsidRDefault="00311D71" w:rsidP="00495085">
      <w:pPr>
        <w:pStyle w:val="Nivel2SM"/>
      </w:pPr>
      <w:r>
        <w:t>Esta estructura de mercado implica que el flujo de órdenes de los clientes puede ser un buen predictor de la apreciación o depreciación esperada del tipo de cambio. El flujo de órdenes es un indicador de la demanda neta de una divisa.</w:t>
      </w:r>
    </w:p>
    <w:p w14:paraId="478FFBB5" w14:textId="77777777" w:rsidR="00311D71" w:rsidRDefault="00311D71" w:rsidP="00311D71">
      <w:pPr>
        <w:pStyle w:val="Ttulo7"/>
      </w:pPr>
      <w:r>
        <w:t>Implicaciones</w:t>
      </w:r>
    </w:p>
    <w:p w14:paraId="79B82A2A" w14:textId="77777777" w:rsidR="00311D71" w:rsidRDefault="00311D71" w:rsidP="00471325">
      <w:pPr>
        <w:pStyle w:val="Nivel1SM"/>
        <w:spacing w:before="0"/>
      </w:pPr>
    </w:p>
    <w:p w14:paraId="29367E2D" w14:textId="77777777" w:rsidR="00311D71" w:rsidRDefault="00311D71" w:rsidP="00311D71">
      <w:pPr>
        <w:pStyle w:val="Ttulo6"/>
      </w:pPr>
      <w:bookmarkStart w:id="108" w:name="_Toc136424425"/>
      <w:r>
        <w:t>Evidencia empírica</w:t>
      </w:r>
      <w:bookmarkEnd w:id="108"/>
    </w:p>
    <w:p w14:paraId="2A935400" w14:textId="0B12A558" w:rsidR="00311D71" w:rsidRDefault="00311D71" w:rsidP="00471325">
      <w:pPr>
        <w:pStyle w:val="Nivel1SM"/>
        <w:spacing w:before="0"/>
      </w:pPr>
      <w:r w:rsidRPr="0036279C">
        <w:rPr>
          <w:smallCaps/>
        </w:rPr>
        <w:t>Evans</w:t>
      </w:r>
      <w:r>
        <w:t xml:space="preserve"> y </w:t>
      </w:r>
      <w:proofErr w:type="spellStart"/>
      <w:r w:rsidRPr="0036279C">
        <w:rPr>
          <w:smallCaps/>
        </w:rPr>
        <w:t>Lyons</w:t>
      </w:r>
      <w:proofErr w:type="spellEnd"/>
      <w:r>
        <w:t>, y posteriormente otros autores, contrastaron empíricamente el modelo y encontraron que en plazos desde un día a un mes, su modelo de flujo de órdenes tenía mayor capacidad predictiva del tipo de cambio que los modelos tradicionales basados en fundamentos macro</w:t>
      </w:r>
      <w:r w:rsidR="00AE2CD8">
        <w:t>económicos</w:t>
      </w:r>
      <w:r>
        <w:t xml:space="preserve"> y también superaba a un paseo aleatorio</w:t>
      </w:r>
      <w:r w:rsidR="00AE2CD8">
        <w:t>.</w:t>
      </w:r>
    </w:p>
    <w:p w14:paraId="5A52D2A1" w14:textId="77777777" w:rsidR="00342648" w:rsidRDefault="00342648" w:rsidP="00E5034D">
      <w:pPr>
        <w:pStyle w:val="Introduccinyconclusin"/>
      </w:pPr>
      <w:r>
        <w:t>CONCLUSIÓN</w:t>
      </w:r>
      <w:bookmarkEnd w:id="93"/>
      <w:bookmarkEnd w:id="94"/>
      <w:bookmarkEnd w:id="95"/>
      <w:bookmarkEnd w:id="96"/>
    </w:p>
    <w:p w14:paraId="366757F6" w14:textId="77777777" w:rsidR="002E0C48" w:rsidRPr="00AC65FF" w:rsidRDefault="00A42B58" w:rsidP="00F41332">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1FB8E6F8" w14:textId="10E6AF00" w:rsidR="00195819" w:rsidRDefault="00195819" w:rsidP="00C4210F">
      <w:pPr>
        <w:pStyle w:val="Nivel2"/>
      </w:pPr>
      <w:r>
        <w:t>A lo largo de esta exposición</w:t>
      </w:r>
      <w:r w:rsidR="00495085">
        <w:t>,</w:t>
      </w:r>
      <w:r>
        <w:t xml:space="preserve"> hemos visto diferentes teorías que pretenden predecir la evolución del tipo de cambio.</w:t>
      </w:r>
    </w:p>
    <w:p w14:paraId="22BF5FE3" w14:textId="39753FB6" w:rsidR="00195819" w:rsidRDefault="00195819" w:rsidP="00195819">
      <w:pPr>
        <w:pStyle w:val="Nivel2"/>
        <w:keepNext/>
        <w:spacing w:after="0"/>
      </w:pPr>
      <w:r>
        <w:t xml:space="preserve">Las diferentes teorías deben considerarse </w:t>
      </w:r>
      <w:r w:rsidRPr="00364519">
        <w:rPr>
          <w:b/>
          <w:bCs/>
        </w:rPr>
        <w:t>complementarias</w:t>
      </w:r>
      <w:r>
        <w:t>.</w:t>
      </w:r>
    </w:p>
    <w:p w14:paraId="6219FDC9" w14:textId="33DB09CA" w:rsidR="00195819" w:rsidRDefault="00195819" w:rsidP="00195819">
      <w:pPr>
        <w:pStyle w:val="Nivel3"/>
      </w:pPr>
      <w:r>
        <w:t>No son incorrectas, pero son incompletas.</w:t>
      </w:r>
    </w:p>
    <w:p w14:paraId="75135D67" w14:textId="13F62878" w:rsidR="00195819" w:rsidRPr="00F41332" w:rsidRDefault="00195819" w:rsidP="00364519">
      <w:pPr>
        <w:pStyle w:val="Nivel3"/>
        <w:rPr>
          <w:spacing w:val="-6"/>
        </w:rPr>
      </w:pPr>
      <w:r w:rsidRPr="00F41332">
        <w:rPr>
          <w:spacing w:val="-6"/>
        </w:rPr>
        <w:t xml:space="preserve">En particular, diferentes teorías son más apropiadas para </w:t>
      </w:r>
      <w:r w:rsidR="00F41332">
        <w:rPr>
          <w:spacing w:val="-6"/>
        </w:rPr>
        <w:t>distintos</w:t>
      </w:r>
      <w:r w:rsidRPr="00F41332">
        <w:rPr>
          <w:spacing w:val="-6"/>
        </w:rPr>
        <w:t xml:space="preserve"> horizontes temporales.</w:t>
      </w:r>
    </w:p>
    <w:p w14:paraId="36B75CAD" w14:textId="77777777" w:rsidR="002E5448" w:rsidRDefault="007402FC" w:rsidP="00195819">
      <w:pPr>
        <w:pStyle w:val="Nivel2"/>
        <w:keepNext/>
        <w:spacing w:after="0"/>
      </w:pPr>
      <w:r>
        <w:t>Y es que son muchos los fenómenos complejos que influyen en la determinación del tipo de cambio.</w:t>
      </w:r>
    </w:p>
    <w:p w14:paraId="2194E2B2" w14:textId="3BA67DDD" w:rsidR="007402FC" w:rsidRPr="00071516" w:rsidRDefault="00DF5EB2" w:rsidP="002E5448">
      <w:pPr>
        <w:pStyle w:val="Nivel3"/>
        <w:rPr>
          <w:spacing w:val="-3"/>
        </w:rPr>
      </w:pPr>
      <w:proofErr w:type="spellStart"/>
      <w:r w:rsidRPr="00071516">
        <w:rPr>
          <w:smallCaps/>
          <w:spacing w:val="-3"/>
        </w:rPr>
        <w:t>Edgeworth</w:t>
      </w:r>
      <w:proofErr w:type="spellEnd"/>
      <w:r w:rsidR="00071516" w:rsidRPr="00071516">
        <w:rPr>
          <w:spacing w:val="-3"/>
        </w:rPr>
        <w:t xml:space="preserve">, </w:t>
      </w:r>
      <w:r w:rsidRPr="00071516">
        <w:rPr>
          <w:spacing w:val="-3"/>
        </w:rPr>
        <w:t>en 1905</w:t>
      </w:r>
      <w:r w:rsidR="00071516" w:rsidRPr="00071516">
        <w:rPr>
          <w:spacing w:val="-3"/>
        </w:rPr>
        <w:t>,</w:t>
      </w:r>
      <w:r w:rsidRPr="00071516">
        <w:rPr>
          <w:spacing w:val="-3"/>
        </w:rPr>
        <w:t xml:space="preserve"> hablando de las curvas de oferta neta del profesor </w:t>
      </w:r>
      <w:r w:rsidRPr="00071516">
        <w:rPr>
          <w:smallCaps/>
          <w:spacing w:val="-3"/>
        </w:rPr>
        <w:t>Marshall</w:t>
      </w:r>
      <w:r w:rsidRPr="00071516">
        <w:rPr>
          <w:spacing w:val="-3"/>
        </w:rPr>
        <w:t xml:space="preserve"> dijo que el movimiento a lo largo de las curvas de oferta neta era como el movimiento de las manecillas de un reloj ya que corresponde a muchos movimientos imperceptibles de la maquinaria.</w:t>
      </w:r>
      <w:r w:rsidR="002E5448" w:rsidRPr="00071516">
        <w:rPr>
          <w:spacing w:val="-3"/>
        </w:rPr>
        <w:t xml:space="preserve"> Podríamos decir lo mismo de la determinación de los tipos de cambio.</w:t>
      </w:r>
    </w:p>
    <w:p w14:paraId="17B24C88" w14:textId="355F0994" w:rsidR="00195819" w:rsidRDefault="00195819" w:rsidP="00195819">
      <w:pPr>
        <w:pStyle w:val="Nivel2"/>
        <w:keepNext/>
        <w:spacing w:after="0"/>
      </w:pPr>
      <w:r>
        <w:lastRenderedPageBreak/>
        <w:t xml:space="preserve">Las teorías analizadas en la exposición también permiten justificar los hechos </w:t>
      </w:r>
      <w:r w:rsidR="004D5609">
        <w:t>empíricos</w:t>
      </w:r>
      <w:r>
        <w:t xml:space="preserve"> descritos por </w:t>
      </w:r>
      <w:proofErr w:type="spellStart"/>
      <w:r>
        <w:rPr>
          <w:smallCaps/>
        </w:rPr>
        <w:t>Mussa</w:t>
      </w:r>
      <w:proofErr w:type="spellEnd"/>
      <w:r>
        <w:t>:</w:t>
      </w:r>
    </w:p>
    <w:p w14:paraId="35A63A4E" w14:textId="19D9A97B" w:rsidR="00EB707E" w:rsidRDefault="00702869" w:rsidP="00195819">
      <w:pPr>
        <w:pStyle w:val="Nivel3"/>
      </w:pPr>
      <w:r>
        <w:t xml:space="preserve">A </w:t>
      </w:r>
      <w:r>
        <w:rPr>
          <w:b/>
          <w:bCs/>
        </w:rPr>
        <w:t>corto plazo</w:t>
      </w:r>
      <w:r>
        <w:t xml:space="preserve"> el tipo de cambio es </w:t>
      </w:r>
      <w:r>
        <w:rPr>
          <w:i/>
          <w:iCs/>
          <w:u w:val="single"/>
        </w:rPr>
        <w:t>impredecible</w:t>
      </w:r>
      <w:r>
        <w:t xml:space="preserve">, dado que influyen fuertemente las </w:t>
      </w:r>
      <w:r>
        <w:rPr>
          <w:i/>
          <w:iCs/>
        </w:rPr>
        <w:t>expectativas</w:t>
      </w:r>
      <w:r>
        <w:t>, y éstas son volátiles, cambiantes etéreas y muy difíciles de evaluar. Además</w:t>
      </w:r>
      <w:r w:rsidR="00B404BC">
        <w:t>,</w:t>
      </w:r>
      <w:r>
        <w:t xml:space="preserve"> podría ser que esta volatilidad sea consistente con sus fundamentos, por lo que puede ser muy difícil identificar movimientos especulativos desestabilizadores d</w:t>
      </w:r>
      <w:r w:rsidR="00B404BC">
        <w:t>e</w:t>
      </w:r>
      <w:r>
        <w:t>l tipo de cambio en la medida que cambios bruscos pueden ser el resultado de acciones racionales y consistentes con el largo plazo.</w:t>
      </w:r>
    </w:p>
    <w:p w14:paraId="366D447C" w14:textId="65EA398F" w:rsidR="00702869" w:rsidRDefault="00702869" w:rsidP="00195819">
      <w:pPr>
        <w:pStyle w:val="Nivel3"/>
        <w:keepNext/>
      </w:pPr>
      <w:r>
        <w:t xml:space="preserve">A </w:t>
      </w:r>
      <w:r>
        <w:rPr>
          <w:b/>
          <w:bCs/>
        </w:rPr>
        <w:t>largo plazo</w:t>
      </w:r>
      <w:r>
        <w:t xml:space="preserve">, el tipo de cambio es </w:t>
      </w:r>
      <w:r>
        <w:rPr>
          <w:i/>
          <w:iCs/>
          <w:u w:val="single"/>
        </w:rPr>
        <w:t>más predecible</w:t>
      </w:r>
      <w:r>
        <w:t>, y depende de muchos factores:</w:t>
      </w:r>
    </w:p>
    <w:p w14:paraId="65AF186F" w14:textId="6BE7FD66" w:rsidR="00702869" w:rsidRDefault="00702869" w:rsidP="00983087">
      <w:pPr>
        <w:pStyle w:val="Nivel4"/>
      </w:pPr>
      <w:r w:rsidRPr="00983087">
        <w:rPr>
          <w:i/>
          <w:iCs/>
        </w:rPr>
        <w:t>Oferta monetaria nacional en relación a la extranjera</w:t>
      </w:r>
      <w:r w:rsidR="00F54D3C">
        <w:t xml:space="preserve"> (depreciación)</w:t>
      </w:r>
      <w:r>
        <w:t>,</w:t>
      </w:r>
    </w:p>
    <w:p w14:paraId="47DC537B" w14:textId="5633E4E2" w:rsidR="00702869" w:rsidRDefault="00702869" w:rsidP="00983087">
      <w:pPr>
        <w:pStyle w:val="Nivel4"/>
      </w:pPr>
      <w:r w:rsidRPr="00983087">
        <w:rPr>
          <w:i/>
          <w:iCs/>
        </w:rPr>
        <w:t>Renta nacional en relación a la extranjera</w:t>
      </w:r>
      <w:r w:rsidR="00F54D3C">
        <w:t xml:space="preserve"> (apreciación)</w:t>
      </w:r>
      <w:r>
        <w:t>,</w:t>
      </w:r>
    </w:p>
    <w:p w14:paraId="03CF0896" w14:textId="2D6599D4" w:rsidR="00702869" w:rsidRDefault="00702869" w:rsidP="00983087">
      <w:pPr>
        <w:pStyle w:val="Nivel4"/>
      </w:pPr>
      <w:r w:rsidRPr="00983087">
        <w:rPr>
          <w:i/>
          <w:iCs/>
        </w:rPr>
        <w:t>Tipo de interés nacional en relación al extranjero</w:t>
      </w:r>
      <w:r w:rsidR="00F54D3C">
        <w:t xml:space="preserve"> (depreciación</w:t>
      </w:r>
      <w:r w:rsidR="00F54D3C" w:rsidRPr="00F54D3C">
        <w:rPr>
          <w:rStyle w:val="Refdenotaalpie"/>
        </w:rPr>
        <w:footnoteReference w:id="49"/>
      </w:r>
      <w:r w:rsidR="00F54D3C">
        <w:t>)</w:t>
      </w:r>
      <w:r>
        <w:t>,</w:t>
      </w:r>
      <w:r w:rsidR="00286D8F">
        <w:t xml:space="preserve"> y</w:t>
      </w:r>
    </w:p>
    <w:p w14:paraId="089D9A89" w14:textId="60E0D653" w:rsidR="00702869" w:rsidRDefault="00D16E36" w:rsidP="00983087">
      <w:pPr>
        <w:pStyle w:val="Nivel4"/>
      </w:pPr>
      <w:r w:rsidRPr="00983087">
        <w:rPr>
          <w:i/>
          <w:iCs/>
        </w:rPr>
        <w:t>Tasa de inflación nacional</w:t>
      </w:r>
      <w:r w:rsidR="00702869" w:rsidRPr="00983087">
        <w:rPr>
          <w:i/>
          <w:iCs/>
        </w:rPr>
        <w:t xml:space="preserve"> en relación a la extranjera</w:t>
      </w:r>
      <w:r w:rsidR="00F54D3C" w:rsidRPr="00F54D3C">
        <w:t xml:space="preserve"> </w:t>
      </w:r>
      <w:r w:rsidR="00F54D3C">
        <w:t>(depreciación).</w:t>
      </w:r>
    </w:p>
    <w:p w14:paraId="2C8B0E70" w14:textId="6983AFB5" w:rsidR="002E3ED7" w:rsidRPr="000D6891" w:rsidRDefault="002E3ED7" w:rsidP="002E3ED7">
      <w:pPr>
        <w:pStyle w:val="Nivel2"/>
        <w:keepNext/>
        <w:spacing w:after="0"/>
        <w:rPr>
          <w:spacing w:val="-3"/>
        </w:rPr>
      </w:pPr>
      <w:r w:rsidRPr="000D6891">
        <w:rPr>
          <w:spacing w:val="-3"/>
        </w:rPr>
        <w:t xml:space="preserve">En cuanto a la evidencia empírica más reciente, podemos destacar la revisión en profundidad de la literatura empírica de </w:t>
      </w:r>
      <w:r w:rsidRPr="000D6891">
        <w:rPr>
          <w:smallCaps/>
          <w:spacing w:val="-3"/>
        </w:rPr>
        <w:t>Rossi</w:t>
      </w:r>
      <w:r w:rsidRPr="000D6891">
        <w:rPr>
          <w:spacing w:val="-3"/>
        </w:rPr>
        <w:t xml:space="preserve"> </w:t>
      </w:r>
      <w:r w:rsidR="000D6891">
        <w:rPr>
          <w:spacing w:val="-3"/>
        </w:rPr>
        <w:t>(</w:t>
      </w:r>
      <w:r w:rsidRPr="000D6891">
        <w:rPr>
          <w:spacing w:val="-3"/>
        </w:rPr>
        <w:t>2013</w:t>
      </w:r>
      <w:r w:rsidR="000D6891">
        <w:rPr>
          <w:spacing w:val="-3"/>
        </w:rPr>
        <w:t>)</w:t>
      </w:r>
      <w:r w:rsidRPr="000D6891">
        <w:rPr>
          <w:spacing w:val="-3"/>
        </w:rPr>
        <w:t xml:space="preserve">, </w:t>
      </w:r>
      <w:r w:rsidR="000D6891">
        <w:rPr>
          <w:spacing w:val="-3"/>
        </w:rPr>
        <w:t>que</w:t>
      </w:r>
      <w:r w:rsidRPr="000D6891">
        <w:rPr>
          <w:spacing w:val="-3"/>
        </w:rPr>
        <w:t xml:space="preserve"> llega a las siguientes conclusiones:</w:t>
      </w:r>
    </w:p>
    <w:p w14:paraId="13193B7F" w14:textId="1AFA6F7E" w:rsidR="002E3ED7" w:rsidRDefault="002E3ED7" w:rsidP="00357EBA">
      <w:pPr>
        <w:pStyle w:val="Nivel3"/>
        <w:keepNext/>
      </w:pPr>
      <w:r>
        <w:t>Los estudios empíricos han podido destacar algún éxito en la capacidad predictiva</w:t>
      </w:r>
      <w:r w:rsidR="00357EBA">
        <w:t>, pero existe una elevada inestabilidad de la capacidad predictiva a lo largo del tiempo y entre países</w:t>
      </w:r>
      <w:r>
        <w:t>.</w:t>
      </w:r>
    </w:p>
    <w:p w14:paraId="33CE83BC" w14:textId="1C6ABE33" w:rsidR="002E3ED7" w:rsidRPr="00F41332" w:rsidRDefault="002E3ED7" w:rsidP="00357EBA">
      <w:pPr>
        <w:pStyle w:val="Nivel4"/>
        <w:rPr>
          <w:spacing w:val="-4"/>
        </w:rPr>
      </w:pPr>
      <w:r w:rsidRPr="00F41332">
        <w:rPr>
          <w:spacing w:val="-4"/>
        </w:rPr>
        <w:t xml:space="preserve">En efecto, para algunos países el modelo monetario a largo plazo ha tenido resultados positivos, mientras que para otros </w:t>
      </w:r>
      <w:r w:rsidR="00357EBA" w:rsidRPr="00F41332">
        <w:rPr>
          <w:spacing w:val="-4"/>
        </w:rPr>
        <w:t xml:space="preserve">ha obtenido peores resultados (p.ej. como consecuencia de </w:t>
      </w:r>
      <w:r w:rsidRPr="00F41332">
        <w:rPr>
          <w:spacing w:val="-4"/>
        </w:rPr>
        <w:t>la respuesta del banco central en base a regla</w:t>
      </w:r>
      <w:r w:rsidR="00357EBA" w:rsidRPr="00F41332">
        <w:rPr>
          <w:spacing w:val="-4"/>
        </w:rPr>
        <w:t>s</w:t>
      </w:r>
      <w:r w:rsidRPr="00F41332">
        <w:rPr>
          <w:spacing w:val="-4"/>
        </w:rPr>
        <w:t xml:space="preserve"> de tipo Taylor</w:t>
      </w:r>
      <w:r w:rsidR="00357EBA" w:rsidRPr="00F41332">
        <w:rPr>
          <w:spacing w:val="-4"/>
        </w:rPr>
        <w:t>).</w:t>
      </w:r>
    </w:p>
    <w:p w14:paraId="460F6220" w14:textId="67D9CAEC" w:rsidR="00357EBA" w:rsidRDefault="00357EBA" w:rsidP="002E3ED7">
      <w:pPr>
        <w:pStyle w:val="Nivel3"/>
      </w:pPr>
      <w:r>
        <w:t xml:space="preserve">Sin embargo, ningún modelo es capaz de superar a un </w:t>
      </w:r>
      <w:proofErr w:type="spellStart"/>
      <w:r>
        <w:rPr>
          <w:i/>
          <w:iCs/>
        </w:rPr>
        <w:t>random</w:t>
      </w:r>
      <w:proofErr w:type="spellEnd"/>
      <w:r>
        <w:rPr>
          <w:i/>
          <w:iCs/>
        </w:rPr>
        <w:t xml:space="preserve"> </w:t>
      </w:r>
      <w:proofErr w:type="spellStart"/>
      <w:r>
        <w:rPr>
          <w:i/>
          <w:iCs/>
        </w:rPr>
        <w:t>walk</w:t>
      </w:r>
      <w:proofErr w:type="spellEnd"/>
      <w:r>
        <w:t xml:space="preserve"> de forma sistemática para distintas frecuencias, países y períodos muestrales.</w:t>
      </w:r>
    </w:p>
    <w:p w14:paraId="743D4DF3" w14:textId="77777777" w:rsidR="005E53B9" w:rsidRPr="00AC65FF" w:rsidRDefault="002E0C48" w:rsidP="00C40D25">
      <w:pPr>
        <w:pStyle w:val="Nivel1"/>
        <w:keepNext/>
        <w:spacing w:after="0"/>
        <w:rPr>
          <w:spacing w:val="-4"/>
        </w:rPr>
      </w:pPr>
      <w:r w:rsidRPr="00AC65FF">
        <w:rPr>
          <w:b/>
          <w:bCs/>
          <w:i/>
          <w:iCs/>
          <w:spacing w:val="-4"/>
        </w:rPr>
        <w:t>Relevancia</w:t>
      </w:r>
      <w:r w:rsidRPr="00AC65FF">
        <w:rPr>
          <w:spacing w:val="-4"/>
        </w:rPr>
        <w:t>:</w:t>
      </w:r>
    </w:p>
    <w:p w14:paraId="6EE46041" w14:textId="77777777" w:rsidR="00502A72" w:rsidRDefault="00502A72" w:rsidP="00C4210F">
      <w:pPr>
        <w:pStyle w:val="Nivel2"/>
      </w:pPr>
    </w:p>
    <w:p w14:paraId="4A4D9CEB" w14:textId="77777777" w:rsidR="00342648" w:rsidRPr="00AC65FF" w:rsidRDefault="002E0C48" w:rsidP="00C40D25">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1E89AE3A" w14:textId="77777777" w:rsidR="00F2467B" w:rsidRDefault="00F2467B" w:rsidP="00C4210F">
      <w:pPr>
        <w:pStyle w:val="Nivel2"/>
      </w:pPr>
    </w:p>
    <w:p w14:paraId="22EDAC28" w14:textId="77777777" w:rsidR="009E71EC" w:rsidRPr="00AC65FF" w:rsidRDefault="009E71EC" w:rsidP="00C40D25">
      <w:pPr>
        <w:pStyle w:val="Nivel1"/>
        <w:keepNext/>
        <w:spacing w:after="0"/>
        <w:rPr>
          <w:spacing w:val="-4"/>
        </w:rPr>
      </w:pPr>
      <w:r w:rsidRPr="00AC65FF">
        <w:rPr>
          <w:b/>
          <w:bCs/>
          <w:i/>
          <w:iCs/>
          <w:spacing w:val="-4"/>
        </w:rPr>
        <w:t>Opinión</w:t>
      </w:r>
      <w:r w:rsidRPr="00AC65FF">
        <w:rPr>
          <w:spacing w:val="-4"/>
        </w:rPr>
        <w:t>:</w:t>
      </w:r>
    </w:p>
    <w:p w14:paraId="12F24025" w14:textId="77777777" w:rsidR="007D4C76" w:rsidRDefault="007D4C76" w:rsidP="007D4C76">
      <w:pPr>
        <w:pStyle w:val="Nivel2"/>
      </w:pPr>
    </w:p>
    <w:p w14:paraId="72937519" w14:textId="77777777" w:rsidR="00F2467B" w:rsidRPr="00AC65FF" w:rsidRDefault="00A42B58" w:rsidP="00C40D25">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0AA382CA" w14:textId="7F358FC0" w:rsidR="008233F9" w:rsidRDefault="002E3ED7" w:rsidP="00F41332">
      <w:pPr>
        <w:pStyle w:val="Nivel2"/>
      </w:pPr>
      <w:r>
        <w:t>En definitiva, el tipo de cambio es una variable inestable y muy difícil de predecir, pero que parece que a largo plazo sí pueda tener alguna relación con los fundamentales.</w:t>
      </w:r>
      <w:r w:rsidR="008233F9">
        <w:br w:type="page"/>
      </w:r>
    </w:p>
    <w:p w14:paraId="3DDD2380" w14:textId="77777777" w:rsidR="00342648" w:rsidRDefault="00342648" w:rsidP="00342648">
      <w:pPr>
        <w:pStyle w:val="Ttulo4"/>
      </w:pPr>
      <w:r>
        <w:lastRenderedPageBreak/>
        <w:t>Bibliografía</w:t>
      </w:r>
    </w:p>
    <w:p w14:paraId="67A7AE1A" w14:textId="2170C6CE" w:rsidR="00342648" w:rsidRDefault="00000000" w:rsidP="0088235D">
      <w:pPr>
        <w:pStyle w:val="Bibliografa"/>
        <w:rPr>
          <w:rStyle w:val="Hipervnculo"/>
        </w:rPr>
      </w:pPr>
      <w:hyperlink r:id="rId27" w:history="1">
        <w:r w:rsidR="00AD654E" w:rsidRPr="007174B7">
          <w:rPr>
            <w:rStyle w:val="Hipervnculo"/>
          </w:rPr>
          <w:t>https://pubs.aeaweb.org/doi/pdfplus/10.1257/0895330042632744</w:t>
        </w:r>
      </w:hyperlink>
    </w:p>
    <w:p w14:paraId="7C34D827" w14:textId="77777777" w:rsidR="00F41332" w:rsidRDefault="00AD654E" w:rsidP="00AD654E">
      <w:r>
        <w:t>Tema ICEX-CECO</w:t>
      </w:r>
    </w:p>
    <w:p w14:paraId="4EF04CF5" w14:textId="5F5E00D3" w:rsidR="00DE3D48" w:rsidRDefault="00DE3D48" w:rsidP="00AD654E">
      <w:r w:rsidRPr="00DE3D48">
        <w:t xml:space="preserve">Comín </w:t>
      </w:r>
      <w:proofErr w:type="spellStart"/>
      <w:r w:rsidRPr="00DE3D48">
        <w:t>Comín</w:t>
      </w:r>
      <w:proofErr w:type="spellEnd"/>
      <w:r w:rsidRPr="00DE3D48">
        <w:t xml:space="preserve">, F. (2014). </w:t>
      </w:r>
      <w:r w:rsidRPr="00DE3D48">
        <w:rPr>
          <w:i/>
          <w:iCs/>
        </w:rPr>
        <w:t>Historia económica mundial: De los orígenes a la actualidad</w:t>
      </w:r>
      <w:r w:rsidRPr="00DE3D48">
        <w:t>. Alianza.</w:t>
      </w:r>
    </w:p>
    <w:p w14:paraId="789B618C" w14:textId="003F66BA" w:rsidR="00F41332" w:rsidRPr="00AD654E" w:rsidRDefault="00F41332" w:rsidP="00AD654E">
      <w:r>
        <w:t>Tema Juan Luis Cordero Tarifa.</w:t>
      </w:r>
    </w:p>
    <w:p w14:paraId="26CF1C06" w14:textId="77777777" w:rsidR="00A5364C" w:rsidRDefault="00A5364C" w:rsidP="00A5364C">
      <w:pPr>
        <w:pStyle w:val="Ttulo4"/>
      </w:pPr>
      <w:r>
        <w:t>Preguntas de otros exámenes</w:t>
      </w:r>
    </w:p>
    <w:p w14:paraId="7272E054" w14:textId="77777777" w:rsidR="00A5364C" w:rsidRDefault="00A5364C" w:rsidP="00A5364C">
      <w:pPr>
        <w:pStyle w:val="Nivel2SM"/>
        <w:ind w:hanging="142"/>
        <w:contextualSpacing w:val="0"/>
      </w:pPr>
    </w:p>
    <w:p w14:paraId="3C14E1AA" w14:textId="77777777" w:rsidR="00A5364C" w:rsidRDefault="00A5364C" w:rsidP="00A5364C">
      <w:pPr>
        <w:pStyle w:val="Ttulo4"/>
      </w:pPr>
      <w:r>
        <w:t>Enlace a preguntas tipo test</w:t>
      </w:r>
    </w:p>
    <w:p w14:paraId="08220702" w14:textId="3FD1CC13" w:rsidR="00A5364C" w:rsidRPr="00225B15" w:rsidRDefault="005F7BBC" w:rsidP="00A5364C">
      <w:r w:rsidRPr="005F7BBC">
        <w:rPr>
          <w:rStyle w:val="Hipervnculo"/>
        </w:rPr>
        <w:t>https://www.quia.com/quiz/6562944.html</w:t>
      </w:r>
    </w:p>
    <w:p w14:paraId="1C739FCF" w14:textId="77777777" w:rsidR="00342648" w:rsidRDefault="00342648" w:rsidP="00342648">
      <w:pPr>
        <w:pStyle w:val="Ttulo4"/>
      </w:pPr>
      <w:r w:rsidRPr="00342648">
        <w:t>Anexos</w:t>
      </w:r>
    </w:p>
    <w:p w14:paraId="57CD50D9" w14:textId="0F3DD8ED" w:rsidR="00103D02" w:rsidRDefault="00342648" w:rsidP="00C44422">
      <w:pPr>
        <w:pStyle w:val="Ttulo5"/>
        <w:rPr>
          <w:u w:val="none"/>
        </w:rPr>
      </w:pPr>
      <w:bookmarkStart w:id="109" w:name="_Ref112946050"/>
      <w:r w:rsidRPr="0002549F">
        <w:t>Anexo</w:t>
      </w:r>
      <w:r w:rsidR="00471325">
        <w:t> </w:t>
      </w:r>
      <w:r w:rsidRPr="0002549F">
        <w:t>1</w:t>
      </w:r>
      <w:r w:rsidR="00D564BC">
        <w:rPr>
          <w:u w:val="none"/>
        </w:rPr>
        <w:t xml:space="preserve">: </w:t>
      </w:r>
      <w:r w:rsidR="00C5426C">
        <w:rPr>
          <w:u w:val="none"/>
        </w:rPr>
        <w:t>Evidencia empírica acerca de la PPA</w:t>
      </w:r>
      <w:bookmarkEnd w:id="109"/>
    </w:p>
    <w:p w14:paraId="1ECBEF81" w14:textId="77777777" w:rsidR="00C5426C" w:rsidRDefault="00C5426C" w:rsidP="00471325">
      <w:pPr>
        <w:pStyle w:val="Nivel1SM"/>
        <w:keepNext/>
        <w:spacing w:before="0" w:after="0"/>
      </w:pPr>
      <w:r>
        <w:t xml:space="preserve">Los </w:t>
      </w:r>
      <w:r w:rsidRPr="00D9403D">
        <w:rPr>
          <w:b/>
          <w:bCs/>
          <w:u w:val="single"/>
        </w:rPr>
        <w:t>estudios empíricos</w:t>
      </w:r>
      <w:r>
        <w:t xml:space="preserve"> sobre la PPA han ido evolucionando y haciéndose más sofisticados en paralelo a los avances en las técnicas econométricas.</w:t>
      </w:r>
    </w:p>
    <w:p w14:paraId="10AFFCC3" w14:textId="77777777" w:rsidR="00C5426C" w:rsidRPr="00513AE1" w:rsidRDefault="00C5426C" w:rsidP="00C5426C">
      <w:pPr>
        <w:pStyle w:val="Nivel2SM"/>
        <w:keepNext/>
        <w:spacing w:after="0"/>
        <w:rPr>
          <w:spacing w:val="-2"/>
        </w:rPr>
      </w:pPr>
      <w:r w:rsidRPr="00902861">
        <w:rPr>
          <w:spacing w:val="-5"/>
        </w:rPr>
        <w:t xml:space="preserve">Los </w:t>
      </w:r>
      <w:r w:rsidRPr="00065097">
        <w:rPr>
          <w:i/>
          <w:iCs/>
          <w:spacing w:val="-5"/>
          <w:u w:val="single"/>
        </w:rPr>
        <w:t>primeros estudios</w:t>
      </w:r>
      <w:r w:rsidRPr="00902861">
        <w:rPr>
          <w:spacing w:val="-5"/>
        </w:rPr>
        <w:t xml:space="preserve"> que emplearon </w:t>
      </w:r>
      <w:r w:rsidRPr="00A522A1">
        <w:rPr>
          <w:i/>
          <w:iCs/>
          <w:spacing w:val="-5"/>
          <w:u w:val="single"/>
        </w:rPr>
        <w:t>regresiones clásicas</w:t>
      </w:r>
      <w:r w:rsidRPr="00902861">
        <w:rPr>
          <w:spacing w:val="-5"/>
        </w:rPr>
        <w:t xml:space="preserve"> no encontraron evidencia en favor de la PPA,</w:t>
      </w:r>
      <w:r w:rsidRPr="00902861">
        <w:rPr>
          <w:spacing w:val="-4"/>
        </w:rPr>
        <w:t xml:space="preserve"> </w:t>
      </w:r>
      <w:r w:rsidRPr="00513AE1">
        <w:rPr>
          <w:spacing w:val="-2"/>
        </w:rPr>
        <w:t xml:space="preserve">salvo un estudio de </w:t>
      </w:r>
      <w:r w:rsidRPr="00513AE1">
        <w:rPr>
          <w:smallCaps/>
          <w:spacing w:val="-2"/>
        </w:rPr>
        <w:t>Frenkel</w:t>
      </w:r>
      <w:r w:rsidRPr="00513AE1">
        <w:rPr>
          <w:spacing w:val="-2"/>
        </w:rPr>
        <w:t xml:space="preserve"> (1976) que sí que la encontraba durante la hiperinflación alemana.</w:t>
      </w:r>
    </w:p>
    <w:p w14:paraId="4A807099" w14:textId="5BB60046" w:rsidR="00C5426C" w:rsidRDefault="00C5426C" w:rsidP="00C5426C">
      <w:pPr>
        <w:pStyle w:val="Nivel3SM"/>
      </w:pPr>
      <w:r>
        <w:t>La conclusión fue que la PPA s</w:t>
      </w:r>
      <w:r w:rsidR="00A522A1">
        <w:t>ó</w:t>
      </w:r>
      <w:r>
        <w:t>lo se cumplía cuando predominaban los shocks monetarios frente a los reales.</w:t>
      </w:r>
    </w:p>
    <w:p w14:paraId="3C6C7A6B" w14:textId="77777777" w:rsidR="00C5426C" w:rsidRDefault="00C5426C" w:rsidP="00C5426C">
      <w:pPr>
        <w:pStyle w:val="Nivel2SM"/>
        <w:keepNext/>
        <w:spacing w:after="0"/>
      </w:pPr>
      <w:r w:rsidRPr="00065097">
        <w:rPr>
          <w:i/>
          <w:iCs/>
          <w:u w:val="single"/>
        </w:rPr>
        <w:t>En la década de 1980</w:t>
      </w:r>
      <w:r>
        <w:t xml:space="preserve">, con el desarrollo de </w:t>
      </w:r>
      <w:r w:rsidRPr="00BC2795">
        <w:rPr>
          <w:i/>
          <w:iCs/>
        </w:rPr>
        <w:t>nuevas técnicas econométricas</w:t>
      </w:r>
      <w:r>
        <w:t>, renació esta literatura empírica.</w:t>
      </w:r>
    </w:p>
    <w:p w14:paraId="5CF2E020" w14:textId="77777777" w:rsidR="003D294C" w:rsidRDefault="00C5426C" w:rsidP="003D294C">
      <w:pPr>
        <w:pStyle w:val="Nivel3SM"/>
        <w:keepNext/>
      </w:pPr>
      <w:r w:rsidRPr="00A522A1">
        <w:t xml:space="preserve">Muchos estudios se centraron en comprobar si el tipo de cambio real tiende a converger hacia un nivel de equilibrio a largo plazo (es decir, </w:t>
      </w:r>
      <w:r w:rsidR="00A522A1" w:rsidRPr="00A522A1">
        <w:rPr>
          <w:i/>
          <w:iCs/>
          <w:u w:val="single"/>
        </w:rPr>
        <w:t xml:space="preserve">contrastar </w:t>
      </w:r>
      <w:r w:rsidRPr="00A522A1">
        <w:rPr>
          <w:i/>
          <w:iCs/>
          <w:u w:val="single"/>
        </w:rPr>
        <w:t xml:space="preserve">si </w:t>
      </w:r>
      <w:r w:rsidR="00A522A1" w:rsidRPr="00A522A1">
        <w:rPr>
          <w:i/>
          <w:iCs/>
          <w:u w:val="single"/>
        </w:rPr>
        <w:t xml:space="preserve">el tipo de cambio real </w:t>
      </w:r>
      <w:r w:rsidRPr="00A522A1">
        <w:rPr>
          <w:i/>
          <w:iCs/>
          <w:u w:val="single"/>
        </w:rPr>
        <w:t>es estacionario</w:t>
      </w:r>
      <w:r w:rsidRPr="00A522A1">
        <w:t>)</w:t>
      </w:r>
      <w:r>
        <w:t>, lo que sería evidencia de</w:t>
      </w:r>
      <w:r w:rsidR="000D6891">
        <w:t>l</w:t>
      </w:r>
      <w:r>
        <w:t xml:space="preserve"> cumplimiento hacia la PPA.</w:t>
      </w:r>
    </w:p>
    <w:p w14:paraId="28A136BC" w14:textId="2133D804" w:rsidR="00C5426C" w:rsidRDefault="000D6891" w:rsidP="003D294C">
      <w:pPr>
        <w:pStyle w:val="Nivel4"/>
        <w:ind w:left="1474"/>
      </w:pPr>
      <w:r>
        <w:t>Sin embargo, l</w:t>
      </w:r>
      <w:r w:rsidR="00C5426C">
        <w:t>a aplicación de estos estudios al período de flotación post-Bretton Woods, en general, no permite demostrar la existencia de un valor de equilibrio a largo plazo, de modo que las desviaciones de la PPA serían permanentes.</w:t>
      </w:r>
    </w:p>
    <w:p w14:paraId="77D506C8" w14:textId="2052664E" w:rsidR="00A522A1" w:rsidRPr="00065097" w:rsidRDefault="00C5426C" w:rsidP="00C5426C">
      <w:pPr>
        <w:pStyle w:val="Nivel2SM"/>
        <w:keepNext/>
        <w:spacing w:after="0"/>
        <w:rPr>
          <w:spacing w:val="-1"/>
        </w:rPr>
      </w:pPr>
      <w:r w:rsidRPr="00065097">
        <w:rPr>
          <w:i/>
          <w:iCs/>
          <w:spacing w:val="-1"/>
          <w:u w:val="single"/>
        </w:rPr>
        <w:t>Desde finales de los 80</w:t>
      </w:r>
      <w:r w:rsidRPr="00065097">
        <w:rPr>
          <w:spacing w:val="-1"/>
        </w:rPr>
        <w:t xml:space="preserve">, los estudios empíricos plantean un </w:t>
      </w:r>
      <w:r w:rsidRPr="00065097">
        <w:rPr>
          <w:i/>
          <w:iCs/>
          <w:spacing w:val="-1"/>
        </w:rPr>
        <w:t>criterio alternativo para contrastar la PPA</w:t>
      </w:r>
      <w:r w:rsidRPr="00065097">
        <w:rPr>
          <w:spacing w:val="-1"/>
        </w:rPr>
        <w:t>:</w:t>
      </w:r>
    </w:p>
    <w:p w14:paraId="4BBD984C" w14:textId="1B703272" w:rsidR="00C5426C" w:rsidRDefault="003D294C" w:rsidP="00A522A1">
      <w:pPr>
        <w:pStyle w:val="Nivel3SM"/>
        <w:keepNext/>
      </w:pPr>
      <w:r>
        <w:t xml:space="preserve">Las investigaciones buscan evidencia que sugiera </w:t>
      </w:r>
      <w:r w:rsidR="00C5426C" w:rsidRPr="00A522A1">
        <w:t xml:space="preserve">que el tipo de cambio nominal y el nivel relativo de precios entre dos países compartan una tendencia común, manteniendo una relación estable a largo plazo (es decir, </w:t>
      </w:r>
      <w:r w:rsidR="00A522A1" w:rsidRPr="00A522A1">
        <w:rPr>
          <w:i/>
          <w:iCs/>
          <w:u w:val="single"/>
        </w:rPr>
        <w:t>contrastar si el tipo de cambio nominal y el nivel relativo de precios</w:t>
      </w:r>
      <w:r w:rsidR="00C5426C" w:rsidRPr="00A522A1">
        <w:rPr>
          <w:i/>
          <w:iCs/>
          <w:u w:val="single"/>
        </w:rPr>
        <w:t xml:space="preserve"> s</w:t>
      </w:r>
      <w:r w:rsidR="00A522A1" w:rsidRPr="00A522A1">
        <w:rPr>
          <w:i/>
          <w:iCs/>
          <w:u w:val="single"/>
        </w:rPr>
        <w:t>o</w:t>
      </w:r>
      <w:r w:rsidR="00C5426C" w:rsidRPr="00A522A1">
        <w:rPr>
          <w:i/>
          <w:iCs/>
          <w:u w:val="single"/>
        </w:rPr>
        <w:t xml:space="preserve">n variables </w:t>
      </w:r>
      <w:proofErr w:type="spellStart"/>
      <w:r w:rsidR="00C5426C" w:rsidRPr="00A522A1">
        <w:rPr>
          <w:i/>
          <w:iCs/>
          <w:u w:val="single"/>
        </w:rPr>
        <w:t>cointegradas</w:t>
      </w:r>
      <w:proofErr w:type="spellEnd"/>
      <w:r w:rsidR="00C5426C" w:rsidRPr="00A522A1">
        <w:t>)</w:t>
      </w:r>
      <w:r w:rsidR="00C5426C">
        <w:t>.</w:t>
      </w:r>
    </w:p>
    <w:p w14:paraId="438878D2" w14:textId="77777777" w:rsidR="00C5426C" w:rsidRPr="005057F8" w:rsidRDefault="00C5426C" w:rsidP="00A522A1">
      <w:pPr>
        <w:pStyle w:val="Nivel4"/>
        <w:keepNext/>
        <w:ind w:left="1474"/>
      </w:pPr>
      <w:r w:rsidRPr="005057F8">
        <w:t xml:space="preserve">Estos estudios arrojaron </w:t>
      </w:r>
      <w:r w:rsidRPr="005057F8">
        <w:rPr>
          <w:i/>
          <w:iCs/>
        </w:rPr>
        <w:t>resultados mixtos sobre la PPA a largo plazo</w:t>
      </w:r>
      <w:r w:rsidRPr="005057F8">
        <w:t>. Algunos autores han argumentado que esto se debe a que el período de tiempo bajo flotación es insuficientemente largo como para demostrar la reversión a la media del tipo de cambio real a largo plazo.</w:t>
      </w:r>
    </w:p>
    <w:p w14:paraId="6709EE65" w14:textId="3F0BF7EF" w:rsidR="005057F8" w:rsidRDefault="00C5426C" w:rsidP="00052BBA">
      <w:pPr>
        <w:pStyle w:val="Nivel5"/>
        <w:ind w:left="1871"/>
      </w:pPr>
      <w:r>
        <w:t>Para intentar superar este problema, se han desarrollado estudios empleando las series temporales más largas disponibles o bien realizando estudios de panel para incluir un mayor número de tipos de cambio con el objetivo de disponer de más datos para el análisis.</w:t>
      </w:r>
      <w:r w:rsidR="003D294C">
        <w:t xml:space="preserve"> </w:t>
      </w:r>
      <w:r>
        <w:t>Algunos de estos estudios han obtenido resultados favorables al cumplimiento de la PPA a largo plazo.</w:t>
      </w:r>
    </w:p>
    <w:p w14:paraId="1F1477B7" w14:textId="77777777" w:rsidR="005057F8" w:rsidRDefault="00C5426C" w:rsidP="00C6272C">
      <w:pPr>
        <w:pStyle w:val="Nivel1SM"/>
        <w:keepNext/>
        <w:spacing w:after="0"/>
      </w:pPr>
      <w:r>
        <w:lastRenderedPageBreak/>
        <w:t xml:space="preserve">Pero incluso si suponemos que esta evidencia es suficiente respaldo al cumplimiento de la PPA relativa a largo plazo, aún </w:t>
      </w:r>
      <w:r w:rsidRPr="00A522A1">
        <w:rPr>
          <w:i/>
          <w:iCs/>
          <w:u w:val="single"/>
        </w:rPr>
        <w:t>faltaría por explicar la elevada persistencia de las desviaciones</w:t>
      </w:r>
      <w:r>
        <w:t xml:space="preserve"> en el tipo de cambio real.</w:t>
      </w:r>
    </w:p>
    <w:p w14:paraId="5CDC483F" w14:textId="65A3135C" w:rsidR="00C5426C" w:rsidRPr="00D9403D" w:rsidRDefault="00C5426C" w:rsidP="00D9403D">
      <w:pPr>
        <w:pStyle w:val="Nivel2SM"/>
        <w:keepLines/>
        <w:rPr>
          <w:spacing w:val="-4"/>
        </w:rPr>
      </w:pPr>
      <w:r w:rsidRPr="00D9403D">
        <w:rPr>
          <w:spacing w:val="-4"/>
        </w:rPr>
        <w:t xml:space="preserve">Si admitimos que los </w:t>
      </w:r>
      <w:r w:rsidRPr="00D9403D">
        <w:rPr>
          <w:i/>
          <w:iCs/>
          <w:spacing w:val="-4"/>
        </w:rPr>
        <w:t>shocks reales</w:t>
      </w:r>
      <w:r w:rsidRPr="00D9403D">
        <w:rPr>
          <w:spacing w:val="-4"/>
        </w:rPr>
        <w:t xml:space="preserve"> no pueden explicar la elevada volatilidad a corto plazo del tipo de cambio real </w:t>
      </w:r>
      <w:r w:rsidRPr="00D9403D">
        <w:rPr>
          <w:spacing w:val="-4"/>
          <w:sz w:val="19"/>
          <w:szCs w:val="19"/>
        </w:rPr>
        <w:t>(no parece realista pensar que la tecnología o las preferencias puedan ser tan volátiles)</w:t>
      </w:r>
      <w:r w:rsidRPr="00D9403D">
        <w:rPr>
          <w:spacing w:val="-4"/>
        </w:rPr>
        <w:t xml:space="preserve"> mientras que los </w:t>
      </w:r>
      <w:r w:rsidRPr="00D9403D">
        <w:rPr>
          <w:i/>
          <w:iCs/>
          <w:spacing w:val="-4"/>
        </w:rPr>
        <w:t>shocks nominales</w:t>
      </w:r>
      <w:r w:rsidRPr="00D9403D">
        <w:rPr>
          <w:spacing w:val="-4"/>
        </w:rPr>
        <w:t xml:space="preserve"> s</w:t>
      </w:r>
      <w:r w:rsidR="00A522A1" w:rsidRPr="00D9403D">
        <w:rPr>
          <w:spacing w:val="-4"/>
        </w:rPr>
        <w:t>ó</w:t>
      </w:r>
      <w:r w:rsidRPr="00D9403D">
        <w:rPr>
          <w:spacing w:val="-4"/>
        </w:rPr>
        <w:t>lo pueden tener efectos apreciables durante el tiempo que tardan precios y salarios en ajustarse, es difícil explicar la elevada persistencia del tipo de cambio real.</w:t>
      </w:r>
    </w:p>
    <w:p w14:paraId="36071DB5" w14:textId="2CE1917A" w:rsidR="005057F8" w:rsidRPr="005057F8" w:rsidRDefault="00C5426C" w:rsidP="00C6272C">
      <w:pPr>
        <w:pStyle w:val="Nivel2SM"/>
        <w:keepNext/>
        <w:spacing w:after="0"/>
      </w:pPr>
      <w:r w:rsidRPr="005057F8">
        <w:t xml:space="preserve">Los </w:t>
      </w:r>
      <w:r w:rsidRPr="00D9403D">
        <w:rPr>
          <w:b/>
          <w:bCs/>
        </w:rPr>
        <w:t>modelos de dinámica no</w:t>
      </w:r>
      <w:r w:rsidR="000121D4" w:rsidRPr="00D9403D">
        <w:rPr>
          <w:b/>
          <w:bCs/>
        </w:rPr>
        <w:t> </w:t>
      </w:r>
      <w:r w:rsidRPr="00D9403D">
        <w:rPr>
          <w:b/>
          <w:bCs/>
        </w:rPr>
        <w:t>lineal del tipo de cambio real</w:t>
      </w:r>
      <w:r w:rsidRPr="005057F8">
        <w:t xml:space="preserve"> son una posible explicación a esta paradoja.</w:t>
      </w:r>
    </w:p>
    <w:p w14:paraId="528D7127" w14:textId="5E5098AC" w:rsidR="00A91828" w:rsidRPr="00D9403D" w:rsidRDefault="00C5426C" w:rsidP="00C6272C">
      <w:pPr>
        <w:pStyle w:val="Nivel3SM"/>
        <w:keepNext/>
        <w:rPr>
          <w:spacing w:val="-2"/>
        </w:rPr>
      </w:pPr>
      <w:r w:rsidRPr="00D9403D">
        <w:rPr>
          <w:spacing w:val="-2"/>
        </w:rPr>
        <w:t xml:space="preserve">La combinación de </w:t>
      </w:r>
      <w:r w:rsidRPr="00D9403D">
        <w:rPr>
          <w:i/>
          <w:iCs/>
          <w:spacing w:val="-2"/>
          <w:u w:val="single"/>
        </w:rPr>
        <w:t>costes de transporte</w:t>
      </w:r>
      <w:r w:rsidRPr="00D9403D">
        <w:rPr>
          <w:spacing w:val="-2"/>
        </w:rPr>
        <w:t xml:space="preserve"> con </w:t>
      </w:r>
      <w:r w:rsidRPr="00D9403D">
        <w:rPr>
          <w:i/>
          <w:iCs/>
          <w:spacing w:val="-2"/>
          <w:u w:val="single"/>
        </w:rPr>
        <w:t>costes hundidos de entrar al mercado</w:t>
      </w:r>
      <w:r w:rsidRPr="00D9403D">
        <w:rPr>
          <w:spacing w:val="-2"/>
        </w:rPr>
        <w:t xml:space="preserve"> (para hacer operaciones de arbitraje) puede dar lugar a procesos de ajuste del tipo de cambio no</w:t>
      </w:r>
      <w:r w:rsidR="000121D4" w:rsidRPr="00D9403D">
        <w:rPr>
          <w:spacing w:val="-2"/>
        </w:rPr>
        <w:t> </w:t>
      </w:r>
      <w:r w:rsidRPr="00D9403D">
        <w:rPr>
          <w:spacing w:val="-2"/>
        </w:rPr>
        <w:t>lineales.</w:t>
      </w:r>
    </w:p>
    <w:p w14:paraId="49F1F84B" w14:textId="77777777" w:rsidR="00A91828" w:rsidRDefault="00C5426C" w:rsidP="00C6272C">
      <w:pPr>
        <w:pStyle w:val="Nivel4"/>
        <w:ind w:left="1474"/>
      </w:pPr>
      <w:r>
        <w:t>Mientras fluctúe alrededor del tipo de cambio de equilibrio, pero sin superar los umbrales que harían rentable el arbitraje, el tipo de cambio se mueve sin mostrar ninguna reversión hacia un valor de equilibrio y sin que se produzca arbitraje.</w:t>
      </w:r>
    </w:p>
    <w:p w14:paraId="6776A15B" w14:textId="123730E1" w:rsidR="00A91828" w:rsidRDefault="00C5426C" w:rsidP="00C6272C">
      <w:pPr>
        <w:pStyle w:val="Nivel4"/>
        <w:ind w:left="1474"/>
      </w:pPr>
      <w:r>
        <w:t xml:space="preserve">Si se supera ese umbral, el proceso cambia repentinamente y se inicia el arbitraje, que con el tiempo terminará devolviendo </w:t>
      </w:r>
      <w:r w:rsidR="000E10A4">
        <w:t>a</w:t>
      </w:r>
      <w:r>
        <w:t>l tipo de cambio a la banda delimitada por los umbrales. Además, cuanto mayor sea la magnitud en la que se superan los umbrales, más rentable será el arbitraje y, por tanto, mayor será su intensidad y más rápido se ajustará el tipo de cambio.</w:t>
      </w:r>
    </w:p>
    <w:p w14:paraId="5EC71014" w14:textId="77777777" w:rsidR="00A91828" w:rsidRDefault="00C5426C" w:rsidP="00C6272C">
      <w:pPr>
        <w:pStyle w:val="Nivel3SM"/>
        <w:keepNext/>
      </w:pPr>
      <w:r>
        <w:t xml:space="preserve">Estos modelos implican </w:t>
      </w:r>
      <w:r w:rsidRPr="00065097">
        <w:rPr>
          <w:i/>
          <w:iCs/>
          <w:u w:val="single"/>
        </w:rPr>
        <w:t>desviaciones muy duraderas de la PPA</w:t>
      </w:r>
      <w:r>
        <w:t>.</w:t>
      </w:r>
    </w:p>
    <w:p w14:paraId="1CCB5358" w14:textId="77777777" w:rsidR="00BE325B" w:rsidRDefault="00C5426C" w:rsidP="00C6272C">
      <w:pPr>
        <w:pStyle w:val="Nivel4"/>
        <w:ind w:left="1474"/>
      </w:pPr>
      <w:r>
        <w:t>Diversos estudios basados en procesos no lineales parecen adaptase bien a los tipos de cambio observados desde 1973, y, además, encuentran unas velocidades de ajuste del tipo de cambio bastante más elevadas que los estudios anteriores basados en procesos lineales (que implicaban una velocidad de ajuste constante).</w:t>
      </w:r>
    </w:p>
    <w:p w14:paraId="66577161" w14:textId="75FD0BC9" w:rsidR="00BE325B" w:rsidRDefault="00185532" w:rsidP="00C6272C">
      <w:pPr>
        <w:pStyle w:val="Nivel4"/>
        <w:ind w:left="1474"/>
      </w:pPr>
      <w:r>
        <w:t>Según los</w:t>
      </w:r>
      <w:r w:rsidR="00C5426C">
        <w:t xml:space="preserve"> modelos no</w:t>
      </w:r>
      <w:r w:rsidR="00BE325B">
        <w:t> </w:t>
      </w:r>
      <w:r w:rsidR="00C5426C">
        <w:t xml:space="preserve">lineales, </w:t>
      </w:r>
      <w:r w:rsidR="00C5426C" w:rsidRPr="00BE325B">
        <w:rPr>
          <w:i/>
          <w:iCs/>
          <w:u w:val="single"/>
        </w:rPr>
        <w:t>las medias-vidas son elevadas ante pequeños shocks</w:t>
      </w:r>
      <w:r w:rsidR="00BE325B" w:rsidRPr="00BE325B">
        <w:rPr>
          <w:i/>
          <w:iCs/>
        </w:rPr>
        <w:t xml:space="preserve"> (3</w:t>
      </w:r>
      <w:r w:rsidRPr="00185532">
        <w:rPr>
          <w:i/>
          <w:iCs/>
          <w:sz w:val="2"/>
          <w:szCs w:val="2"/>
        </w:rPr>
        <w:t> </w:t>
      </w:r>
      <w:r w:rsidR="00BE325B" w:rsidRPr="00BE325B">
        <w:rPr>
          <w:i/>
          <w:iCs/>
        </w:rPr>
        <w:t>-</w:t>
      </w:r>
      <w:r w:rsidRPr="00185532">
        <w:rPr>
          <w:i/>
          <w:iCs/>
          <w:sz w:val="2"/>
          <w:szCs w:val="2"/>
        </w:rPr>
        <w:t> </w:t>
      </w:r>
      <w:r w:rsidR="00BE325B" w:rsidRPr="00BE325B">
        <w:rPr>
          <w:i/>
          <w:iCs/>
        </w:rPr>
        <w:t>5 años)</w:t>
      </w:r>
      <w:r w:rsidR="00C5426C">
        <w:t xml:space="preserve">, </w:t>
      </w:r>
      <w:r w:rsidR="00C5426C" w:rsidRPr="00BE325B">
        <w:rPr>
          <w:i/>
          <w:iCs/>
          <w:u w:val="single"/>
        </w:rPr>
        <w:t>pero si los shocks son mayores, la velocidad de ajuste es notablemente superior</w:t>
      </w:r>
      <w:r w:rsidR="00BE325B" w:rsidRPr="00BE325B">
        <w:rPr>
          <w:i/>
          <w:iCs/>
        </w:rPr>
        <w:t xml:space="preserve"> (</w:t>
      </w:r>
      <w:r w:rsidR="00C5426C" w:rsidRPr="00BE325B">
        <w:rPr>
          <w:i/>
          <w:iCs/>
        </w:rPr>
        <w:t>dando lugar a medias</w:t>
      </w:r>
      <w:r w:rsidR="000E10A4" w:rsidRPr="00BE325B">
        <w:rPr>
          <w:i/>
          <w:iCs/>
        </w:rPr>
        <w:t>-</w:t>
      </w:r>
      <w:r w:rsidR="00C5426C" w:rsidRPr="00BE325B">
        <w:rPr>
          <w:i/>
          <w:iCs/>
        </w:rPr>
        <w:t>vidas que habitualmente se sitúan entre 1 y 3</w:t>
      </w:r>
      <w:r w:rsidR="00A522A1" w:rsidRPr="00BE325B">
        <w:rPr>
          <w:i/>
          <w:iCs/>
        </w:rPr>
        <w:t> </w:t>
      </w:r>
      <w:r w:rsidR="00C5426C" w:rsidRPr="00BE325B">
        <w:rPr>
          <w:i/>
          <w:iCs/>
        </w:rPr>
        <w:t>años</w:t>
      </w:r>
      <w:r w:rsidR="00BE325B" w:rsidRPr="00BE325B">
        <w:rPr>
          <w:i/>
          <w:iCs/>
        </w:rPr>
        <w:t>)</w:t>
      </w:r>
      <w:r w:rsidR="00C5426C">
        <w:t>.</w:t>
      </w:r>
    </w:p>
    <w:p w14:paraId="78DF04E6" w14:textId="6F6A915C" w:rsidR="00C5426C" w:rsidRPr="00C5426C" w:rsidRDefault="00C5426C" w:rsidP="00C6272C">
      <w:pPr>
        <w:pStyle w:val="Nivel4"/>
        <w:ind w:left="1474"/>
      </w:pPr>
      <w:r>
        <w:t>Estos valores permiten dar respuesta, al menos parcialmente, a la paradoja de las desviaciones del tipo de cambio real y apoyan el cumplimiento de la PPA relativa a largo plazo.</w:t>
      </w:r>
    </w:p>
    <w:p w14:paraId="1AC69800" w14:textId="5744F10F" w:rsidR="00342648" w:rsidRPr="0002549F" w:rsidRDefault="00103D02" w:rsidP="00C44422">
      <w:pPr>
        <w:pStyle w:val="Ttulo5"/>
      </w:pPr>
      <w:r>
        <w:t>Anexo</w:t>
      </w:r>
      <w:r w:rsidR="00471325">
        <w:t> </w:t>
      </w:r>
      <w:r>
        <w:t>2</w:t>
      </w:r>
      <w:r w:rsidRPr="00103D02">
        <w:rPr>
          <w:u w:val="none"/>
        </w:rPr>
        <w:t>:</w:t>
      </w:r>
      <w:r>
        <w:rPr>
          <w:u w:val="none"/>
        </w:rPr>
        <w:t xml:space="preserve"> </w:t>
      </w:r>
      <w:r w:rsidR="00C5426C">
        <w:rPr>
          <w:u w:val="none"/>
        </w:rPr>
        <w:t xml:space="preserve">Factores que influyen en el tipo de cambio a largo plazo según </w:t>
      </w:r>
      <w:proofErr w:type="spellStart"/>
      <w:r w:rsidR="00C5426C">
        <w:rPr>
          <w:smallCaps/>
          <w:u w:val="none"/>
        </w:rPr>
        <w:t>Mishkin</w:t>
      </w:r>
      <w:proofErr w:type="spellEnd"/>
    </w:p>
    <w:p w14:paraId="4FC1FCA2" w14:textId="38305BBB" w:rsidR="0015013E" w:rsidRDefault="00E504D1" w:rsidP="00C6272C">
      <w:pPr>
        <w:pStyle w:val="Nivel1SM"/>
        <w:keepNext/>
        <w:spacing w:before="0" w:after="0"/>
      </w:pPr>
      <w:r>
        <w:t xml:space="preserve">En el largo plazo, siguiendo a </w:t>
      </w:r>
      <w:proofErr w:type="spellStart"/>
      <w:r>
        <w:rPr>
          <w:smallCaps/>
        </w:rPr>
        <w:t>Mishkin</w:t>
      </w:r>
      <w:proofErr w:type="spellEnd"/>
      <w:r>
        <w:t xml:space="preserve">, hay </w:t>
      </w:r>
      <w:r w:rsidR="00C6272C">
        <w:t>4 </w:t>
      </w:r>
      <w:r>
        <w:t>factores principales que influyen al tipo de cambio: nivel de precios relativos, barreras comerciales, preferencias por bienes domésticos frente a bienes extranjeros y productividad.</w:t>
      </w:r>
    </w:p>
    <w:p w14:paraId="5EAA0AD8" w14:textId="4A2E4DB6" w:rsidR="00E504D1" w:rsidRDefault="00E504D1" w:rsidP="00C6272C">
      <w:pPr>
        <w:pStyle w:val="Nivel2SM"/>
      </w:pPr>
      <w:r>
        <w:t xml:space="preserve">El razonamiento básico procede a través de las siguientes líneas: cualquier factor que incremente la demanda de bienes domésticos comercializables en relación a los bienes comercializables extranjeros tenderá a apreciar la moneda doméstica porque los bienes domésticos continuarán vendiéndose bien incluso cuando el </w:t>
      </w:r>
      <w:r w:rsidR="00C6272C">
        <w:t>v</w:t>
      </w:r>
      <w:r>
        <w:t>alor de la divisa doméstica es más alto. De forma similar, cualquier factor que aumente la demanda de bienes comercializables internacionales provocará una tendencia a la depreciación.</w:t>
      </w:r>
    </w:p>
    <w:p w14:paraId="6D680BC4" w14:textId="4B985770" w:rsidR="00C6272C" w:rsidRDefault="00C6272C" w:rsidP="00C6272C">
      <w:pPr>
        <w:pStyle w:val="Nivel2SM"/>
        <w:keepNext/>
        <w:spacing w:after="0"/>
      </w:pPr>
      <w:r>
        <w:t>Examinaremos cómo cada uno de estos factores afecta al tipo de cambio manteniendo el resto de las condiciones constantes.</w:t>
      </w:r>
    </w:p>
    <w:p w14:paraId="5834D45B" w14:textId="35C762B7" w:rsidR="00E504D1" w:rsidRDefault="00E504D1" w:rsidP="00C6272C">
      <w:pPr>
        <w:pStyle w:val="Nmero"/>
        <w:numPr>
          <w:ilvl w:val="0"/>
          <w:numId w:val="9"/>
        </w:numPr>
        <w:spacing w:after="0"/>
        <w:ind w:left="1135" w:hanging="284"/>
      </w:pPr>
      <w:r>
        <w:rPr>
          <w:i/>
          <w:iCs/>
          <w:u w:val="single"/>
        </w:rPr>
        <w:t>Nivel de precios relativos</w:t>
      </w:r>
      <w:r>
        <w:t xml:space="preserve">: </w:t>
      </w:r>
      <w:r w:rsidR="00A522A1">
        <w:t>C</w:t>
      </w:r>
      <w:r>
        <w:t xml:space="preserve">uando los precios de los bienes europeos aumentan (manteniendo constantes los precios de los bienes extranjeros), la demanda de bienes europeos cae y el euro tiende a depreciarse de forma que los bienes europeos se puedan seguir vendiendo competitivamente. En cambio, si los precios de los bienes americanos suben (de forma que los precios relativos de los bienes europeos caen), la demanda de </w:t>
      </w:r>
      <w:r>
        <w:lastRenderedPageBreak/>
        <w:t>los bienes europeos crece y el euro tiende a apreciarse, porque los bienes europeos seguirían siendo competitivos incluso con un valor superior de la moneda local.</w:t>
      </w:r>
    </w:p>
    <w:p w14:paraId="2CF5A541" w14:textId="1E37B379" w:rsidR="00E504D1" w:rsidRDefault="00E504D1" w:rsidP="00C6272C">
      <w:pPr>
        <w:pStyle w:val="Nmero"/>
        <w:numPr>
          <w:ilvl w:val="0"/>
          <w:numId w:val="9"/>
        </w:numPr>
        <w:spacing w:after="0"/>
        <w:ind w:left="1135" w:hanging="284"/>
      </w:pPr>
      <w:r>
        <w:rPr>
          <w:i/>
          <w:iCs/>
          <w:u w:val="single"/>
        </w:rPr>
        <w:t>Barreras comerciales</w:t>
      </w:r>
      <w:r>
        <w:t>:</w:t>
      </w:r>
      <w:r w:rsidR="005A3B38">
        <w:t xml:space="preserve"> Barreras al libre comercio como aranceles o cuotas pueden afectar al tipo de cambio. Supongamos que España aumenta el arancel al acero americano. Este aumento en las barreras comerciales causa un aumento en la demanda de acero español, y el euro tiende a apreciarse porque el acero español será más competitivo.</w:t>
      </w:r>
    </w:p>
    <w:p w14:paraId="66582BD1" w14:textId="59ECE473" w:rsidR="00E504D1" w:rsidRDefault="00E504D1" w:rsidP="00C6272C">
      <w:pPr>
        <w:pStyle w:val="Nmero"/>
        <w:numPr>
          <w:ilvl w:val="0"/>
          <w:numId w:val="9"/>
        </w:numPr>
        <w:spacing w:after="0"/>
        <w:ind w:left="1135" w:hanging="284"/>
      </w:pPr>
      <w:r>
        <w:rPr>
          <w:i/>
          <w:iCs/>
          <w:u w:val="single"/>
        </w:rPr>
        <w:t>Preferencias por bienes domésticos frente a bienes extranjeros</w:t>
      </w:r>
      <w:r>
        <w:t xml:space="preserve">: Si los americanos desarrollan un gusto por los bienes europeos –por ejemplo, vino español– la mayor demanda de bienes europeos (exportaciones) tiende a apreciar el euro, porque los bienes europeos </w:t>
      </w:r>
      <w:r w:rsidR="005A3B38">
        <w:t>continuarán vendiéndose bien incluso cuando el euro esté más caro. De la misma forma, si los españoles demandáramos más bienes americanos (importaciones), el euro tendería a depreciarse.</w:t>
      </w:r>
    </w:p>
    <w:p w14:paraId="7004F228" w14:textId="517B046B" w:rsidR="005A3B38" w:rsidRDefault="005A3B38" w:rsidP="00C6272C">
      <w:pPr>
        <w:pStyle w:val="Nmero"/>
        <w:numPr>
          <w:ilvl w:val="0"/>
          <w:numId w:val="9"/>
        </w:numPr>
        <w:spacing w:after="0"/>
        <w:ind w:left="1135" w:hanging="284"/>
      </w:pPr>
      <w:r>
        <w:rPr>
          <w:i/>
          <w:iCs/>
          <w:u w:val="single"/>
        </w:rPr>
        <w:t>Productividad</w:t>
      </w:r>
      <w:r>
        <w:t>: Cuando la productividad de un país aumenta, tiende a aumentar en sectores domésticos que producen bienes comercializables. Una mayor productividad, por lo tanto, está asociada con una caída en el precio de los bienes comercializables domésticos y la moneda doméstica tenderá a apreciarse. En el largo plazo, a medid</w:t>
      </w:r>
      <w:r w:rsidR="00C6272C">
        <w:t>a</w:t>
      </w:r>
      <w:r>
        <w:t xml:space="preserve"> que un país se hace más productivo en relación al resto, su divisa se aprecia.</w:t>
      </w:r>
    </w:p>
    <w:p w14:paraId="712F2A23" w14:textId="2DE9A90E" w:rsidR="005B7D38" w:rsidRDefault="005B7D38" w:rsidP="005B7D38">
      <w:pPr>
        <w:pStyle w:val="Ttulo5"/>
        <w:rPr>
          <w:u w:val="none"/>
        </w:rPr>
      </w:pPr>
      <w:r>
        <w:t>Anexo 3</w:t>
      </w:r>
      <w:r>
        <w:rPr>
          <w:u w:val="none"/>
        </w:rPr>
        <w:t>: Modelos de expectativas</w:t>
      </w:r>
    </w:p>
    <w:p w14:paraId="2DEA4D43" w14:textId="505B287E" w:rsidR="005B7D38" w:rsidRDefault="005B7D38" w:rsidP="005B7D38">
      <w:pPr>
        <w:pStyle w:val="Nivel1SM"/>
        <w:keepNext/>
        <w:spacing w:before="0" w:after="0"/>
      </w:pPr>
      <w:r>
        <w:t>El punto de partida de estas teorías se basa en 2 hechos:</w:t>
      </w:r>
    </w:p>
    <w:p w14:paraId="4DF31C5A" w14:textId="77777777" w:rsidR="005B7D38" w:rsidRDefault="005B7D38" w:rsidP="005B7D38">
      <w:pPr>
        <w:pStyle w:val="Prrafodelista"/>
        <w:numPr>
          <w:ilvl w:val="0"/>
          <w:numId w:val="47"/>
        </w:numPr>
        <w:spacing w:after="100"/>
        <w:ind w:left="567" w:hanging="113"/>
      </w:pPr>
      <w:r>
        <w:t>Las teorías analizadas hasta ahora tienen dificultades para explicar la elevada volatilidad del tipo de cambio en el corto plazo.</w:t>
      </w:r>
    </w:p>
    <w:p w14:paraId="53201E7A" w14:textId="6794AE64" w:rsidR="005B7D38" w:rsidRDefault="005B7D38" w:rsidP="005B7D38">
      <w:pPr>
        <w:pStyle w:val="Prrafodelista"/>
        <w:numPr>
          <w:ilvl w:val="0"/>
          <w:numId w:val="47"/>
        </w:numPr>
        <w:spacing w:after="100"/>
        <w:ind w:left="567" w:hanging="113"/>
      </w:pPr>
      <w:r>
        <w:t>Los economistas atribuyen cada vez más importancia a las expectativas de los agentes.</w:t>
      </w:r>
    </w:p>
    <w:p w14:paraId="7227AEEA" w14:textId="52F6FBED" w:rsidR="005B7D38" w:rsidRDefault="005B7D38" w:rsidP="005B7D38">
      <w:pPr>
        <w:pStyle w:val="Nivel1SM"/>
        <w:keepNext/>
        <w:spacing w:after="0"/>
      </w:pPr>
      <w:r w:rsidRPr="005B7D38">
        <w:rPr>
          <w:b/>
          <w:bCs/>
          <w:u w:val="single"/>
        </w:rPr>
        <w:t>Modelo del papel de la nueva información</w:t>
      </w:r>
      <w:r>
        <w:t xml:space="preserve"> (</w:t>
      </w:r>
      <w:r>
        <w:rPr>
          <w:smallCaps/>
        </w:rPr>
        <w:t>Frenkel</w:t>
      </w:r>
      <w:r>
        <w:t xml:space="preserve"> y </w:t>
      </w:r>
      <w:proofErr w:type="spellStart"/>
      <w:r>
        <w:rPr>
          <w:smallCaps/>
        </w:rPr>
        <w:t>Mussa</w:t>
      </w:r>
      <w:proofErr w:type="spellEnd"/>
      <w:r>
        <w:t>, 1980)</w:t>
      </w:r>
    </w:p>
    <w:p w14:paraId="776E46D5" w14:textId="48F22C77" w:rsidR="005B7D38" w:rsidRDefault="005B7D38" w:rsidP="005B7D38">
      <w:pPr>
        <w:pStyle w:val="Nivel2SM"/>
      </w:pPr>
      <w:r>
        <w:t>Como veíamos en el modelo de cartera, el tipo de cambio no es más que el precio relativo de los activos nacionales y extranjeros, sobre el que influyen poderosamente las expectativas que tengan los agentes sobre los fundamentos del valor.</w:t>
      </w:r>
    </w:p>
    <w:p w14:paraId="11D7BEB5" w14:textId="134F0F18" w:rsidR="00C11832" w:rsidRDefault="00C11832" w:rsidP="00C11832">
      <w:pPr>
        <w:pStyle w:val="Nivel2SM"/>
        <w:keepNext/>
        <w:spacing w:after="0"/>
      </w:pPr>
      <w:proofErr w:type="spellStart"/>
      <w:r w:rsidRPr="00C11832">
        <w:rPr>
          <w:smallCaps/>
        </w:rPr>
        <w:t>Mussa</w:t>
      </w:r>
      <w:proofErr w:type="spellEnd"/>
      <w:r>
        <w:t xml:space="preserve"> desarrolló un modelo en el que </w:t>
      </w:r>
      <w:r w:rsidRPr="00C11832">
        <w:rPr>
          <w:i/>
          <w:iCs/>
          <w:u w:val="single"/>
        </w:rPr>
        <w:t>el tipo de cambio es considerado como el precio de un activo</w:t>
      </w:r>
      <w:r>
        <w:t>, de manera que, los cambios esperado en ese precio deben reflejar cambios en determinantes tanto de la oferta como la demanda del activo.</w:t>
      </w:r>
    </w:p>
    <w:p w14:paraId="70D977F4" w14:textId="545A311B" w:rsidR="00C11832" w:rsidRDefault="00C11832" w:rsidP="00C11832">
      <w:pPr>
        <w:pStyle w:val="Nivel3SM"/>
      </w:pPr>
      <w:r>
        <w:t xml:space="preserve">Su modelo incorpora </w:t>
      </w:r>
      <w:r w:rsidRPr="000B1405">
        <w:rPr>
          <w:b/>
          <w:bCs/>
        </w:rPr>
        <w:t>HER</w:t>
      </w:r>
      <w:r>
        <w:t xml:space="preserve"> en búsqueda de no</w:t>
      </w:r>
      <w:r w:rsidR="000B1405">
        <w:t> </w:t>
      </w:r>
      <w:r>
        <w:t xml:space="preserve">confiar en una especificación ad-hoc de cómo las expectativas se forman. A través de esta modelización, </w:t>
      </w:r>
      <w:proofErr w:type="spellStart"/>
      <w:r w:rsidRPr="00C11832">
        <w:rPr>
          <w:smallCaps/>
        </w:rPr>
        <w:t>Mussa</w:t>
      </w:r>
      <w:proofErr w:type="spellEnd"/>
      <w:r>
        <w:t xml:space="preserve"> observa que </w:t>
      </w:r>
      <w:r w:rsidRPr="000B1405">
        <w:rPr>
          <w:b/>
          <w:bCs/>
        </w:rPr>
        <w:t>un cambio en los valores futuros esperados de alguna variable fundamental puede afectar al tipo de cambio actual, aunque los fundamentos actuales no cambien</w:t>
      </w:r>
      <w:r>
        <w:t>.</w:t>
      </w:r>
    </w:p>
    <w:p w14:paraId="179462E3" w14:textId="637FD0D6" w:rsidR="00C11832" w:rsidRPr="00C11832" w:rsidRDefault="00C11832" w:rsidP="00C11832">
      <w:pPr>
        <w:pStyle w:val="Nivel3SM"/>
        <w:keepNext/>
      </w:pPr>
      <w:r>
        <w:t xml:space="preserve">Lo distintivo del modelo de </w:t>
      </w:r>
      <w:proofErr w:type="spellStart"/>
      <w:r w:rsidRPr="00C11832">
        <w:rPr>
          <w:smallCaps/>
        </w:rPr>
        <w:t>Mussa</w:t>
      </w:r>
      <w:proofErr w:type="spellEnd"/>
      <w:r>
        <w:t xml:space="preserve"> es que el hecho de pensar el tipo de cambio como el precio de un activo ayuda a entender que la nueva información es la que predomina como determinante del tipo de cambio. En efecto, las expectativas de los agentes son muy sensibles a la nueva información</w:t>
      </w:r>
      <w:r w:rsidR="000B1405">
        <w:t>.</w:t>
      </w:r>
    </w:p>
    <w:p w14:paraId="441FFD92" w14:textId="00613EED" w:rsidR="00C11832" w:rsidRDefault="00C11832" w:rsidP="00C11832">
      <w:pPr>
        <w:pStyle w:val="Nivel4"/>
        <w:ind w:left="1474"/>
      </w:pPr>
      <w:r>
        <w:t xml:space="preserve">Por ello, </w:t>
      </w:r>
      <w:r w:rsidRPr="000B1405">
        <w:rPr>
          <w:b/>
          <w:bCs/>
        </w:rPr>
        <w:t>el tipo de cambio reacciona fuerte e inmediatamente ante información no anticipada</w:t>
      </w:r>
      <w:r>
        <w:t xml:space="preserve"> </w:t>
      </w:r>
      <w:r w:rsidRPr="00C11832">
        <w:t>(“noticias”) relativas a dichos fundamentos (p.ej. una variación no anticipada del tipo de interés por el banco central)</w:t>
      </w:r>
      <w:r>
        <w:t>.</w:t>
      </w:r>
    </w:p>
    <w:p w14:paraId="0A9CBF30" w14:textId="7F8F61E5" w:rsidR="00C11832" w:rsidRDefault="00C11832" w:rsidP="00C11832">
      <w:pPr>
        <w:pStyle w:val="Nivel3SM"/>
      </w:pPr>
      <w:r>
        <w:t xml:space="preserve">Por tanto, </w:t>
      </w:r>
      <w:r w:rsidRPr="005E3F44">
        <w:rPr>
          <w:b/>
          <w:bCs/>
        </w:rPr>
        <w:t>este modelo permite recoger incluso que la evolución del tipo de cambio pueda seguir un paseo aleatorio</w:t>
      </w:r>
      <w:r>
        <w:t xml:space="preserve"> ya que en base al modelo de </w:t>
      </w:r>
      <w:proofErr w:type="spellStart"/>
      <w:r w:rsidRPr="00C11832">
        <w:rPr>
          <w:smallCaps/>
        </w:rPr>
        <w:t>Mussa</w:t>
      </w:r>
      <w:proofErr w:type="spellEnd"/>
      <w:r>
        <w:t xml:space="preserve"> no es posible realizar predicciones sobre la evolución del tipo de cambio a corto plazo, ya que éste se ve muy influido por la nueva información.</w:t>
      </w:r>
    </w:p>
    <w:p w14:paraId="657E013C" w14:textId="2BDF0DE0" w:rsidR="005B7D38" w:rsidRDefault="005B7D38" w:rsidP="005B7D38">
      <w:pPr>
        <w:pStyle w:val="Nivel1SM"/>
        <w:keepNext/>
        <w:spacing w:after="0"/>
      </w:pPr>
      <w:r w:rsidRPr="005B7D38">
        <w:rPr>
          <w:b/>
          <w:bCs/>
          <w:u w:val="single"/>
        </w:rPr>
        <w:lastRenderedPageBreak/>
        <w:t>Modelo de burbujas especulativas</w:t>
      </w:r>
      <w:r>
        <w:t xml:space="preserve"> (</w:t>
      </w:r>
      <w:r>
        <w:rPr>
          <w:smallCaps/>
        </w:rPr>
        <w:t>Blanchard</w:t>
      </w:r>
      <w:r>
        <w:t xml:space="preserve"> y </w:t>
      </w:r>
      <w:r>
        <w:rPr>
          <w:smallCaps/>
        </w:rPr>
        <w:t>Watson</w:t>
      </w:r>
      <w:r>
        <w:t>, 1982)</w:t>
      </w:r>
    </w:p>
    <w:p w14:paraId="268778EE" w14:textId="4495D2BC" w:rsidR="005B7D38" w:rsidRDefault="005B7D38" w:rsidP="000B1405">
      <w:pPr>
        <w:pStyle w:val="Nivel2SM"/>
        <w:keepNext/>
        <w:keepLines/>
        <w:spacing w:after="0"/>
      </w:pPr>
      <w:r>
        <w:t>Estos autores desarrollan un modelo en el que las expectativas de los agentes sobre la evolución del tipo de cambio se pueden desviar de sus fundamentos, dando lugar a burbujas.</w:t>
      </w:r>
      <w:r w:rsidR="000B1405">
        <w:t xml:space="preserve"> Es decir,</w:t>
      </w:r>
      <w:r>
        <w:t xml:space="preserve"> tratan de </w:t>
      </w:r>
      <w:r w:rsidRPr="000B1405">
        <w:rPr>
          <w:b/>
          <w:bCs/>
        </w:rPr>
        <w:t>reconciliar</w:t>
      </w:r>
      <w:r>
        <w:t xml:space="preserve"> la posibilidad de </w:t>
      </w:r>
      <w:r w:rsidRPr="000B1405">
        <w:rPr>
          <w:b/>
          <w:bCs/>
        </w:rPr>
        <w:t>burbujas</w:t>
      </w:r>
      <w:r>
        <w:t xml:space="preserve"> con la </w:t>
      </w:r>
      <w:r w:rsidRPr="000B1405">
        <w:rPr>
          <w:b/>
          <w:bCs/>
        </w:rPr>
        <w:t>hipótesis de las</w:t>
      </w:r>
      <w:r>
        <w:t xml:space="preserve"> </w:t>
      </w:r>
      <w:r w:rsidRPr="000B1405">
        <w:rPr>
          <w:b/>
          <w:bCs/>
        </w:rPr>
        <w:t>expectativas racionales</w:t>
      </w:r>
      <w:r>
        <w:t>.</w:t>
      </w:r>
    </w:p>
    <w:p w14:paraId="36371170" w14:textId="22D7A0D9" w:rsidR="005B7D38" w:rsidRDefault="005B7D38" w:rsidP="005B7D38">
      <w:pPr>
        <w:pStyle w:val="Nivel3SM"/>
      </w:pPr>
      <w:r>
        <w:t xml:space="preserve">Si los agentes tienen </w:t>
      </w:r>
      <w:r w:rsidRPr="000B1405">
        <w:rPr>
          <w:i/>
          <w:iCs/>
          <w:u w:val="single"/>
        </w:rPr>
        <w:t>información perfecta</w:t>
      </w:r>
      <w:r>
        <w:t>, bajo la HER no</w:t>
      </w:r>
      <w:r w:rsidR="002505A0">
        <w:t> </w:t>
      </w:r>
      <w:r>
        <w:t>puede haber una burbuja porque los agentes la detectarían y la pincharían de inmediato. Por lo tanto, por inducción hacia atrás, la burbuja acabaría no</w:t>
      </w:r>
      <w:r w:rsidR="002505A0">
        <w:t> </w:t>
      </w:r>
      <w:r>
        <w:t>produciéndose.</w:t>
      </w:r>
    </w:p>
    <w:p w14:paraId="79A4BA65" w14:textId="68475CAE" w:rsidR="005B7D38" w:rsidRDefault="005B7D38" w:rsidP="005B7D38">
      <w:pPr>
        <w:pStyle w:val="Nivel3SM"/>
      </w:pPr>
      <w:r>
        <w:t xml:space="preserve">Pero </w:t>
      </w:r>
      <w:r>
        <w:rPr>
          <w:smallCaps/>
        </w:rPr>
        <w:t>Blanchard</w:t>
      </w:r>
      <w:r>
        <w:t xml:space="preserve"> y </w:t>
      </w:r>
      <w:r>
        <w:rPr>
          <w:smallCaps/>
        </w:rPr>
        <w:t>Watson</w:t>
      </w:r>
      <w:r>
        <w:t xml:space="preserve"> señalan que una burbuja puede justificarse teóricamente si existe </w:t>
      </w:r>
      <w:r w:rsidRPr="000B1405">
        <w:rPr>
          <w:i/>
          <w:iCs/>
          <w:u w:val="single"/>
        </w:rPr>
        <w:t>información imperfecta</w:t>
      </w:r>
      <w:r>
        <w:t xml:space="preserve"> (p.ej. si los agentes anticipan que la burbuja pinchará en el futuro, pero no saben exactamente cuándo). Bajo este supuesto de información imperfecta la burbuja será posible, ya que </w:t>
      </w:r>
      <w:r w:rsidRPr="002505A0">
        <w:rPr>
          <w:i/>
          <w:iCs/>
        </w:rPr>
        <w:t>los agentes conocen la posibilidad de obtener ganancias especulativas con la desviación del tipo de cambio si se entra en el mercado y se logra salir de él antes de que la burbuja estalle</w:t>
      </w:r>
      <w:r>
        <w:t xml:space="preserve"> y el tipo de cambio retorne a su valor intrínseco, pero como todos piensan lo mismo, la burbuja se adelanta y pincha antes.</w:t>
      </w:r>
    </w:p>
    <w:p w14:paraId="049A83B5" w14:textId="0E2820ED" w:rsidR="005B7D38" w:rsidRDefault="005B7D38" w:rsidP="005B7D38">
      <w:pPr>
        <w:pStyle w:val="Nivel1SM"/>
        <w:keepNext/>
        <w:spacing w:after="0"/>
      </w:pPr>
      <w:r w:rsidRPr="005B7D38">
        <w:rPr>
          <w:b/>
          <w:bCs/>
          <w:u w:val="single"/>
        </w:rPr>
        <w:t>Modelo de expectativas heterogéneas</w:t>
      </w:r>
      <w:r>
        <w:t xml:space="preserve"> (</w:t>
      </w:r>
      <w:proofErr w:type="spellStart"/>
      <w:r>
        <w:rPr>
          <w:smallCaps/>
        </w:rPr>
        <w:t>Fr</w:t>
      </w:r>
      <w:r w:rsidR="0011031E">
        <w:rPr>
          <w:smallCaps/>
        </w:rPr>
        <w:t>a</w:t>
      </w:r>
      <w:r>
        <w:rPr>
          <w:smallCaps/>
        </w:rPr>
        <w:t>nkel</w:t>
      </w:r>
      <w:proofErr w:type="spellEnd"/>
      <w:r>
        <w:t xml:space="preserve"> y </w:t>
      </w:r>
      <w:proofErr w:type="spellStart"/>
      <w:r>
        <w:rPr>
          <w:smallCaps/>
        </w:rPr>
        <w:t>Froot</w:t>
      </w:r>
      <w:proofErr w:type="spellEnd"/>
      <w:r>
        <w:t>, 1990)</w:t>
      </w:r>
    </w:p>
    <w:p w14:paraId="6BED7932" w14:textId="77777777" w:rsidR="0011031E" w:rsidRDefault="005B7D38" w:rsidP="005B7D38">
      <w:pPr>
        <w:pStyle w:val="Nivel2SM"/>
      </w:pPr>
      <w:r>
        <w:t xml:space="preserve">En los mercados financieros operan agentes heterogéneos: los </w:t>
      </w:r>
      <w:proofErr w:type="spellStart"/>
      <w:r w:rsidRPr="000B1405">
        <w:rPr>
          <w:b/>
          <w:bCs/>
        </w:rPr>
        <w:t>chartistas</w:t>
      </w:r>
      <w:proofErr w:type="spellEnd"/>
      <w:r>
        <w:t xml:space="preserve"> (que se mueven por inercia) y los </w:t>
      </w:r>
      <w:r w:rsidRPr="000B1405">
        <w:rPr>
          <w:b/>
          <w:bCs/>
        </w:rPr>
        <w:t>fundamentalistas</w:t>
      </w:r>
      <w:r>
        <w:t xml:space="preserve"> (que se mueven por el valor intrínseco de la divisa).</w:t>
      </w:r>
    </w:p>
    <w:p w14:paraId="36BB680F" w14:textId="410EB2C8" w:rsidR="005B7D38" w:rsidRPr="0011031E" w:rsidRDefault="005B7D38" w:rsidP="005B7D38">
      <w:pPr>
        <w:pStyle w:val="Nivel2SM"/>
        <w:rPr>
          <w:spacing w:val="-5"/>
        </w:rPr>
      </w:pPr>
      <w:r w:rsidRPr="0011031E">
        <w:rPr>
          <w:spacing w:val="-5"/>
        </w:rPr>
        <w:t xml:space="preserve">Como los fundamentalistas saben cuál va a ser el comportamiento de los </w:t>
      </w:r>
      <w:proofErr w:type="spellStart"/>
      <w:r w:rsidRPr="0011031E">
        <w:rPr>
          <w:spacing w:val="-5"/>
        </w:rPr>
        <w:t>chartistas</w:t>
      </w:r>
      <w:proofErr w:type="spellEnd"/>
      <w:r w:rsidRPr="0011031E">
        <w:rPr>
          <w:spacing w:val="-5"/>
        </w:rPr>
        <w:t>, pueden dudar de que el tipo de cambio vaya a retornar a su valor de equilibrio. Estas dudas pueden hacerlos desistir de apostar por el retorno al equilibrio, lo que explicaría que durante períodos largos de tiempo el tipo de cambio se separe considerablemente del que vendría dado por los fundamentales.</w:t>
      </w:r>
    </w:p>
    <w:p w14:paraId="796A6B07" w14:textId="0AE489E0" w:rsidR="00C11832" w:rsidRPr="00C11832" w:rsidRDefault="00C11832" w:rsidP="00C11832">
      <w:pPr>
        <w:pStyle w:val="Nivel1SM"/>
        <w:keepNext/>
        <w:spacing w:after="0"/>
        <w:rPr>
          <w:b/>
          <w:bCs/>
          <w:u w:val="single"/>
        </w:rPr>
      </w:pPr>
      <w:r w:rsidRPr="00C11832">
        <w:rPr>
          <w:b/>
          <w:bCs/>
          <w:u w:val="single"/>
        </w:rPr>
        <w:t>Teoría del chivo expiatorio</w:t>
      </w:r>
      <w:r w:rsidR="00BD6C2B">
        <w:rPr>
          <w:b/>
          <w:bCs/>
          <w:u w:val="single"/>
        </w:rPr>
        <w:t xml:space="preserve"> (</w:t>
      </w:r>
      <w:proofErr w:type="spellStart"/>
      <w:r w:rsidR="00BD6C2B">
        <w:rPr>
          <w:b/>
          <w:bCs/>
          <w:i/>
          <w:iCs/>
          <w:u w:val="single"/>
        </w:rPr>
        <w:t>scapegoat</w:t>
      </w:r>
      <w:proofErr w:type="spellEnd"/>
      <w:r w:rsidR="00BD6C2B">
        <w:rPr>
          <w:b/>
          <w:bCs/>
          <w:i/>
          <w:iCs/>
          <w:u w:val="single"/>
        </w:rPr>
        <w:t xml:space="preserve"> </w:t>
      </w:r>
      <w:proofErr w:type="spellStart"/>
      <w:r w:rsidR="00BD6C2B">
        <w:rPr>
          <w:b/>
          <w:bCs/>
          <w:i/>
          <w:iCs/>
          <w:u w:val="single"/>
        </w:rPr>
        <w:t>theory</w:t>
      </w:r>
      <w:proofErr w:type="spellEnd"/>
      <w:r w:rsidR="00BD6C2B">
        <w:rPr>
          <w:b/>
          <w:bCs/>
          <w:u w:val="single"/>
        </w:rPr>
        <w:t>)</w:t>
      </w:r>
    </w:p>
    <w:p w14:paraId="4968332C" w14:textId="01897FC2" w:rsidR="00C11832" w:rsidRDefault="00C11832" w:rsidP="00C11832">
      <w:pPr>
        <w:pStyle w:val="Nivel2SM"/>
      </w:pPr>
      <w:r>
        <w:t>Esta teoría acepta que los inversores reaccionan ante algún cambio o incertidumbre asociado a una variable macroeconómica que no tendrá por qué ser una en concreto, pero que podría ser con mayor probabilidad una que se encuentre alejada de su valor a largo plazo.</w:t>
      </w:r>
    </w:p>
    <w:p w14:paraId="554731C6" w14:textId="4AB8F2B1" w:rsidR="00BD6C2B" w:rsidRDefault="00BD6C2B" w:rsidP="00C11832">
      <w:pPr>
        <w:pStyle w:val="Nivel2SM"/>
        <w:rPr>
          <w:lang w:val="en-US"/>
        </w:rPr>
      </w:pPr>
      <w:r w:rsidRPr="00BD6C2B">
        <w:rPr>
          <w:lang w:val="en-US"/>
        </w:rPr>
        <w:t>This theory suggests that market participants may at times attach signi</w:t>
      </w:r>
      <w:r w:rsidR="005E3351">
        <w:rPr>
          <w:lang w:val="en-US"/>
        </w:rPr>
        <w:t>fi</w:t>
      </w:r>
      <w:r w:rsidRPr="00BD6C2B">
        <w:rPr>
          <w:lang w:val="en-US"/>
        </w:rPr>
        <w:t>cantly more weight to individual economic fundamentals to rationalize the pricing of currencies, which are partly driven by unobservable shocks.</w:t>
      </w:r>
    </w:p>
    <w:p w14:paraId="56EA91F0" w14:textId="77777777" w:rsidR="005E3351" w:rsidRDefault="00BD6C2B" w:rsidP="005E3351">
      <w:pPr>
        <w:pStyle w:val="Nivel2SM"/>
        <w:keepNext/>
        <w:spacing w:after="0"/>
        <w:rPr>
          <w:lang w:val="en-US"/>
        </w:rPr>
      </w:pPr>
      <w:r w:rsidRPr="00BD6C2B">
        <w:rPr>
          <w:smallCaps/>
          <w:lang w:val="en-US"/>
        </w:rPr>
        <w:t>Bacchetta</w:t>
      </w:r>
      <w:r w:rsidRPr="00BD6C2B">
        <w:rPr>
          <w:lang w:val="en-US"/>
        </w:rPr>
        <w:t xml:space="preserve"> and </w:t>
      </w:r>
      <w:r w:rsidRPr="00BD6C2B">
        <w:rPr>
          <w:smallCaps/>
          <w:lang w:val="en-US"/>
        </w:rPr>
        <w:t xml:space="preserve">van </w:t>
      </w:r>
      <w:proofErr w:type="spellStart"/>
      <w:r w:rsidRPr="00BD6C2B">
        <w:rPr>
          <w:smallCaps/>
          <w:lang w:val="en-US"/>
        </w:rPr>
        <w:t>Wincoop</w:t>
      </w:r>
      <w:proofErr w:type="spellEnd"/>
      <w:r w:rsidRPr="00BD6C2B">
        <w:rPr>
          <w:lang w:val="en-US"/>
        </w:rPr>
        <w:t xml:space="preserve"> (2004, 2009) propose a </w:t>
      </w:r>
      <w:r w:rsidRPr="005E3351">
        <w:rPr>
          <w:b/>
          <w:bCs/>
          <w:lang w:val="en-US"/>
        </w:rPr>
        <w:t>scapegoat theory</w:t>
      </w:r>
      <w:r w:rsidRPr="00BD6C2B">
        <w:rPr>
          <w:lang w:val="en-US"/>
        </w:rPr>
        <w:t xml:space="preserve"> to explain the instability</w:t>
      </w:r>
      <w:r>
        <w:rPr>
          <w:lang w:val="en-US"/>
        </w:rPr>
        <w:t xml:space="preserve"> </w:t>
      </w:r>
      <w:r w:rsidRPr="00BD6C2B">
        <w:rPr>
          <w:lang w:val="en-US"/>
        </w:rPr>
        <w:t>in the relationship between exchange rates and fundamentals. The scapegoat theory suggests that this instability is not explained by frequent and large changes in structural parameters, even when allowing for rationality of agents and Bayesian learning, but rather by expectations about these structural parameters.</w:t>
      </w:r>
    </w:p>
    <w:p w14:paraId="11C857A9" w14:textId="77777777" w:rsidR="005E3351" w:rsidRDefault="00BD6C2B" w:rsidP="005E3351">
      <w:pPr>
        <w:pStyle w:val="Nivel3SM"/>
        <w:rPr>
          <w:lang w:val="en-US"/>
        </w:rPr>
      </w:pPr>
      <w:r w:rsidRPr="00BD6C2B">
        <w:rPr>
          <w:lang w:val="en-US"/>
        </w:rPr>
        <w:t xml:space="preserve">The </w:t>
      </w:r>
      <w:r w:rsidRPr="005E3351">
        <w:rPr>
          <w:lang w:val="en-US"/>
        </w:rPr>
        <w:t>scapegoat theory</w:t>
      </w:r>
      <w:r w:rsidRPr="00BD6C2B">
        <w:rPr>
          <w:lang w:val="en-US"/>
        </w:rPr>
        <w:t xml:space="preserve"> starts from the premise that </w:t>
      </w:r>
      <w:r w:rsidRPr="00DB7D6D">
        <w:rPr>
          <w:i/>
          <w:iCs/>
          <w:lang w:val="en-US"/>
        </w:rPr>
        <w:t>while agents may have a fairly accurate idea about the relationship between fundamentals and exchange rates in the long-run, there is significant uncertainty about the structural parameters over the short- to medium-term</w:t>
      </w:r>
      <w:r w:rsidRPr="00BD6C2B">
        <w:rPr>
          <w:lang w:val="en-US"/>
        </w:rPr>
        <w:t>.</w:t>
      </w:r>
    </w:p>
    <w:p w14:paraId="0751D624" w14:textId="58B779CB" w:rsidR="00BD6C2B" w:rsidRDefault="00BD6C2B" w:rsidP="000A5109">
      <w:pPr>
        <w:pStyle w:val="Nivel3SM"/>
        <w:keepNext/>
        <w:rPr>
          <w:lang w:val="en-US"/>
        </w:rPr>
      </w:pPr>
      <w:r w:rsidRPr="00BD6C2B">
        <w:rPr>
          <w:lang w:val="en-US"/>
        </w:rPr>
        <w:t xml:space="preserve">This implies that when currency movements over the short- to medium-term are </w:t>
      </w:r>
      <w:r w:rsidRPr="00DB7D6D">
        <w:rPr>
          <w:i/>
          <w:iCs/>
          <w:lang w:val="en-US"/>
        </w:rPr>
        <w:t>inconsistent with their priors about the underlying structural relationships, agents search for scapegoats to account for these inconsistencies</w:t>
      </w:r>
      <w:r w:rsidRPr="00BD6C2B">
        <w:rPr>
          <w:lang w:val="en-US"/>
        </w:rPr>
        <w:t xml:space="preserve">. Such currency movements may be driven by </w:t>
      </w:r>
      <w:r w:rsidRPr="00DB7D6D">
        <w:rPr>
          <w:i/>
          <w:iCs/>
          <w:lang w:val="en-US"/>
        </w:rPr>
        <w:t>unobservable fundamentals, yet for agents it may be rational to assign additional weight to some fundamental, thus making it a scapegoat, for observed exchange rate changes</w:t>
      </w:r>
      <w:r>
        <w:rPr>
          <w:lang w:val="en-US"/>
        </w:rPr>
        <w:t>.</w:t>
      </w:r>
    </w:p>
    <w:p w14:paraId="1ACFD31E" w14:textId="54632628" w:rsidR="000A5109" w:rsidRDefault="000A5109" w:rsidP="000A5109">
      <w:pPr>
        <w:pStyle w:val="Nivel4"/>
        <w:ind w:left="1474"/>
      </w:pPr>
      <w:r w:rsidRPr="000A5109">
        <w:rPr>
          <w:i/>
          <w:iCs/>
        </w:rPr>
        <w:t>Chivo expiatorio</w:t>
      </w:r>
      <w:r>
        <w:t xml:space="preserve">: </w:t>
      </w:r>
      <w:r w:rsidRPr="000A5109">
        <w:t>Persona a la que, por cualquier motivo o pretexto, se le echa la culpa de algo, especialmente de lo que han hecho otros.</w:t>
      </w:r>
    </w:p>
    <w:p w14:paraId="580F7A36" w14:textId="0572D3FA" w:rsidR="000A5109" w:rsidRPr="000A5109" w:rsidRDefault="000A5109" w:rsidP="000A5109">
      <w:pPr>
        <w:pStyle w:val="Nivel4"/>
        <w:ind w:left="1474"/>
      </w:pPr>
      <w:r>
        <w:t>En este caso, se trata de un factor al que se le echa la culpa de las inconsistencias de la evolución del tipo de cambio en el corto y medio plazo.</w:t>
      </w:r>
    </w:p>
    <w:p w14:paraId="5AAEF177" w14:textId="25037F2F" w:rsidR="00BD6C2B" w:rsidRPr="000A5109" w:rsidRDefault="00000000" w:rsidP="00BD6C2B">
      <w:pPr>
        <w:pStyle w:val="Nivel2SM"/>
      </w:pPr>
      <w:hyperlink r:id="rId28" w:history="1">
        <w:r w:rsidR="00BD6C2B" w:rsidRPr="000A5109">
          <w:rPr>
            <w:rStyle w:val="Hipervnculo"/>
          </w:rPr>
          <w:t>https://www.ecb.europa.eu/pub/pdf/scpwps/ecbwp1418.pdf</w:t>
        </w:r>
      </w:hyperlink>
    </w:p>
    <w:sectPr w:rsidR="00BD6C2B" w:rsidRPr="000A5109" w:rsidSect="003E24D7">
      <w:headerReference w:type="even" r:id="rId29"/>
      <w:headerReference w:type="default" r:id="rId30"/>
      <w:footerReference w:type="even" r:id="rId31"/>
      <w:footerReference w:type="default" r:id="rId32"/>
      <w:headerReference w:type="first" r:id="rId33"/>
      <w:footerReference w:type="first" r:id="rId3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10A551" w14:textId="77777777" w:rsidR="00993AEF" w:rsidRDefault="00993AEF" w:rsidP="00B77C0F">
      <w:r>
        <w:separator/>
      </w:r>
    </w:p>
  </w:endnote>
  <w:endnote w:type="continuationSeparator" w:id="0">
    <w:p w14:paraId="2294B3A7" w14:textId="77777777" w:rsidR="00993AEF" w:rsidRDefault="00993AEF"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C44422" w14:paraId="11DAAA60" w14:textId="77777777" w:rsidTr="00562AA1">
      <w:trPr>
        <w:trHeight w:val="138"/>
        <w:jc w:val="center"/>
      </w:trPr>
      <w:tc>
        <w:tcPr>
          <w:tcW w:w="1134" w:type="dxa"/>
        </w:tcPr>
        <w:p w14:paraId="664CC3A3" w14:textId="02C916EE" w:rsidR="00837B5A" w:rsidRPr="00BA4403" w:rsidRDefault="00837B5A" w:rsidP="00BA4403">
          <w:pPr>
            <w:pStyle w:val="Encabezado"/>
            <w:tabs>
              <w:tab w:val="clear" w:pos="4252"/>
              <w:tab w:val="clear" w:pos="8504"/>
              <w:tab w:val="right" w:pos="924"/>
              <w:tab w:val="center" w:pos="1310"/>
            </w:tabs>
            <w:spacing w:after="0"/>
            <w:contextualSpacing/>
            <w:jc w:val="left"/>
            <w:rPr>
              <w:i/>
              <w:iCs/>
              <w:color w:val="5F2987"/>
              <w:sz w:val="18"/>
              <w:szCs w:val="18"/>
            </w:rPr>
          </w:pPr>
          <w:r w:rsidRPr="00BA4403">
            <w:rPr>
              <w:b/>
              <w:bCs/>
              <w:i/>
              <w:iCs/>
              <w:color w:val="5F2987"/>
              <w:spacing w:val="-6"/>
              <w:sz w:val="18"/>
              <w:szCs w:val="18"/>
            </w:rPr>
            <w:fldChar w:fldCharType="begin"/>
          </w:r>
          <w:r w:rsidRPr="00BA4403">
            <w:rPr>
              <w:b/>
              <w:bCs/>
              <w:i/>
              <w:iCs/>
              <w:color w:val="5F2987"/>
              <w:spacing w:val="-6"/>
              <w:sz w:val="18"/>
              <w:szCs w:val="18"/>
            </w:rPr>
            <w:instrText>PAGE  \* Arabic  \* MERGEFORMAT</w:instrText>
          </w:r>
          <w:r w:rsidRPr="00BA4403">
            <w:rPr>
              <w:b/>
              <w:bCs/>
              <w:i/>
              <w:iCs/>
              <w:color w:val="5F2987"/>
              <w:spacing w:val="-6"/>
              <w:sz w:val="18"/>
              <w:szCs w:val="18"/>
            </w:rPr>
            <w:fldChar w:fldCharType="separate"/>
          </w:r>
          <w:r w:rsidRPr="00BA4403">
            <w:rPr>
              <w:b/>
              <w:bCs/>
              <w:i/>
              <w:iCs/>
              <w:color w:val="5F2987"/>
              <w:spacing w:val="-6"/>
              <w:sz w:val="18"/>
              <w:szCs w:val="18"/>
            </w:rPr>
            <w:t>2</w:t>
          </w:r>
          <w:r w:rsidRPr="00BA4403">
            <w:rPr>
              <w:b/>
              <w:bCs/>
              <w:i/>
              <w:iCs/>
              <w:color w:val="5F2987"/>
              <w:spacing w:val="-6"/>
              <w:sz w:val="18"/>
              <w:szCs w:val="18"/>
            </w:rPr>
            <w:fldChar w:fldCharType="end"/>
          </w:r>
          <w:r w:rsidRPr="00BA4403">
            <w:rPr>
              <w:b/>
              <w:bCs/>
              <w:i/>
              <w:iCs/>
              <w:color w:val="5F2987"/>
              <w:spacing w:val="-6"/>
              <w:sz w:val="18"/>
              <w:szCs w:val="18"/>
            </w:rPr>
            <w:t>/</w:t>
          </w:r>
          <w:r w:rsidRPr="00BA4403">
            <w:rPr>
              <w:b/>
              <w:bCs/>
              <w:i/>
              <w:iCs/>
              <w:color w:val="5F2987"/>
              <w:spacing w:val="-6"/>
              <w:sz w:val="18"/>
              <w:szCs w:val="18"/>
            </w:rPr>
            <w:fldChar w:fldCharType="begin"/>
          </w:r>
          <w:r w:rsidRPr="00BA4403">
            <w:rPr>
              <w:b/>
              <w:bCs/>
              <w:i/>
              <w:iCs/>
              <w:color w:val="5F2987"/>
              <w:spacing w:val="-6"/>
              <w:sz w:val="18"/>
              <w:szCs w:val="18"/>
            </w:rPr>
            <w:instrText>NUMPAGES  \* Arabic  \* MERGEFORMAT</w:instrText>
          </w:r>
          <w:r w:rsidRPr="00BA4403">
            <w:rPr>
              <w:b/>
              <w:bCs/>
              <w:i/>
              <w:iCs/>
              <w:color w:val="5F2987"/>
              <w:spacing w:val="-6"/>
              <w:sz w:val="18"/>
              <w:szCs w:val="18"/>
            </w:rPr>
            <w:fldChar w:fldCharType="separate"/>
          </w:r>
          <w:r w:rsidRPr="00BA4403">
            <w:rPr>
              <w:b/>
              <w:bCs/>
              <w:i/>
              <w:iCs/>
              <w:color w:val="5F2987"/>
              <w:spacing w:val="-6"/>
              <w:sz w:val="18"/>
              <w:szCs w:val="18"/>
            </w:rPr>
            <w:t>3</w:t>
          </w:r>
          <w:r w:rsidRPr="00BA4403">
            <w:rPr>
              <w:b/>
              <w:bCs/>
              <w:i/>
              <w:iCs/>
              <w:color w:val="5F2987"/>
              <w:spacing w:val="-6"/>
              <w:sz w:val="18"/>
              <w:szCs w:val="18"/>
            </w:rPr>
            <w:fldChar w:fldCharType="end"/>
          </w:r>
        </w:p>
      </w:tc>
      <w:tc>
        <w:tcPr>
          <w:tcW w:w="7088" w:type="dxa"/>
          <w:vAlign w:val="center"/>
        </w:tcPr>
        <w:p w14:paraId="29FA2A0B" w14:textId="77777777" w:rsidR="00837B5A" w:rsidRPr="00BA4403" w:rsidRDefault="00837B5A" w:rsidP="00BA4403">
          <w:pPr>
            <w:pStyle w:val="Encabezado"/>
            <w:spacing w:after="0"/>
            <w:ind w:right="-110"/>
            <w:contextualSpacing/>
            <w:jc w:val="center"/>
            <w:rPr>
              <w:i/>
              <w:iCs/>
              <w:color w:val="5F2987"/>
              <w:sz w:val="18"/>
              <w:szCs w:val="18"/>
            </w:rPr>
          </w:pPr>
        </w:p>
      </w:tc>
      <w:tc>
        <w:tcPr>
          <w:tcW w:w="2551" w:type="dxa"/>
          <w:vAlign w:val="center"/>
        </w:tcPr>
        <w:p w14:paraId="7D2BBC10" w14:textId="77777777" w:rsidR="00837B5A" w:rsidRPr="00BA4403" w:rsidRDefault="00837B5A" w:rsidP="00BA4403">
          <w:pPr>
            <w:pStyle w:val="Encabezado"/>
            <w:spacing w:after="0"/>
            <w:contextualSpacing/>
            <w:jc w:val="right"/>
            <w:rPr>
              <w:b/>
              <w:bCs/>
              <w:i/>
              <w:iCs/>
              <w:color w:val="5F2987"/>
              <w:spacing w:val="-6"/>
              <w:sz w:val="18"/>
              <w:szCs w:val="18"/>
            </w:rPr>
          </w:pPr>
        </w:p>
      </w:tc>
    </w:tr>
  </w:tbl>
  <w:p w14:paraId="0CC6E265" w14:textId="77777777" w:rsidR="00B70943" w:rsidRPr="009C61AF" w:rsidRDefault="00B70943" w:rsidP="00BA4403">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C44422" w14:paraId="05075DCB" w14:textId="77777777" w:rsidTr="00837B5A">
      <w:trPr>
        <w:trHeight w:val="138"/>
        <w:jc w:val="center"/>
      </w:trPr>
      <w:tc>
        <w:tcPr>
          <w:tcW w:w="1134" w:type="dxa"/>
          <w:vAlign w:val="center"/>
        </w:tcPr>
        <w:p w14:paraId="11B04AE4" w14:textId="1B15259D" w:rsidR="00837B5A" w:rsidRPr="00C44422" w:rsidRDefault="00837B5A" w:rsidP="00BA440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335C088" w14:textId="77777777" w:rsidR="00837B5A" w:rsidRPr="00C44422" w:rsidRDefault="00837B5A" w:rsidP="00BA4403">
          <w:pPr>
            <w:pStyle w:val="Encabezado"/>
            <w:spacing w:after="0"/>
            <w:ind w:right="-110"/>
            <w:contextualSpacing/>
            <w:jc w:val="center"/>
            <w:rPr>
              <w:i/>
              <w:iCs/>
              <w:color w:val="5F2987"/>
              <w:sz w:val="18"/>
              <w:szCs w:val="18"/>
            </w:rPr>
          </w:pPr>
        </w:p>
      </w:tc>
      <w:tc>
        <w:tcPr>
          <w:tcW w:w="2551" w:type="dxa"/>
          <w:vAlign w:val="center"/>
        </w:tcPr>
        <w:p w14:paraId="3027E19F" w14:textId="77777777" w:rsidR="00837B5A" w:rsidRPr="00C44422" w:rsidRDefault="00837B5A" w:rsidP="00BA4403">
          <w:pPr>
            <w:pStyle w:val="Encabezado"/>
            <w:spacing w:after="0"/>
            <w:contextualSpacing/>
            <w:jc w:val="right"/>
            <w:rPr>
              <w:b/>
              <w:bCs/>
              <w:i/>
              <w:iCs/>
              <w:color w:val="5F2987"/>
              <w:spacing w:val="-6"/>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1</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p>
      </w:tc>
    </w:tr>
  </w:tbl>
  <w:p w14:paraId="06A5DDBC" w14:textId="77777777" w:rsidR="00C81078" w:rsidRPr="009C61AF" w:rsidRDefault="00C81078" w:rsidP="00BA4403">
    <w:pPr>
      <w:pStyle w:val="Piedepgina"/>
      <w:tabs>
        <w:tab w:val="clear" w:pos="4252"/>
        <w:tab w:val="clear" w:pos="8504"/>
        <w:tab w:val="left" w:pos="3708"/>
      </w:tabs>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C44422" w14:paraId="4BA4962C" w14:textId="77777777" w:rsidTr="009C4C2E">
      <w:trPr>
        <w:trHeight w:val="138"/>
        <w:jc w:val="center"/>
      </w:trPr>
      <w:tc>
        <w:tcPr>
          <w:tcW w:w="1134" w:type="dxa"/>
          <w:vAlign w:val="center"/>
        </w:tcPr>
        <w:p w14:paraId="68553C93" w14:textId="38B53B61" w:rsidR="00BE1B62" w:rsidRPr="00BA4403" w:rsidRDefault="00BE1B62" w:rsidP="00BA440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901BDF4" w14:textId="77777777" w:rsidR="00BE1B62" w:rsidRPr="00BA4403" w:rsidRDefault="00BE1B62" w:rsidP="00BA4403">
          <w:pPr>
            <w:pStyle w:val="Encabezado"/>
            <w:spacing w:after="0"/>
            <w:ind w:right="-110"/>
            <w:contextualSpacing/>
            <w:jc w:val="center"/>
            <w:rPr>
              <w:i/>
              <w:iCs/>
              <w:color w:val="5F2987"/>
              <w:sz w:val="18"/>
              <w:szCs w:val="18"/>
            </w:rPr>
          </w:pPr>
        </w:p>
      </w:tc>
      <w:tc>
        <w:tcPr>
          <w:tcW w:w="2551" w:type="dxa"/>
          <w:vAlign w:val="center"/>
        </w:tcPr>
        <w:p w14:paraId="42E0F85B" w14:textId="77777777" w:rsidR="00BE1B62" w:rsidRPr="00BA4403" w:rsidRDefault="00BE1B62" w:rsidP="00BA4403">
          <w:pPr>
            <w:pStyle w:val="Encabezado"/>
            <w:spacing w:after="0"/>
            <w:contextualSpacing/>
            <w:jc w:val="right"/>
            <w:rPr>
              <w:b/>
              <w:bCs/>
              <w:i/>
              <w:iCs/>
              <w:color w:val="5F2987"/>
              <w:spacing w:val="-6"/>
              <w:sz w:val="18"/>
              <w:szCs w:val="18"/>
            </w:rPr>
          </w:pPr>
          <w:r w:rsidRPr="00BA4403">
            <w:rPr>
              <w:b/>
              <w:bCs/>
              <w:i/>
              <w:iCs/>
              <w:color w:val="5F2987"/>
              <w:spacing w:val="-6"/>
              <w:sz w:val="18"/>
              <w:szCs w:val="18"/>
            </w:rPr>
            <w:fldChar w:fldCharType="begin"/>
          </w:r>
          <w:r w:rsidRPr="00BA4403">
            <w:rPr>
              <w:b/>
              <w:bCs/>
              <w:i/>
              <w:iCs/>
              <w:color w:val="5F2987"/>
              <w:spacing w:val="-6"/>
              <w:sz w:val="18"/>
              <w:szCs w:val="18"/>
            </w:rPr>
            <w:instrText>PAGE  \* Arabic  \* MERGEFORMAT</w:instrText>
          </w:r>
          <w:r w:rsidRPr="00BA4403">
            <w:rPr>
              <w:b/>
              <w:bCs/>
              <w:i/>
              <w:iCs/>
              <w:color w:val="5F2987"/>
              <w:spacing w:val="-6"/>
              <w:sz w:val="18"/>
              <w:szCs w:val="18"/>
            </w:rPr>
            <w:fldChar w:fldCharType="separate"/>
          </w:r>
          <w:r w:rsidRPr="00BA4403">
            <w:rPr>
              <w:b/>
              <w:bCs/>
              <w:i/>
              <w:iCs/>
              <w:color w:val="5F2987"/>
              <w:spacing w:val="-6"/>
              <w:sz w:val="18"/>
              <w:szCs w:val="18"/>
            </w:rPr>
            <w:t>1</w:t>
          </w:r>
          <w:r w:rsidRPr="00BA4403">
            <w:rPr>
              <w:b/>
              <w:bCs/>
              <w:i/>
              <w:iCs/>
              <w:color w:val="5F2987"/>
              <w:spacing w:val="-6"/>
              <w:sz w:val="18"/>
              <w:szCs w:val="18"/>
            </w:rPr>
            <w:fldChar w:fldCharType="end"/>
          </w:r>
          <w:r w:rsidRPr="00BA4403">
            <w:rPr>
              <w:b/>
              <w:bCs/>
              <w:i/>
              <w:iCs/>
              <w:color w:val="5F2987"/>
              <w:spacing w:val="-6"/>
              <w:sz w:val="18"/>
              <w:szCs w:val="18"/>
            </w:rPr>
            <w:t>/</w:t>
          </w:r>
          <w:r w:rsidRPr="00BA4403">
            <w:rPr>
              <w:b/>
              <w:bCs/>
              <w:i/>
              <w:iCs/>
              <w:color w:val="5F2987"/>
              <w:spacing w:val="-6"/>
              <w:sz w:val="18"/>
              <w:szCs w:val="18"/>
            </w:rPr>
            <w:fldChar w:fldCharType="begin"/>
          </w:r>
          <w:r w:rsidRPr="00BA4403">
            <w:rPr>
              <w:b/>
              <w:bCs/>
              <w:i/>
              <w:iCs/>
              <w:color w:val="5F2987"/>
              <w:spacing w:val="-6"/>
              <w:sz w:val="18"/>
              <w:szCs w:val="18"/>
            </w:rPr>
            <w:instrText>NUMPAGES  \* Arabic  \* MERGEFORMAT</w:instrText>
          </w:r>
          <w:r w:rsidRPr="00BA4403">
            <w:rPr>
              <w:b/>
              <w:bCs/>
              <w:i/>
              <w:iCs/>
              <w:color w:val="5F2987"/>
              <w:spacing w:val="-6"/>
              <w:sz w:val="18"/>
              <w:szCs w:val="18"/>
            </w:rPr>
            <w:fldChar w:fldCharType="separate"/>
          </w:r>
          <w:r w:rsidRPr="00BA4403">
            <w:rPr>
              <w:b/>
              <w:bCs/>
              <w:i/>
              <w:iCs/>
              <w:color w:val="5F2987"/>
              <w:spacing w:val="-6"/>
              <w:sz w:val="18"/>
              <w:szCs w:val="18"/>
            </w:rPr>
            <w:t>2</w:t>
          </w:r>
          <w:r w:rsidRPr="00BA4403">
            <w:rPr>
              <w:b/>
              <w:bCs/>
              <w:i/>
              <w:iCs/>
              <w:color w:val="5F2987"/>
              <w:spacing w:val="-6"/>
              <w:sz w:val="18"/>
              <w:szCs w:val="18"/>
            </w:rPr>
            <w:fldChar w:fldCharType="end"/>
          </w:r>
        </w:p>
      </w:tc>
    </w:tr>
  </w:tbl>
  <w:p w14:paraId="0421EB08" w14:textId="77777777" w:rsidR="002756C0" w:rsidRPr="00BE1B62" w:rsidRDefault="002756C0" w:rsidP="00BA4403">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96DC6" w14:textId="77777777" w:rsidR="00993AEF" w:rsidRPr="00417327" w:rsidRDefault="00993AEF" w:rsidP="00417327">
      <w:pPr>
        <w:spacing w:after="0" w:line="240" w:lineRule="auto"/>
        <w:rPr>
          <w:sz w:val="16"/>
          <w:szCs w:val="16"/>
        </w:rPr>
      </w:pPr>
      <w:r w:rsidRPr="00417327">
        <w:rPr>
          <w:sz w:val="16"/>
          <w:szCs w:val="16"/>
        </w:rPr>
        <w:separator/>
      </w:r>
    </w:p>
  </w:footnote>
  <w:footnote w:type="continuationSeparator" w:id="0">
    <w:p w14:paraId="02D712A7" w14:textId="77777777" w:rsidR="00993AEF" w:rsidRPr="00A52E9A" w:rsidRDefault="00993AEF" w:rsidP="00A52E9A">
      <w:pPr>
        <w:spacing w:after="0" w:line="240" w:lineRule="auto"/>
        <w:rPr>
          <w:sz w:val="16"/>
          <w:szCs w:val="16"/>
        </w:rPr>
      </w:pPr>
      <w:r w:rsidRPr="00A52E9A">
        <w:rPr>
          <w:sz w:val="16"/>
          <w:szCs w:val="16"/>
        </w:rPr>
        <w:continuationSeparator/>
      </w:r>
    </w:p>
  </w:footnote>
  <w:footnote w:type="continuationNotice" w:id="1">
    <w:p w14:paraId="049259B6" w14:textId="77777777" w:rsidR="00993AEF" w:rsidRPr="00A52E9A" w:rsidRDefault="00993AEF" w:rsidP="00A52E9A">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51F4496C" w14:textId="15AFF9D3" w:rsidR="00080F22" w:rsidRPr="00080F22" w:rsidRDefault="00080F22" w:rsidP="00080F22">
      <w:pPr>
        <w:pStyle w:val="Textonotapie"/>
      </w:pPr>
      <w:r>
        <w:rPr>
          <w:rStyle w:val="Refdenotaalpie"/>
        </w:rPr>
        <w:footnoteRef/>
      </w:r>
      <w:r>
        <w:t xml:space="preserve"> </w:t>
      </w:r>
      <w:r>
        <w:rPr>
          <w:smallCaps/>
        </w:rPr>
        <w:t>Paul Volcker</w:t>
      </w:r>
      <w:r>
        <w:t xml:space="preserve"> fue </w:t>
      </w:r>
      <w:r w:rsidRPr="00080F22">
        <w:t>el 12º</w:t>
      </w:r>
      <w:r w:rsidR="00A73F51">
        <w:t> </w:t>
      </w:r>
      <w:r w:rsidRPr="00080F22">
        <w:t xml:space="preserve">presidente de la Reserva Federal </w:t>
      </w:r>
      <w:r>
        <w:t>de los Estados Unidos</w:t>
      </w:r>
      <w:r w:rsidRPr="00080F22">
        <w:t xml:space="preserve"> entre 1979 y 1987</w:t>
      </w:r>
      <w:r>
        <w:t>.</w:t>
      </w:r>
    </w:p>
  </w:footnote>
  <w:footnote w:id="3">
    <w:p w14:paraId="2EBC525B" w14:textId="77777777" w:rsidR="002658F0" w:rsidRPr="00384A7C" w:rsidRDefault="002658F0" w:rsidP="002658F0">
      <w:pPr>
        <w:pStyle w:val="Textonotapie"/>
        <w:spacing w:after="0"/>
        <w:rPr>
          <w:spacing w:val="-2"/>
        </w:rPr>
      </w:pPr>
      <w:r>
        <w:rPr>
          <w:rStyle w:val="Refdenotaalpie"/>
        </w:rPr>
        <w:footnoteRef/>
      </w:r>
      <w:r>
        <w:t xml:space="preserve"> </w:t>
      </w:r>
      <w:proofErr w:type="spellStart"/>
      <w:r w:rsidRPr="00384A7C">
        <w:rPr>
          <w:i/>
          <w:iCs/>
          <w:spacing w:val="-2"/>
          <w:u w:val="single"/>
        </w:rPr>
        <w:t>Disclaimer</w:t>
      </w:r>
      <w:proofErr w:type="spellEnd"/>
      <w:r w:rsidRPr="00384A7C">
        <w:rPr>
          <w:spacing w:val="-2"/>
        </w:rPr>
        <w:t xml:space="preserve">: Definimos el tipo de cambio como el </w:t>
      </w:r>
      <w:r w:rsidRPr="00384A7C">
        <w:rPr>
          <w:i/>
          <w:iCs/>
          <w:spacing w:val="-2"/>
        </w:rPr>
        <w:t>tipo de cambio directo</w:t>
      </w:r>
      <w:r w:rsidRPr="00384A7C">
        <w:rPr>
          <w:spacing w:val="-2"/>
        </w:rPr>
        <w:t xml:space="preserve"> (o </w:t>
      </w:r>
      <w:r w:rsidRPr="00384A7C">
        <w:rPr>
          <w:i/>
          <w:iCs/>
          <w:spacing w:val="-2"/>
        </w:rPr>
        <w:t xml:space="preserve">europeo – Price </w:t>
      </w:r>
      <w:proofErr w:type="spellStart"/>
      <w:r w:rsidRPr="00384A7C">
        <w:rPr>
          <w:i/>
          <w:iCs/>
          <w:spacing w:val="-2"/>
        </w:rPr>
        <w:t>quotation</w:t>
      </w:r>
      <w:proofErr w:type="spellEnd"/>
      <w:r w:rsidRPr="00384A7C">
        <w:rPr>
          <w:i/>
          <w:iCs/>
          <w:spacing w:val="-2"/>
        </w:rPr>
        <w:t xml:space="preserve"> </w:t>
      </w:r>
      <w:proofErr w:type="spellStart"/>
      <w:r w:rsidRPr="00384A7C">
        <w:rPr>
          <w:i/>
          <w:iCs/>
          <w:spacing w:val="-2"/>
        </w:rPr>
        <w:t>system</w:t>
      </w:r>
      <w:proofErr w:type="spellEnd"/>
      <w:r w:rsidRPr="00384A7C">
        <w:rPr>
          <w:spacing w:val="-2"/>
        </w:rPr>
        <w:t xml:space="preserve">), de forma que indicamos cuántas unidades de divisa nacional necesitamos para comprar una divisa extranjera (i.e. el </w:t>
      </w:r>
      <w:r w:rsidRPr="00384A7C">
        <w:rPr>
          <w:b/>
          <w:bCs/>
          <w:spacing w:val="-2"/>
        </w:rPr>
        <w:t>precio</w:t>
      </w:r>
      <w:r w:rsidRPr="00384A7C">
        <w:rPr>
          <w:spacing w:val="-2"/>
        </w:rPr>
        <w:t xml:space="preserve"> de la divisa extranjera en términos de divisa local). Recientemente, ha ido ganando peso la definición alternativa de tipo de cambio, </w:t>
      </w:r>
      <w:r w:rsidRPr="00384A7C">
        <w:rPr>
          <w:i/>
          <w:iCs/>
          <w:spacing w:val="-2"/>
        </w:rPr>
        <w:t>tipo de cambio indirecto</w:t>
      </w:r>
      <w:r w:rsidRPr="00384A7C">
        <w:rPr>
          <w:spacing w:val="-2"/>
        </w:rPr>
        <w:t xml:space="preserve"> (o </w:t>
      </w:r>
      <w:r w:rsidRPr="00384A7C">
        <w:rPr>
          <w:i/>
          <w:iCs/>
          <w:spacing w:val="-2"/>
        </w:rPr>
        <w:t>americano</w:t>
      </w:r>
      <w:r w:rsidRPr="00384A7C">
        <w:rPr>
          <w:spacing w:val="-2"/>
        </w:rPr>
        <w:t xml:space="preserve"> – </w:t>
      </w:r>
      <w:proofErr w:type="spellStart"/>
      <w:r w:rsidRPr="00384A7C">
        <w:rPr>
          <w:i/>
          <w:iCs/>
          <w:spacing w:val="-2"/>
        </w:rPr>
        <w:t>Volume</w:t>
      </w:r>
      <w:proofErr w:type="spellEnd"/>
      <w:r w:rsidRPr="00384A7C">
        <w:rPr>
          <w:i/>
          <w:iCs/>
          <w:spacing w:val="-2"/>
        </w:rPr>
        <w:t xml:space="preserve"> </w:t>
      </w:r>
      <w:proofErr w:type="spellStart"/>
      <w:r w:rsidRPr="00384A7C">
        <w:rPr>
          <w:i/>
          <w:iCs/>
          <w:spacing w:val="-2"/>
        </w:rPr>
        <w:t>quotation</w:t>
      </w:r>
      <w:proofErr w:type="spellEnd"/>
      <w:r w:rsidRPr="00384A7C">
        <w:rPr>
          <w:i/>
          <w:iCs/>
          <w:spacing w:val="-2"/>
        </w:rPr>
        <w:t xml:space="preserve"> </w:t>
      </w:r>
      <w:proofErr w:type="spellStart"/>
      <w:r w:rsidRPr="00384A7C">
        <w:rPr>
          <w:i/>
          <w:iCs/>
          <w:spacing w:val="-2"/>
        </w:rPr>
        <w:t>system</w:t>
      </w:r>
      <w:proofErr w:type="spellEnd"/>
      <w:r w:rsidRPr="00384A7C">
        <w:rPr>
          <w:spacing w:val="-2"/>
        </w:rPr>
        <w:t xml:space="preserve">), que expresa cuantas unidades de divisa extranjera son necesarias para comprar una unidad de moneda local. Es por ello </w:t>
      </w:r>
      <w:proofErr w:type="gramStart"/>
      <w:r w:rsidRPr="00384A7C">
        <w:rPr>
          <w:spacing w:val="-2"/>
        </w:rPr>
        <w:t>que</w:t>
      </w:r>
      <w:proofErr w:type="gramEnd"/>
      <w:r w:rsidRPr="00384A7C">
        <w:rPr>
          <w:spacing w:val="-2"/>
        </w:rPr>
        <w:t xml:space="preserve"> es necesario hacer este </w:t>
      </w:r>
      <w:proofErr w:type="spellStart"/>
      <w:r w:rsidRPr="00384A7C">
        <w:rPr>
          <w:i/>
          <w:iCs/>
          <w:spacing w:val="-2"/>
        </w:rPr>
        <w:t>disclaimer</w:t>
      </w:r>
      <w:proofErr w:type="spellEnd"/>
      <w:r w:rsidRPr="00384A7C">
        <w:rPr>
          <w:spacing w:val="-2"/>
        </w:rPr>
        <w:t>, ya que los profesores que formen parte del tribunal pueden no estar habituados a esta expresión del tipo de cambio.</w:t>
      </w:r>
    </w:p>
    <w:p w14:paraId="09B04088" w14:textId="77777777" w:rsidR="002658F0" w:rsidRPr="003B1991" w:rsidRDefault="002658F0" w:rsidP="002658F0">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4">
    <w:p w14:paraId="1DB9FCD0" w14:textId="2DB7F53E" w:rsidR="009A07A2" w:rsidRDefault="009A07A2">
      <w:pPr>
        <w:pStyle w:val="Textonotapie"/>
      </w:pPr>
      <w:r>
        <w:rPr>
          <w:rStyle w:val="Refdenotaalpie"/>
        </w:rPr>
        <w:footnoteRef/>
      </w:r>
      <w:r>
        <w:t xml:space="preserve"> Debido a estos argumentos, e</w:t>
      </w:r>
      <w:r w:rsidRPr="009A07A2">
        <w:t>s evidente la relevancia del problema de la determinación del tipo de cambio y, en particular, de su valor de equilibrio en un régimen de tipo de cambio flexible. Sin embargo, también es de gran relevancia bajo un régimen de flexibilidad limitada e incluso bajo tipos de cambio fijos (si el tipo de cambio fijado no es el de equilibrio, el mercado ejercerá presión sobre él, forzando a las autoridades monetarias a intervenir en el mercado de divisas…).</w:t>
      </w:r>
    </w:p>
  </w:footnote>
  <w:footnote w:id="5">
    <w:p w14:paraId="62DE97E6" w14:textId="7882E2FA" w:rsidR="00080F22" w:rsidRDefault="00080F22" w:rsidP="00D4626D">
      <w:pPr>
        <w:pStyle w:val="Textonotapie"/>
        <w:keepNext/>
        <w:spacing w:after="0"/>
      </w:pPr>
      <w:r>
        <w:rPr>
          <w:rStyle w:val="Refdenotaalpie"/>
        </w:rPr>
        <w:footnoteRef/>
      </w:r>
      <w:r>
        <w:t xml:space="preserve"> </w:t>
      </w:r>
      <w:r w:rsidR="00FB59BD">
        <w:t>Según el último informe trianual de 2022 del Banco Internacional de Pagos, el volumen medio diario de negociación es de 7,5</w:t>
      </w:r>
      <w:r w:rsidR="003A5B62">
        <w:t> </w:t>
      </w:r>
      <w:r w:rsidR="00FB59BD">
        <w:t>billones de dólares</w:t>
      </w:r>
      <w:r w:rsidR="0048737B">
        <w:t xml:space="preserve"> (i.e. un volumen medio anual de 2</w:t>
      </w:r>
      <w:r w:rsidR="00AD6AC9">
        <w:t>.</w:t>
      </w:r>
      <w:r w:rsidR="0048737B">
        <w:t>737,5 billones de dólares)</w:t>
      </w:r>
      <w:r w:rsidR="00FB59BD">
        <w:t>.</w:t>
      </w:r>
      <w:r w:rsidR="00D4626D">
        <w:t xml:space="preserve"> </w:t>
      </w:r>
      <w:r w:rsidR="00FB59BD">
        <w:t xml:space="preserve">Para hacernos una idea de la magnitud de este mercado, en el </w:t>
      </w:r>
      <w:r w:rsidR="00A24814">
        <w:t xml:space="preserve">mismo </w:t>
      </w:r>
      <w:r w:rsidR="00FB59BD">
        <w:t>año 202</w:t>
      </w:r>
      <w:r w:rsidR="00A24814">
        <w:t>2</w:t>
      </w:r>
      <w:r w:rsidR="00FB59BD">
        <w:t xml:space="preserve"> el valor de las exportaciones mundiales de mercancías fue de 2</w:t>
      </w:r>
      <w:r w:rsidR="00A24814">
        <w:t>4</w:t>
      </w:r>
      <w:r w:rsidR="00FB59BD">
        <w:t>,</w:t>
      </w:r>
      <w:r w:rsidR="00A24814">
        <w:t>2</w:t>
      </w:r>
      <w:r w:rsidR="0048737B">
        <w:t> </w:t>
      </w:r>
      <w:r w:rsidR="00FB59BD">
        <w:t xml:space="preserve">billones de dólares anuales, mientras que el de servicios fue de </w:t>
      </w:r>
      <w:r w:rsidR="00A24814">
        <w:t>6</w:t>
      </w:r>
      <w:r w:rsidR="00FB59BD">
        <w:t>,8</w:t>
      </w:r>
      <w:r w:rsidR="003A5B62">
        <w:t> </w:t>
      </w:r>
      <w:r w:rsidR="00FB59BD">
        <w:t>billones</w:t>
      </w:r>
      <w:r w:rsidR="0048737B">
        <w:t xml:space="preserve"> (i.e. un total anual de </w:t>
      </w:r>
      <w:r w:rsidR="00A24814">
        <w:t>31</w:t>
      </w:r>
      <w:r w:rsidR="0048737B">
        <w:t> billones de dólares)</w:t>
      </w:r>
      <w:r w:rsidR="00FB59BD">
        <w:t>. Es decir, el valor de las transacciones de divisas es ~</w:t>
      </w:r>
      <w:r w:rsidR="00A24814">
        <w:t>88</w:t>
      </w:r>
      <w:r w:rsidR="0048737B">
        <w:t> </w:t>
      </w:r>
      <w:r w:rsidR="00FB59BD">
        <w:t>veces mayor que el de bienes y servicios.</w:t>
      </w:r>
    </w:p>
  </w:footnote>
  <w:footnote w:id="6">
    <w:p w14:paraId="4E630C85" w14:textId="261E6A4C" w:rsidR="003918AB" w:rsidRDefault="00A22479" w:rsidP="00B93400">
      <w:pPr>
        <w:pStyle w:val="Textonotapie"/>
        <w:keepNext/>
        <w:spacing w:after="0"/>
      </w:pPr>
      <w:r>
        <w:rPr>
          <w:rStyle w:val="Refdenotaalpie"/>
        </w:rPr>
        <w:footnoteRef/>
      </w:r>
      <w:r>
        <w:t xml:space="preserve"> </w:t>
      </w:r>
      <w:r w:rsidR="00B93400">
        <w:t>L</w:t>
      </w:r>
      <w:r w:rsidR="008F7503">
        <w:t xml:space="preserve">a </w:t>
      </w:r>
      <w:r w:rsidR="008F7503" w:rsidRPr="00FD74B7">
        <w:rPr>
          <w:b/>
          <w:bCs/>
        </w:rPr>
        <w:t>teoría de la paridad de poder adquisitivo</w:t>
      </w:r>
      <w:r w:rsidR="003918AB">
        <w:t xml:space="preserve"> es una teoría simple que sugiere que el tipo de cambio nominal entre dos países debe igualarse al ratio de</w:t>
      </w:r>
      <w:r w:rsidR="0073107B">
        <w:t>l nivel de precios agregado de ambos países, de tal forma que la moneda de un países tenga el mismo poder adquisitivo en ambos países</w:t>
      </w:r>
      <w:r w:rsidR="003918AB">
        <w:t xml:space="preserve">. </w:t>
      </w:r>
      <w:r w:rsidR="003918AB">
        <w:rPr>
          <w:smallCaps/>
        </w:rPr>
        <w:t>Taylor</w:t>
      </w:r>
      <w:r w:rsidR="003918AB">
        <w:t xml:space="preserve"> y </w:t>
      </w:r>
      <w:r w:rsidR="003918AB">
        <w:rPr>
          <w:smallCaps/>
        </w:rPr>
        <w:t>Taylor</w:t>
      </w:r>
      <w:r w:rsidR="003918AB">
        <w:t xml:space="preserve"> (2004) discuten el origen de la teoría del poder adquisitivo.</w:t>
      </w:r>
    </w:p>
    <w:p w14:paraId="0407F776" w14:textId="029860D8" w:rsidR="00A24D4B" w:rsidRPr="00A24D4B" w:rsidRDefault="00635D23" w:rsidP="00A91828">
      <w:pPr>
        <w:pStyle w:val="Textonotapie"/>
        <w:spacing w:after="0"/>
      </w:pPr>
      <w:r>
        <w:t>Si bien el concepto ya había sido propuesto por los autores de la Escuela de Salamanca en el siglo</w:t>
      </w:r>
      <w:r w:rsidR="00EE13E1">
        <w:t> </w:t>
      </w:r>
      <w:r>
        <w:t>XVI, e</w:t>
      </w:r>
      <w:r w:rsidR="00A24D4B" w:rsidRPr="00A24D4B">
        <w:t xml:space="preserve">l término </w:t>
      </w:r>
      <w:r w:rsidR="00A24D4B">
        <w:rPr>
          <w:i/>
          <w:iCs/>
        </w:rPr>
        <w:t>“paridad de poder adquisitivo”</w:t>
      </w:r>
      <w:r w:rsidR="00A24D4B">
        <w:t xml:space="preserve"> comenzó a usarse tras la Primera Guerra Mundial en el </w:t>
      </w:r>
      <w:r>
        <w:t>contexto del debate acerca de los tipos de cambio que debían ser fijados entre los países industrializados tras las hiperinflaciones</w:t>
      </w:r>
      <w:r w:rsidR="00384A7C">
        <w:t xml:space="preserve"> (</w:t>
      </w:r>
      <w:hyperlink r:id="rId1" w:history="1">
        <w:r w:rsidR="00384A7C" w:rsidRPr="00384A7C">
          <w:rPr>
            <w:rStyle w:val="Hipervnculo"/>
          </w:rPr>
          <w:t>https://doi.org/10.1257/0895330042632744</w:t>
        </w:r>
      </w:hyperlink>
      <w:r w:rsidR="00384A7C">
        <w:t>)</w:t>
      </w:r>
      <w:r>
        <w:t>.</w:t>
      </w:r>
    </w:p>
    <w:p w14:paraId="33C3064D" w14:textId="77777777" w:rsidR="00384A7C" w:rsidRDefault="003918AB" w:rsidP="00384A7C">
      <w:pPr>
        <w:pStyle w:val="Textonotapie"/>
        <w:keepNext/>
        <w:spacing w:after="0"/>
        <w:rPr>
          <w:lang w:val="en-US"/>
        </w:rPr>
      </w:pPr>
      <w:r w:rsidRPr="003918AB">
        <w:rPr>
          <w:smallCaps/>
          <w:lang w:val="en-US"/>
        </w:rPr>
        <w:t>Cassel</w:t>
      </w:r>
      <w:r w:rsidRPr="003918AB">
        <w:rPr>
          <w:lang w:val="en-US"/>
        </w:rPr>
        <w:t xml:space="preserve"> (1922) </w:t>
      </w:r>
      <w:proofErr w:type="spellStart"/>
      <w:r w:rsidRPr="003918AB">
        <w:rPr>
          <w:lang w:val="en-US"/>
        </w:rPr>
        <w:t>escribió</w:t>
      </w:r>
      <w:proofErr w:type="spellEnd"/>
      <w:r w:rsidRPr="003918AB">
        <w:rPr>
          <w:lang w:val="en-US"/>
        </w:rPr>
        <w:t>:</w:t>
      </w:r>
    </w:p>
    <w:p w14:paraId="6B7C8402" w14:textId="4651309E" w:rsidR="00635D23" w:rsidRPr="00384A7C" w:rsidRDefault="003918AB" w:rsidP="00384A7C">
      <w:pPr>
        <w:pStyle w:val="Textonotapie"/>
        <w:ind w:left="426"/>
        <w:rPr>
          <w:i/>
          <w:iCs/>
          <w:lang w:val="en-US"/>
        </w:rPr>
      </w:pPr>
      <w:r w:rsidRPr="003918AB">
        <w:rPr>
          <w:i/>
          <w:iCs/>
          <w:lang w:val="en-US"/>
        </w:rPr>
        <w:t xml:space="preserve">“Our willingness to pay a certain price for foreign money must ultimately and essentially be </w:t>
      </w:r>
      <w:proofErr w:type="gramStart"/>
      <w:r w:rsidRPr="003918AB">
        <w:rPr>
          <w:i/>
          <w:iCs/>
          <w:lang w:val="en-US"/>
        </w:rPr>
        <w:t>due to the fact that</w:t>
      </w:r>
      <w:proofErr w:type="gramEnd"/>
      <w:r w:rsidRPr="003918AB">
        <w:rPr>
          <w:i/>
          <w:iCs/>
          <w:lang w:val="en-US"/>
        </w:rPr>
        <w:t xml:space="preserve"> this money possesses a purchasing power as against commodities and services in that country. On the other hand, when we offer so and so much of our own money, we are </w:t>
      </w:r>
      <w:proofErr w:type="gramStart"/>
      <w:r w:rsidRPr="003918AB">
        <w:rPr>
          <w:i/>
          <w:iCs/>
          <w:lang w:val="en-US"/>
        </w:rPr>
        <w:t>actually offering</w:t>
      </w:r>
      <w:proofErr w:type="gramEnd"/>
      <w:r w:rsidRPr="003918AB">
        <w:rPr>
          <w:i/>
          <w:iCs/>
          <w:lang w:val="en-US"/>
        </w:rPr>
        <w:t xml:space="preserve"> a purchasing power as against commodities and services in our own country. Our valuation of a foreign currency in terms of our own, therefore, mainly depends on the relative purchasing power of</w:t>
      </w:r>
      <w:r w:rsidR="00A24D4B">
        <w:rPr>
          <w:i/>
          <w:iCs/>
          <w:lang w:val="en-US"/>
        </w:rPr>
        <w:t xml:space="preserve"> </w:t>
      </w:r>
      <w:r w:rsidRPr="003918AB">
        <w:rPr>
          <w:i/>
          <w:iCs/>
          <w:lang w:val="en-US"/>
        </w:rPr>
        <w:t>the two currencies in their respective countries.”</w:t>
      </w:r>
    </w:p>
  </w:footnote>
  <w:footnote w:id="7">
    <w:p w14:paraId="447F15FD" w14:textId="18C88194" w:rsidR="00893793" w:rsidRPr="009226A9" w:rsidRDefault="00893793" w:rsidP="00893793">
      <w:pPr>
        <w:pStyle w:val="Textonotapie"/>
      </w:pPr>
      <w:r w:rsidRPr="009226A9">
        <w:rPr>
          <w:rStyle w:val="Refdenotaalpie"/>
        </w:rPr>
        <w:footnoteRef/>
      </w:r>
      <w:r w:rsidRPr="009226A9">
        <w:t xml:space="preserve"> Una rama de la literatura iniciada por </w:t>
      </w:r>
      <w:r w:rsidRPr="009226A9">
        <w:rPr>
          <w:smallCaps/>
        </w:rPr>
        <w:t>Roll</w:t>
      </w:r>
      <w:r w:rsidRPr="009226A9">
        <w:t xml:space="preserve"> (1979) mantiene que los mercados financieros internacionales son eficientes y por eso las desviaciones de la PPA (el tipo de cambio real) deben seguir un paseo aleatorio. A veces se le denomina PPA ex ante o PPA de mercados eficiente</w:t>
      </w:r>
      <w:r w:rsidR="009226A9">
        <w:t>s</w:t>
      </w:r>
      <w:r w:rsidRPr="009226A9">
        <w:t>. Parte de los supuestos de expectativas racionales y cumplimiento de la P</w:t>
      </w:r>
      <w:r w:rsidR="00316A28">
        <w:t>NC</w:t>
      </w:r>
      <w:r w:rsidRPr="009226A9">
        <w:t>I.</w:t>
      </w:r>
    </w:p>
    <w:p w14:paraId="5A7B53D0" w14:textId="77777777" w:rsidR="00893793" w:rsidRPr="009226A9" w:rsidRDefault="00893793" w:rsidP="005D5519">
      <w:pPr>
        <w:pStyle w:val="Textonotapie"/>
        <w:spacing w:after="0"/>
      </w:pPr>
      <w:r w:rsidRPr="009226A9">
        <w:t xml:space="preserve">Siguiendo a </w:t>
      </w:r>
      <w:r w:rsidRPr="009226A9">
        <w:rPr>
          <w:smallCaps/>
        </w:rPr>
        <w:t>Roll</w:t>
      </w:r>
      <w:r w:rsidRPr="009226A9">
        <w:t>, supongamos que los agentes forman sus expectativas racionalmente y que participan en la compra especulativa de bienes. Un agente nacional puede comprar un bien extranjero y mantenerlo un periodo. El rendimiento nominal esperado de esa estrategia, expresado en moneda extranjera será igual a la inflación esperada en el extranjero. Para expresarlo en moneda doméstica habrá que tener en cuenta los cambios esperados en el tipo de cambio y en los precios domésticos de forma que el rendimiento esperado para un residente nacional al especular con un bien extranjero será:</w:t>
      </w:r>
    </w:p>
    <w:p w14:paraId="484B48A6" w14:textId="7419B1BD" w:rsidR="00893793" w:rsidRPr="009226A9" w:rsidRDefault="00000000" w:rsidP="005D5519">
      <w:pPr>
        <w:pStyle w:val="Textonotapie"/>
        <w:spacing w:after="0"/>
        <w:rPr>
          <w:rFonts w:eastAsiaTheme="minorEastAsia"/>
          <w:i/>
          <w:lang w:val="fr-FR"/>
        </w:rPr>
      </w:pPr>
      <m:oMathPara>
        <m:oMath>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r>
                <m:rPr>
                  <m:nor/>
                </m:rPr>
                <m:t>Δ</m:t>
              </m:r>
              <m:sSub>
                <m:sSubPr>
                  <m:ctrlPr>
                    <w:rPr>
                      <w:rFonts w:ascii="Cambria Math" w:hAnsi="Cambria Math"/>
                      <w:i/>
                    </w:rPr>
                  </m:ctrlPr>
                </m:sSubPr>
                <m:e>
                  <m:r>
                    <m:rPr>
                      <m:nor/>
                    </m:rPr>
                    <w:rPr>
                      <w:i/>
                      <w:lang w:val="fr-FR"/>
                    </w:rPr>
                    <m:t>p*</m:t>
                  </m:r>
                </m:e>
                <m:sub>
                  <m:r>
                    <m:rPr>
                      <m:nor/>
                    </m:rPr>
                    <w:rPr>
                      <w:i/>
                      <w:lang w:val="fr-FR"/>
                    </w:rPr>
                    <m:t>t+1</m:t>
                  </m:r>
                </m:sub>
              </m:sSub>
            </m:e>
          </m:d>
          <m:r>
            <w:rPr>
              <w:rFonts w:ascii="Cambria Math" w:eastAsiaTheme="minorEastAsia"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r>
                <m:rPr>
                  <m:nor/>
                </m:rPr>
                <m:t>Δ</m:t>
              </m:r>
              <m:sSub>
                <m:sSubPr>
                  <m:ctrlPr>
                    <w:rPr>
                      <w:rFonts w:ascii="Cambria Math" w:hAnsi="Cambria Math"/>
                      <w:i/>
                    </w:rPr>
                  </m:ctrlPr>
                </m:sSubPr>
                <m:e>
                  <m:r>
                    <m:rPr>
                      <m:nor/>
                    </m:rPr>
                    <w:rPr>
                      <w:i/>
                      <w:lang w:val="fr-FR"/>
                    </w:rPr>
                    <m:t>s</m:t>
                  </m:r>
                </m:e>
                <m:sub>
                  <m:r>
                    <m:rPr>
                      <m:nor/>
                    </m:rPr>
                    <w:rPr>
                      <w:i/>
                      <w:lang w:val="fr-FR"/>
                    </w:rPr>
                    <m:t>t+1</m:t>
                  </m:r>
                </m:sub>
              </m:sSub>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r>
                <m:rPr>
                  <m:nor/>
                </m:rPr>
                <m:t>Δ</m:t>
              </m:r>
              <m:sSub>
                <m:sSubPr>
                  <m:ctrlPr>
                    <w:rPr>
                      <w:rFonts w:ascii="Cambria Math" w:hAnsi="Cambria Math"/>
                      <w:i/>
                    </w:rPr>
                  </m:ctrlPr>
                </m:sSubPr>
                <m:e>
                  <m:r>
                    <m:rPr>
                      <m:nor/>
                    </m:rPr>
                    <w:rPr>
                      <w:i/>
                      <w:lang w:val="fr-FR"/>
                    </w:rPr>
                    <m:t>p</m:t>
                  </m:r>
                </m:e>
                <m:sub>
                  <m:r>
                    <m:rPr>
                      <m:nor/>
                    </m:rPr>
                    <w:rPr>
                      <w:i/>
                      <w:lang w:val="fr-FR"/>
                    </w:rPr>
                    <m:t>t+1</m:t>
                  </m:r>
                </m:sub>
              </m:sSub>
            </m:e>
          </m:d>
        </m:oMath>
      </m:oMathPara>
    </w:p>
    <w:p w14:paraId="0B2EEC56" w14:textId="77777777" w:rsidR="00893793" w:rsidRPr="009226A9" w:rsidRDefault="00893793" w:rsidP="005D5519">
      <w:pPr>
        <w:pStyle w:val="Textonotapie"/>
        <w:spacing w:after="0"/>
        <w:rPr>
          <w:rFonts w:eastAsiaTheme="minorEastAsia"/>
          <w:iCs/>
          <w:spacing w:val="-3"/>
        </w:rPr>
      </w:pPr>
      <w:r w:rsidRPr="009226A9">
        <w:rPr>
          <w:rFonts w:eastAsiaTheme="minorEastAsia"/>
          <w:iCs/>
          <w:spacing w:val="-3"/>
        </w:rPr>
        <w:t xml:space="preserve">Teniendo en cuenta la </w:t>
      </w:r>
      <w:r w:rsidRPr="009226A9">
        <w:rPr>
          <w:rFonts w:eastAsiaTheme="minorEastAsia"/>
          <w:i/>
          <w:spacing w:val="-3"/>
        </w:rPr>
        <w:t>definición del tipo de cambio real</w:t>
      </w:r>
      <w:r w:rsidRPr="009226A9">
        <w:rPr>
          <w:rFonts w:eastAsiaTheme="minorEastAsia"/>
          <w:iCs/>
          <w:spacing w:val="-3"/>
        </w:rPr>
        <w:t xml:space="preserve"> (en logaritmos): </w:t>
      </w:r>
      <m:oMath>
        <m:func>
          <m:funcPr>
            <m:ctrlPr>
              <w:rPr>
                <w:rFonts w:ascii="Cambria Math" w:hAnsi="Cambria Math"/>
                <w:i/>
                <w:spacing w:val="-3"/>
                <w:sz w:val="22"/>
                <w:szCs w:val="22"/>
              </w:rPr>
            </m:ctrlPr>
          </m:funcPr>
          <m:fName>
            <m:r>
              <m:rPr>
                <m:nor/>
              </m:rPr>
              <w:rPr>
                <w:i/>
                <w:iCs/>
                <w:spacing w:val="-3"/>
              </w:rPr>
              <m:t>ln</m:t>
            </m:r>
          </m:fName>
          <m:e>
            <m:sSub>
              <m:sSubPr>
                <m:ctrlPr>
                  <w:rPr>
                    <w:rFonts w:ascii="Cambria Math" w:hAnsi="Cambria Math"/>
                    <w:i/>
                    <w:spacing w:val="-3"/>
                  </w:rPr>
                </m:ctrlPr>
              </m:sSubPr>
              <m:e>
                <m:r>
                  <m:rPr>
                    <m:nor/>
                  </m:rPr>
                  <w:rPr>
                    <w:i/>
                    <w:iCs/>
                    <w:spacing w:val="-3"/>
                  </w:rPr>
                  <m:t>ϰ</m:t>
                </m:r>
              </m:e>
              <m:sub>
                <m:r>
                  <m:rPr>
                    <m:nor/>
                  </m:rPr>
                  <w:rPr>
                    <w:i/>
                    <w:spacing w:val="-3"/>
                  </w:rPr>
                  <m:t>t</m:t>
                </m:r>
              </m:sub>
            </m:sSub>
          </m:e>
        </m:func>
        <m:r>
          <w:rPr>
            <w:rFonts w:ascii="Cambria Math" w:hAnsi="Cambria Math"/>
            <w:spacing w:val="-3"/>
          </w:rPr>
          <m:t>=</m:t>
        </m:r>
        <m:sSub>
          <m:sSubPr>
            <m:ctrlPr>
              <w:rPr>
                <w:rFonts w:ascii="Cambria Math" w:hAnsi="Cambria Math"/>
                <w:i/>
                <w:spacing w:val="-3"/>
              </w:rPr>
            </m:ctrlPr>
          </m:sSubPr>
          <m:e>
            <m:r>
              <m:rPr>
                <m:nor/>
              </m:rPr>
              <w:rPr>
                <w:i/>
                <w:spacing w:val="-3"/>
              </w:rPr>
              <m:t>s</m:t>
            </m:r>
          </m:e>
          <m:sub>
            <m:r>
              <m:rPr>
                <m:nor/>
              </m:rPr>
              <w:rPr>
                <w:i/>
                <w:spacing w:val="-3"/>
              </w:rPr>
              <m:t>t</m:t>
            </m:r>
          </m:sub>
        </m:sSub>
        <m:r>
          <w:rPr>
            <w:rFonts w:ascii="Cambria Math" w:hAnsi="Cambria Math"/>
            <w:spacing w:val="-3"/>
          </w:rPr>
          <m:t>-</m:t>
        </m:r>
        <m:sSub>
          <m:sSubPr>
            <m:ctrlPr>
              <w:rPr>
                <w:rFonts w:ascii="Cambria Math" w:hAnsi="Cambria Math"/>
                <w:i/>
                <w:spacing w:val="-3"/>
              </w:rPr>
            </m:ctrlPr>
          </m:sSubPr>
          <m:e>
            <m:r>
              <m:rPr>
                <m:nor/>
              </m:rPr>
              <w:rPr>
                <w:i/>
                <w:spacing w:val="-3"/>
              </w:rPr>
              <m:t>p</m:t>
            </m:r>
          </m:e>
          <m:sub>
            <m:r>
              <m:rPr>
                <m:nor/>
              </m:rPr>
              <w:rPr>
                <w:i/>
                <w:spacing w:val="-3"/>
              </w:rPr>
              <m:t>t</m:t>
            </m:r>
          </m:sub>
        </m:sSub>
        <m:r>
          <w:rPr>
            <w:rFonts w:ascii="Cambria Math" w:hAnsi="Cambria Math"/>
            <w:spacing w:val="-3"/>
          </w:rPr>
          <m:t>+</m:t>
        </m:r>
        <m:sSub>
          <m:sSubPr>
            <m:ctrlPr>
              <w:rPr>
                <w:rFonts w:ascii="Cambria Math" w:hAnsi="Cambria Math"/>
                <w:i/>
                <w:spacing w:val="-3"/>
              </w:rPr>
            </m:ctrlPr>
          </m:sSubPr>
          <m:e>
            <m:r>
              <m:rPr>
                <m:nor/>
              </m:rPr>
              <w:rPr>
                <w:i/>
                <w:spacing w:val="-3"/>
              </w:rPr>
              <m:t>p*</m:t>
            </m:r>
          </m:e>
          <m:sub>
            <m:r>
              <m:rPr>
                <m:nor/>
              </m:rPr>
              <w:rPr>
                <w:i/>
                <w:spacing w:val="-3"/>
              </w:rPr>
              <m:t>t</m:t>
            </m:r>
          </m:sub>
        </m:sSub>
      </m:oMath>
      <w:r w:rsidRPr="009226A9">
        <w:rPr>
          <w:rFonts w:eastAsiaTheme="minorEastAsia"/>
          <w:spacing w:val="-3"/>
        </w:rPr>
        <w:t xml:space="preserve"> obtenemos:</w:t>
      </w:r>
    </w:p>
    <w:p w14:paraId="222D6587" w14:textId="77777777" w:rsidR="00893793" w:rsidRPr="009226A9" w:rsidRDefault="00000000" w:rsidP="005D5519">
      <w:pPr>
        <w:pStyle w:val="Textonotapie"/>
        <w:spacing w:after="0"/>
        <w:rPr>
          <w:rFonts w:eastAsiaTheme="minorEastAsia"/>
          <w:i/>
        </w:rPr>
      </w:pPr>
      <m:oMathPara>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r>
                <m:rPr>
                  <m:nor/>
                </m:rPr>
                <m:t>Δ</m:t>
              </m:r>
              <m:func>
                <m:funcPr>
                  <m:ctrlPr>
                    <w:rPr>
                      <w:rFonts w:ascii="Cambria Math" w:hAnsi="Cambria Math"/>
                      <w:i/>
                      <w:spacing w:val="-2"/>
                      <w:sz w:val="22"/>
                      <w:szCs w:val="22"/>
                    </w:rPr>
                  </m:ctrlPr>
                </m:funcPr>
                <m:fName>
                  <m:r>
                    <m:rPr>
                      <m:nor/>
                    </m:rPr>
                    <w:rPr>
                      <w:i/>
                      <w:iCs/>
                      <w:spacing w:val="-2"/>
                    </w:rPr>
                    <m:t>ln</m:t>
                  </m:r>
                </m:fName>
                <m:e>
                  <m:sSub>
                    <m:sSubPr>
                      <m:ctrlPr>
                        <w:rPr>
                          <w:rFonts w:ascii="Cambria Math" w:hAnsi="Cambria Math"/>
                          <w:i/>
                          <w:spacing w:val="-2"/>
                        </w:rPr>
                      </m:ctrlPr>
                    </m:sSubPr>
                    <m:e>
                      <m:r>
                        <m:rPr>
                          <m:nor/>
                        </m:rPr>
                        <w:rPr>
                          <w:i/>
                          <w:iCs/>
                        </w:rPr>
                        <m:t>ϰ</m:t>
                      </m:r>
                    </m:e>
                    <m:sub>
                      <m:r>
                        <m:rPr>
                          <m:nor/>
                        </m:rPr>
                        <w:rPr>
                          <w:i/>
                          <w:spacing w:val="-2"/>
                        </w:rPr>
                        <m:t>t</m:t>
                      </m:r>
                    </m:sub>
                  </m:sSub>
                </m:e>
              </m:func>
            </m:e>
          </m:d>
          <m:r>
            <w:rPr>
              <w:rFonts w:ascii="Cambria Math" w:eastAsiaTheme="minorEastAsia" w:hAnsi="Cambria Math"/>
            </w:rPr>
            <m:t>=</m:t>
          </m:r>
          <m:r>
            <m:rPr>
              <m:nor/>
            </m:rPr>
            <w:rPr>
              <w:i/>
            </w:rPr>
            <m:t>0</m:t>
          </m:r>
        </m:oMath>
      </m:oMathPara>
    </w:p>
    <w:p w14:paraId="429CAE0E" w14:textId="77777777" w:rsidR="00893793" w:rsidRPr="009226A9" w:rsidRDefault="00893793" w:rsidP="00893793">
      <w:pPr>
        <w:pStyle w:val="Textonotapie"/>
        <w:rPr>
          <w:rFonts w:eastAsiaTheme="minorEastAsia"/>
        </w:rPr>
      </w:pPr>
      <w:r w:rsidRPr="009226A9">
        <w:rPr>
          <w:iCs/>
        </w:rPr>
        <w:t xml:space="preserve">Lo que implica que </w:t>
      </w:r>
      <m:oMath>
        <m:sSub>
          <m:sSubPr>
            <m:ctrlPr>
              <w:rPr>
                <w:rFonts w:ascii="Cambria Math" w:hAnsi="Cambria Math"/>
                <w:i/>
              </w:rPr>
            </m:ctrlPr>
          </m:sSubPr>
          <m:e>
            <m:r>
              <m:rPr>
                <m:nor/>
              </m:rPr>
              <w:rPr>
                <w:i/>
                <w:iCs/>
              </w:rPr>
              <m:t>ϰ</m:t>
            </m:r>
          </m:e>
          <m:sub>
            <m:r>
              <m:rPr>
                <m:nor/>
              </m:rPr>
              <w:rPr>
                <w:i/>
              </w:rPr>
              <m:t>t</m:t>
            </m:r>
          </m:sub>
        </m:sSub>
      </m:oMath>
      <w:r w:rsidRPr="009226A9">
        <w:rPr>
          <w:rFonts w:eastAsiaTheme="minorEastAsia"/>
        </w:rPr>
        <w:t xml:space="preserve"> sigue un paseo aleatorio: </w:t>
      </w:r>
      <m:oMath>
        <m:func>
          <m:funcPr>
            <m:ctrlPr>
              <w:rPr>
                <w:rFonts w:ascii="Cambria Math" w:hAnsi="Cambria Math"/>
                <w:i/>
                <w:spacing w:val="-2"/>
                <w:sz w:val="22"/>
                <w:szCs w:val="22"/>
              </w:rPr>
            </m:ctrlPr>
          </m:funcPr>
          <m:fName>
            <m:r>
              <m:rPr>
                <m:nor/>
              </m:rPr>
              <w:rPr>
                <w:i/>
                <w:iCs/>
                <w:spacing w:val="-2"/>
              </w:rPr>
              <m:t>ln</m:t>
            </m:r>
          </m:fName>
          <m:e>
            <m:sSub>
              <m:sSubPr>
                <m:ctrlPr>
                  <w:rPr>
                    <w:rFonts w:ascii="Cambria Math" w:hAnsi="Cambria Math"/>
                    <w:i/>
                    <w:spacing w:val="-2"/>
                  </w:rPr>
                </m:ctrlPr>
              </m:sSubPr>
              <m:e>
                <m:r>
                  <m:rPr>
                    <m:nor/>
                  </m:rPr>
                  <w:rPr>
                    <w:i/>
                    <w:iCs/>
                  </w:rPr>
                  <m:t>ϰ</m:t>
                </m:r>
              </m:e>
              <m:sub>
                <m:r>
                  <m:rPr>
                    <m:nor/>
                  </m:rPr>
                  <w:rPr>
                    <w:i/>
                  </w:rPr>
                  <m:t>t+1</m:t>
                </m:r>
              </m:sub>
            </m:sSub>
          </m:e>
        </m:func>
        <m:r>
          <w:rPr>
            <w:rFonts w:ascii="Cambria Math" w:hAnsi="Cambria Math"/>
          </w:rPr>
          <m:t>=</m:t>
        </m:r>
        <m:func>
          <m:funcPr>
            <m:ctrlPr>
              <w:rPr>
                <w:rFonts w:ascii="Cambria Math" w:hAnsi="Cambria Math"/>
                <w:i/>
                <w:spacing w:val="-2"/>
                <w:sz w:val="22"/>
                <w:szCs w:val="22"/>
              </w:rPr>
            </m:ctrlPr>
          </m:funcPr>
          <m:fName>
            <m:r>
              <m:rPr>
                <m:nor/>
              </m:rPr>
              <w:rPr>
                <w:i/>
                <w:iCs/>
                <w:spacing w:val="-2"/>
              </w:rPr>
              <m:t>ln</m:t>
            </m:r>
          </m:fName>
          <m:e>
            <m:sSub>
              <m:sSubPr>
                <m:ctrlPr>
                  <w:rPr>
                    <w:rFonts w:ascii="Cambria Math" w:hAnsi="Cambria Math"/>
                    <w:i/>
                    <w:spacing w:val="-2"/>
                  </w:rPr>
                </m:ctrlPr>
              </m:sSubPr>
              <m:e>
                <m:r>
                  <m:rPr>
                    <m:nor/>
                  </m:rPr>
                  <w:rPr>
                    <w:i/>
                    <w:iCs/>
                  </w:rPr>
                  <m:t>ϰ</m:t>
                </m:r>
              </m:e>
              <m:sub>
                <m:r>
                  <m:rPr>
                    <m:nor/>
                  </m:rPr>
                  <w:rPr>
                    <w:i/>
                  </w:rPr>
                  <m:t>t</m:t>
                </m:r>
              </m:sub>
            </m:sSub>
          </m:e>
        </m:func>
        <m:r>
          <w:rPr>
            <w:rFonts w:ascii="Cambria Math" w:eastAsiaTheme="minorEastAsia" w:hAnsi="Cambria Math"/>
          </w:rPr>
          <m:t>+</m:t>
        </m:r>
        <m:sSub>
          <m:sSubPr>
            <m:ctrlPr>
              <w:rPr>
                <w:rFonts w:ascii="Cambria Math" w:hAnsi="Cambria Math"/>
                <w:i/>
              </w:rPr>
            </m:ctrlPr>
          </m:sSubPr>
          <m:e>
            <m:r>
              <m:rPr>
                <m:nor/>
              </m:rPr>
              <w:rPr>
                <w:i/>
                <w:iCs/>
              </w:rPr>
              <m:t>η</m:t>
            </m:r>
          </m:e>
          <m:sub>
            <m:r>
              <m:rPr>
                <m:nor/>
              </m:rPr>
              <w:rPr>
                <w:i/>
              </w:rPr>
              <m:t>t+1</m:t>
            </m:r>
          </m:sub>
        </m:sSub>
      </m:oMath>
      <w:r w:rsidRPr="009226A9">
        <w:rPr>
          <w:rFonts w:eastAsiaTheme="minorEastAsia"/>
        </w:rPr>
        <w:t xml:space="preserve">, donde </w:t>
      </w:r>
      <m:oMath>
        <m:sSub>
          <m:sSubPr>
            <m:ctrlPr>
              <w:rPr>
                <w:rFonts w:ascii="Cambria Math" w:hAnsi="Cambria Math"/>
                <w:i/>
              </w:rPr>
            </m:ctrlPr>
          </m:sSubPr>
          <m:e>
            <m:r>
              <m:rPr>
                <m:nor/>
              </m:rPr>
              <w:rPr>
                <w:i/>
                <w:iCs/>
              </w:rPr>
              <m:t>η</m:t>
            </m:r>
          </m:e>
          <m:sub>
            <m:r>
              <m:rPr>
                <m:nor/>
              </m:rPr>
              <w:rPr>
                <w:i/>
              </w:rPr>
              <m:t>t+1</m:t>
            </m:r>
          </m:sub>
        </m:sSub>
      </m:oMath>
      <w:r w:rsidRPr="009226A9">
        <w:rPr>
          <w:rFonts w:eastAsiaTheme="minorEastAsia"/>
        </w:rPr>
        <w:t xml:space="preserve"> es un error de previsión con expectativas racionales tal que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iCs/>
                  </w:rPr>
                  <m:t>η</m:t>
                </m:r>
              </m:e>
              <m:sub>
                <m:r>
                  <m:rPr>
                    <m:nor/>
                  </m:rPr>
                  <w:rPr>
                    <w:i/>
                  </w:rPr>
                  <m:t>t+1</m:t>
                </m:r>
              </m:sub>
            </m:sSub>
          </m:e>
        </m:d>
        <m:r>
          <w:rPr>
            <w:rFonts w:ascii="Cambria Math" w:eastAsiaTheme="minorEastAsia" w:hAnsi="Cambria Math"/>
          </w:rPr>
          <m:t>=</m:t>
        </m:r>
        <m:r>
          <m:rPr>
            <m:nor/>
          </m:rPr>
          <w:rPr>
            <w:i/>
          </w:rPr>
          <m:t>0</m:t>
        </m:r>
      </m:oMath>
      <w:r w:rsidRPr="009226A9">
        <w:rPr>
          <w:rFonts w:eastAsiaTheme="minorEastAsia"/>
        </w:rPr>
        <w:t>.</w:t>
      </w:r>
    </w:p>
    <w:p w14:paraId="5889CBAB" w14:textId="0FCE29E7" w:rsidR="00893793" w:rsidRDefault="00893793" w:rsidP="00893793">
      <w:pPr>
        <w:pStyle w:val="Textonotapie"/>
      </w:pPr>
      <w:r w:rsidRPr="009226A9">
        <w:rPr>
          <w:rFonts w:eastAsiaTheme="minorEastAsia"/>
        </w:rPr>
        <w:t>Esto significa que la mejor predicción del tipo de cambio real futuro será el tipo de cambio real actual y que ante cualquier desviación de la PPA, no se producirá un proceso de reajuste o reversión a la media. Un shock que afecte al tipo de cambio real tendrá efectos permanentes. De acuerdo con este enfoque, el cumplimiento de la PPA a largo plazo sería incompatible con la eficiencia de los mercados (otros autores no comparten esta conclusión).</w:t>
      </w:r>
    </w:p>
  </w:footnote>
  <w:footnote w:id="8">
    <w:p w14:paraId="2395D3CA" w14:textId="49D05A20" w:rsidR="00987FB4" w:rsidRDefault="00987FB4">
      <w:pPr>
        <w:pStyle w:val="Textonotapie"/>
      </w:pPr>
      <w:r>
        <w:rPr>
          <w:rStyle w:val="Refdenotaalpie"/>
        </w:rPr>
        <w:footnoteRef/>
      </w:r>
      <w:r>
        <w:t xml:space="preserve"> La PPA relativa no requiere que el tipo de cambio real sea uno, sino tan solo que sea constante entre períodos. Por lo tanto es una hipótesis menos restrictiva que se dará siempre que los factores que causen desviaciones de la PPA absoluta sean estables en el tiempo.</w:t>
      </w:r>
    </w:p>
    <w:p w14:paraId="5766E954" w14:textId="01306047" w:rsidR="00987FB4" w:rsidRDefault="00987FB4">
      <w:pPr>
        <w:pStyle w:val="Textonotapie"/>
      </w:pPr>
      <w:r>
        <w:t>Si se cumple la PPA absoluta el tipo de cambio real es constante e igual a uno (i.e. se cumple también la PPA relativa), en cambio, si se cumple la PPA relativa no tiene por</w:t>
      </w:r>
      <w:r w:rsidR="00C26C58">
        <w:t xml:space="preserve"> </w:t>
      </w:r>
      <w:r>
        <w:t>qu</w:t>
      </w:r>
      <w:r w:rsidR="00C26C58">
        <w:t>é</w:t>
      </w:r>
      <w:r>
        <w:t xml:space="preserve"> cumplirse la PPA absoluta, ya que valdría con que el tipo de cambio sea constante en cualquier nivel (aunque este sea distinto de uno). Por tanto, la PPA absoluta es un caso concreto de la PPA relativa.</w:t>
      </w:r>
    </w:p>
  </w:footnote>
  <w:footnote w:id="9">
    <w:p w14:paraId="1B76AAEC" w14:textId="6F322BEA" w:rsidR="00601761" w:rsidRDefault="00601761">
      <w:pPr>
        <w:pStyle w:val="Textonotapie"/>
      </w:pPr>
      <w:r>
        <w:rPr>
          <w:rStyle w:val="Refdenotaalpie"/>
        </w:rPr>
        <w:footnoteRef/>
      </w:r>
      <w:r>
        <w:t xml:space="preserve"> </w:t>
      </w:r>
      <w:r w:rsidRPr="00601761">
        <w:rPr>
          <w:spacing w:val="-2"/>
        </w:rPr>
        <w:t xml:space="preserve">Una técnica econométrica interesante aplicada para estudiar estas cuestiones es examinar si el tipo de cambio nominal y el nivel relativo de precios entre dos países comparten una tendencia común, manteniendo una relación estable a largo plazo (i.e. </w:t>
      </w:r>
      <w:proofErr w:type="spellStart"/>
      <w:r w:rsidRPr="00601761">
        <w:rPr>
          <w:spacing w:val="-2"/>
        </w:rPr>
        <w:t>si</w:t>
      </w:r>
      <w:proofErr w:type="spellEnd"/>
      <w:r w:rsidRPr="00601761">
        <w:rPr>
          <w:spacing w:val="-2"/>
        </w:rPr>
        <w:t xml:space="preserve"> son variables </w:t>
      </w:r>
      <w:proofErr w:type="spellStart"/>
      <w:r w:rsidRPr="00601761">
        <w:rPr>
          <w:spacing w:val="-2"/>
        </w:rPr>
        <w:t>cointegradas</w:t>
      </w:r>
      <w:proofErr w:type="spellEnd"/>
      <w:r w:rsidRPr="00601761">
        <w:rPr>
          <w:spacing w:val="-2"/>
        </w:rPr>
        <w:t>).</w:t>
      </w:r>
    </w:p>
  </w:footnote>
  <w:footnote w:id="10">
    <w:p w14:paraId="6D99FA48" w14:textId="77777777" w:rsidR="002B2D78" w:rsidRDefault="002B2D78" w:rsidP="002B2D78">
      <w:pPr>
        <w:pStyle w:val="Textonotapie"/>
        <w:jc w:val="left"/>
      </w:pPr>
      <w:r>
        <w:rPr>
          <w:rStyle w:val="Refdenotaalpie"/>
        </w:rPr>
        <w:footnoteRef/>
      </w:r>
      <w:r>
        <w:t xml:space="preserve"> </w:t>
      </w:r>
      <w:hyperlink r:id="rId2" w:history="1">
        <w:r w:rsidRPr="00D66E7D">
          <w:rPr>
            <w:rStyle w:val="Hipervnculo"/>
          </w:rPr>
          <w:t>https://www.economist.com/big-mac-index</w:t>
        </w:r>
      </w:hyperlink>
      <w:r>
        <w:br/>
      </w:r>
      <w:hyperlink r:id="rId3" w:history="1">
        <w:r w:rsidRPr="00D66E7D">
          <w:rPr>
            <w:rStyle w:val="Hipervnculo"/>
          </w:rPr>
          <w:t>https://es.wikipedia.org/wiki/%C3%8Dndice_Big_Mac</w:t>
        </w:r>
      </w:hyperlink>
    </w:p>
  </w:footnote>
  <w:footnote w:id="11">
    <w:p w14:paraId="6C0BE698" w14:textId="65B62F72" w:rsidR="00FB2586" w:rsidRDefault="00FB2586" w:rsidP="00FB2586">
      <w:pPr>
        <w:pStyle w:val="Textonotapie"/>
        <w:keepNext/>
        <w:spacing w:after="0"/>
      </w:pPr>
      <w:r>
        <w:rPr>
          <w:rStyle w:val="Refdenotaalpie"/>
        </w:rPr>
        <w:footnoteRef/>
      </w:r>
      <w:r>
        <w:t xml:space="preserve"> La evidencia empírica muestra que:</w:t>
      </w:r>
    </w:p>
    <w:p w14:paraId="1F9A3834" w14:textId="7C56BEEF" w:rsidR="00FB2586" w:rsidRDefault="00FB2586" w:rsidP="00FB2586">
      <w:pPr>
        <w:pStyle w:val="Textonotapie"/>
        <w:numPr>
          <w:ilvl w:val="0"/>
          <w:numId w:val="42"/>
        </w:numPr>
        <w:spacing w:after="0"/>
        <w:ind w:left="283" w:hanging="113"/>
      </w:pPr>
      <w:r>
        <w:t>Existe reversión a la media pero únicamente en el muy largo plazo.</w:t>
      </w:r>
    </w:p>
    <w:p w14:paraId="7A6AD46A" w14:textId="67AD3F00" w:rsidR="00FB2586" w:rsidRDefault="00FB2586" w:rsidP="00FB2586">
      <w:pPr>
        <w:pStyle w:val="Textonotapie"/>
        <w:numPr>
          <w:ilvl w:val="0"/>
          <w:numId w:val="42"/>
        </w:numPr>
        <w:spacing w:after="0"/>
        <w:ind w:left="283" w:hanging="113"/>
      </w:pPr>
      <w:r>
        <w:t>La velocidad de ajuste hacia la PPA es extremadamente lenta.</w:t>
      </w:r>
    </w:p>
    <w:p w14:paraId="00428B5F" w14:textId="2148558F" w:rsidR="00FB2586" w:rsidRDefault="00FB2586" w:rsidP="00FB2586">
      <w:pPr>
        <w:pStyle w:val="Textonotapie"/>
        <w:numPr>
          <w:ilvl w:val="0"/>
          <w:numId w:val="42"/>
        </w:numPr>
        <w:ind w:left="283" w:hanging="113"/>
      </w:pPr>
      <w:r>
        <w:t>Las desviaciones en el c</w:t>
      </w:r>
      <w:r w:rsidR="006B650E">
        <w:t xml:space="preserve">orto </w:t>
      </w:r>
      <w:r>
        <w:t>p</w:t>
      </w:r>
      <w:r w:rsidR="006B650E">
        <w:t>lazo</w:t>
      </w:r>
      <w:r>
        <w:t xml:space="preserve"> de la PPA parecen ser grandes y volátiles.</w:t>
      </w:r>
    </w:p>
  </w:footnote>
  <w:footnote w:id="12">
    <w:p w14:paraId="73B80A2C" w14:textId="77777777" w:rsidR="00BC2795" w:rsidRPr="004C05F9" w:rsidRDefault="00BC2795" w:rsidP="00BC2795">
      <w:pPr>
        <w:pStyle w:val="Textonotapie"/>
      </w:pPr>
      <w:r>
        <w:rPr>
          <w:rStyle w:val="Refdenotaalpie"/>
        </w:rPr>
        <w:footnoteRef/>
      </w:r>
      <w:r>
        <w:t xml:space="preserve"> Este modelo fue propuesto de manera independiente por </w:t>
      </w:r>
      <w:proofErr w:type="spellStart"/>
      <w:r>
        <w:rPr>
          <w:smallCaps/>
        </w:rPr>
        <w:t>Balassa</w:t>
      </w:r>
      <w:proofErr w:type="spellEnd"/>
      <w:r>
        <w:t xml:space="preserve"> (1964) y </w:t>
      </w:r>
      <w:r>
        <w:rPr>
          <w:smallCaps/>
        </w:rPr>
        <w:t>Samuelson</w:t>
      </w:r>
      <w:r>
        <w:t xml:space="preserve"> (1964) y previamente por </w:t>
      </w:r>
      <w:r>
        <w:rPr>
          <w:smallCaps/>
        </w:rPr>
        <w:t>Harrod</w:t>
      </w:r>
      <w:r>
        <w:t xml:space="preserve"> (1933).</w:t>
      </w:r>
    </w:p>
  </w:footnote>
  <w:footnote w:id="13">
    <w:p w14:paraId="1DB900F2" w14:textId="57EA0E7B" w:rsidR="009813CF" w:rsidRDefault="009813CF">
      <w:pPr>
        <w:pStyle w:val="Textonotapie"/>
      </w:pPr>
      <w:r>
        <w:rPr>
          <w:rStyle w:val="Refdenotaalpie"/>
        </w:rPr>
        <w:footnoteRef/>
      </w:r>
      <w:r>
        <w:t xml:space="preserve"> Existe poca evidencia empírica favorable a una relación entre productividad y tipo de cambio real. Esto podría ser, por ejemplo, porque no se cumple la ley de precio único de los bienes comercializables (por diferenciación del producto). Además, no tiene en cuenta que los precios relativos pueden verse afectados por factores de demanda (p.ej. a largo plazo, la creciente preferencia por los servicios puede inducir un incremento de su precio relativo).</w:t>
      </w:r>
    </w:p>
  </w:footnote>
  <w:footnote w:id="14">
    <w:p w14:paraId="687F540F" w14:textId="77777777" w:rsidR="00573B0C" w:rsidRPr="00573B0C" w:rsidRDefault="00573B0C" w:rsidP="00573B0C">
      <w:pPr>
        <w:pStyle w:val="Textonotapie"/>
        <w:keepNext/>
        <w:spacing w:after="0"/>
      </w:pPr>
      <w:r w:rsidRPr="00573B0C">
        <w:rPr>
          <w:rStyle w:val="Refdenotaalpie"/>
          <w:szCs w:val="16"/>
        </w:rPr>
        <w:footnoteRef/>
      </w:r>
      <w:r w:rsidRPr="00573B0C">
        <w:t xml:space="preserve"> Para evitar confusión recordamos la diferencia entre </w:t>
      </w:r>
      <w:r w:rsidRPr="00573B0C">
        <w:rPr>
          <w:i/>
          <w:iCs/>
        </w:rPr>
        <w:t>movilidad perfecta de capital</w:t>
      </w:r>
      <w:r w:rsidRPr="00573B0C">
        <w:t xml:space="preserve"> y </w:t>
      </w:r>
      <w:r w:rsidRPr="00573B0C">
        <w:rPr>
          <w:i/>
          <w:iCs/>
        </w:rPr>
        <w:t>sustituibilidad perfecta</w:t>
      </w:r>
      <w:r w:rsidRPr="00573B0C">
        <w:t>:</w:t>
      </w:r>
    </w:p>
    <w:p w14:paraId="77C8A7DA" w14:textId="77777777" w:rsidR="00573B0C" w:rsidRPr="00573B0C" w:rsidRDefault="00573B0C" w:rsidP="00573B0C">
      <w:pPr>
        <w:pStyle w:val="Textonotapie"/>
        <w:numPr>
          <w:ilvl w:val="0"/>
          <w:numId w:val="41"/>
        </w:numPr>
        <w:spacing w:after="0"/>
        <w:ind w:left="283" w:hanging="113"/>
      </w:pPr>
      <w:r w:rsidRPr="00573B0C">
        <w:t xml:space="preserve">La </w:t>
      </w:r>
      <w:r w:rsidRPr="00573B0C">
        <w:rPr>
          <w:i/>
          <w:iCs/>
          <w:u w:val="single"/>
        </w:rPr>
        <w:t>movilidad perfecta de capital</w:t>
      </w:r>
      <w:r w:rsidRPr="00573B0C">
        <w:t xml:space="preserve"> significa que la composición actual de la cartera se ajusta instantáneamente a la deseada. Esto implica que –si asumimos que no hay riesgo de impago o controles de capital futuros, etc.– la </w:t>
      </w:r>
      <w:r w:rsidRPr="00573B0C">
        <w:rPr>
          <w:i/>
          <w:iCs/>
        </w:rPr>
        <w:t>Paridad Cubierta de Intereses</w:t>
      </w:r>
      <w:r w:rsidRPr="00573B0C">
        <w:t xml:space="preserve"> debe prevaler.</w:t>
      </w:r>
    </w:p>
    <w:p w14:paraId="117C1A78" w14:textId="189A794C" w:rsidR="00573B0C" w:rsidRDefault="00573B0C" w:rsidP="00573B0C">
      <w:pPr>
        <w:pStyle w:val="Textonotapie"/>
        <w:numPr>
          <w:ilvl w:val="0"/>
          <w:numId w:val="41"/>
        </w:numPr>
        <w:ind w:left="283" w:hanging="113"/>
      </w:pPr>
      <w:r w:rsidRPr="00573B0C">
        <w:rPr>
          <w:i/>
          <w:iCs/>
          <w:u w:val="single"/>
        </w:rPr>
        <w:t>Sustituibilidad perfecta</w:t>
      </w:r>
      <w:r w:rsidRPr="00573B0C">
        <w:t xml:space="preserve"> es un supuesto más fuerte, ya que significa que los tenedores de bonos se muestran indiferentes acerca de la composición de su cartera (por supuesto, siempre que tengan la misma tasa de rentabilidad esperada). Por lo tanto, la sustituibilidad perfecta implica que la </w:t>
      </w:r>
      <w:r w:rsidRPr="00573B0C">
        <w:rPr>
          <w:i/>
          <w:iCs/>
        </w:rPr>
        <w:t xml:space="preserve">Paridad </w:t>
      </w:r>
      <w:r w:rsidR="00316A28">
        <w:rPr>
          <w:i/>
          <w:iCs/>
        </w:rPr>
        <w:t>No C</w:t>
      </w:r>
      <w:r w:rsidRPr="00573B0C">
        <w:rPr>
          <w:i/>
          <w:iCs/>
        </w:rPr>
        <w:t>ubierta de Intereses</w:t>
      </w:r>
      <w:r w:rsidRPr="00573B0C">
        <w:t xml:space="preserve"> debe prevaler.</w:t>
      </w:r>
    </w:p>
  </w:footnote>
  <w:footnote w:id="15">
    <w:p w14:paraId="5F51CEC9" w14:textId="14B6FA24" w:rsidR="001754CE" w:rsidRDefault="001754CE">
      <w:pPr>
        <w:pStyle w:val="Textonotapie"/>
      </w:pPr>
      <w:r>
        <w:rPr>
          <w:rStyle w:val="Refdenotaalpie"/>
        </w:rPr>
        <w:footnoteRef/>
      </w:r>
      <w:r>
        <w:t xml:space="preserve"> Ver tema 3.B.2</w:t>
      </w:r>
      <w:r w:rsidR="004D26D9">
        <w:t>5</w:t>
      </w:r>
      <w:r>
        <w:t xml:space="preserve"> para estudiar la versión general para distintos derivados financieros.</w:t>
      </w:r>
    </w:p>
  </w:footnote>
  <w:footnote w:id="16">
    <w:p w14:paraId="016D4664" w14:textId="11D26DCB" w:rsidR="00E06ABE" w:rsidRDefault="0079044D" w:rsidP="00E06ABE">
      <w:pPr>
        <w:pStyle w:val="Textonotapie"/>
        <w:keepNext/>
        <w:spacing w:after="0"/>
        <w:rPr>
          <w:rFonts w:eastAsiaTheme="minorEastAsia"/>
        </w:rPr>
      </w:pPr>
      <w:r>
        <w:rPr>
          <w:rStyle w:val="Refdenotaalpie"/>
        </w:rPr>
        <w:footnoteRef/>
      </w:r>
      <w:r w:rsidRPr="00E06ABE">
        <w:t xml:space="preserve"> </w:t>
      </w:r>
      <w:r w:rsidR="00E06ABE" w:rsidRPr="00E06ABE">
        <w:t xml:space="preserve">Nótese que </w:t>
      </w:r>
      <m:oMath>
        <m:func>
          <m:funcPr>
            <m:ctrlPr>
              <w:rPr>
                <w:rFonts w:ascii="Cambria Math" w:hAnsi="Cambria Math"/>
                <w:i/>
              </w:rPr>
            </m:ctrlPr>
          </m:funcPr>
          <m:fName>
            <m:r>
              <m:rPr>
                <m:nor/>
              </m:rPr>
              <w:rPr>
                <w:i/>
                <w:iCs/>
              </w:rPr>
              <m:t>ln</m:t>
            </m:r>
          </m:fName>
          <m:e>
            <m:d>
              <m:dPr>
                <m:ctrlPr>
                  <w:rPr>
                    <w:rFonts w:ascii="Cambria Math" w:hAnsi="Cambria Math"/>
                    <w:i/>
                  </w:rPr>
                </m:ctrlPr>
              </m:dPr>
              <m:e>
                <m:r>
                  <m:rPr>
                    <m:nor/>
                  </m:rPr>
                  <w:rPr>
                    <w:i/>
                  </w:rPr>
                  <m:t>1</m:t>
                </m:r>
                <m:r>
                  <w:rPr>
                    <w:rFonts w:ascii="Cambria Math" w:hAnsi="Cambria Math"/>
                  </w:rPr>
                  <m:t>+</m:t>
                </m:r>
                <m:r>
                  <m:rPr>
                    <m:nor/>
                  </m:rPr>
                  <w:rPr>
                    <w:i/>
                  </w:rPr>
                  <m:t>i</m:t>
                </m:r>
              </m:e>
            </m:d>
          </m:e>
        </m:func>
        <m:r>
          <w:rPr>
            <w:rFonts w:ascii="Cambria Math" w:eastAsiaTheme="minorEastAsia" w:hAnsi="Cambria Math"/>
          </w:rPr>
          <m:t>≅</m:t>
        </m:r>
        <m:r>
          <m:rPr>
            <m:nor/>
          </m:rPr>
          <w:rPr>
            <w:i/>
          </w:rPr>
          <m:t>i</m:t>
        </m:r>
      </m:oMath>
      <w:r w:rsidR="00E06ABE">
        <w:rPr>
          <w:rFonts w:eastAsiaTheme="minorEastAsia"/>
        </w:rPr>
        <w:t>,</w:t>
      </w:r>
      <w:r w:rsidR="00E06ABE" w:rsidRPr="00E06ABE">
        <w:rPr>
          <w:rFonts w:eastAsiaTheme="minorEastAsia"/>
        </w:rPr>
        <w:t xml:space="preserve"> si </w:t>
      </w:r>
      <m:oMath>
        <m:r>
          <m:rPr>
            <m:nor/>
          </m:rPr>
          <w:rPr>
            <w:i/>
          </w:rPr>
          <m:t>i</m:t>
        </m:r>
      </m:oMath>
      <w:r w:rsidR="00E06ABE">
        <w:rPr>
          <w:rFonts w:eastAsiaTheme="minorEastAsia"/>
        </w:rPr>
        <w:t xml:space="preserve"> es pequeño.</w:t>
      </w:r>
    </w:p>
    <w:p w14:paraId="23CD30B6" w14:textId="11469FF9" w:rsidR="00E06ABE" w:rsidRPr="00E06ABE" w:rsidRDefault="00E06ABE" w:rsidP="00E06ABE">
      <w:pPr>
        <w:pStyle w:val="Textonotapie"/>
        <w:spacing w:after="0"/>
        <w:rPr>
          <w:lang w:val="fr-FR"/>
        </w:rPr>
      </w:pPr>
      <w:proofErr w:type="spellStart"/>
      <w:r w:rsidRPr="00E06ABE">
        <w:rPr>
          <w:lang w:val="fr-FR"/>
        </w:rPr>
        <w:t>A</w:t>
      </w:r>
      <w:r>
        <w:rPr>
          <w:lang w:val="fr-FR"/>
        </w:rPr>
        <w:t>simismo</w:t>
      </w:r>
      <w:proofErr w:type="spellEnd"/>
      <w:r w:rsidRPr="00E06ABE">
        <w:rPr>
          <w:lang w:val="fr-FR"/>
        </w:rPr>
        <w:t>,</w:t>
      </w:r>
      <w:r>
        <w:rPr>
          <w:lang w:val="fr-FR"/>
        </w:rPr>
        <w:t xml:space="preserve"> </w:t>
      </w:r>
      <w:proofErr w:type="spellStart"/>
      <w:r>
        <w:rPr>
          <w:lang w:val="fr-FR"/>
        </w:rPr>
        <w:t>utilizando</w:t>
      </w:r>
      <w:proofErr w:type="spellEnd"/>
      <w:r>
        <w:rPr>
          <w:lang w:val="fr-FR"/>
        </w:rPr>
        <w:t xml:space="preserve"> </w:t>
      </w:r>
      <w:proofErr w:type="spellStart"/>
      <w:r>
        <w:rPr>
          <w:lang w:val="fr-FR"/>
        </w:rPr>
        <w:t>esta</w:t>
      </w:r>
      <w:proofErr w:type="spellEnd"/>
      <w:r>
        <w:rPr>
          <w:lang w:val="fr-FR"/>
        </w:rPr>
        <w:t xml:space="preserve"> </w:t>
      </w:r>
      <w:proofErr w:type="spellStart"/>
      <w:r>
        <w:rPr>
          <w:lang w:val="fr-FR"/>
        </w:rPr>
        <w:t>misma</w:t>
      </w:r>
      <w:proofErr w:type="spellEnd"/>
      <w:r>
        <w:rPr>
          <w:lang w:val="fr-FR"/>
        </w:rPr>
        <w:t xml:space="preserve"> </w:t>
      </w:r>
      <w:proofErr w:type="spellStart"/>
      <w:r>
        <w:rPr>
          <w:lang w:val="fr-FR"/>
        </w:rPr>
        <w:t>regla</w:t>
      </w:r>
      <w:proofErr w:type="spellEnd"/>
      <w:r>
        <w:rPr>
          <w:lang w:val="fr-FR"/>
        </w:rPr>
        <w:t>,</w:t>
      </w:r>
      <w:r w:rsidRPr="00E06ABE">
        <w:rPr>
          <w:lang w:val="fr-FR"/>
        </w:rPr>
        <w:t xml:space="preserve"> </w:t>
      </w:r>
      <m:oMath>
        <m:func>
          <m:funcPr>
            <m:ctrlPr>
              <w:rPr>
                <w:rFonts w:ascii="Cambria Math" w:hAnsi="Cambria Math"/>
                <w:i/>
              </w:rPr>
            </m:ctrlPr>
          </m:funcPr>
          <m:fName>
            <m:r>
              <m:rPr>
                <m:nor/>
              </m:rPr>
              <w:rPr>
                <w:i/>
                <w:iCs/>
                <w:lang w:val="fr-FR"/>
              </w:rPr>
              <m:t>ln</m:t>
            </m:r>
          </m:fName>
          <m:e>
            <m:d>
              <m:dPr>
                <m:ctrlPr>
                  <w:rPr>
                    <w:rFonts w:ascii="Cambria Math" w:hAnsi="Cambria Math"/>
                    <w:i/>
                  </w:rPr>
                </m:ctrlPr>
              </m:dPr>
              <m:e>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e>
            </m:d>
          </m:e>
        </m:func>
        <m:r>
          <w:rPr>
            <w:rFonts w:ascii="Cambria Math" w:eastAsiaTheme="minorEastAsia" w:hAnsi="Cambria Math"/>
            <w:lang w:val="fr-FR"/>
          </w:rPr>
          <m:t>≡</m:t>
        </m: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rFonts w:eastAsiaTheme="minorEastAsia"/>
                    <w:i/>
                    <w:lang w:val="fr-FR"/>
                  </w:rPr>
                  <m:t>1</m:t>
                </m:r>
                <m:r>
                  <w:rPr>
                    <w:rFonts w:ascii="Cambria Math" w:eastAsiaTheme="minorEastAsia"/>
                    <w:lang w:val="fr-FR"/>
                  </w:rPr>
                  <m:t>+</m:t>
                </m:r>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e>
            </m:d>
          </m:e>
        </m:func>
        <m:r>
          <w:rPr>
            <w:rFonts w:ascii="Cambria Math" w:eastAsiaTheme="minorEastAsia" w:hAnsi="Cambria Math"/>
            <w:lang w:val="fr-FR"/>
          </w:rPr>
          <m:t>≅</m:t>
        </m:r>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oMath>
    </w:p>
    <w:p w14:paraId="23D643CC" w14:textId="059BB97C" w:rsidR="00E06ABE" w:rsidRPr="007402FC" w:rsidRDefault="00E06ABE" w:rsidP="005C581F">
      <w:pPr>
        <w:pStyle w:val="Textonotapie"/>
        <w:keepNext/>
        <w:spacing w:after="0"/>
        <w:rPr>
          <w:lang w:val="fr-FR"/>
        </w:rPr>
      </w:pPr>
      <w:proofErr w:type="spellStart"/>
      <w:r w:rsidRPr="007402FC">
        <w:rPr>
          <w:lang w:val="fr-FR"/>
        </w:rPr>
        <w:t>Haciendo</w:t>
      </w:r>
      <w:proofErr w:type="spellEnd"/>
      <w:r w:rsidRPr="007402FC">
        <w:rPr>
          <w:lang w:val="fr-FR"/>
        </w:rPr>
        <w:t xml:space="preserve"> </w:t>
      </w:r>
      <w:proofErr w:type="spellStart"/>
      <w:r w:rsidRPr="007402FC">
        <w:rPr>
          <w:lang w:val="fr-FR"/>
        </w:rPr>
        <w:t>uso</w:t>
      </w:r>
      <w:proofErr w:type="spellEnd"/>
      <w:r w:rsidRPr="007402FC">
        <w:rPr>
          <w:lang w:val="fr-FR"/>
        </w:rPr>
        <w:t xml:space="preserve"> de </w:t>
      </w:r>
      <w:proofErr w:type="spellStart"/>
      <w:r w:rsidRPr="007402FC">
        <w:rPr>
          <w:lang w:val="fr-FR"/>
        </w:rPr>
        <w:t>esto</w:t>
      </w:r>
      <w:proofErr w:type="spellEnd"/>
      <w:r w:rsidRPr="007402FC">
        <w:rPr>
          <w:lang w:val="fr-FR"/>
        </w:rPr>
        <w:t>:</w:t>
      </w:r>
    </w:p>
    <w:p w14:paraId="42276D7D" w14:textId="4FA09B3D" w:rsidR="00E06ABE" w:rsidRPr="007402FC" w:rsidRDefault="00000000" w:rsidP="00E06ABE">
      <w:pPr>
        <w:pStyle w:val="Textonotapie"/>
        <w:spacing w:after="0"/>
        <w:rPr>
          <w:lang w:val="fr-FR"/>
        </w:rPr>
      </w:pPr>
      <m:oMathPara>
        <m:oMath>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eastAsiaTheme="minorEastAsia" w:hAnsi="Cambria Math"/>
              <w:lang w:val="fr-FR"/>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groupChr>
            <m:groupChrPr>
              <m:chr m:val="⇒"/>
              <m:vertJc m:val="bot"/>
              <m:ctrlPr>
                <w:rPr>
                  <w:rFonts w:ascii="Cambria Math" w:hAnsi="Cambria Math"/>
                  <w:i/>
                </w:rPr>
              </m:ctrlPr>
            </m:groupChrPr>
            <m:e>
              <m:r>
                <w:rPr>
                  <w:rFonts w:ascii="Cambria Math" w:hAnsi="Cambria Math"/>
                  <w:lang w:val="fr-FR"/>
                </w:rPr>
                <m:t xml:space="preserve">   </m:t>
              </m:r>
              <m:eqArr>
                <m:eqArrPr>
                  <m:ctrlPr>
                    <w:rPr>
                      <w:rFonts w:ascii="Cambria Math" w:hAnsi="Cambria Math"/>
                      <w:i/>
                      <w:lang w:val="fr-FR"/>
                    </w:rPr>
                  </m:ctrlPr>
                </m:eqArrPr>
                <m:e>
                  <m:r>
                    <m:rPr>
                      <m:nor/>
                    </m:rPr>
                    <w:rPr>
                      <w:rFonts w:eastAsiaTheme="minorEastAsia"/>
                      <w:i/>
                      <w:lang w:val="fr-FR"/>
                    </w:rPr>
                    <m:t>tomando</m:t>
                  </m:r>
                  <m:ctrlPr>
                    <w:rPr>
                      <w:rFonts w:ascii="Cambria Math" w:eastAsiaTheme="minorEastAsia" w:hAnsi="Cambria Math"/>
                      <w:i/>
                      <w:lang w:val="en-US"/>
                    </w:rPr>
                  </m:ctrlPr>
                </m:e>
                <m:e>
                  <m:r>
                    <m:rPr>
                      <m:nor/>
                    </m:rPr>
                    <w:rPr>
                      <w:rFonts w:eastAsiaTheme="minorEastAsia"/>
                      <w:i/>
                      <w:lang w:val="fr-FR"/>
                    </w:rPr>
                    <m:t>logaritmos</m:t>
                  </m:r>
                  <m:ctrlPr>
                    <w:rPr>
                      <w:rFonts w:ascii="Cambria Math" w:eastAsiaTheme="minorEastAsia" w:hAnsi="Cambria Math"/>
                      <w:i/>
                      <w:lang w:val="fr-FR"/>
                    </w:rPr>
                  </m:ctrlPr>
                </m:e>
              </m:eqArr>
              <m:r>
                <w:rPr>
                  <w:rFonts w:ascii="Cambria Math" w:eastAsiaTheme="minorEastAsia"/>
                  <w:lang w:val="fr-FR"/>
                </w:rPr>
                <m:t xml:space="preserve">   </m:t>
              </m:r>
            </m:e>
          </m:groupCh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e>
          </m:func>
          <m:r>
            <w:rPr>
              <w:rFonts w:ascii="Cambria Math" w:eastAsiaTheme="minorEastAsia" w:hAnsi="Cambria Math"/>
              <w:lang w:val="fr-FR"/>
            </w:rPr>
            <m:t>=</m:t>
          </m: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e>
          </m:func>
          <m:r>
            <w:rPr>
              <w:rFonts w:ascii="Cambria Math" w:hAnsi="Cambria Math"/>
              <w:lang w:val="fr-FR"/>
            </w:rPr>
            <m:t>∙</m:t>
          </m: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rFonts w:eastAsiaTheme="minorEastAsia"/>
                      <w:i/>
                      <w:lang w:val="fr-FR"/>
                    </w:rPr>
                    <m:t>1</m:t>
                  </m:r>
                  <m:r>
                    <w:rPr>
                      <w:rFonts w:ascii="Cambria Math" w:eastAsiaTheme="minorEastAsia"/>
                      <w:lang w:val="fr-FR"/>
                    </w:rPr>
                    <m:t>+</m:t>
                  </m:r>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e>
              </m:d>
            </m:e>
          </m:func>
          <m:r>
            <w:rPr>
              <w:rFonts w:ascii="Cambria Math" w:hAnsi="Cambria Math"/>
            </w:rPr>
            <m:t>⟹</m:t>
          </m:r>
          <m:r>
            <m:rPr>
              <m:nor/>
            </m:rPr>
            <w:rPr>
              <w:i/>
              <w:lang w:val="fr-FR"/>
            </w:rPr>
            <m:t>i</m:t>
          </m:r>
          <m:r>
            <w:rPr>
              <w:rFonts w:ascii="Cambria Math" w:hAnsi="Cambria Math"/>
              <w:lang w:val="fr-FR"/>
            </w:rPr>
            <m:t>-</m:t>
          </m:r>
          <m:r>
            <m:rPr>
              <m:nor/>
            </m:rPr>
            <w:rPr>
              <w:rFonts w:eastAsiaTheme="minorEastAsia"/>
              <w:i/>
              <w:lang w:val="fr-FR"/>
            </w:rPr>
            <m:t>i*</m:t>
          </m:r>
          <m:r>
            <w:rPr>
              <w:rFonts w:ascii="Cambria Math" w:eastAsiaTheme="minorEastAsia"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oMath>
      </m:oMathPara>
    </w:p>
    <w:p w14:paraId="4B900406" w14:textId="62874F5B" w:rsidR="00E06ABE" w:rsidRPr="00BA2668" w:rsidRDefault="00E06ABE" w:rsidP="00E06ABE">
      <w:pPr>
        <w:pStyle w:val="Textonotapie"/>
        <w:keepNext/>
        <w:spacing w:after="0"/>
        <w:rPr>
          <w:sz w:val="13"/>
          <w:szCs w:val="13"/>
        </w:rPr>
      </w:pPr>
      <w:r w:rsidRPr="00BA2668">
        <w:rPr>
          <w:sz w:val="13"/>
          <w:szCs w:val="13"/>
        </w:rPr>
        <w:t>Otra manera de verlo es:</w:t>
      </w:r>
    </w:p>
    <w:p w14:paraId="41450FFA" w14:textId="22C4C6DE" w:rsidR="0079044D" w:rsidRPr="00BA2668" w:rsidRDefault="00000000">
      <w:pPr>
        <w:pStyle w:val="Textonotapie"/>
        <w:rPr>
          <w:sz w:val="13"/>
          <w:szCs w:val="13"/>
        </w:rPr>
      </w:pPr>
      <m:oMathPara>
        <m:oMath>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r>
            <w:rPr>
              <w:rFonts w:ascii="Cambria Math" w:eastAsiaTheme="minorEastAsia" w:hAnsi="Cambria Math"/>
              <w:sz w:val="13"/>
              <w:szCs w:val="13"/>
            </w:rPr>
            <m:t>=</m:t>
          </m:r>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r>
            <w:rPr>
              <w:rFonts w:ascii="Cambria Math"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box>
            <m:boxPr>
              <m:opEmu m:val="1"/>
              <m:ctrlPr>
                <w:rPr>
                  <w:rFonts w:ascii="Cambria Math" w:hAnsi="Cambria Math"/>
                  <w:i/>
                  <w:sz w:val="13"/>
                  <w:szCs w:val="13"/>
                </w:rPr>
              </m:ctrlPr>
            </m:boxPr>
            <m:e>
              <m:r>
                <w:rPr>
                  <w:rFonts w:ascii="Cambria Math" w:hAnsi="Cambria Math"/>
                  <w:sz w:val="13"/>
                  <w:szCs w:val="13"/>
                </w:rPr>
                <m:t>⟹</m:t>
              </m:r>
              <m:f>
                <m:fPr>
                  <m:ctrlPr>
                    <w:rPr>
                      <w:rFonts w:ascii="Cambria Math" w:hAnsi="Cambria Math"/>
                      <w:i/>
                      <w:sz w:val="13"/>
                      <w:szCs w:val="13"/>
                    </w:rPr>
                  </m:ctrlPr>
                </m:fPr>
                <m:num>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num>
                <m:den>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den>
              </m:f>
              <m:r>
                <w:rPr>
                  <w:rFonts w:ascii="Cambria Math" w:eastAsiaTheme="minorEastAsia"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e>
          </m:box>
          <m:groupChr>
            <m:groupChrPr>
              <m:chr m:val="⇒"/>
              <m:vertJc m:val="bot"/>
              <m:ctrlPr>
                <w:rPr>
                  <w:rFonts w:ascii="Cambria Math" w:hAnsi="Cambria Math"/>
                  <w:i/>
                  <w:sz w:val="13"/>
                  <w:szCs w:val="13"/>
                </w:rPr>
              </m:ctrlPr>
            </m:groupChrPr>
            <m:e>
              <m:r>
                <w:rPr>
                  <w:rFonts w:ascii="Cambria Math" w:hAnsi="Cambria Math"/>
                  <w:sz w:val="13"/>
                  <w:szCs w:val="13"/>
                </w:rPr>
                <m:t xml:space="preserve">   </m:t>
              </m:r>
              <m:f>
                <m:fPr>
                  <m:ctrlPr>
                    <w:rPr>
                      <w:rFonts w:ascii="Cambria Math" w:eastAsiaTheme="minorEastAsia" w:hAnsi="Cambria Math"/>
                      <w:i/>
                      <w:sz w:val="13"/>
                      <w:szCs w:val="13"/>
                      <w:lang w:val="en-US"/>
                    </w:rPr>
                  </m:ctrlPr>
                </m:fPr>
                <m:num>
                  <m:r>
                    <m:rPr>
                      <m:nor/>
                    </m:rPr>
                    <w:rPr>
                      <w:rFonts w:eastAsiaTheme="minorEastAsia"/>
                      <w:i/>
                      <w:sz w:val="13"/>
                      <w:szCs w:val="13"/>
                    </w:rPr>
                    <m:t>1</m:t>
                  </m:r>
                  <m:r>
                    <w:rPr>
                      <w:rFonts w:ascii="Cambria Math" w:eastAsiaTheme="minorEastAsia"/>
                      <w:sz w:val="13"/>
                      <w:szCs w:val="13"/>
                    </w:rPr>
                    <m:t>+</m:t>
                  </m:r>
                  <m:r>
                    <m:rPr>
                      <m:nor/>
                    </m:rPr>
                    <w:rPr>
                      <w:rFonts w:eastAsiaTheme="minorEastAsia"/>
                      <w:i/>
                      <w:sz w:val="13"/>
                      <w:szCs w:val="13"/>
                    </w:rPr>
                    <m:t>x</m:t>
                  </m:r>
                </m:num>
                <m:den>
                  <m:r>
                    <m:rPr>
                      <m:nor/>
                    </m:rPr>
                    <w:rPr>
                      <w:rFonts w:eastAsiaTheme="minorEastAsia"/>
                      <w:i/>
                      <w:sz w:val="13"/>
                      <w:szCs w:val="13"/>
                    </w:rPr>
                    <m:t>1</m:t>
                  </m:r>
                  <m:r>
                    <w:rPr>
                      <w:rFonts w:ascii="Cambria Math" w:eastAsiaTheme="minorEastAsia"/>
                      <w:sz w:val="13"/>
                      <w:szCs w:val="13"/>
                    </w:rPr>
                    <m:t>+</m:t>
                  </m:r>
                  <m:r>
                    <m:rPr>
                      <m:nor/>
                    </m:rPr>
                    <w:rPr>
                      <w:rFonts w:eastAsiaTheme="minorEastAsia"/>
                      <w:i/>
                      <w:sz w:val="13"/>
                      <w:szCs w:val="13"/>
                    </w:rPr>
                    <m:t>y</m:t>
                  </m:r>
                </m:den>
              </m:f>
              <m:r>
                <w:rPr>
                  <w:rFonts w:ascii="Cambria Math" w:eastAsiaTheme="minorEastAsia" w:hAnsi="Cambria Math"/>
                  <w:sz w:val="13"/>
                  <w:szCs w:val="13"/>
                </w:rPr>
                <m:t>≅</m:t>
              </m:r>
              <m:r>
                <m:rPr>
                  <m:nor/>
                </m:rPr>
                <w:rPr>
                  <w:rFonts w:eastAsiaTheme="minorEastAsia"/>
                  <w:i/>
                  <w:sz w:val="13"/>
                  <w:szCs w:val="13"/>
                </w:rPr>
                <m:t>1</m:t>
              </m:r>
              <m:r>
                <w:rPr>
                  <w:rFonts w:ascii="Cambria Math" w:eastAsiaTheme="minorEastAsia"/>
                  <w:sz w:val="13"/>
                  <w:szCs w:val="13"/>
                </w:rPr>
                <m:t>+</m:t>
              </m:r>
              <m:r>
                <m:rPr>
                  <m:nor/>
                </m:rPr>
                <w:rPr>
                  <w:rFonts w:eastAsiaTheme="minorEastAsia"/>
                  <w:i/>
                  <w:sz w:val="13"/>
                  <w:szCs w:val="13"/>
                </w:rPr>
                <m:t>x</m:t>
              </m:r>
              <m:r>
                <w:rPr>
                  <w:rFonts w:ascii="Cambria Math" w:eastAsiaTheme="minorEastAsia" w:hAnsi="Cambria Math"/>
                  <w:sz w:val="13"/>
                  <w:szCs w:val="13"/>
                </w:rPr>
                <m:t>-</m:t>
              </m:r>
              <m:r>
                <m:rPr>
                  <m:nor/>
                </m:rPr>
                <w:rPr>
                  <w:rFonts w:eastAsiaTheme="minorEastAsia"/>
                  <w:i/>
                  <w:sz w:val="13"/>
                  <w:szCs w:val="13"/>
                </w:rPr>
                <m:t>y</m:t>
              </m:r>
              <m:r>
                <m:rPr>
                  <m:nor/>
                </m:rPr>
                <w:rPr>
                  <w:rFonts w:ascii="Cambria Math" w:eastAsiaTheme="minorEastAsia"/>
                  <w:i/>
                  <w:sz w:val="13"/>
                  <w:szCs w:val="13"/>
                </w:rPr>
                <m:t xml:space="preserve">   </m:t>
              </m:r>
            </m:e>
          </m:groupChr>
          <m:r>
            <m:rPr>
              <m:nor/>
            </m:rPr>
            <w:rPr>
              <w:i/>
              <w:sz w:val="13"/>
              <w:szCs w:val="13"/>
            </w:rPr>
            <m:t>1</m:t>
          </m:r>
          <m:r>
            <w:rPr>
              <w:rFonts w:ascii="Cambria Math" w:hAnsi="Cambria Math"/>
              <w:sz w:val="13"/>
              <w:szCs w:val="13"/>
            </w:rPr>
            <m:t>+</m:t>
          </m:r>
          <m:r>
            <m:rPr>
              <m:nor/>
            </m:rPr>
            <w:rPr>
              <w:i/>
              <w:sz w:val="13"/>
              <w:szCs w:val="13"/>
            </w:rPr>
            <m:t>i</m:t>
          </m:r>
          <m:r>
            <w:rPr>
              <w:rFonts w:ascii="Cambria Math" w:hAnsi="Cambria Math"/>
              <w:sz w:val="13"/>
              <w:szCs w:val="13"/>
            </w:rPr>
            <m:t>-</m:t>
          </m:r>
          <m:r>
            <m:rPr>
              <m:nor/>
            </m:rPr>
            <w:rPr>
              <w:rFonts w:eastAsiaTheme="minorEastAsia"/>
              <w:i/>
              <w:sz w:val="13"/>
              <w:szCs w:val="13"/>
            </w:rPr>
            <m:t>i*</m:t>
          </m:r>
          <m:r>
            <w:rPr>
              <w:rFonts w:ascii="Cambria Math" w:eastAsiaTheme="minorEastAsia"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groupChr>
            <m:groupChrPr>
              <m:chr m:val="⇒"/>
              <m:vertJc m:val="bot"/>
              <m:ctrlPr>
                <w:rPr>
                  <w:rFonts w:ascii="Cambria Math" w:hAnsi="Cambria Math"/>
                  <w:i/>
                  <w:sz w:val="13"/>
                  <w:szCs w:val="13"/>
                </w:rPr>
              </m:ctrlPr>
            </m:groupChrPr>
            <m:e>
              <m:r>
                <w:rPr>
                  <w:rFonts w:ascii="Cambria Math" w:hAnsi="Cambria Math"/>
                  <w:sz w:val="13"/>
                  <w:szCs w:val="13"/>
                </w:rPr>
                <m:t xml:space="preserve">   -</m:t>
              </m:r>
              <m:r>
                <m:rPr>
                  <m:nor/>
                </m:rPr>
                <w:rPr>
                  <w:rFonts w:eastAsiaTheme="minorEastAsia"/>
                  <w:i/>
                  <w:sz w:val="13"/>
                  <w:szCs w:val="13"/>
                </w:rPr>
                <m:t>1</m:t>
              </m:r>
              <m:r>
                <m:rPr>
                  <m:nor/>
                </m:rPr>
                <w:rPr>
                  <w:rFonts w:ascii="Cambria Math" w:eastAsiaTheme="minorEastAsia"/>
                  <w:i/>
                  <w:sz w:val="13"/>
                  <w:szCs w:val="13"/>
                </w:rPr>
                <m:t xml:space="preserve">   </m:t>
              </m:r>
            </m:e>
          </m:groupChr>
          <m:r>
            <m:rPr>
              <m:nor/>
            </m:rPr>
            <w:rPr>
              <w:i/>
              <w:sz w:val="13"/>
              <w:szCs w:val="13"/>
            </w:rPr>
            <m:t>i</m:t>
          </m:r>
          <m:r>
            <w:rPr>
              <w:rFonts w:ascii="Cambria Math" w:hAnsi="Cambria Math"/>
              <w:sz w:val="13"/>
              <w:szCs w:val="13"/>
            </w:rPr>
            <m:t>-</m:t>
          </m:r>
          <m:r>
            <m:rPr>
              <m:nor/>
            </m:rPr>
            <w:rPr>
              <w:rFonts w:eastAsiaTheme="minorEastAsia"/>
              <w:i/>
              <w:sz w:val="13"/>
              <w:szCs w:val="13"/>
            </w:rPr>
            <m:t>i*</m:t>
          </m:r>
          <m:r>
            <w:rPr>
              <w:rFonts w:ascii="Cambria Math" w:eastAsiaTheme="minorEastAsia"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r>
                <w:rPr>
                  <w:rFonts w:ascii="Cambria Math" w:hAnsi="Cambria Math"/>
                  <w:sz w:val="13"/>
                  <w:szCs w:val="13"/>
                </w:rPr>
                <m:t>-</m:t>
              </m:r>
              <m:sSub>
                <m:sSubPr>
                  <m:ctrlPr>
                    <w:rPr>
                      <w:rFonts w:ascii="Cambria Math" w:hAnsi="Cambria Math"/>
                      <w:i/>
                      <w:sz w:val="13"/>
                      <w:szCs w:val="13"/>
                    </w:rPr>
                  </m:ctrlPr>
                </m:sSubPr>
                <m:e>
                  <m:r>
                    <m:rPr>
                      <m:nor/>
                    </m:rPr>
                    <w:rPr>
                      <w:i/>
                      <w:sz w:val="13"/>
                      <w:szCs w:val="13"/>
                    </w:rPr>
                    <m:t>s</m:t>
                  </m:r>
                </m:e>
                <m:sub>
                  <m:r>
                    <m:rPr>
                      <m:nor/>
                    </m:rPr>
                    <w:rPr>
                      <w:i/>
                      <w:sz w:val="13"/>
                      <w:szCs w:val="13"/>
                    </w:rPr>
                    <m:t>t</m:t>
                  </m:r>
                </m:sub>
              </m:sSub>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oMath>
      </m:oMathPara>
    </w:p>
  </w:footnote>
  <w:footnote w:id="17">
    <w:p w14:paraId="6B284568" w14:textId="0D792BE4" w:rsidR="00D1166C" w:rsidRPr="00D1166C" w:rsidRDefault="00D1166C">
      <w:pPr>
        <w:pStyle w:val="Textonotapie"/>
        <w:rPr>
          <w:lang w:val="en-US"/>
        </w:rPr>
      </w:pPr>
      <w:r>
        <w:rPr>
          <w:rStyle w:val="Refdenotaalpie"/>
        </w:rPr>
        <w:footnoteRef/>
      </w:r>
      <w:r w:rsidRPr="00D1166C">
        <w:rPr>
          <w:lang w:val="en-US"/>
        </w:rPr>
        <w:t xml:space="preserve"> </w:t>
      </w:r>
      <m:oMath>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r>
          <w:rPr>
            <w:rFonts w:ascii="Cambria Math" w:eastAsiaTheme="minorEastAsia" w:hAnsi="Cambria Math"/>
            <w:lang w:val="en-US"/>
          </w:rPr>
          <m:t>=</m:t>
        </m:r>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s</m:t>
                </m:r>
              </m:e>
              <m:sub>
                <m:r>
                  <m:rPr>
                    <m:nor/>
                  </m:rPr>
                  <w:rPr>
                    <w:i/>
                    <w:iCs/>
                    <w:lang w:val="en-US"/>
                  </w:rPr>
                  <m:t>t+1</m:t>
                </m:r>
              </m:sub>
            </m:sSub>
          </m:num>
          <m:den>
            <m:sSub>
              <m:sSubPr>
                <m:ctrlPr>
                  <w:rPr>
                    <w:rFonts w:ascii="Cambria Math" w:hAnsi="Cambria Math"/>
                    <w:i/>
                    <w:iCs/>
                  </w:rPr>
                </m:ctrlPr>
              </m:sSubPr>
              <m:e>
                <m:r>
                  <m:rPr>
                    <m:nor/>
                  </m:rPr>
                  <w:rPr>
                    <w:i/>
                    <w:iCs/>
                    <w:lang w:val="en-US"/>
                  </w:rPr>
                  <m:t>s</m:t>
                </m:r>
              </m:e>
              <m:sub>
                <m:r>
                  <m:rPr>
                    <m:nor/>
                  </m:rPr>
                  <w:rPr>
                    <w:i/>
                    <w:iCs/>
                    <w:lang w:val="en-US"/>
                  </w:rPr>
                  <m:t>t</m:t>
                </m:r>
              </m:sub>
            </m:sSub>
          </m:den>
        </m:f>
        <m:r>
          <w:rPr>
            <w:rFonts w:ascii="Cambria Math" w:hAnsi="Cambria Math"/>
          </w:rPr>
          <m:t>⟹</m:t>
        </m:r>
        <m:f>
          <m:fPr>
            <m:ctrlPr>
              <w:rPr>
                <w:rFonts w:ascii="Cambria Math" w:hAnsi="Cambria Math"/>
                <w:i/>
                <w:iCs/>
              </w:rPr>
            </m:ctrlPr>
          </m:fPr>
          <m:num>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num>
          <m:den>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den>
        </m:f>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s</m:t>
                </m:r>
              </m:e>
              <m:sub>
                <m:r>
                  <m:rPr>
                    <m:nor/>
                  </m:rPr>
                  <w:rPr>
                    <w:i/>
                    <w:iCs/>
                    <w:lang w:val="en-US"/>
                  </w:rPr>
                  <m:t>t+1</m:t>
                </m:r>
              </m:sub>
            </m:sSub>
          </m:num>
          <m:den>
            <m:sSub>
              <m:sSubPr>
                <m:ctrlPr>
                  <w:rPr>
                    <w:rFonts w:ascii="Cambria Math" w:hAnsi="Cambria Math"/>
                    <w:i/>
                    <w:iCs/>
                  </w:rPr>
                </m:ctrlPr>
              </m:sSubPr>
              <m:e>
                <m:r>
                  <m:rPr>
                    <m:nor/>
                  </m:rPr>
                  <w:rPr>
                    <w:i/>
                    <w:iCs/>
                    <w:lang w:val="en-US"/>
                  </w:rPr>
                  <m:t>s</m:t>
                </m:r>
              </m:e>
              <m:sub>
                <m:r>
                  <m:rPr>
                    <m:nor/>
                  </m:rPr>
                  <w:rPr>
                    <w:i/>
                    <w:iCs/>
                    <w:lang w:val="en-US"/>
                  </w:rPr>
                  <m:t>t</m:t>
                </m:r>
              </m:sub>
            </m:sSub>
          </m:den>
        </m:f>
        <m:box>
          <m:boxPr>
            <m:opEmu m:val="1"/>
            <m:ctrlPr>
              <w:rPr>
                <w:rFonts w:ascii="Cambria Math" w:hAnsi="Cambria Math"/>
                <w:i/>
                <w:iCs/>
              </w:rPr>
            </m:ctrlPr>
          </m:boxPr>
          <m:e>
            <m:groupChr>
              <m:groupChrPr>
                <m:chr m:val="⇒"/>
                <m:vertJc m:val="bot"/>
                <m:ctrlPr>
                  <w:rPr>
                    <w:rFonts w:ascii="Cambria Math" w:hAnsi="Cambria Math"/>
                    <w:i/>
                    <w:iCs/>
                  </w:rPr>
                </m:ctrlPr>
              </m:groupChrPr>
              <m:e>
                <m:r>
                  <w:rPr>
                    <w:rFonts w:ascii="Cambria Math" w:hAnsi="Cambria Math"/>
                    <w:lang w:val="en-US"/>
                  </w:rPr>
                  <m:t xml:space="preserve">     </m:t>
                </m:r>
                <m:f>
                  <m:fPr>
                    <m:ctrlPr>
                      <w:rPr>
                        <w:rFonts w:ascii="Cambria Math" w:hAnsi="Cambria Math"/>
                        <w:i/>
                        <w:iCs/>
                      </w:rPr>
                    </m:ctrlPr>
                  </m:fPr>
                  <m:num>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num>
                  <m:den>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den>
                </m:f>
                <m:r>
                  <w:rPr>
                    <w:rFonts w:ascii="Cambria Math" w:eastAsiaTheme="minorEastAsia" w:hAnsi="Cambria Math"/>
                    <w:lang w:val="en-US"/>
                  </w:rPr>
                  <m:t>≈</m:t>
                </m:r>
                <m:r>
                  <m:rPr>
                    <m:nor/>
                  </m:rPr>
                  <w:rPr>
                    <w:i/>
                    <w:iCs/>
                    <w:lang w:val="en-US"/>
                  </w:rPr>
                  <m:t>1</m:t>
                </m:r>
                <m:r>
                  <w:rPr>
                    <w:rFonts w:ascii="Cambria Math" w:hAnsi="Cambria Math"/>
                    <w:lang w:val="en-US"/>
                  </w:rPr>
                  <m:t>+</m:t>
                </m:r>
                <m:r>
                  <m:rPr>
                    <m:nor/>
                  </m:rPr>
                  <w:rPr>
                    <w:i/>
                    <w:iCs/>
                    <w:lang w:val="en-US"/>
                  </w:rPr>
                  <m:t>i</m:t>
                </m:r>
                <m:r>
                  <w:rPr>
                    <w:rFonts w:ascii="Cambria Math" w:hAnsi="Cambria Math"/>
                    <w:lang w:val="en-US"/>
                  </w:rPr>
                  <m:t>-</m:t>
                </m:r>
                <m:r>
                  <m:rPr>
                    <m:nor/>
                  </m:rPr>
                  <w:rPr>
                    <w:i/>
                    <w:iCs/>
                    <w:lang w:val="en-US"/>
                  </w:rPr>
                  <m:t xml:space="preserve">i*     </m:t>
                </m:r>
              </m:e>
            </m:groupChr>
          </m:e>
        </m:box>
        <m:r>
          <m:rPr>
            <m:nor/>
          </m:rPr>
          <w:rPr>
            <w:i/>
            <w:iCs/>
            <w:lang w:val="en-US"/>
          </w:rPr>
          <m:t>1</m:t>
        </m:r>
        <m:r>
          <w:rPr>
            <w:rFonts w:ascii="Cambria Math" w:hAnsi="Cambria Math"/>
            <w:lang w:val="en-US"/>
          </w:rPr>
          <m:t>+</m:t>
        </m:r>
        <m:r>
          <m:rPr>
            <m:nor/>
          </m:rPr>
          <w:rPr>
            <w:i/>
            <w:iCs/>
            <w:lang w:val="en-US"/>
          </w:rPr>
          <m:t>i</m:t>
        </m:r>
        <m:r>
          <w:rPr>
            <w:rFonts w:ascii="Cambria Math" w:hAnsi="Cambria Math"/>
            <w:lang w:val="en-US"/>
          </w:rPr>
          <m:t>-</m:t>
        </m:r>
        <m:r>
          <m:rPr>
            <m:nor/>
          </m:rPr>
          <w:rPr>
            <w:i/>
            <w:iCs/>
            <w:lang w:val="en-US"/>
          </w:rPr>
          <m:t>i*</m:t>
        </m:r>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s</m:t>
                </m:r>
              </m:e>
              <m:sub>
                <m:r>
                  <m:rPr>
                    <m:nor/>
                  </m:rPr>
                  <w:rPr>
                    <w:i/>
                    <w:iCs/>
                    <w:lang w:val="en-US"/>
                  </w:rPr>
                  <m:t>t+1</m:t>
                </m:r>
              </m:sub>
            </m:sSub>
          </m:num>
          <m:den>
            <m:sSub>
              <m:sSubPr>
                <m:ctrlPr>
                  <w:rPr>
                    <w:rFonts w:ascii="Cambria Math" w:hAnsi="Cambria Math"/>
                    <w:i/>
                    <w:iCs/>
                  </w:rPr>
                </m:ctrlPr>
              </m:sSubPr>
              <m:e>
                <m:r>
                  <m:rPr>
                    <m:nor/>
                  </m:rPr>
                  <w:rPr>
                    <w:i/>
                    <w:iCs/>
                    <w:lang w:val="en-US"/>
                  </w:rPr>
                  <m:t>s</m:t>
                </m:r>
              </m:e>
              <m:sub>
                <m:r>
                  <m:rPr>
                    <m:nor/>
                  </m:rPr>
                  <w:rPr>
                    <w:i/>
                    <w:iCs/>
                    <w:lang w:val="en-US"/>
                  </w:rPr>
                  <m:t>t</m:t>
                </m:r>
              </m:sub>
            </m:sSub>
          </m:den>
        </m:f>
        <m:r>
          <w:rPr>
            <w:rFonts w:ascii="Cambria Math" w:hAnsi="Cambria Math"/>
          </w:rPr>
          <m:t>⟹</m:t>
        </m:r>
        <m:r>
          <m:rPr>
            <m:nor/>
          </m:rPr>
          <w:rPr>
            <w:i/>
            <w:iCs/>
            <w:lang w:val="en-US"/>
          </w:rPr>
          <m:t>i</m:t>
        </m:r>
        <m:r>
          <w:rPr>
            <w:rFonts w:ascii="Cambria Math" w:hAnsi="Cambria Math"/>
            <w:lang w:val="en-US"/>
          </w:rPr>
          <m:t>-</m:t>
        </m:r>
        <m:r>
          <m:rPr>
            <m:nor/>
          </m:rPr>
          <w:rPr>
            <w:i/>
            <w:iCs/>
            <w:lang w:val="en-US"/>
          </w:rPr>
          <m:t>i*</m:t>
        </m:r>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s</m:t>
                </m:r>
              </m:e>
              <m:sub>
                <m:r>
                  <m:rPr>
                    <m:nor/>
                  </m:rPr>
                  <w:rPr>
                    <w:i/>
                    <w:iCs/>
                    <w:lang w:val="en-US"/>
                  </w:rPr>
                  <m:t>t+1</m:t>
                </m:r>
              </m:sub>
            </m:sSub>
          </m:num>
          <m:den>
            <m:sSub>
              <m:sSubPr>
                <m:ctrlPr>
                  <w:rPr>
                    <w:rFonts w:ascii="Cambria Math" w:hAnsi="Cambria Math"/>
                    <w:i/>
                    <w:iCs/>
                  </w:rPr>
                </m:ctrlPr>
              </m:sSubPr>
              <m:e>
                <m:r>
                  <m:rPr>
                    <m:nor/>
                  </m:rPr>
                  <w:rPr>
                    <w:i/>
                    <w:iCs/>
                    <w:lang w:val="en-US"/>
                  </w:rPr>
                  <m:t>s</m:t>
                </m:r>
              </m:e>
              <m:sub>
                <m:r>
                  <m:rPr>
                    <m:nor/>
                  </m:rPr>
                  <w:rPr>
                    <w:i/>
                    <w:iCs/>
                    <w:lang w:val="en-US"/>
                  </w:rPr>
                  <m:t>t</m:t>
                </m:r>
              </m:sub>
            </m:sSub>
          </m:den>
        </m:f>
        <m:r>
          <w:rPr>
            <w:rFonts w:ascii="Cambria Math" w:hAnsi="Cambria Math"/>
            <w:lang w:val="en-US"/>
          </w:rPr>
          <m:t>-</m:t>
        </m:r>
        <m:r>
          <m:rPr>
            <m:nor/>
          </m:rPr>
          <w:rPr>
            <w:i/>
            <w:iCs/>
            <w:lang w:val="en-US"/>
          </w:rPr>
          <m:t>1</m:t>
        </m:r>
        <m:r>
          <w:rPr>
            <w:rFonts w:ascii="Cambria Math" w:hAnsi="Cambria Math"/>
          </w:rPr>
          <m:t>⟹</m:t>
        </m:r>
        <m:r>
          <m:rPr>
            <m:nor/>
          </m:rPr>
          <w:rPr>
            <w:i/>
            <w:iCs/>
            <w:lang w:val="en-US"/>
          </w:rPr>
          <m:t>i</m:t>
        </m:r>
        <m:r>
          <w:rPr>
            <w:rFonts w:ascii="Cambria Math" w:hAnsi="Cambria Math"/>
            <w:lang w:val="en-US"/>
          </w:rPr>
          <m:t>-</m:t>
        </m:r>
        <m:r>
          <m:rPr>
            <m:nor/>
          </m:rPr>
          <w:rPr>
            <w:i/>
            <w:iCs/>
            <w:lang w:val="en-US"/>
          </w:rPr>
          <m:t>i*</m:t>
        </m:r>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s</m:t>
                </m:r>
              </m:e>
              <m:sub>
                <m:r>
                  <m:rPr>
                    <m:nor/>
                  </m:rPr>
                  <w:rPr>
                    <w:i/>
                    <w:iCs/>
                    <w:lang w:val="en-US"/>
                  </w:rPr>
                  <m:t>t+1</m:t>
                </m:r>
              </m:sub>
            </m:sSub>
            <m:r>
              <w:rPr>
                <w:rFonts w:ascii="Cambria Math" w:hAnsi="Cambria Math"/>
                <w:lang w:val="en-US"/>
              </w:rPr>
              <m:t>-</m:t>
            </m:r>
            <m:sSub>
              <m:sSubPr>
                <m:ctrlPr>
                  <w:rPr>
                    <w:rFonts w:ascii="Cambria Math" w:hAnsi="Cambria Math"/>
                    <w:i/>
                    <w:iCs/>
                  </w:rPr>
                </m:ctrlPr>
              </m:sSubPr>
              <m:e>
                <m:r>
                  <m:rPr>
                    <m:nor/>
                  </m:rPr>
                  <w:rPr>
                    <w:i/>
                    <w:iCs/>
                    <w:lang w:val="en-US"/>
                  </w:rPr>
                  <m:t>s</m:t>
                </m:r>
              </m:e>
              <m:sub>
                <m:r>
                  <m:rPr>
                    <m:nor/>
                  </m:rPr>
                  <w:rPr>
                    <w:i/>
                    <w:iCs/>
                    <w:lang w:val="en-US"/>
                  </w:rPr>
                  <m:t>t</m:t>
                </m:r>
              </m:sub>
            </m:sSub>
          </m:num>
          <m:den>
            <m:sSub>
              <m:sSubPr>
                <m:ctrlPr>
                  <w:rPr>
                    <w:rFonts w:ascii="Cambria Math" w:hAnsi="Cambria Math"/>
                    <w:i/>
                    <w:iCs/>
                  </w:rPr>
                </m:ctrlPr>
              </m:sSubPr>
              <m:e>
                <m:r>
                  <m:rPr>
                    <m:nor/>
                  </m:rPr>
                  <w:rPr>
                    <w:i/>
                    <w:iCs/>
                    <w:lang w:val="en-US"/>
                  </w:rPr>
                  <m:t>s</m:t>
                </m:r>
              </m:e>
              <m:sub>
                <m:r>
                  <m:rPr>
                    <m:nor/>
                  </m:rPr>
                  <w:rPr>
                    <w:i/>
                    <w:iCs/>
                    <w:lang w:val="en-US"/>
                  </w:rPr>
                  <m:t>t</m:t>
                </m:r>
              </m:sub>
            </m:sSub>
          </m:den>
        </m:f>
      </m:oMath>
    </w:p>
  </w:footnote>
  <w:footnote w:id="18">
    <w:p w14:paraId="6B6D316B" w14:textId="0E75CE4C" w:rsidR="00304CCB" w:rsidRDefault="00304CCB" w:rsidP="0021133C">
      <w:pPr>
        <w:pStyle w:val="Textonotapie"/>
        <w:keepNext/>
        <w:spacing w:after="0"/>
      </w:pPr>
      <w:r>
        <w:rPr>
          <w:rStyle w:val="Refdenotaalpie"/>
        </w:rPr>
        <w:footnoteRef/>
      </w:r>
      <w:r>
        <w:t xml:space="preserve"> Para tener en consideración la prima de riesgo (</w:t>
      </w:r>
      <m:oMath>
        <m:r>
          <m:rPr>
            <m:nor/>
          </m:rPr>
          <w:rPr>
            <w:i/>
            <w:iCs/>
          </w:rPr>
          <m:t>δ</m:t>
        </m:r>
      </m:oMath>
      <w:r>
        <w:t>), la incluiríamos en la ecuación de la siguiente manera:</w:t>
      </w:r>
    </w:p>
    <w:p w14:paraId="76828235" w14:textId="28497365" w:rsidR="00304CCB" w:rsidRPr="00692FA1" w:rsidRDefault="00000000" w:rsidP="00304CCB">
      <w:pPr>
        <w:pStyle w:val="Textonotapie"/>
        <w:rPr>
          <w:rFonts w:eastAsiaTheme="minorEastAsia"/>
          <w:i/>
          <w:iCs/>
          <w:lang w:val="en-US"/>
        </w:rPr>
      </w:pPr>
      <m:oMathPara>
        <m:oMath>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r>
            <w:rPr>
              <w:rFonts w:ascii="Cambria Math" w:eastAsiaTheme="minorEastAsia" w:hAnsi="Cambria Math"/>
              <w:lang w:val="en-US"/>
            </w:rPr>
            <m:t>=</m:t>
          </m:r>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i*</m:t>
              </m:r>
            </m:e>
          </m:d>
          <m:r>
            <w:rPr>
              <w:rFonts w:ascii="Cambria Math" w:hAnsi="Cambria Math"/>
              <w:lang w:val="en-US"/>
            </w:rPr>
            <m:t>∙</m:t>
          </m:r>
          <m:f>
            <m:fPr>
              <m:ctrlPr>
                <w:rPr>
                  <w:rFonts w:ascii="Cambria Math" w:hAnsi="Cambria Math"/>
                  <w:i/>
                  <w:iCs/>
                </w:rPr>
              </m:ctrlPr>
            </m:fPr>
            <m:num>
              <m:sSubSup>
                <m:sSubSupPr>
                  <m:ctrlPr>
                    <w:rPr>
                      <w:rFonts w:ascii="Cambria Math" w:eastAsiaTheme="minorEastAsia" w:hAnsi="Cambria Math"/>
                      <w:i/>
                    </w:rPr>
                  </m:ctrlPr>
                </m:sSubSupPr>
                <m:e>
                  <m:r>
                    <m:rPr>
                      <m:nor/>
                    </m:rPr>
                    <w:rPr>
                      <w:rFonts w:eastAsiaTheme="minorEastAsia"/>
                      <w:i/>
                      <w:lang w:val="en-US"/>
                    </w:rPr>
                    <m:t>s</m:t>
                  </m:r>
                </m:e>
                <m:sub>
                  <m:r>
                    <m:rPr>
                      <m:nor/>
                    </m:rPr>
                    <w:rPr>
                      <w:rFonts w:eastAsiaTheme="minorEastAsia"/>
                      <w:i/>
                      <w:lang w:val="en-US"/>
                    </w:rPr>
                    <m:t>t</m:t>
                  </m:r>
                  <m:r>
                    <w:rPr>
                      <w:rFonts w:ascii="Cambria Math" w:eastAsiaTheme="minorEastAsia" w:hAnsi="Cambria Math"/>
                      <w:lang w:val="en-US"/>
                    </w:rPr>
                    <m:t>+</m:t>
                  </m:r>
                  <m:r>
                    <m:rPr>
                      <m:nor/>
                    </m:rPr>
                    <w:rPr>
                      <w:rFonts w:eastAsiaTheme="minorEastAsia"/>
                      <w:i/>
                      <w:lang w:val="en-US"/>
                    </w:rPr>
                    <m:t>1</m:t>
                  </m:r>
                </m:sub>
                <m:sup>
                  <m:r>
                    <m:rPr>
                      <m:nor/>
                    </m:rPr>
                    <w:rPr>
                      <w:rFonts w:eastAsiaTheme="minorEastAsia"/>
                      <w:i/>
                      <w:lang w:val="en-US"/>
                    </w:rPr>
                    <m:t>e</m:t>
                  </m:r>
                </m:sup>
              </m:sSubSup>
            </m:num>
            <m:den>
              <m:sSub>
                <m:sSubPr>
                  <m:ctrlPr>
                    <w:rPr>
                      <w:rFonts w:ascii="Cambria Math" w:hAnsi="Cambria Math"/>
                      <w:i/>
                      <w:iCs/>
                    </w:rPr>
                  </m:ctrlPr>
                </m:sSubPr>
                <m:e>
                  <m:r>
                    <m:rPr>
                      <m:nor/>
                    </m:rPr>
                    <w:rPr>
                      <w:i/>
                      <w:iCs/>
                      <w:lang w:val="en-US"/>
                    </w:rPr>
                    <m:t>s</m:t>
                  </m:r>
                </m:e>
                <m:sub>
                  <m:r>
                    <m:rPr>
                      <m:nor/>
                    </m:rPr>
                    <w:rPr>
                      <w:i/>
                      <w:iCs/>
                      <w:lang w:val="en-US"/>
                    </w:rPr>
                    <m:t>t</m:t>
                  </m:r>
                </m:sub>
              </m:sSub>
            </m:den>
          </m:f>
          <m:r>
            <w:rPr>
              <w:rFonts w:ascii="Cambria Math" w:eastAsiaTheme="minorEastAsia" w:hAnsi="Cambria Math"/>
              <w:lang w:val="en-US"/>
            </w:rPr>
            <m:t>+</m:t>
          </m:r>
          <m:r>
            <m:rPr>
              <m:nor/>
            </m:rPr>
            <w:rPr>
              <w:i/>
              <w:iCs/>
            </w:rPr>
            <m:t>δ</m:t>
          </m:r>
          <m:r>
            <w:rPr>
              <w:rFonts w:ascii="Cambria Math" w:eastAsiaTheme="minorEastAsia" w:hAnsi="Cambria Math"/>
              <w:lang w:val="en-US"/>
            </w:rPr>
            <m:t>⇒</m:t>
          </m:r>
          <m:r>
            <m:rPr>
              <m:nor/>
            </m:rPr>
            <w:rPr>
              <w:i/>
              <w:iCs/>
              <w:lang w:val="en-US"/>
            </w:rPr>
            <m:t>i</m:t>
          </m:r>
          <m:r>
            <w:rPr>
              <w:rFonts w:ascii="Cambria Math" w:eastAsiaTheme="minorEastAsia" w:hAnsi="Cambria Math"/>
              <w:lang w:val="en-US"/>
            </w:rPr>
            <m:t>≅</m:t>
          </m:r>
          <m:r>
            <m:rPr>
              <m:nor/>
            </m:rPr>
            <w:rPr>
              <w:i/>
              <w:iCs/>
              <w:lang w:val="en-US"/>
            </w:rPr>
            <m:t>i*</m:t>
          </m:r>
          <m:r>
            <w:rPr>
              <w:rFonts w:ascii="Cambria Math" w:hAnsi="Cambria Math"/>
              <w:lang w:val="en-US"/>
            </w:rPr>
            <m:t>+</m:t>
          </m:r>
          <m:f>
            <m:fPr>
              <m:ctrlPr>
                <w:rPr>
                  <w:rFonts w:ascii="Cambria Math" w:hAnsi="Cambria Math"/>
                  <w:i/>
                  <w:iCs/>
                </w:rPr>
              </m:ctrlPr>
            </m:fPr>
            <m:num>
              <m:sSubSup>
                <m:sSubSupPr>
                  <m:ctrlPr>
                    <w:rPr>
                      <w:rFonts w:ascii="Cambria Math" w:eastAsiaTheme="minorEastAsia" w:hAnsi="Cambria Math"/>
                      <w:i/>
                    </w:rPr>
                  </m:ctrlPr>
                </m:sSubSupPr>
                <m:e>
                  <m:r>
                    <m:rPr>
                      <m:nor/>
                    </m:rPr>
                    <w:rPr>
                      <w:rFonts w:eastAsiaTheme="minorEastAsia"/>
                      <w:i/>
                      <w:lang w:val="en-US"/>
                    </w:rPr>
                    <m:t>s</m:t>
                  </m:r>
                </m:e>
                <m:sub>
                  <m:r>
                    <m:rPr>
                      <m:nor/>
                    </m:rPr>
                    <w:rPr>
                      <w:rFonts w:eastAsiaTheme="minorEastAsia"/>
                      <w:i/>
                      <w:lang w:val="en-US"/>
                    </w:rPr>
                    <m:t>t</m:t>
                  </m:r>
                  <m:r>
                    <w:rPr>
                      <w:rFonts w:ascii="Cambria Math" w:eastAsiaTheme="minorEastAsia" w:hAnsi="Cambria Math"/>
                      <w:lang w:val="en-US"/>
                    </w:rPr>
                    <m:t>+</m:t>
                  </m:r>
                  <m:r>
                    <m:rPr>
                      <m:nor/>
                    </m:rPr>
                    <w:rPr>
                      <w:rFonts w:eastAsiaTheme="minorEastAsia"/>
                      <w:i/>
                      <w:lang w:val="en-US"/>
                    </w:rPr>
                    <m:t>1</m:t>
                  </m:r>
                </m:sub>
                <m:sup>
                  <m:r>
                    <m:rPr>
                      <m:nor/>
                    </m:rPr>
                    <w:rPr>
                      <w:rFonts w:eastAsiaTheme="minorEastAsia"/>
                      <w:i/>
                      <w:lang w:val="en-US"/>
                    </w:rPr>
                    <m:t>e</m:t>
                  </m:r>
                </m:sup>
              </m:sSubSup>
              <m:sSub>
                <m:sSubPr>
                  <m:ctrlPr>
                    <w:rPr>
                      <w:rFonts w:ascii="Cambria Math" w:hAnsi="Cambria Math"/>
                      <w:i/>
                      <w:iCs/>
                    </w:rPr>
                  </m:ctrlPr>
                </m:sSubPr>
                <m:e>
                  <m:r>
                    <w:rPr>
                      <w:rFonts w:ascii="Cambria Math" w:hAnsi="Cambria Math"/>
                      <w:lang w:val="en-US"/>
                    </w:rPr>
                    <m:t>-</m:t>
                  </m:r>
                  <m:r>
                    <m:rPr>
                      <m:nor/>
                    </m:rPr>
                    <w:rPr>
                      <w:i/>
                      <w:iCs/>
                      <w:lang w:val="en-US"/>
                    </w:rPr>
                    <m:t>s</m:t>
                  </m:r>
                </m:e>
                <m:sub>
                  <m:r>
                    <m:rPr>
                      <m:nor/>
                    </m:rPr>
                    <w:rPr>
                      <w:i/>
                      <w:iCs/>
                      <w:lang w:val="en-US"/>
                    </w:rPr>
                    <m:t>t</m:t>
                  </m:r>
                </m:sub>
              </m:sSub>
            </m:num>
            <m:den>
              <m:sSub>
                <m:sSubPr>
                  <m:ctrlPr>
                    <w:rPr>
                      <w:rFonts w:ascii="Cambria Math" w:hAnsi="Cambria Math"/>
                      <w:i/>
                      <w:iCs/>
                    </w:rPr>
                  </m:ctrlPr>
                </m:sSubPr>
                <m:e>
                  <m:r>
                    <m:rPr>
                      <m:nor/>
                    </m:rPr>
                    <w:rPr>
                      <w:i/>
                      <w:iCs/>
                      <w:lang w:val="en-US"/>
                    </w:rPr>
                    <m:t>s</m:t>
                  </m:r>
                </m:e>
                <m:sub>
                  <m:r>
                    <m:rPr>
                      <m:nor/>
                    </m:rPr>
                    <w:rPr>
                      <w:i/>
                      <w:iCs/>
                      <w:lang w:val="en-US"/>
                    </w:rPr>
                    <m:t>t</m:t>
                  </m:r>
                </m:sub>
              </m:sSub>
            </m:den>
          </m:f>
          <m:r>
            <w:rPr>
              <w:rFonts w:ascii="Cambria Math" w:eastAsiaTheme="minorEastAsia" w:hAnsi="Cambria Math"/>
              <w:lang w:val="en-US"/>
            </w:rPr>
            <m:t>+</m:t>
          </m:r>
          <m:r>
            <m:rPr>
              <m:nor/>
            </m:rPr>
            <w:rPr>
              <w:i/>
              <w:iCs/>
            </w:rPr>
            <m:t>δ</m:t>
          </m:r>
        </m:oMath>
      </m:oMathPara>
    </w:p>
  </w:footnote>
  <w:footnote w:id="19">
    <w:p w14:paraId="669BE757" w14:textId="7183AE1A" w:rsidR="002F3A6C" w:rsidRPr="002F3A6C" w:rsidRDefault="002F3A6C">
      <w:pPr>
        <w:pStyle w:val="Textonotapie"/>
        <w:rPr>
          <w:lang w:val="en-US"/>
        </w:rPr>
      </w:pPr>
      <w:r w:rsidRPr="002F3A6C">
        <w:rPr>
          <w:rStyle w:val="Refdenotaalpie"/>
        </w:rPr>
        <w:footnoteRef/>
      </w:r>
      <w:r w:rsidRPr="002F3A6C">
        <w:rPr>
          <w:lang w:val="en-US"/>
        </w:rPr>
        <w:t xml:space="preserve"> Since classifications are largely a matter of convenience (and perhaps of personal taste) we have chosen to follow the dichotomy based on the perfect or imperfect substitutability between domestic and foreign bonds within the common assumption of perfect capital mobility (</w:t>
      </w:r>
      <w:r w:rsidRPr="002F3A6C">
        <w:rPr>
          <w:smallCaps/>
          <w:lang w:val="en-US"/>
        </w:rPr>
        <w:t>Gandolfo</w:t>
      </w:r>
      <w:r w:rsidRPr="002F3A6C">
        <w:rPr>
          <w:lang w:val="en-US"/>
        </w:rPr>
        <w:t xml:space="preserve">, </w:t>
      </w:r>
      <w:proofErr w:type="spellStart"/>
      <w:r w:rsidRPr="002F3A6C">
        <w:rPr>
          <w:lang w:val="en-US"/>
        </w:rPr>
        <w:t>pág</w:t>
      </w:r>
      <w:proofErr w:type="spellEnd"/>
      <w:r w:rsidRPr="002F3A6C">
        <w:rPr>
          <w:lang w:val="en-US"/>
        </w:rPr>
        <w:t>.</w:t>
      </w:r>
      <w:r w:rsidR="00D86C12">
        <w:rPr>
          <w:lang w:val="en-US"/>
        </w:rPr>
        <w:t> </w:t>
      </w:r>
      <w:r w:rsidRPr="002F3A6C">
        <w:rPr>
          <w:lang w:val="en-US"/>
        </w:rPr>
        <w:t>337).</w:t>
      </w:r>
    </w:p>
  </w:footnote>
  <w:footnote w:id="20">
    <w:p w14:paraId="3A084C72" w14:textId="00393E7F" w:rsidR="0050457C" w:rsidRDefault="0050457C" w:rsidP="00926735">
      <w:pPr>
        <w:pStyle w:val="Textonotapie"/>
      </w:pPr>
      <w:r>
        <w:rPr>
          <w:rStyle w:val="Refdenotaalpie"/>
        </w:rPr>
        <w:footnoteRef/>
      </w:r>
      <w:r>
        <w:t xml:space="preserve"> Este enfoque es también estudiado en el tema 3.B.1</w:t>
      </w:r>
      <w:r w:rsidR="004D26D9">
        <w:t>2</w:t>
      </w:r>
      <w:r>
        <w:t xml:space="preserve"> para el caso de tipos de cambio fijos. Bajo este supuesto, el enfoque monetario determina los efectos de (cambios en) el stock de dinero (que es una variable endógena) en la balanza de pagos y viceversa. Si asumimos tipos de cambio flexibles, el mismo enfoque (tomando el stock de dinero como una variable exógena) se convierte en una teoría de determinación del tipo de cambio.</w:t>
      </w:r>
    </w:p>
  </w:footnote>
  <w:footnote w:id="21">
    <w:p w14:paraId="76BF0761" w14:textId="65098EB0" w:rsidR="00E577CB" w:rsidRPr="00E06CE9" w:rsidRDefault="00E577CB" w:rsidP="00E577CB">
      <w:pPr>
        <w:pStyle w:val="Textonotapie"/>
        <w:keepNext/>
        <w:spacing w:after="0"/>
        <w:rPr>
          <w:highlight w:val="yellow"/>
        </w:rPr>
      </w:pPr>
      <w:r w:rsidRPr="00E06CE9">
        <w:rPr>
          <w:rStyle w:val="Refdenotaalpie"/>
          <w:highlight w:val="yellow"/>
        </w:rPr>
        <w:footnoteRef/>
      </w:r>
      <w:r w:rsidRPr="00E06CE9">
        <w:rPr>
          <w:highlight w:val="yellow"/>
        </w:rPr>
        <w:t xml:space="preserve"> Si consideramos que se cumple la versión relativa de la PPA, el resultado sería el siguiente:</w:t>
      </w:r>
    </w:p>
    <w:p w14:paraId="3AB3D7B8" w14:textId="24E1C8C9" w:rsidR="00E577CB" w:rsidRDefault="00000000">
      <w:pPr>
        <w:pStyle w:val="Textonotapie"/>
      </w:pPr>
      <m:oMathPara>
        <m:oMath>
          <m:d>
            <m:dPr>
              <m:begChr m:val=""/>
              <m:endChr m:val="}"/>
              <m:ctrlPr>
                <w:rPr>
                  <w:rFonts w:ascii="Cambria Math" w:hAnsi="Cambria Math" w:cs="Cambria"/>
                  <w:i/>
                  <w:iCs/>
                  <w:highlight w:val="yellow"/>
                </w:rPr>
              </m:ctrlPr>
            </m:dPr>
            <m:e>
              <m:m>
                <m:mPr>
                  <m:mcs>
                    <m:mc>
                      <m:mcPr>
                        <m:count m:val="1"/>
                        <m:mcJc m:val="center"/>
                      </m:mcPr>
                    </m:mc>
                  </m:mcs>
                  <m:ctrlPr>
                    <w:rPr>
                      <w:rFonts w:ascii="Cambria Math" w:hAnsi="Cambria Math" w:cs="Cambria"/>
                      <w:i/>
                      <w:iCs/>
                      <w:highlight w:val="yellow"/>
                    </w:rPr>
                  </m:ctrlPr>
                </m:mPr>
                <m:mr>
                  <m:e>
                    <m:r>
                      <m:rPr>
                        <m:nor/>
                      </m:rPr>
                      <w:rPr>
                        <w:rFonts w:ascii="Cambria Math" w:cs="Cambria"/>
                        <w:i/>
                        <w:iCs/>
                        <w:highlight w:val="yellow"/>
                      </w:rPr>
                      <m:t xml:space="preserve">                           </m:t>
                    </m:r>
                    <m:r>
                      <m:rPr>
                        <m:nor/>
                      </m:rPr>
                      <w:rPr>
                        <w:rFonts w:cs="Cambria"/>
                        <w:i/>
                        <w:iCs/>
                        <w:highlight w:val="yellow"/>
                      </w:rPr>
                      <m:t>PPA relativa:</m:t>
                    </m:r>
                    <m:r>
                      <m:rPr>
                        <m:nor/>
                      </m:rPr>
                      <w:rPr>
                        <w:rFonts w:ascii="Cambria Math" w:cs="Cambria"/>
                        <w:i/>
                        <w:iCs/>
                        <w:highlight w:val="yellow"/>
                      </w:rPr>
                      <m:t xml:space="preserve">                       </m:t>
                    </m:r>
                    <m:r>
                      <m:rPr>
                        <m:nor/>
                      </m:rPr>
                      <w:rPr>
                        <w:rFonts w:cs="Cambria"/>
                        <w:i/>
                        <w:iCs/>
                        <w:highlight w:val="yellow"/>
                      </w:rPr>
                      <m:t>γ</m:t>
                    </m:r>
                    <m:r>
                      <m:rPr>
                        <m:nor/>
                      </m:rPr>
                      <w:rPr>
                        <w:i/>
                        <w:iCs/>
                        <w:highlight w:val="yellow"/>
                      </w:rPr>
                      <m:t>E</m:t>
                    </m:r>
                    <m:r>
                      <w:rPr>
                        <w:rFonts w:ascii="Cambria Math" w:hAnsi="Cambria Math"/>
                        <w:highlight w:val="yellow"/>
                      </w:rPr>
                      <m:t>=</m:t>
                    </m:r>
                    <m:r>
                      <m:rPr>
                        <m:nor/>
                      </m:rPr>
                      <w:rPr>
                        <w:i/>
                        <w:highlight w:val="yellow"/>
                      </w:rPr>
                      <m:t>π</m:t>
                    </m:r>
                    <m:r>
                      <w:rPr>
                        <w:rFonts w:ascii="Cambria Math" w:hAnsi="Cambria Math"/>
                        <w:highlight w:val="yellow"/>
                      </w:rPr>
                      <m:t>-</m:t>
                    </m:r>
                    <m:r>
                      <m:rPr>
                        <m:nor/>
                      </m:rPr>
                      <w:rPr>
                        <w:i/>
                        <w:highlight w:val="yellow"/>
                      </w:rPr>
                      <m:t>π</m:t>
                    </m:r>
                    <m:r>
                      <m:rPr>
                        <m:nor/>
                      </m:rPr>
                      <w:rPr>
                        <w:i/>
                        <w:iCs/>
                        <w:highlight w:val="yellow"/>
                      </w:rPr>
                      <m:t>*</m:t>
                    </m:r>
                  </m:e>
                </m:mr>
                <m:mr>
                  <m:e>
                    <m:r>
                      <m:rPr>
                        <m:nor/>
                      </m:rPr>
                      <w:rPr>
                        <w:rFonts w:cs="Cambria"/>
                        <w:i/>
                        <w:iCs/>
                        <w:highlight w:val="yellow"/>
                      </w:rPr>
                      <m:t>Identidad contable del gasto:</m:t>
                    </m:r>
                    <m:r>
                      <m:rPr>
                        <m:nor/>
                      </m:rPr>
                      <w:rPr>
                        <w:rFonts w:ascii="Cambria Math" w:cs="Cambria"/>
                        <w:i/>
                        <w:iCs/>
                        <w:highlight w:val="yellow"/>
                      </w:rPr>
                      <m:t xml:space="preserve">          </m:t>
                    </m:r>
                    <m:limLow>
                      <m:limLowPr>
                        <m:ctrlPr>
                          <w:rPr>
                            <w:rFonts w:ascii="Cambria Math" w:hAnsi="Cambria Math"/>
                            <w:i/>
                            <w:iCs/>
                            <w:highlight w:val="yellow"/>
                          </w:rPr>
                        </m:ctrlPr>
                      </m:limLowPr>
                      <m:e>
                        <m:groupChr>
                          <m:groupChrPr>
                            <m:ctrlPr>
                              <w:rPr>
                                <w:rFonts w:ascii="Cambria Math" w:hAnsi="Cambria Math"/>
                                <w:i/>
                                <w:iCs/>
                                <w:highlight w:val="yellow"/>
                              </w:rPr>
                            </m:ctrlPr>
                          </m:groupChrPr>
                          <m:e>
                            <m:sSub>
                              <m:sSubPr>
                                <m:ctrlPr>
                                  <w:rPr>
                                    <w:rFonts w:ascii="Cambria Math" w:hAnsi="Cambria Math"/>
                                    <w:i/>
                                    <w:iCs/>
                                    <w:highlight w:val="yellow"/>
                                  </w:rPr>
                                </m:ctrlPr>
                              </m:sSubPr>
                              <m:e>
                                <m:r>
                                  <m:rPr>
                                    <m:nor/>
                                  </m:rPr>
                                  <w:rPr>
                                    <w:i/>
                                    <w:highlight w:val="yellow"/>
                                  </w:rPr>
                                  <m:t>γ</m:t>
                                </m:r>
                              </m:e>
                              <m:sub>
                                <m:r>
                                  <m:rPr>
                                    <m:nor/>
                                  </m:rPr>
                                  <w:rPr>
                                    <w:i/>
                                    <w:iCs/>
                                    <w:highlight w:val="yellow"/>
                                  </w:rPr>
                                  <m:t>M</m:t>
                                </m:r>
                              </m:sub>
                            </m:sSub>
                          </m:e>
                        </m:groupChr>
                      </m:e>
                      <m:lim>
                        <m:r>
                          <m:rPr>
                            <m:nor/>
                          </m:rPr>
                          <w:rPr>
                            <w:i/>
                            <w:highlight w:val="yellow"/>
                          </w:rPr>
                          <m:t>ϑ</m:t>
                        </m:r>
                      </m:lim>
                    </m:limLow>
                    <m:r>
                      <w:rPr>
                        <w:rFonts w:ascii="Cambria Math" w:hAnsi="Cambria Math"/>
                        <w:highlight w:val="yellow"/>
                      </w:rPr>
                      <m:t>+</m:t>
                    </m:r>
                    <m:sSub>
                      <m:sSubPr>
                        <m:ctrlPr>
                          <w:rPr>
                            <w:rFonts w:ascii="Cambria Math" w:hAnsi="Cambria Math"/>
                            <w:i/>
                            <w:iCs/>
                            <w:highlight w:val="yellow"/>
                          </w:rPr>
                        </m:ctrlPr>
                      </m:sSubPr>
                      <m:e>
                        <m:r>
                          <m:rPr>
                            <m:nor/>
                          </m:rPr>
                          <w:rPr>
                            <w:i/>
                            <w:highlight w:val="yellow"/>
                          </w:rPr>
                          <m:t>γ</m:t>
                        </m:r>
                      </m:e>
                      <m:sub>
                        <m:r>
                          <m:rPr>
                            <m:nor/>
                          </m:rPr>
                          <w:rPr>
                            <w:i/>
                            <w:iCs/>
                            <w:highlight w:val="yellow"/>
                          </w:rPr>
                          <m:t>V</m:t>
                        </m:r>
                      </m:sub>
                    </m:sSub>
                    <m:r>
                      <w:rPr>
                        <w:rFonts w:ascii="Cambria Math" w:hAnsi="Cambria Math"/>
                        <w:highlight w:val="yellow"/>
                      </w:rPr>
                      <m:t>=</m:t>
                    </m:r>
                    <m:limLow>
                      <m:limLowPr>
                        <m:ctrlPr>
                          <w:rPr>
                            <w:rFonts w:ascii="Cambria Math" w:hAnsi="Cambria Math"/>
                            <w:i/>
                            <w:iCs/>
                            <w:highlight w:val="yellow"/>
                          </w:rPr>
                        </m:ctrlPr>
                      </m:limLowPr>
                      <m:e>
                        <m:groupChr>
                          <m:groupChrPr>
                            <m:ctrlPr>
                              <w:rPr>
                                <w:rFonts w:ascii="Cambria Math" w:hAnsi="Cambria Math"/>
                                <w:i/>
                                <w:iCs/>
                                <w:highlight w:val="yellow"/>
                              </w:rPr>
                            </m:ctrlPr>
                          </m:groupChrPr>
                          <m:e>
                            <m:sSub>
                              <m:sSubPr>
                                <m:ctrlPr>
                                  <w:rPr>
                                    <w:rFonts w:ascii="Cambria Math" w:hAnsi="Cambria Math"/>
                                    <w:i/>
                                    <w:iCs/>
                                    <w:highlight w:val="yellow"/>
                                  </w:rPr>
                                </m:ctrlPr>
                              </m:sSubPr>
                              <m:e>
                                <m:r>
                                  <m:rPr>
                                    <m:nor/>
                                  </m:rPr>
                                  <w:rPr>
                                    <w:i/>
                                    <w:highlight w:val="yellow"/>
                                  </w:rPr>
                                  <m:t>γ</m:t>
                                </m:r>
                              </m:e>
                              <m:sub>
                                <m:r>
                                  <m:rPr>
                                    <m:nor/>
                                  </m:rPr>
                                  <w:rPr>
                                    <w:i/>
                                    <w:iCs/>
                                    <w:highlight w:val="yellow"/>
                                  </w:rPr>
                                  <m:t>P</m:t>
                                </m:r>
                              </m:sub>
                            </m:sSub>
                          </m:e>
                        </m:groupChr>
                      </m:e>
                      <m:lim>
                        <m:r>
                          <m:rPr>
                            <m:nor/>
                          </m:rPr>
                          <w:rPr>
                            <w:i/>
                            <w:iCs/>
                            <w:highlight w:val="yellow"/>
                          </w:rPr>
                          <m:t>π</m:t>
                        </m:r>
                      </m:lim>
                    </m:limLow>
                    <m:r>
                      <w:rPr>
                        <w:rFonts w:ascii="Cambria Math" w:hAnsi="Cambria Math"/>
                        <w:highlight w:val="yellow"/>
                      </w:rPr>
                      <m:t>+</m:t>
                    </m:r>
                    <m:sSub>
                      <m:sSubPr>
                        <m:ctrlPr>
                          <w:rPr>
                            <w:rFonts w:ascii="Cambria Math" w:hAnsi="Cambria Math"/>
                            <w:i/>
                            <w:iCs/>
                            <w:highlight w:val="yellow"/>
                          </w:rPr>
                        </m:ctrlPr>
                      </m:sSubPr>
                      <m:e>
                        <m:r>
                          <m:rPr>
                            <m:nor/>
                          </m:rPr>
                          <w:rPr>
                            <w:i/>
                            <w:highlight w:val="yellow"/>
                          </w:rPr>
                          <m:t>γ</m:t>
                        </m:r>
                      </m:e>
                      <m:sub>
                        <m:r>
                          <m:rPr>
                            <m:nor/>
                          </m:rPr>
                          <w:rPr>
                            <w:i/>
                            <w:iCs/>
                            <w:highlight w:val="yellow"/>
                          </w:rPr>
                          <m:t>Y</m:t>
                        </m:r>
                      </m:sub>
                    </m:sSub>
                  </m:e>
                </m:mr>
              </m:m>
            </m:e>
          </m:d>
          <m:r>
            <w:rPr>
              <w:rFonts w:ascii="Cambria Math" w:hAnsi="Cambria Math" w:cs="Cambria"/>
              <w:highlight w:val="yellow"/>
            </w:rPr>
            <m:t>⇒</m:t>
          </m:r>
          <m:borderBox>
            <m:borderBoxPr>
              <m:ctrlPr>
                <w:rPr>
                  <w:rFonts w:ascii="Cambria Math" w:hAnsi="Cambria Math" w:cs="Cambria"/>
                  <w:i/>
                  <w:iCs/>
                  <w:highlight w:val="yellow"/>
                </w:rPr>
              </m:ctrlPr>
            </m:borderBoxPr>
            <m:e>
              <m:r>
                <m:rPr>
                  <m:nor/>
                </m:rPr>
                <w:rPr>
                  <w:rFonts w:cs="Cambria"/>
                  <w:i/>
                  <w:iCs/>
                  <w:highlight w:val="yellow"/>
                </w:rPr>
                <m:t>γ</m:t>
              </m:r>
              <m:r>
                <m:rPr>
                  <m:nor/>
                </m:rPr>
                <w:rPr>
                  <w:i/>
                  <w:iCs/>
                  <w:highlight w:val="yellow"/>
                </w:rPr>
                <m:t>E</m:t>
              </m:r>
              <m:r>
                <w:rPr>
                  <w:rFonts w:ascii="Cambria Math" w:hAnsi="Cambria Math"/>
                  <w:highlight w:val="yellow"/>
                </w:rPr>
                <m:t>=</m:t>
              </m:r>
              <m:d>
                <m:dPr>
                  <m:ctrlPr>
                    <w:rPr>
                      <w:rFonts w:ascii="Cambria Math" w:hAnsi="Cambria Math"/>
                      <w:i/>
                      <w:highlight w:val="yellow"/>
                    </w:rPr>
                  </m:ctrlPr>
                </m:dPr>
                <m:e>
                  <m:r>
                    <m:rPr>
                      <m:nor/>
                    </m:rPr>
                    <w:rPr>
                      <w:i/>
                      <w:highlight w:val="yellow"/>
                    </w:rPr>
                    <m:t>ϑ</m:t>
                  </m:r>
                  <m:r>
                    <w:rPr>
                      <w:rFonts w:ascii="Cambria Math" w:hAnsi="Cambria Math"/>
                      <w:highlight w:val="yellow"/>
                    </w:rPr>
                    <m:t>-</m:t>
                  </m:r>
                  <m:r>
                    <m:rPr>
                      <m:nor/>
                    </m:rPr>
                    <w:rPr>
                      <w:i/>
                      <w:highlight w:val="yellow"/>
                    </w:rPr>
                    <m:t>ϑ</m:t>
                  </m:r>
                  <m:r>
                    <m:rPr>
                      <m:nor/>
                    </m:rPr>
                    <w:rPr>
                      <w:i/>
                      <w:iCs/>
                      <w:highlight w:val="yellow"/>
                    </w:rPr>
                    <m:t>*</m:t>
                  </m:r>
                </m:e>
              </m:d>
              <m:r>
                <w:rPr>
                  <w:rFonts w:ascii="Cambria Math" w:hAnsi="Cambria Math"/>
                  <w:highlight w:val="yellow"/>
                </w:rPr>
                <m:t>+</m:t>
              </m:r>
              <m:d>
                <m:dPr>
                  <m:ctrlPr>
                    <w:rPr>
                      <w:rFonts w:ascii="Cambria Math" w:hAnsi="Cambria Math"/>
                      <w:i/>
                      <w:highlight w:val="yellow"/>
                    </w:rPr>
                  </m:ctrlPr>
                </m:dPr>
                <m:e>
                  <m:sSub>
                    <m:sSubPr>
                      <m:ctrlPr>
                        <w:rPr>
                          <w:rFonts w:ascii="Cambria Math" w:hAnsi="Cambria Math"/>
                          <w:i/>
                          <w:iCs/>
                          <w:highlight w:val="yellow"/>
                        </w:rPr>
                      </m:ctrlPr>
                    </m:sSubPr>
                    <m:e>
                      <m:r>
                        <m:rPr>
                          <m:nor/>
                        </m:rPr>
                        <w:rPr>
                          <w:i/>
                          <w:highlight w:val="yellow"/>
                        </w:rPr>
                        <m:t>γ</m:t>
                      </m:r>
                    </m:e>
                    <m:sub>
                      <m:r>
                        <m:rPr>
                          <m:nor/>
                        </m:rPr>
                        <w:rPr>
                          <w:i/>
                          <w:iCs/>
                          <w:highlight w:val="yellow"/>
                        </w:rPr>
                        <m:t>V</m:t>
                      </m:r>
                    </m:sub>
                  </m:sSub>
                  <m:r>
                    <w:rPr>
                      <w:rFonts w:ascii="Cambria Math" w:hAnsi="Cambria Math"/>
                      <w:highlight w:val="yellow"/>
                    </w:rPr>
                    <m:t>-</m:t>
                  </m:r>
                  <m:sSub>
                    <m:sSubPr>
                      <m:ctrlPr>
                        <w:rPr>
                          <w:rFonts w:ascii="Cambria Math" w:hAnsi="Cambria Math"/>
                          <w:i/>
                          <w:iCs/>
                          <w:highlight w:val="yellow"/>
                        </w:rPr>
                      </m:ctrlPr>
                    </m:sSubPr>
                    <m:e>
                      <m:r>
                        <m:rPr>
                          <m:nor/>
                        </m:rPr>
                        <w:rPr>
                          <w:i/>
                          <w:highlight w:val="yellow"/>
                        </w:rPr>
                        <m:t>γ</m:t>
                      </m:r>
                    </m:e>
                    <m:sub>
                      <m:r>
                        <m:rPr>
                          <m:nor/>
                        </m:rPr>
                        <w:rPr>
                          <w:i/>
                          <w:iCs/>
                          <w:highlight w:val="yellow"/>
                        </w:rPr>
                        <m:t>V</m:t>
                      </m:r>
                    </m:sub>
                  </m:sSub>
                  <m:r>
                    <m:rPr>
                      <m:nor/>
                    </m:rPr>
                    <w:rPr>
                      <w:i/>
                      <w:iCs/>
                      <w:highlight w:val="yellow"/>
                    </w:rPr>
                    <m:t>*</m:t>
                  </m:r>
                </m:e>
              </m:d>
              <m:r>
                <w:rPr>
                  <w:rFonts w:ascii="Cambria Math" w:hAnsi="Cambria Math"/>
                  <w:highlight w:val="yellow"/>
                </w:rPr>
                <m:t>-</m:t>
              </m:r>
              <m:d>
                <m:dPr>
                  <m:ctrlPr>
                    <w:rPr>
                      <w:rFonts w:ascii="Cambria Math" w:hAnsi="Cambria Math"/>
                      <w:i/>
                      <w:highlight w:val="yellow"/>
                    </w:rPr>
                  </m:ctrlPr>
                </m:dPr>
                <m:e>
                  <m:sSub>
                    <m:sSubPr>
                      <m:ctrlPr>
                        <w:rPr>
                          <w:rFonts w:ascii="Cambria Math" w:hAnsi="Cambria Math"/>
                          <w:i/>
                          <w:iCs/>
                          <w:highlight w:val="yellow"/>
                        </w:rPr>
                      </m:ctrlPr>
                    </m:sSubPr>
                    <m:e>
                      <m:r>
                        <m:rPr>
                          <m:nor/>
                        </m:rPr>
                        <w:rPr>
                          <w:i/>
                          <w:highlight w:val="yellow"/>
                        </w:rPr>
                        <m:t>γ</m:t>
                      </m:r>
                    </m:e>
                    <m:sub>
                      <m:r>
                        <m:rPr>
                          <m:nor/>
                        </m:rPr>
                        <w:rPr>
                          <w:i/>
                          <w:iCs/>
                          <w:highlight w:val="yellow"/>
                        </w:rPr>
                        <m:t>Y</m:t>
                      </m:r>
                    </m:sub>
                  </m:sSub>
                  <m:r>
                    <w:rPr>
                      <w:rFonts w:ascii="Cambria Math" w:hAnsi="Cambria Math"/>
                      <w:highlight w:val="yellow"/>
                    </w:rPr>
                    <m:t>-</m:t>
                  </m:r>
                  <m:sSub>
                    <m:sSubPr>
                      <m:ctrlPr>
                        <w:rPr>
                          <w:rFonts w:ascii="Cambria Math" w:hAnsi="Cambria Math"/>
                          <w:i/>
                          <w:iCs/>
                          <w:highlight w:val="yellow"/>
                        </w:rPr>
                      </m:ctrlPr>
                    </m:sSubPr>
                    <m:e>
                      <m:r>
                        <m:rPr>
                          <m:nor/>
                        </m:rPr>
                        <w:rPr>
                          <w:i/>
                          <w:highlight w:val="yellow"/>
                        </w:rPr>
                        <m:t>γ</m:t>
                      </m:r>
                    </m:e>
                    <m:sub>
                      <m:r>
                        <m:rPr>
                          <m:nor/>
                        </m:rPr>
                        <w:rPr>
                          <w:i/>
                          <w:iCs/>
                          <w:highlight w:val="yellow"/>
                        </w:rPr>
                        <m:t>Y</m:t>
                      </m:r>
                    </m:sub>
                  </m:sSub>
                  <m:r>
                    <m:rPr>
                      <m:nor/>
                    </m:rPr>
                    <w:rPr>
                      <w:i/>
                      <w:iCs/>
                      <w:highlight w:val="yellow"/>
                    </w:rPr>
                    <m:t>*</m:t>
                  </m:r>
                </m:e>
              </m:d>
            </m:e>
          </m:borderBox>
        </m:oMath>
      </m:oMathPara>
    </w:p>
  </w:footnote>
  <w:footnote w:id="22">
    <w:p w14:paraId="6EF016E5" w14:textId="77777777" w:rsidR="008956FA" w:rsidRDefault="008956FA" w:rsidP="008956FA">
      <w:pPr>
        <w:pStyle w:val="Textonotapie"/>
        <w:keepNext/>
        <w:spacing w:after="0"/>
      </w:pPr>
      <w:r>
        <w:rPr>
          <w:rStyle w:val="Refdenotaalpie"/>
        </w:rPr>
        <w:footnoteRef/>
      </w:r>
      <w:r>
        <w:t xml:space="preserve"> La macroeconomía de una economía abierta se centra en 6 mercados:</w:t>
      </w:r>
    </w:p>
    <w:p w14:paraId="0BAB310D" w14:textId="77777777" w:rsidR="008956FA" w:rsidRDefault="008956FA" w:rsidP="008956FA">
      <w:pPr>
        <w:pStyle w:val="Textonotapie"/>
        <w:numPr>
          <w:ilvl w:val="0"/>
          <w:numId w:val="15"/>
        </w:numPr>
        <w:spacing w:after="0"/>
        <w:ind w:left="397" w:hanging="113"/>
      </w:pPr>
      <w:r>
        <w:t>Bienes,</w:t>
      </w:r>
    </w:p>
    <w:p w14:paraId="41857BE4" w14:textId="77777777" w:rsidR="008956FA" w:rsidRDefault="008956FA" w:rsidP="008956FA">
      <w:pPr>
        <w:pStyle w:val="Textonotapie"/>
        <w:numPr>
          <w:ilvl w:val="0"/>
          <w:numId w:val="15"/>
        </w:numPr>
        <w:spacing w:after="0"/>
        <w:ind w:left="397" w:hanging="113"/>
      </w:pPr>
      <w:r>
        <w:t>Trabajo,</w:t>
      </w:r>
    </w:p>
    <w:p w14:paraId="38EEAE33" w14:textId="77777777" w:rsidR="008956FA" w:rsidRDefault="008956FA" w:rsidP="008956FA">
      <w:pPr>
        <w:pStyle w:val="Textonotapie"/>
        <w:numPr>
          <w:ilvl w:val="0"/>
          <w:numId w:val="15"/>
        </w:numPr>
        <w:spacing w:after="0"/>
        <w:ind w:left="397" w:hanging="113"/>
      </w:pPr>
      <w:r>
        <w:t>Dinero doméstico,</w:t>
      </w:r>
    </w:p>
    <w:p w14:paraId="379DA23C" w14:textId="77777777" w:rsidR="008956FA" w:rsidRDefault="008956FA" w:rsidP="008956FA">
      <w:pPr>
        <w:pStyle w:val="Textonotapie"/>
        <w:numPr>
          <w:ilvl w:val="0"/>
          <w:numId w:val="15"/>
        </w:numPr>
        <w:spacing w:after="0"/>
        <w:ind w:left="397" w:hanging="113"/>
      </w:pPr>
      <w:r>
        <w:t>Dinero extranjero,</w:t>
      </w:r>
    </w:p>
    <w:p w14:paraId="3565AB1E" w14:textId="77777777" w:rsidR="008956FA" w:rsidRDefault="008956FA" w:rsidP="008956FA">
      <w:pPr>
        <w:pStyle w:val="Textonotapie"/>
        <w:numPr>
          <w:ilvl w:val="0"/>
          <w:numId w:val="15"/>
        </w:numPr>
        <w:spacing w:after="0"/>
        <w:ind w:left="397" w:hanging="113"/>
      </w:pPr>
      <w:r>
        <w:t>Bonos domésticos, y</w:t>
      </w:r>
    </w:p>
    <w:p w14:paraId="18627724" w14:textId="77777777" w:rsidR="008956FA" w:rsidRDefault="008956FA" w:rsidP="008956FA">
      <w:pPr>
        <w:pStyle w:val="Textonotapie"/>
        <w:numPr>
          <w:ilvl w:val="0"/>
          <w:numId w:val="15"/>
        </w:numPr>
        <w:ind w:left="397" w:hanging="113"/>
      </w:pPr>
      <w:r>
        <w:t>Bonos extranjeros.</w:t>
      </w:r>
    </w:p>
    <w:p w14:paraId="1481605F" w14:textId="77777777" w:rsidR="008956FA" w:rsidRDefault="008956FA" w:rsidP="008956FA">
      <w:pPr>
        <w:pStyle w:val="Textonotapie"/>
      </w:pPr>
      <w:r>
        <w:t xml:space="preserve">Se puede interpretar el </w:t>
      </w:r>
      <w:r w:rsidRPr="004D63C4">
        <w:rPr>
          <w:b/>
          <w:bCs/>
        </w:rPr>
        <w:t>enfoque monetario de precios flexibles</w:t>
      </w:r>
      <w:r>
        <w:t xml:space="preserve"> implícitamente como un enfoque de </w:t>
      </w:r>
      <w:r w:rsidRPr="004D63C4">
        <w:rPr>
          <w:i/>
          <w:iCs/>
          <w:u w:val="single"/>
        </w:rPr>
        <w:t>equilibrio general</w:t>
      </w:r>
      <w:r>
        <w:t xml:space="preserve"> en el que todos los mercados están en equilibrio.</w:t>
      </w:r>
    </w:p>
    <w:p w14:paraId="425ACA25" w14:textId="77777777" w:rsidR="008956FA" w:rsidRPr="00E577CB" w:rsidRDefault="008956FA" w:rsidP="008956FA">
      <w:pPr>
        <w:pStyle w:val="Textonotapie"/>
        <w:rPr>
          <w:rFonts w:eastAsiaTheme="minorEastAsia"/>
          <w:iCs/>
        </w:rPr>
      </w:pPr>
      <w:r>
        <w:t xml:space="preserve">Precios y salarios flexibles vacían los mercados de </w:t>
      </w:r>
      <w:r w:rsidRPr="004D63C4">
        <w:rPr>
          <w:i/>
          <w:iCs/>
        </w:rPr>
        <w:t>bienes</w:t>
      </w:r>
      <w:r>
        <w:t xml:space="preserve"> y </w:t>
      </w:r>
      <w:r w:rsidRPr="004D63C4">
        <w:rPr>
          <w:i/>
          <w:iCs/>
        </w:rPr>
        <w:t>trabajo</w:t>
      </w:r>
      <w:r>
        <w:t xml:space="preserve">. El tipo de cambio flexible equilibra el mercado de divisas (lo que nos permite “unificar” el mercado de </w:t>
      </w:r>
      <w:r w:rsidRPr="004D63C4">
        <w:rPr>
          <w:i/>
          <w:iCs/>
        </w:rPr>
        <w:t>dinero</w:t>
      </w:r>
      <w:r>
        <w:t xml:space="preserve">), y la sustituibilidad perfecta implica que bonos nacionales y extranjeros sean iguales (lo que nos permite “unificar” el mercado de </w:t>
      </w:r>
      <w:r w:rsidRPr="004D63C4">
        <w:rPr>
          <w:i/>
          <w:iCs/>
        </w:rPr>
        <w:t>bonos</w:t>
      </w:r>
      <w:r>
        <w:t xml:space="preserve">), de forma que si se alcanza el equilibrio en el mercado de dinero, tenemos </w:t>
      </w:r>
      <m:oMath>
        <m:r>
          <m:rPr>
            <m:nor/>
          </m:rPr>
          <w:rPr>
            <w:i/>
            <w:iCs/>
          </w:rPr>
          <m:t>n</m:t>
        </m:r>
        <m:r>
          <w:rPr>
            <w:rFonts w:ascii="Cambria Math" w:hAnsi="Cambria Math"/>
          </w:rPr>
          <m:t>-</m:t>
        </m:r>
        <m:r>
          <m:rPr>
            <m:nor/>
          </m:rPr>
          <w:rPr>
            <w:i/>
            <w:iCs/>
          </w:rPr>
          <m:t>1</m:t>
        </m:r>
      </m:oMath>
      <w:r>
        <w:rPr>
          <w:rFonts w:eastAsiaTheme="minorEastAsia"/>
          <w:iCs/>
        </w:rPr>
        <w:t xml:space="preserve"> mercados en equilibrio y, por la ley de </w:t>
      </w:r>
      <w:r w:rsidRPr="004D63C4">
        <w:rPr>
          <w:rFonts w:eastAsiaTheme="minorEastAsia"/>
          <w:iCs/>
          <w:smallCaps/>
        </w:rPr>
        <w:t>Walras</w:t>
      </w:r>
      <w:r>
        <w:rPr>
          <w:rFonts w:eastAsiaTheme="minorEastAsia"/>
          <w:iCs/>
        </w:rPr>
        <w:t>, el n-</w:t>
      </w:r>
      <w:proofErr w:type="spellStart"/>
      <w:r>
        <w:rPr>
          <w:rFonts w:eastAsiaTheme="minorEastAsia"/>
          <w:iCs/>
        </w:rPr>
        <w:t>ésimo</w:t>
      </w:r>
      <w:proofErr w:type="spellEnd"/>
      <w:r>
        <w:rPr>
          <w:rFonts w:eastAsiaTheme="minorEastAsia"/>
          <w:iCs/>
        </w:rPr>
        <w:t xml:space="preserve"> mercado deberá también vaciarse. De este modo, como suponemos el cumplimiento continuo de la PPA, </w:t>
      </w:r>
      <w:r>
        <w:t>podemos concentrarnos sólo en el mercado de dinero</w:t>
      </w:r>
      <w:r>
        <w:rPr>
          <w:rFonts w:eastAsiaTheme="minorEastAsia"/>
          <w:iCs/>
        </w:rPr>
        <w:t xml:space="preserve"> y sólo es necesario fijarse en los determinantes del equilibrio </w:t>
      </w:r>
      <w:r w:rsidRPr="00E577CB">
        <w:rPr>
          <w:rFonts w:eastAsiaTheme="minorEastAsia"/>
          <w:iCs/>
        </w:rPr>
        <w:t>en el mercado de dinero.</w:t>
      </w:r>
    </w:p>
  </w:footnote>
  <w:footnote w:id="23">
    <w:p w14:paraId="3D698198" w14:textId="3F60D51B" w:rsidR="00E577CB" w:rsidRPr="00E577CB" w:rsidRDefault="00E577CB" w:rsidP="00E577CB">
      <w:pPr>
        <w:pStyle w:val="Textonotapie"/>
        <w:keepNext/>
        <w:spacing w:after="0"/>
      </w:pPr>
      <w:r w:rsidRPr="00E577CB">
        <w:rPr>
          <w:rStyle w:val="Refdenotaalpie"/>
        </w:rPr>
        <w:footnoteRef/>
      </w:r>
      <w:r w:rsidRPr="00E577CB">
        <w:t xml:space="preserve"> Así, la función de demanda de dinero muestra las siguientes elasticidades:</w:t>
      </w:r>
    </w:p>
    <w:p w14:paraId="139D69FB" w14:textId="77777777" w:rsidR="00E577CB" w:rsidRPr="00E577CB" w:rsidRDefault="00000000" w:rsidP="00E577CB">
      <w:pPr>
        <w:pStyle w:val="Textonotapie"/>
        <w:spacing w:after="0"/>
        <w:rPr>
          <w:rFonts w:eastAsiaTheme="minorEastAsia"/>
        </w:rPr>
      </w:pPr>
      <m:oMathPara>
        <m:oMath>
          <m:sSub>
            <m:sSubPr>
              <m:ctrlPr>
                <w:rPr>
                  <w:rFonts w:ascii="Cambria Math" w:hAnsi="Cambria Math"/>
                  <w:i/>
                  <w:iCs/>
                </w:rPr>
              </m:ctrlPr>
            </m:sSubPr>
            <m:e>
              <m:r>
                <m:rPr>
                  <m:nor/>
                </m:rPr>
                <w:rPr>
                  <w:i/>
                  <w:iCs/>
                </w:rPr>
                <m:t>ε</m:t>
              </m:r>
            </m:e>
            <m:sub>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rPr>
                            <m:t>M</m:t>
                          </m:r>
                        </m:num>
                        <m:den>
                          <m:r>
                            <m:rPr>
                              <m:nor/>
                            </m:rPr>
                            <w:rPr>
                              <w:i/>
                            </w:rPr>
                            <m:t>P</m:t>
                          </m:r>
                        </m:den>
                      </m:f>
                    </m:e>
                  </m:d>
                </m:e>
                <m:sup>
                  <m:r>
                    <m:rPr>
                      <m:nor/>
                    </m:rPr>
                    <w:rPr>
                      <w:i/>
                    </w:rPr>
                    <m:t>D</m:t>
                  </m:r>
                </m:sup>
              </m:sSup>
              <m:r>
                <m:rPr>
                  <m:nor/>
                </m:rPr>
                <w:rPr>
                  <w:i/>
                  <w:iCs/>
                </w:rPr>
                <m:t>,Y</m:t>
              </m:r>
            </m:sub>
          </m:sSub>
          <m:r>
            <w:rPr>
              <w:rFonts w:ascii="Cambria Math" w:hAnsi="Cambria Math"/>
            </w:rPr>
            <m:t>=</m:t>
          </m:r>
          <m:f>
            <m:fPr>
              <m:ctrlPr>
                <w:rPr>
                  <w:rFonts w:ascii="Cambria Math" w:hAnsi="Cambria Math"/>
                  <w:i/>
                </w:rPr>
              </m:ctrlPr>
            </m:fPr>
            <m:num>
              <m:r>
                <m:rPr>
                  <m:nor/>
                </m:rPr>
                <w:rPr>
                  <w:i/>
                </w:rPr>
                <m:t>∂</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rPr>
                            <m:t>M</m:t>
                          </m:r>
                        </m:num>
                        <m:den>
                          <m:r>
                            <m:rPr>
                              <m:nor/>
                            </m:rPr>
                            <w:rPr>
                              <w:i/>
                            </w:rPr>
                            <m:t>P</m:t>
                          </m:r>
                        </m:den>
                      </m:f>
                    </m:e>
                  </m:d>
                </m:e>
                <m:sup>
                  <m:r>
                    <m:rPr>
                      <m:nor/>
                    </m:rPr>
                    <w:rPr>
                      <w:i/>
                    </w:rPr>
                    <m:t>D</m:t>
                  </m:r>
                </m:sup>
              </m:sSup>
            </m:num>
            <m:den>
              <m:r>
                <m:rPr>
                  <m:nor/>
                </m:rPr>
                <w:rPr>
                  <w:i/>
                </w:rPr>
                <m:t>∂Y</m:t>
              </m:r>
            </m:den>
          </m:f>
          <m:r>
            <w:rPr>
              <w:rFonts w:ascii="Cambria Math" w:hAnsi="Cambria Math"/>
            </w:rPr>
            <m:t>∙</m:t>
          </m:r>
          <m:f>
            <m:fPr>
              <m:ctrlPr>
                <w:rPr>
                  <w:rFonts w:ascii="Cambria Math" w:hAnsi="Cambria Math"/>
                  <w:i/>
                </w:rPr>
              </m:ctrlPr>
            </m:fPr>
            <m:num>
              <m:r>
                <m:rPr>
                  <m:nor/>
                </m:rPr>
                <w:rPr>
                  <w:i/>
                </w:rPr>
                <m:t>Y</m:t>
              </m:r>
            </m:num>
            <m:den>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rPr>
                            <m:t>M</m:t>
                          </m:r>
                        </m:num>
                        <m:den>
                          <m:r>
                            <m:rPr>
                              <m:nor/>
                            </m:rPr>
                            <w:rPr>
                              <w:i/>
                            </w:rPr>
                            <m:t>P</m:t>
                          </m:r>
                        </m:den>
                      </m:f>
                    </m:e>
                  </m:d>
                </m:e>
                <m:sup>
                  <m:r>
                    <m:rPr>
                      <m:nor/>
                    </m:rPr>
                    <w:rPr>
                      <w:i/>
                    </w:rPr>
                    <m:t>D</m:t>
                  </m:r>
                </m:sup>
              </m:sSup>
            </m:den>
          </m:f>
          <m:r>
            <w:rPr>
              <w:rFonts w:ascii="Cambria Math" w:hAnsi="Cambria Math"/>
            </w:rPr>
            <m:t>=</m:t>
          </m:r>
          <m:r>
            <m:rPr>
              <m:nor/>
            </m:rPr>
            <w:rPr>
              <w:i/>
            </w:rPr>
            <m:t>k</m:t>
          </m:r>
          <m:r>
            <w:rPr>
              <w:rFonts w:ascii="Cambria Math" w:hAnsi="Cambria Math"/>
            </w:rPr>
            <m:t>∙</m:t>
          </m:r>
          <m:sSup>
            <m:sSupPr>
              <m:ctrlPr>
                <w:rPr>
                  <w:rFonts w:ascii="Cambria Math" w:hAnsi="Cambria Math"/>
                  <w:i/>
                </w:rPr>
              </m:ctrlPr>
            </m:sSupPr>
            <m:e>
              <m:r>
                <m:rPr>
                  <m:nor/>
                </m:rPr>
                <w:rPr>
                  <w:i/>
                </w:rPr>
                <m:t>Y</m:t>
              </m:r>
            </m:e>
            <m:sup>
              <m:r>
                <m:rPr>
                  <m:nor/>
                </m:rPr>
                <w:rPr>
                  <w:i/>
                </w:rPr>
                <m:t>k</m:t>
              </m:r>
              <m:r>
                <w:rPr>
                  <w:rFonts w:ascii="Cambria Math" w:hAnsi="Cambria Math"/>
                </w:rPr>
                <m:t>-</m:t>
              </m:r>
              <m:r>
                <m:rPr>
                  <m:nor/>
                </m:rPr>
                <w:rPr>
                  <w:i/>
                </w:rPr>
                <m:t>1</m:t>
              </m:r>
            </m:sup>
          </m:sSup>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r>
                <m:rPr>
                  <m:nor/>
                </m:rPr>
                <w:rPr>
                  <w:i/>
                </w:rPr>
                <m:t>h</m:t>
              </m:r>
              <m:r>
                <w:rPr>
                  <w:rFonts w:ascii="Cambria Math" w:hAnsi="Cambria Math"/>
                </w:rPr>
                <m:t>∙</m:t>
              </m:r>
              <m:r>
                <m:rPr>
                  <m:nor/>
                </m:rPr>
                <w:rPr>
                  <w:i/>
                </w:rPr>
                <m:t>i</m:t>
              </m:r>
            </m:sup>
          </m:sSup>
          <m:r>
            <w:rPr>
              <w:rFonts w:ascii="Cambria Math" w:hAnsi="Cambria Math"/>
            </w:rPr>
            <m:t>∙</m:t>
          </m:r>
          <m:f>
            <m:fPr>
              <m:ctrlPr>
                <w:rPr>
                  <w:rFonts w:ascii="Cambria Math" w:hAnsi="Cambria Math"/>
                  <w:i/>
                </w:rPr>
              </m:ctrlPr>
            </m:fPr>
            <m:num>
              <m:r>
                <m:rPr>
                  <m:nor/>
                </m:rPr>
                <w:rPr>
                  <w:i/>
                </w:rPr>
                <m:t>Y</m:t>
              </m:r>
            </m:num>
            <m:den>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rPr>
                            <m:t>M</m:t>
                          </m:r>
                        </m:num>
                        <m:den>
                          <m:r>
                            <m:rPr>
                              <m:nor/>
                            </m:rPr>
                            <w:rPr>
                              <w:i/>
                            </w:rPr>
                            <m:t>P</m:t>
                          </m:r>
                        </m:den>
                      </m:f>
                    </m:e>
                  </m:d>
                </m:e>
                <m:sup>
                  <m:r>
                    <m:rPr>
                      <m:nor/>
                    </m:rPr>
                    <w:rPr>
                      <w:i/>
                    </w:rPr>
                    <m:t>D</m:t>
                  </m:r>
                </m:sup>
              </m:sSup>
            </m:den>
          </m:f>
          <m:r>
            <w:rPr>
              <w:rFonts w:ascii="Cambria Math" w:hAnsi="Cambria Math"/>
            </w:rPr>
            <m:t>=</m:t>
          </m:r>
          <m:r>
            <m:rPr>
              <m:nor/>
            </m:rPr>
            <w:rPr>
              <w:i/>
            </w:rPr>
            <m:t>k</m:t>
          </m:r>
          <m:r>
            <w:rPr>
              <w:rFonts w:ascii="Cambria Math" w:hAnsi="Cambria Math"/>
            </w:rPr>
            <m:t>∙</m:t>
          </m:r>
          <m:sSup>
            <m:sSupPr>
              <m:ctrlPr>
                <w:rPr>
                  <w:rFonts w:ascii="Cambria Math" w:hAnsi="Cambria Math"/>
                  <w:i/>
                </w:rPr>
              </m:ctrlPr>
            </m:sSupPr>
            <m:e>
              <m:r>
                <m:rPr>
                  <m:nor/>
                </m:rPr>
                <w:rPr>
                  <w:i/>
                </w:rPr>
                <m:t>Y</m:t>
              </m:r>
            </m:e>
            <m:sup>
              <m:r>
                <m:rPr>
                  <m:nor/>
                </m:rPr>
                <w:rPr>
                  <w:i/>
                </w:rPr>
                <m:t>k</m:t>
              </m:r>
              <m:r>
                <w:rPr>
                  <w:rFonts w:ascii="Cambria Math" w:hAnsi="Cambria Math"/>
                </w:rPr>
                <m:t>-</m:t>
              </m:r>
              <m:r>
                <m:rPr>
                  <m:nor/>
                </m:rPr>
                <w:rPr>
                  <w:i/>
                </w:rPr>
                <m:t>1</m:t>
              </m:r>
            </m:sup>
          </m:sSup>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r>
                <m:rPr>
                  <m:nor/>
                </m:rPr>
                <w:rPr>
                  <w:i/>
                </w:rPr>
                <m:t>h</m:t>
              </m:r>
              <m:r>
                <w:rPr>
                  <w:rFonts w:ascii="Cambria Math" w:hAnsi="Cambria Math"/>
                </w:rPr>
                <m:t>∙</m:t>
              </m:r>
              <m:r>
                <m:rPr>
                  <m:nor/>
                </m:rPr>
                <w:rPr>
                  <w:i/>
                </w:rPr>
                <m:t>i</m:t>
              </m:r>
            </m:sup>
          </m:sSup>
          <m:r>
            <w:rPr>
              <w:rFonts w:ascii="Cambria Math" w:hAnsi="Cambria Math"/>
            </w:rPr>
            <m:t>∙</m:t>
          </m:r>
          <m:f>
            <m:fPr>
              <m:ctrlPr>
                <w:rPr>
                  <w:rFonts w:ascii="Cambria Math" w:hAnsi="Cambria Math"/>
                  <w:i/>
                </w:rPr>
              </m:ctrlPr>
            </m:fPr>
            <m:num>
              <m:r>
                <m:rPr>
                  <m:nor/>
                </m:rPr>
                <w:rPr>
                  <w:i/>
                </w:rPr>
                <m:t>Y</m:t>
              </m:r>
            </m:num>
            <m:den>
              <m:sSup>
                <m:sSupPr>
                  <m:ctrlPr>
                    <w:rPr>
                      <w:rFonts w:ascii="Cambria Math" w:hAnsi="Cambria Math"/>
                      <w:i/>
                    </w:rPr>
                  </m:ctrlPr>
                </m:sSupPr>
                <m:e>
                  <m:r>
                    <m:rPr>
                      <m:nor/>
                    </m:rPr>
                    <w:rPr>
                      <w:i/>
                    </w:rPr>
                    <m:t>Y</m:t>
                  </m:r>
                </m:e>
                <m:sup>
                  <m:r>
                    <m:rPr>
                      <m:nor/>
                    </m:rPr>
                    <w:rPr>
                      <w:i/>
                    </w:rPr>
                    <m:t>k</m:t>
                  </m:r>
                </m:sup>
              </m:sSup>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r>
                    <m:rPr>
                      <m:nor/>
                    </m:rPr>
                    <w:rPr>
                      <w:i/>
                    </w:rPr>
                    <m:t>h</m:t>
                  </m:r>
                  <m:r>
                    <w:rPr>
                      <w:rFonts w:ascii="Cambria Math" w:hAnsi="Cambria Math"/>
                    </w:rPr>
                    <m:t>∙</m:t>
                  </m:r>
                  <m:r>
                    <m:rPr>
                      <m:nor/>
                    </m:rPr>
                    <w:rPr>
                      <w:i/>
                    </w:rPr>
                    <m:t>i</m:t>
                  </m:r>
                </m:sup>
              </m:sSup>
            </m:den>
          </m:f>
          <m:r>
            <w:rPr>
              <w:rFonts w:ascii="Cambria Math" w:hAnsi="Cambria Math"/>
            </w:rPr>
            <m:t>=</m:t>
          </m:r>
          <m:r>
            <m:rPr>
              <m:nor/>
            </m:rPr>
            <w:rPr>
              <w:i/>
            </w:rPr>
            <m:t>k</m:t>
          </m:r>
        </m:oMath>
      </m:oMathPara>
    </w:p>
    <w:p w14:paraId="18F779C8" w14:textId="77777777" w:rsidR="00E577CB" w:rsidRPr="000E5983" w:rsidRDefault="00000000" w:rsidP="00E577CB">
      <w:pPr>
        <w:pStyle w:val="Textonotapie"/>
        <w:rPr>
          <w:lang w:val="en-US"/>
        </w:rPr>
      </w:pPr>
      <m:oMathPara>
        <m:oMath>
          <m:sSub>
            <m:sSubPr>
              <m:ctrlPr>
                <w:rPr>
                  <w:rFonts w:ascii="Cambria Math" w:hAnsi="Cambria Math"/>
                  <w:i/>
                  <w:iCs/>
                </w:rPr>
              </m:ctrlPr>
            </m:sSubPr>
            <m:e>
              <m:r>
                <m:rPr>
                  <m:nor/>
                </m:rPr>
                <w:rPr>
                  <w:i/>
                  <w:iCs/>
                </w:rPr>
                <m:t>ε</m:t>
              </m:r>
            </m:e>
            <m:sub>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lang w:val="en-US"/>
                            </w:rPr>
                            <m:t>M</m:t>
                          </m:r>
                        </m:num>
                        <m:den>
                          <m:r>
                            <m:rPr>
                              <m:nor/>
                            </m:rPr>
                            <w:rPr>
                              <w:i/>
                              <w:lang w:val="en-US"/>
                            </w:rPr>
                            <m:t>P</m:t>
                          </m:r>
                        </m:den>
                      </m:f>
                    </m:e>
                  </m:d>
                </m:e>
                <m:sup>
                  <m:r>
                    <m:rPr>
                      <m:nor/>
                    </m:rPr>
                    <w:rPr>
                      <w:i/>
                      <w:lang w:val="en-US"/>
                    </w:rPr>
                    <m:t>D</m:t>
                  </m:r>
                </m:sup>
              </m:sSup>
              <m:r>
                <m:rPr>
                  <m:nor/>
                </m:rPr>
                <w:rPr>
                  <w:i/>
                  <w:iCs/>
                  <w:lang w:val="en-US"/>
                </w:rPr>
                <m:t>,i</m:t>
              </m:r>
            </m:sub>
          </m:sSub>
          <m:r>
            <w:rPr>
              <w:rFonts w:ascii="Cambria Math" w:hAnsi="Cambria Math"/>
              <w:lang w:val="en-US"/>
            </w:rPr>
            <m:t>=</m:t>
          </m:r>
          <m:f>
            <m:fPr>
              <m:ctrlPr>
                <w:rPr>
                  <w:rFonts w:ascii="Cambria Math" w:hAnsi="Cambria Math"/>
                  <w:i/>
                </w:rPr>
              </m:ctrlPr>
            </m:fPr>
            <m:num>
              <m:r>
                <m:rPr>
                  <m:nor/>
                </m:rPr>
                <w:rPr>
                  <w:i/>
                  <w:lang w:val="en-US"/>
                </w:rPr>
                <m:t>∂</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lang w:val="en-US"/>
                            </w:rPr>
                            <m:t>M</m:t>
                          </m:r>
                        </m:num>
                        <m:den>
                          <m:r>
                            <m:rPr>
                              <m:nor/>
                            </m:rPr>
                            <w:rPr>
                              <w:i/>
                              <w:lang w:val="en-US"/>
                            </w:rPr>
                            <m:t>P</m:t>
                          </m:r>
                        </m:den>
                      </m:f>
                    </m:e>
                  </m:d>
                </m:e>
                <m:sup>
                  <m:r>
                    <m:rPr>
                      <m:nor/>
                    </m:rPr>
                    <w:rPr>
                      <w:i/>
                      <w:lang w:val="en-US"/>
                    </w:rPr>
                    <m:t>D</m:t>
                  </m:r>
                </m:sup>
              </m:sSup>
            </m:num>
            <m:den>
              <m:r>
                <m:rPr>
                  <m:nor/>
                </m:rPr>
                <w:rPr>
                  <w:i/>
                  <w:lang w:val="en-US"/>
                </w:rPr>
                <m:t>∂i</m:t>
              </m:r>
            </m:den>
          </m:f>
          <m:r>
            <w:rPr>
              <w:rFonts w:ascii="Cambria Math" w:hAnsi="Cambria Math"/>
              <w:lang w:val="en-US"/>
            </w:rPr>
            <m:t>∙</m:t>
          </m:r>
          <m:f>
            <m:fPr>
              <m:ctrlPr>
                <w:rPr>
                  <w:rFonts w:ascii="Cambria Math" w:hAnsi="Cambria Math"/>
                  <w:i/>
                </w:rPr>
              </m:ctrlPr>
            </m:fPr>
            <m:num>
              <m:r>
                <m:rPr>
                  <m:nor/>
                </m:rPr>
                <w:rPr>
                  <w:i/>
                  <w:lang w:val="en-US"/>
                </w:rPr>
                <m:t>i</m:t>
              </m:r>
            </m:num>
            <m:den>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lang w:val="en-US"/>
                            </w:rPr>
                            <m:t>M</m:t>
                          </m:r>
                        </m:num>
                        <m:den>
                          <m:r>
                            <m:rPr>
                              <m:nor/>
                            </m:rPr>
                            <w:rPr>
                              <w:i/>
                              <w:lang w:val="en-US"/>
                            </w:rPr>
                            <m:t>P</m:t>
                          </m:r>
                        </m:den>
                      </m:f>
                    </m:e>
                  </m:d>
                </m:e>
                <m:sup>
                  <m:r>
                    <m:rPr>
                      <m:nor/>
                    </m:rPr>
                    <w:rPr>
                      <w:i/>
                      <w:lang w:val="en-US"/>
                    </w:rPr>
                    <m:t>D</m:t>
                  </m:r>
                </m:sup>
              </m:sSup>
            </m:den>
          </m:f>
          <m:r>
            <w:rPr>
              <w:rFonts w:ascii="Cambria Math" w:hAnsi="Cambria Math"/>
              <w:lang w:val="en-US"/>
            </w:rPr>
            <m:t>=</m:t>
          </m:r>
          <m:sSup>
            <m:sSupPr>
              <m:ctrlPr>
                <w:rPr>
                  <w:rFonts w:ascii="Cambria Math" w:hAnsi="Cambria Math"/>
                  <w:i/>
                </w:rPr>
              </m:ctrlPr>
            </m:sSupPr>
            <m:e>
              <m:r>
                <m:rPr>
                  <m:nor/>
                </m:rPr>
                <w:rPr>
                  <w:i/>
                  <w:lang w:val="en-US"/>
                </w:rPr>
                <m:t>Y</m:t>
              </m:r>
            </m:e>
            <m:sup>
              <m:r>
                <m:rPr>
                  <m:nor/>
                </m:rPr>
                <w:rPr>
                  <w:i/>
                  <w:lang w:val="en-US"/>
                </w:rPr>
                <m:t>k</m:t>
              </m:r>
            </m:sup>
          </m:sSup>
          <m:r>
            <w:rPr>
              <w:rFonts w:ascii="Cambria Math" w:hAnsi="Cambria Math"/>
              <w:lang w:val="en-US"/>
            </w:rPr>
            <m:t>∙</m:t>
          </m:r>
          <m:sSup>
            <m:sSupPr>
              <m:ctrlPr>
                <w:rPr>
                  <w:rFonts w:ascii="Cambria Math" w:hAnsi="Cambria Math"/>
                  <w:i/>
                </w:rPr>
              </m:ctrlPr>
            </m:sSupPr>
            <m:e>
              <m:r>
                <m:rPr>
                  <m:nor/>
                </m:rPr>
                <w:rPr>
                  <w:i/>
                  <w:lang w:val="en-US"/>
                </w:rPr>
                <m:t>e</m:t>
              </m:r>
            </m:e>
            <m:sup>
              <m:r>
                <w:rPr>
                  <w:rFonts w:ascii="Cambria Math" w:hAnsi="Cambria Math"/>
                  <w:lang w:val="en-US"/>
                </w:rPr>
                <m:t>-</m:t>
              </m:r>
              <m:r>
                <m:rPr>
                  <m:nor/>
                </m:rPr>
                <w:rPr>
                  <w:i/>
                  <w:lang w:val="en-US"/>
                </w:rPr>
                <m:t>h</m:t>
              </m:r>
              <m:r>
                <w:rPr>
                  <w:rFonts w:ascii="Cambria Math" w:hAnsi="Cambria Math"/>
                  <w:lang w:val="en-US"/>
                </w:rPr>
                <m:t>∙</m:t>
              </m:r>
              <m:r>
                <m:rPr>
                  <m:nor/>
                </m:rPr>
                <w:rPr>
                  <w:i/>
                  <w:lang w:val="en-US"/>
                </w:rPr>
                <m:t>i</m:t>
              </m:r>
            </m:sup>
          </m:sSup>
          <m:r>
            <w:rPr>
              <w:rFonts w:ascii="Cambria Math" w:hAnsi="Cambria Math"/>
              <w:lang w:val="en-US"/>
            </w:rPr>
            <m:t>∙</m:t>
          </m:r>
          <m:d>
            <m:dPr>
              <m:ctrlPr>
                <w:rPr>
                  <w:rFonts w:ascii="Cambria Math" w:hAnsi="Cambria Math"/>
                  <w:i/>
                </w:rPr>
              </m:ctrlPr>
            </m:dPr>
            <m:e>
              <m:r>
                <w:rPr>
                  <w:rFonts w:ascii="Cambria Math" w:hAnsi="Cambria Math"/>
                  <w:lang w:val="en-US"/>
                </w:rPr>
                <m:t>-</m:t>
              </m:r>
              <m:r>
                <m:rPr>
                  <m:nor/>
                </m:rPr>
                <w:rPr>
                  <w:i/>
                  <w:lang w:val="en-US"/>
                </w:rPr>
                <m:t>h</m:t>
              </m:r>
            </m:e>
          </m:d>
          <m:r>
            <w:rPr>
              <w:rFonts w:ascii="Cambria Math" w:hAnsi="Cambria Math"/>
              <w:lang w:val="en-US"/>
            </w:rPr>
            <m:t>∙</m:t>
          </m:r>
          <m:f>
            <m:fPr>
              <m:ctrlPr>
                <w:rPr>
                  <w:rFonts w:ascii="Cambria Math" w:hAnsi="Cambria Math"/>
                  <w:i/>
                </w:rPr>
              </m:ctrlPr>
            </m:fPr>
            <m:num>
              <m:r>
                <m:rPr>
                  <m:nor/>
                </m:rPr>
                <w:rPr>
                  <w:i/>
                  <w:lang w:val="en-US"/>
                </w:rPr>
                <m:t>i</m:t>
              </m:r>
            </m:num>
            <m:den>
              <m:sSup>
                <m:sSupPr>
                  <m:ctrlPr>
                    <w:rPr>
                      <w:rFonts w:ascii="Cambria Math" w:hAnsi="Cambria Math"/>
                      <w:i/>
                    </w:rPr>
                  </m:ctrlPr>
                </m:sSupPr>
                <m:e>
                  <m:d>
                    <m:dPr>
                      <m:ctrlPr>
                        <w:rPr>
                          <w:rFonts w:ascii="Cambria Math" w:hAnsi="Cambria Math"/>
                          <w:i/>
                        </w:rPr>
                      </m:ctrlPr>
                    </m:dPr>
                    <m:e>
                      <m:f>
                        <m:fPr>
                          <m:type m:val="lin"/>
                          <m:ctrlPr>
                            <w:rPr>
                              <w:rFonts w:ascii="Cambria Math" w:hAnsi="Cambria Math"/>
                              <w:i/>
                              <w:sz w:val="22"/>
                              <w:szCs w:val="22"/>
                            </w:rPr>
                          </m:ctrlPr>
                        </m:fPr>
                        <m:num>
                          <m:r>
                            <m:rPr>
                              <m:nor/>
                            </m:rPr>
                            <w:rPr>
                              <w:i/>
                              <w:lang w:val="en-US"/>
                            </w:rPr>
                            <m:t>M</m:t>
                          </m:r>
                        </m:num>
                        <m:den>
                          <m:r>
                            <m:rPr>
                              <m:nor/>
                            </m:rPr>
                            <w:rPr>
                              <w:i/>
                              <w:lang w:val="en-US"/>
                            </w:rPr>
                            <m:t>P</m:t>
                          </m:r>
                        </m:den>
                      </m:f>
                    </m:e>
                  </m:d>
                </m:e>
                <m:sup>
                  <m:r>
                    <m:rPr>
                      <m:nor/>
                    </m:rPr>
                    <w:rPr>
                      <w:i/>
                      <w:lang w:val="en-US"/>
                    </w:rPr>
                    <m:t>D</m:t>
                  </m:r>
                </m:sup>
              </m:sSup>
            </m:den>
          </m:f>
          <m:r>
            <w:rPr>
              <w:rFonts w:ascii="Cambria Math" w:hAnsi="Cambria Math"/>
              <w:lang w:val="en-US"/>
            </w:rPr>
            <m:t>=</m:t>
          </m:r>
          <m:sSup>
            <m:sSupPr>
              <m:ctrlPr>
                <w:rPr>
                  <w:rFonts w:ascii="Cambria Math" w:hAnsi="Cambria Math"/>
                  <w:i/>
                </w:rPr>
              </m:ctrlPr>
            </m:sSupPr>
            <m:e>
              <m:r>
                <m:rPr>
                  <m:nor/>
                </m:rPr>
                <w:rPr>
                  <w:i/>
                  <w:lang w:val="en-US"/>
                </w:rPr>
                <m:t>Y</m:t>
              </m:r>
            </m:e>
            <m:sup>
              <m:r>
                <m:rPr>
                  <m:nor/>
                </m:rPr>
                <w:rPr>
                  <w:i/>
                  <w:lang w:val="en-US"/>
                </w:rPr>
                <m:t>k</m:t>
              </m:r>
            </m:sup>
          </m:sSup>
          <m:r>
            <w:rPr>
              <w:rFonts w:ascii="Cambria Math" w:hAnsi="Cambria Math"/>
              <w:lang w:val="en-US"/>
            </w:rPr>
            <m:t>∙</m:t>
          </m:r>
          <m:sSup>
            <m:sSupPr>
              <m:ctrlPr>
                <w:rPr>
                  <w:rFonts w:ascii="Cambria Math" w:hAnsi="Cambria Math"/>
                  <w:i/>
                </w:rPr>
              </m:ctrlPr>
            </m:sSupPr>
            <m:e>
              <m:r>
                <m:rPr>
                  <m:nor/>
                </m:rPr>
                <w:rPr>
                  <w:i/>
                  <w:lang w:val="en-US"/>
                </w:rPr>
                <m:t>e</m:t>
              </m:r>
            </m:e>
            <m:sup>
              <m:r>
                <w:rPr>
                  <w:rFonts w:ascii="Cambria Math" w:hAnsi="Cambria Math"/>
                  <w:lang w:val="en-US"/>
                </w:rPr>
                <m:t>-</m:t>
              </m:r>
              <m:r>
                <m:rPr>
                  <m:nor/>
                </m:rPr>
                <w:rPr>
                  <w:i/>
                  <w:lang w:val="en-US"/>
                </w:rPr>
                <m:t>h</m:t>
              </m:r>
              <m:r>
                <w:rPr>
                  <w:rFonts w:ascii="Cambria Math" w:hAnsi="Cambria Math"/>
                  <w:lang w:val="en-US"/>
                </w:rPr>
                <m:t>∙</m:t>
              </m:r>
              <m:r>
                <m:rPr>
                  <m:nor/>
                </m:rPr>
                <w:rPr>
                  <w:i/>
                  <w:lang w:val="en-US"/>
                </w:rPr>
                <m:t>i</m:t>
              </m:r>
            </m:sup>
          </m:sSup>
          <m:r>
            <w:rPr>
              <w:rFonts w:ascii="Cambria Math" w:hAnsi="Cambria Math"/>
              <w:lang w:val="en-US"/>
            </w:rPr>
            <m:t>∙</m:t>
          </m:r>
          <m:d>
            <m:dPr>
              <m:ctrlPr>
                <w:rPr>
                  <w:rFonts w:ascii="Cambria Math" w:hAnsi="Cambria Math"/>
                  <w:i/>
                </w:rPr>
              </m:ctrlPr>
            </m:dPr>
            <m:e>
              <m:r>
                <w:rPr>
                  <w:rFonts w:ascii="Cambria Math" w:hAnsi="Cambria Math"/>
                  <w:lang w:val="en-US"/>
                </w:rPr>
                <m:t>-</m:t>
              </m:r>
              <m:r>
                <m:rPr>
                  <m:nor/>
                </m:rPr>
                <w:rPr>
                  <w:i/>
                  <w:lang w:val="en-US"/>
                </w:rPr>
                <m:t>h</m:t>
              </m:r>
            </m:e>
          </m:d>
          <m:r>
            <w:rPr>
              <w:rFonts w:ascii="Cambria Math" w:hAnsi="Cambria Math"/>
              <w:lang w:val="en-US"/>
            </w:rPr>
            <m:t>∙</m:t>
          </m:r>
          <m:f>
            <m:fPr>
              <m:ctrlPr>
                <w:rPr>
                  <w:rFonts w:ascii="Cambria Math" w:hAnsi="Cambria Math"/>
                  <w:i/>
                </w:rPr>
              </m:ctrlPr>
            </m:fPr>
            <m:num>
              <m:r>
                <m:rPr>
                  <m:nor/>
                </m:rPr>
                <w:rPr>
                  <w:i/>
                  <w:lang w:val="en-US"/>
                </w:rPr>
                <m:t>i</m:t>
              </m:r>
            </m:num>
            <m:den>
              <m:sSup>
                <m:sSupPr>
                  <m:ctrlPr>
                    <w:rPr>
                      <w:rFonts w:ascii="Cambria Math" w:hAnsi="Cambria Math"/>
                      <w:i/>
                    </w:rPr>
                  </m:ctrlPr>
                </m:sSupPr>
                <m:e>
                  <m:r>
                    <m:rPr>
                      <m:nor/>
                    </m:rPr>
                    <w:rPr>
                      <w:i/>
                      <w:lang w:val="en-US"/>
                    </w:rPr>
                    <m:t>Y</m:t>
                  </m:r>
                </m:e>
                <m:sup>
                  <m:r>
                    <m:rPr>
                      <m:nor/>
                    </m:rPr>
                    <w:rPr>
                      <w:i/>
                      <w:lang w:val="en-US"/>
                    </w:rPr>
                    <m:t>k</m:t>
                  </m:r>
                </m:sup>
              </m:sSup>
              <m:r>
                <w:rPr>
                  <w:rFonts w:ascii="Cambria Math" w:hAnsi="Cambria Math"/>
                  <w:lang w:val="en-US"/>
                </w:rPr>
                <m:t>∙</m:t>
              </m:r>
              <m:sSup>
                <m:sSupPr>
                  <m:ctrlPr>
                    <w:rPr>
                      <w:rFonts w:ascii="Cambria Math" w:hAnsi="Cambria Math"/>
                      <w:i/>
                    </w:rPr>
                  </m:ctrlPr>
                </m:sSupPr>
                <m:e>
                  <m:r>
                    <m:rPr>
                      <m:nor/>
                    </m:rPr>
                    <w:rPr>
                      <w:i/>
                      <w:lang w:val="en-US"/>
                    </w:rPr>
                    <m:t>e</m:t>
                  </m:r>
                </m:e>
                <m:sup>
                  <m:r>
                    <w:rPr>
                      <w:rFonts w:ascii="Cambria Math" w:hAnsi="Cambria Math"/>
                      <w:lang w:val="en-US"/>
                    </w:rPr>
                    <m:t>-</m:t>
                  </m:r>
                  <m:r>
                    <m:rPr>
                      <m:nor/>
                    </m:rPr>
                    <w:rPr>
                      <w:i/>
                      <w:lang w:val="en-US"/>
                    </w:rPr>
                    <m:t>h</m:t>
                  </m:r>
                  <m:r>
                    <w:rPr>
                      <w:rFonts w:ascii="Cambria Math" w:hAnsi="Cambria Math"/>
                      <w:lang w:val="en-US"/>
                    </w:rPr>
                    <m:t>∙</m:t>
                  </m:r>
                  <m:r>
                    <m:rPr>
                      <m:nor/>
                    </m:rPr>
                    <w:rPr>
                      <w:i/>
                      <w:lang w:val="en-US"/>
                    </w:rPr>
                    <m:t>i</m:t>
                  </m:r>
                </m:sup>
              </m:sSup>
            </m:den>
          </m:f>
          <m:r>
            <w:rPr>
              <w:rFonts w:ascii="Cambria Math" w:hAnsi="Cambria Math"/>
              <w:lang w:val="en-US"/>
            </w:rPr>
            <m:t>=-</m:t>
          </m:r>
          <m:r>
            <m:rPr>
              <m:nor/>
            </m:rPr>
            <w:rPr>
              <w:i/>
              <w:lang w:val="en-US"/>
            </w:rPr>
            <m:t>h</m:t>
          </m:r>
          <m:r>
            <w:rPr>
              <w:rFonts w:ascii="Cambria Math" w:hAnsi="Cambria Math"/>
              <w:lang w:val="en-US"/>
            </w:rPr>
            <m:t>∙</m:t>
          </m:r>
          <m:r>
            <m:rPr>
              <m:nor/>
            </m:rPr>
            <w:rPr>
              <w:i/>
              <w:lang w:val="en-US"/>
            </w:rPr>
            <m:t>i</m:t>
          </m:r>
        </m:oMath>
      </m:oMathPara>
    </w:p>
  </w:footnote>
  <w:footnote w:id="24">
    <w:p w14:paraId="69B40969" w14:textId="671764BC" w:rsidR="00B56F2D" w:rsidRDefault="00B56F2D">
      <w:pPr>
        <w:pStyle w:val="Textonotapie"/>
      </w:pPr>
      <w:r>
        <w:rPr>
          <w:rStyle w:val="Refdenotaalpie"/>
        </w:rPr>
        <w:footnoteRef/>
      </w:r>
      <w:r>
        <w:t xml:space="preserve"> El precio se determina conforme a la oferta y la demanda de dinero, y el precio determina a su vez el tipo de cambio nominal a través de la PPA, por lo que la oferta y la demanda de dinero serán las que determinen el tipo de cambio nominal.</w:t>
      </w:r>
    </w:p>
  </w:footnote>
  <w:footnote w:id="25">
    <w:p w14:paraId="5EA4B885" w14:textId="0DFD8D70" w:rsidR="004552F6" w:rsidRDefault="004552F6">
      <w:pPr>
        <w:pStyle w:val="Textonotapie"/>
      </w:pPr>
      <w:r>
        <w:rPr>
          <w:rStyle w:val="Refdenotaalpie"/>
        </w:rPr>
        <w:footnoteRef/>
      </w:r>
      <w:r>
        <w:t xml:space="preserve"> Se cumple la PPA en su versión absoluta, lo </w:t>
      </w:r>
      <w:r w:rsidR="00B56F2D">
        <w:t>cual</w:t>
      </w:r>
      <w:r>
        <w:t xml:space="preserve"> implica que también se cumple en su versión relativa</w:t>
      </w:r>
      <w:r w:rsidR="00647A00">
        <w:t xml:space="preserve"> </w:t>
      </w:r>
      <w:r w:rsidR="00647A00" w:rsidRPr="00647A00">
        <w:rPr>
          <w:color w:val="767171" w:themeColor="background2" w:themeShade="80"/>
          <w:sz w:val="14"/>
          <w:szCs w:val="14"/>
        </w:rPr>
        <w:t xml:space="preserve">[ver nota al pie </w:t>
      </w:r>
      <w:r w:rsidR="00647A00" w:rsidRPr="00647A00">
        <w:rPr>
          <w:color w:val="767171" w:themeColor="background2" w:themeShade="80"/>
          <w:sz w:val="14"/>
          <w:szCs w:val="14"/>
        </w:rPr>
        <w:fldChar w:fldCharType="begin"/>
      </w:r>
      <w:r w:rsidR="00647A00" w:rsidRPr="00647A00">
        <w:rPr>
          <w:color w:val="767171" w:themeColor="background2" w:themeShade="80"/>
          <w:sz w:val="14"/>
          <w:szCs w:val="14"/>
        </w:rPr>
        <w:instrText xml:space="preserve"> NOTEREF _Ref122333739 \h </w:instrText>
      </w:r>
      <w:r w:rsidR="00647A00">
        <w:rPr>
          <w:color w:val="767171" w:themeColor="background2" w:themeShade="80"/>
          <w:sz w:val="14"/>
          <w:szCs w:val="14"/>
        </w:rPr>
        <w:instrText xml:space="preserve"> \* MERGEFORMAT </w:instrText>
      </w:r>
      <w:r w:rsidR="00647A00" w:rsidRPr="00647A00">
        <w:rPr>
          <w:color w:val="767171" w:themeColor="background2" w:themeShade="80"/>
          <w:sz w:val="14"/>
          <w:szCs w:val="14"/>
        </w:rPr>
      </w:r>
      <w:r w:rsidR="00647A00" w:rsidRPr="00647A00">
        <w:rPr>
          <w:color w:val="767171" w:themeColor="background2" w:themeShade="80"/>
          <w:sz w:val="14"/>
          <w:szCs w:val="14"/>
        </w:rPr>
        <w:fldChar w:fldCharType="separate"/>
      </w:r>
      <w:r w:rsidR="00A448D4">
        <w:rPr>
          <w:color w:val="767171" w:themeColor="background2" w:themeShade="80"/>
          <w:sz w:val="14"/>
          <w:szCs w:val="14"/>
        </w:rPr>
        <w:t>7</w:t>
      </w:r>
      <w:r w:rsidR="00647A00" w:rsidRPr="00647A00">
        <w:rPr>
          <w:color w:val="767171" w:themeColor="background2" w:themeShade="80"/>
          <w:sz w:val="14"/>
          <w:szCs w:val="14"/>
        </w:rPr>
        <w:fldChar w:fldCharType="end"/>
      </w:r>
      <w:r w:rsidR="00647A00" w:rsidRPr="00647A00">
        <w:rPr>
          <w:color w:val="767171" w:themeColor="background2" w:themeShade="80"/>
          <w:sz w:val="14"/>
          <w:szCs w:val="14"/>
        </w:rPr>
        <w:t>]</w:t>
      </w:r>
      <w:r>
        <w:t>.</w:t>
      </w:r>
    </w:p>
  </w:footnote>
  <w:footnote w:id="26">
    <w:p w14:paraId="481FB503" w14:textId="0306D470" w:rsidR="000C0800" w:rsidRDefault="000C0800" w:rsidP="00DB1FC2">
      <w:pPr>
        <w:pStyle w:val="Textonotapie"/>
        <w:keepNext/>
        <w:spacing w:after="0"/>
        <w:rPr>
          <w:rFonts w:eastAsiaTheme="minorEastAsia"/>
        </w:rPr>
      </w:pPr>
      <w:r>
        <w:rPr>
          <w:rStyle w:val="Refdenotaalpie"/>
        </w:rPr>
        <w:footnoteRef/>
      </w:r>
      <w:r>
        <w:t xml:space="preserve"> Nótese que la igualdad </w:t>
      </w:r>
      <m:oMath>
        <m:r>
          <m:rPr>
            <m:nor/>
          </m:rPr>
          <w:rPr>
            <w:i/>
            <w:iCs/>
          </w:rPr>
          <m:t>π</m:t>
        </m:r>
        <m:r>
          <w:rPr>
            <w:rFonts w:ascii="Cambria Math" w:hAnsi="Cambria Math"/>
          </w:rPr>
          <m:t>-</m:t>
        </m:r>
        <m:r>
          <m:rPr>
            <m:nor/>
          </m:rPr>
          <w:rPr>
            <w:i/>
            <w:iCs/>
          </w:rPr>
          <m:t>π</m:t>
        </m:r>
        <m:r>
          <m:rPr>
            <m:nor/>
          </m:rPr>
          <w:rPr>
            <w:i/>
          </w:rPr>
          <m:t>*</m:t>
        </m:r>
        <m:r>
          <w:rPr>
            <w:rFonts w:ascii="Cambria Math" w:hAnsi="Cambria Math"/>
          </w:rPr>
          <m:t>=</m:t>
        </m:r>
        <m:r>
          <m:rPr>
            <m:nor/>
          </m:rPr>
          <w:rPr>
            <w:i/>
          </w:rPr>
          <m:t>i</m:t>
        </m:r>
        <m:r>
          <w:rPr>
            <w:rFonts w:ascii="Cambria Math" w:hAnsi="Cambria Math"/>
          </w:rPr>
          <m:t>-</m:t>
        </m:r>
        <m:r>
          <m:rPr>
            <m:nor/>
          </m:rPr>
          <w:rPr>
            <w:i/>
          </w:rPr>
          <m:t>i</m:t>
        </m:r>
        <m:r>
          <m:rPr>
            <m:nor/>
          </m:rPr>
          <w:rPr>
            <w:iCs/>
          </w:rPr>
          <m:t>*</m:t>
        </m:r>
      </m:oMath>
      <w:r w:rsidRPr="000C0800">
        <w:rPr>
          <w:rFonts w:eastAsiaTheme="minorEastAsia"/>
        </w:rPr>
        <w:t xml:space="preserve"> </w:t>
      </w:r>
      <w:r>
        <w:rPr>
          <w:rFonts w:eastAsiaTheme="minorEastAsia"/>
        </w:rPr>
        <w:t>implica, por la ecuación de Fisher, que el tipo de cambio real es igual entre países (para evi</w:t>
      </w:r>
      <w:r w:rsidR="00FA2D21">
        <w:rPr>
          <w:rFonts w:eastAsiaTheme="minorEastAsia"/>
        </w:rPr>
        <w:t>t</w:t>
      </w:r>
      <w:r>
        <w:rPr>
          <w:rFonts w:eastAsiaTheme="minorEastAsia"/>
        </w:rPr>
        <w:t>ar la posibilidad de arbitraje):</w:t>
      </w:r>
    </w:p>
    <w:p w14:paraId="022CDEBF" w14:textId="1E42A6DB" w:rsidR="000C0800" w:rsidRPr="00CF47DE" w:rsidRDefault="00000000">
      <w:pPr>
        <w:pStyle w:val="Textonotapie"/>
      </w:pPr>
      <m:oMathPara>
        <m:oMath>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m:rPr>
                        <m:nor/>
                      </m:rPr>
                      <w:rPr>
                        <w:i/>
                        <w:iCs/>
                      </w:rPr>
                      <m:t>π</m:t>
                    </m:r>
                    <m:r>
                      <w:rPr>
                        <w:rFonts w:ascii="Cambria Math" w:hAnsi="Cambria Math"/>
                      </w:rPr>
                      <m:t>-</m:t>
                    </m:r>
                    <m:r>
                      <m:rPr>
                        <m:nor/>
                      </m:rPr>
                      <w:rPr>
                        <w:i/>
                        <w:iCs/>
                      </w:rPr>
                      <m:t>π</m:t>
                    </m:r>
                    <m:r>
                      <m:rPr>
                        <m:nor/>
                      </m:rPr>
                      <w:rPr>
                        <w:i/>
                      </w:rPr>
                      <m:t>*</m:t>
                    </m:r>
                    <m:r>
                      <w:rPr>
                        <w:rFonts w:ascii="Cambria Math" w:hAnsi="Cambria Math"/>
                      </w:rPr>
                      <m:t>=</m:t>
                    </m:r>
                    <m:r>
                      <m:rPr>
                        <m:nor/>
                      </m:rPr>
                      <w:rPr>
                        <w:i/>
                      </w:rPr>
                      <m:t>i</m:t>
                    </m:r>
                    <m:r>
                      <w:rPr>
                        <w:rFonts w:ascii="Cambria Math" w:hAnsi="Cambria Math"/>
                      </w:rPr>
                      <m:t>-</m:t>
                    </m:r>
                    <m:r>
                      <m:rPr>
                        <m:nor/>
                      </m:rPr>
                      <w:rPr>
                        <w:i/>
                      </w:rPr>
                      <m:t>i</m:t>
                    </m:r>
                    <m:r>
                      <m:rPr>
                        <m:nor/>
                      </m:rPr>
                      <w:rPr>
                        <w:iCs/>
                      </w:rPr>
                      <m:t>*</m:t>
                    </m:r>
                  </m:e>
                </m:mr>
                <m:mr>
                  <m:e>
                    <m:r>
                      <m:rPr>
                        <m:nor/>
                      </m:rPr>
                      <w:rPr>
                        <w:i/>
                      </w:rPr>
                      <m:t>1</m:t>
                    </m:r>
                    <m:r>
                      <w:rPr>
                        <w:rFonts w:ascii="Cambria Math" w:hAnsi="Cambria Math"/>
                      </w:rPr>
                      <m:t>+</m:t>
                    </m:r>
                    <m:r>
                      <m:rPr>
                        <m:nor/>
                      </m:rPr>
                      <w:rPr>
                        <w:i/>
                      </w:rPr>
                      <m:t>i</m:t>
                    </m:r>
                    <m:r>
                      <w:rPr>
                        <w:rFonts w:ascii="Cambria Math" w:hAnsi="Cambria Math"/>
                      </w:rPr>
                      <m:t>=</m:t>
                    </m:r>
                    <m:d>
                      <m:dPr>
                        <m:ctrlPr>
                          <w:rPr>
                            <w:rFonts w:ascii="Cambria Math" w:hAnsi="Cambria Math"/>
                            <w:i/>
                            <w:lang w:val="en-US"/>
                          </w:rPr>
                        </m:ctrlPr>
                      </m:dPr>
                      <m:e>
                        <m:r>
                          <m:rPr>
                            <m:nor/>
                          </m:rPr>
                          <w:rPr>
                            <w:i/>
                          </w:rPr>
                          <m:t>1</m:t>
                        </m:r>
                        <m:r>
                          <w:rPr>
                            <w:rFonts w:ascii="Cambria Math" w:hAnsi="Cambria Math"/>
                          </w:rPr>
                          <m:t>+</m:t>
                        </m:r>
                        <m:r>
                          <m:rPr>
                            <m:nor/>
                          </m:rPr>
                          <w:rPr>
                            <w:i/>
                          </w:rPr>
                          <m:t>r</m:t>
                        </m:r>
                      </m:e>
                    </m:d>
                    <m:r>
                      <w:rPr>
                        <w:rFonts w:ascii="Cambria Math" w:hAnsi="Cambria Math"/>
                      </w:rPr>
                      <m:t>∙</m:t>
                    </m:r>
                    <m:d>
                      <m:dPr>
                        <m:ctrlPr>
                          <w:rPr>
                            <w:rFonts w:ascii="Cambria Math" w:hAnsi="Cambria Math"/>
                            <w:i/>
                            <w:lang w:val="en-US"/>
                          </w:rPr>
                        </m:ctrlPr>
                      </m:dPr>
                      <m:e>
                        <m:r>
                          <m:rPr>
                            <m:nor/>
                          </m:rPr>
                          <w:rPr>
                            <w:i/>
                          </w:rPr>
                          <m:t>1</m:t>
                        </m:r>
                        <m:r>
                          <w:rPr>
                            <w:rFonts w:ascii="Cambria Math" w:hAnsi="Cambria Math"/>
                          </w:rPr>
                          <m:t>+</m:t>
                        </m:r>
                        <m:r>
                          <m:rPr>
                            <m:nor/>
                          </m:rPr>
                          <w:rPr>
                            <w:i/>
                            <w:iCs/>
                          </w:rPr>
                          <m:t>π</m:t>
                        </m:r>
                      </m:e>
                    </m:d>
                  </m:e>
                </m:mr>
              </m:m>
            </m:e>
          </m:d>
          <m:r>
            <w:rPr>
              <w:rFonts w:ascii="Cambria Math" w:hAnsi="Cambria Math"/>
              <w:lang w:val="en-US"/>
            </w:rPr>
            <m:t>⟹</m:t>
          </m:r>
          <m:r>
            <m:rPr>
              <m:nor/>
            </m:rPr>
            <w:rPr>
              <w:i/>
              <w:iCs/>
            </w:rPr>
            <m:t>r</m:t>
          </m:r>
          <m:r>
            <w:rPr>
              <w:rFonts w:ascii="Cambria Math" w:hAnsi="Cambria Math"/>
            </w:rPr>
            <m:t>=</m:t>
          </m:r>
          <m:r>
            <m:rPr>
              <m:nor/>
            </m:rPr>
            <w:rPr>
              <w:i/>
              <w:iCs/>
            </w:rPr>
            <m:t>r</m:t>
          </m:r>
          <m:r>
            <m:rPr>
              <m:nor/>
            </m:rPr>
            <w:rPr>
              <w:i/>
            </w:rPr>
            <m:t>*</m:t>
          </m:r>
        </m:oMath>
      </m:oMathPara>
    </w:p>
  </w:footnote>
  <w:footnote w:id="27">
    <w:p w14:paraId="26505C11" w14:textId="370FEA67" w:rsidR="00FA2D21" w:rsidRDefault="00FA2D21" w:rsidP="00685950">
      <w:pPr>
        <w:pStyle w:val="Textonotapie"/>
        <w:keepNext/>
        <w:spacing w:after="0"/>
        <w:rPr>
          <w:rFonts w:eastAsiaTheme="minorEastAsia"/>
          <w:iCs/>
        </w:rPr>
      </w:pPr>
      <w:r>
        <w:rPr>
          <w:rStyle w:val="Refdenotaalpie"/>
        </w:rPr>
        <w:footnoteRef/>
      </w:r>
      <w:r>
        <w:t xml:space="preserve"> </w:t>
      </w:r>
      <w:r w:rsidR="00685950">
        <w:t xml:space="preserve">La ecuación </w:t>
      </w:r>
      <m:oMath>
        <m:sSup>
          <m:sSupPr>
            <m:ctrlPr>
              <w:rPr>
                <w:rFonts w:ascii="Cambria Math" w:hAnsi="Cambria Math"/>
                <w:i/>
                <w:iCs/>
              </w:rPr>
            </m:ctrlPr>
          </m:sSupPr>
          <m:e>
            <m:r>
              <m:rPr>
                <m:nor/>
              </m:rPr>
              <w:rPr>
                <w:i/>
                <w:iCs/>
              </w:rPr>
              <m:t>π</m:t>
            </m:r>
          </m:e>
          <m:sup>
            <m:r>
              <m:rPr>
                <m:nor/>
              </m:rPr>
              <w:rPr>
                <w:i/>
                <w:iCs/>
              </w:rPr>
              <m:t>e</m:t>
            </m:r>
          </m:sup>
        </m:sSup>
        <m:r>
          <w:rPr>
            <w:rFonts w:ascii="Cambria Math" w:hAnsi="Cambria Math"/>
          </w:rPr>
          <m:t>-</m:t>
        </m:r>
        <m:sSup>
          <m:sSupPr>
            <m:ctrlPr>
              <w:rPr>
                <w:rFonts w:ascii="Cambria Math" w:hAnsi="Cambria Math"/>
                <w:i/>
                <w:iCs/>
              </w:rPr>
            </m:ctrlPr>
          </m:sSupPr>
          <m:e>
            <m:r>
              <m:rPr>
                <m:nor/>
              </m:rPr>
              <w:rPr>
                <w:i/>
                <w:iCs/>
              </w:rPr>
              <m:t>π</m:t>
            </m:r>
            <m:r>
              <m:rPr>
                <m:nor/>
              </m:rPr>
              <w:rPr>
                <w:i/>
              </w:rPr>
              <m:t>*</m:t>
            </m:r>
          </m:e>
          <m:sup>
            <m:r>
              <m:rPr>
                <m:nor/>
              </m:rPr>
              <w:rPr>
                <w:i/>
                <w:iCs/>
              </w:rPr>
              <m:t>e</m:t>
            </m:r>
          </m:sup>
        </m:sSup>
        <m:r>
          <w:rPr>
            <w:rFonts w:ascii="Cambria Math" w:hAnsi="Cambria Math"/>
          </w:rPr>
          <m:t>=</m:t>
        </m:r>
        <m:r>
          <m:rPr>
            <m:nor/>
          </m:rPr>
          <w:rPr>
            <w:i/>
          </w:rPr>
          <m:t>i</m:t>
        </m:r>
        <m:r>
          <w:rPr>
            <w:rFonts w:ascii="Cambria Math" w:hAnsi="Cambria Math"/>
          </w:rPr>
          <m:t>-</m:t>
        </m:r>
        <m:r>
          <m:rPr>
            <m:nor/>
          </m:rPr>
          <w:rPr>
            <w:i/>
          </w:rPr>
          <m:t>i</m:t>
        </m:r>
        <m:r>
          <m:rPr>
            <m:nor/>
          </m:rPr>
          <w:rPr>
            <w:iCs/>
          </w:rPr>
          <m:t>*</m:t>
        </m:r>
      </m:oMath>
      <w:r w:rsidR="00685950">
        <w:rPr>
          <w:rFonts w:eastAsiaTheme="minorEastAsia"/>
          <w:iCs/>
        </w:rPr>
        <w:t xml:space="preserve"> expresa la relación a largo plazo entre las tasas de inflación y los tipos de interés que necesitamos para explicar las predicciones del enfoque monetario acerca de cómo influyen los tipos de interés en los tipos de cambio. La ecuación nos dice que </w:t>
      </w:r>
      <w:r w:rsidR="00685950">
        <w:rPr>
          <w:rFonts w:eastAsiaTheme="minorEastAsia"/>
          <w:i/>
        </w:rPr>
        <w:t>si todo lo demás permanece constante, un aumento de la tasa de inflación esperada en un país origina a la larga un incremento igual de los tipos de interés que ofrecen los depósitos denominados en su moneda. Análogamente, una disminución de la tasa de inflación esperada terminará por dar lugar a una reducción de los tipos de interés.</w:t>
      </w:r>
      <w:r w:rsidR="00685950">
        <w:rPr>
          <w:rFonts w:eastAsiaTheme="minorEastAsia"/>
          <w:iCs/>
        </w:rPr>
        <w:t xml:space="preserve"> Esta relación a largo plazo entre la tasa de inflación y los tipos de interés se conoce como </w:t>
      </w:r>
      <w:r w:rsidR="00685950">
        <w:rPr>
          <w:rFonts w:eastAsiaTheme="minorEastAsia"/>
          <w:b/>
          <w:bCs/>
          <w:iCs/>
        </w:rPr>
        <w:t>efecto Fisher</w:t>
      </w:r>
      <w:r w:rsidR="00685950">
        <w:rPr>
          <w:rFonts w:eastAsiaTheme="minorEastAsia"/>
          <w:iCs/>
        </w:rPr>
        <w:t xml:space="preserve">. Este efecto implica, por ejemplo, que si la tasa de inflación de Estados Unidos pasa de un nivel constante del 5 % anual a un nivel constante del 10 % anual, los tipos de interés del dólar se terminarán por acomodar al nuevo nivel de la tasa de inflación, con un incremento en 5 puntos porcentuales anuales a partir de su nivel inicial. Tal y como se muestra en la nota al pie de página </w:t>
      </w:r>
      <w:r w:rsidR="00685950">
        <w:rPr>
          <w:rFonts w:eastAsiaTheme="minorEastAsia"/>
          <w:iCs/>
        </w:rPr>
        <w:fldChar w:fldCharType="begin"/>
      </w:r>
      <w:r w:rsidR="00685950">
        <w:rPr>
          <w:rFonts w:eastAsiaTheme="minorEastAsia"/>
          <w:iCs/>
        </w:rPr>
        <w:instrText xml:space="preserve"> NOTEREF _Ref130812458 \h </w:instrText>
      </w:r>
      <w:r w:rsidR="00685950">
        <w:rPr>
          <w:rFonts w:eastAsiaTheme="minorEastAsia"/>
          <w:iCs/>
        </w:rPr>
      </w:r>
      <w:r w:rsidR="00685950">
        <w:rPr>
          <w:rFonts w:eastAsiaTheme="minorEastAsia"/>
          <w:iCs/>
        </w:rPr>
        <w:fldChar w:fldCharType="separate"/>
      </w:r>
      <w:r w:rsidR="00A448D4">
        <w:rPr>
          <w:rFonts w:eastAsiaTheme="minorEastAsia"/>
          <w:iCs/>
        </w:rPr>
        <w:t>25</w:t>
      </w:r>
      <w:r w:rsidR="00685950">
        <w:rPr>
          <w:rFonts w:eastAsiaTheme="minorEastAsia"/>
          <w:iCs/>
        </w:rPr>
        <w:fldChar w:fldCharType="end"/>
      </w:r>
      <w:r w:rsidR="00685950">
        <w:rPr>
          <w:rFonts w:eastAsiaTheme="minorEastAsia"/>
          <w:iCs/>
        </w:rPr>
        <w:t>, estas variaciones dejarían inalterada la tasa de rentabilidad real de los depósitos en dólares, expresada en términos de bienes y servicios de los Estados Unidos.</w:t>
      </w:r>
    </w:p>
    <w:p w14:paraId="6112D592" w14:textId="49FDD50F" w:rsidR="00325A33" w:rsidRDefault="00325A33" w:rsidP="00325A33">
      <w:pPr>
        <w:pStyle w:val="Textonotapie"/>
        <w:keepNext/>
        <w:spacing w:after="0"/>
        <w:jc w:val="right"/>
        <w:rPr>
          <w:iCs/>
          <w:sz w:val="14"/>
          <w:szCs w:val="14"/>
        </w:rPr>
      </w:pPr>
      <w:r w:rsidRPr="00325A33">
        <w:rPr>
          <w:i/>
          <w:iCs/>
          <w:sz w:val="14"/>
          <w:szCs w:val="14"/>
        </w:rPr>
        <w:t>Fuente</w:t>
      </w:r>
      <w:r w:rsidRPr="00325A33">
        <w:rPr>
          <w:iCs/>
          <w:sz w:val="14"/>
          <w:szCs w:val="14"/>
        </w:rPr>
        <w:t xml:space="preserve">: Krugman, P. R., Obstfeld, M. &amp; </w:t>
      </w:r>
      <w:proofErr w:type="spellStart"/>
      <w:r w:rsidRPr="00325A33">
        <w:rPr>
          <w:iCs/>
          <w:sz w:val="14"/>
          <w:szCs w:val="14"/>
        </w:rPr>
        <w:t>Melitz</w:t>
      </w:r>
      <w:proofErr w:type="spellEnd"/>
      <w:r w:rsidRPr="00325A33">
        <w:rPr>
          <w:iCs/>
          <w:sz w:val="14"/>
          <w:szCs w:val="14"/>
        </w:rPr>
        <w:t xml:space="preserve">, M. J. (2016). </w:t>
      </w:r>
      <w:r w:rsidRPr="00325A33">
        <w:rPr>
          <w:sz w:val="14"/>
          <w:szCs w:val="14"/>
        </w:rPr>
        <w:t>Economía internaciona</w:t>
      </w:r>
      <w:r>
        <w:rPr>
          <w:sz w:val="14"/>
          <w:szCs w:val="14"/>
        </w:rPr>
        <w:t>l</w:t>
      </w:r>
      <w:r w:rsidRPr="00325A33">
        <w:rPr>
          <w:sz w:val="14"/>
          <w:szCs w:val="14"/>
        </w:rPr>
        <w:t>: Teoría y política</w:t>
      </w:r>
      <w:r w:rsidRPr="00325A33">
        <w:rPr>
          <w:iCs/>
          <w:sz w:val="14"/>
          <w:szCs w:val="14"/>
        </w:rPr>
        <w:t xml:space="preserve"> (</w:t>
      </w:r>
      <w:r>
        <w:rPr>
          <w:iCs/>
          <w:sz w:val="14"/>
          <w:szCs w:val="14"/>
        </w:rPr>
        <w:t>10ª edición</w:t>
      </w:r>
      <w:r w:rsidRPr="00325A33">
        <w:rPr>
          <w:iCs/>
          <w:sz w:val="14"/>
          <w:szCs w:val="14"/>
        </w:rPr>
        <w:t>). Pearson.</w:t>
      </w:r>
      <w:r>
        <w:rPr>
          <w:iCs/>
          <w:sz w:val="14"/>
          <w:szCs w:val="14"/>
        </w:rPr>
        <w:t xml:space="preserve"> (pág. 420)</w:t>
      </w:r>
    </w:p>
    <w:p w14:paraId="3F68D5D8" w14:textId="566A963E" w:rsidR="00325A33" w:rsidRPr="00BC027A" w:rsidRDefault="00325A33" w:rsidP="00325A33">
      <w:pPr>
        <w:pStyle w:val="Textonotapie"/>
        <w:keepNext/>
        <w:spacing w:after="0"/>
        <w:jc w:val="right"/>
        <w:rPr>
          <w:iCs/>
          <w:spacing w:val="-2"/>
          <w:sz w:val="14"/>
          <w:szCs w:val="14"/>
        </w:rPr>
      </w:pPr>
      <w:r w:rsidRPr="00BC027A">
        <w:rPr>
          <w:i/>
          <w:spacing w:val="-2"/>
          <w:sz w:val="14"/>
          <w:szCs w:val="14"/>
        </w:rPr>
        <w:t>Nota</w:t>
      </w:r>
      <w:r w:rsidRPr="00BC027A">
        <w:rPr>
          <w:iCs/>
          <w:spacing w:val="-2"/>
          <w:sz w:val="14"/>
          <w:szCs w:val="14"/>
        </w:rPr>
        <w:t xml:space="preserve">: </w:t>
      </w:r>
      <w:r w:rsidR="00BC027A" w:rsidRPr="00BC027A">
        <w:rPr>
          <w:iCs/>
          <w:spacing w:val="-2"/>
          <w:sz w:val="14"/>
          <w:szCs w:val="14"/>
        </w:rPr>
        <w:t>En este libro trabajan con una versión “esperada” de la PPA relativa, de modo que , si se cumple la PPA relativa, los agentes del mercado también esperarán que ésta se cumpla, por lo que se pueden sustituir las tasas de depreciación e inflación reales por los valores que se espera que determine el mercado.</w:t>
      </w:r>
    </w:p>
  </w:footnote>
  <w:footnote w:id="28">
    <w:p w14:paraId="1605D4E5" w14:textId="1D7A28E4" w:rsidR="00B56F2D" w:rsidRDefault="00B56F2D">
      <w:pPr>
        <w:pStyle w:val="Textonotapie"/>
      </w:pPr>
      <w:r>
        <w:rPr>
          <w:rStyle w:val="Refdenotaalpie"/>
        </w:rPr>
        <w:footnoteRef/>
      </w:r>
      <w:r>
        <w:t xml:space="preserve"> El lado izquierdo de la ecuación mide el exceso de oferta monetaria relativo. Un mayor exceso de oferta monetaria relativo </w:t>
      </w:r>
      <w:r>
        <w:rPr>
          <w:rFonts w:eastAsiaTheme="minorEastAsia"/>
        </w:rPr>
        <w:t>generará una depreciación del tipo de cambio, por lo que cualquier aumento la oferta monetaria relativa generará una depreciación y cualquier aumento de la demanda de dinero relativa generará una apreciación.</w:t>
      </w:r>
    </w:p>
  </w:footnote>
  <w:footnote w:id="29">
    <w:p w14:paraId="2AF6C60E" w14:textId="0279AD39" w:rsidR="00BC590F" w:rsidRDefault="00BC590F">
      <w:pPr>
        <w:pStyle w:val="Textonotapie"/>
      </w:pPr>
      <w:r>
        <w:rPr>
          <w:rStyle w:val="Refdenotaalpie"/>
        </w:rPr>
        <w:footnoteRef/>
      </w:r>
      <w:r>
        <w:t xml:space="preserve"> Esta predicción es contraria a la evidencia salvo durante episodios de inflación excepcionalmente alta.</w:t>
      </w:r>
    </w:p>
  </w:footnote>
  <w:footnote w:id="30">
    <w:p w14:paraId="54002BD0" w14:textId="1FBA4D70" w:rsidR="00A87AF5" w:rsidRDefault="00A87AF5" w:rsidP="005F6DC3">
      <w:pPr>
        <w:pStyle w:val="Textonotapie"/>
        <w:keepNext/>
        <w:spacing w:after="0"/>
        <w:rPr>
          <w:rFonts w:eastAsiaTheme="minorEastAsia"/>
        </w:rPr>
      </w:pPr>
      <w:r>
        <w:rPr>
          <w:rStyle w:val="Refdenotaalpie"/>
        </w:rPr>
        <w:footnoteRef/>
      </w:r>
      <w:r>
        <w:t xml:space="preserve"> Si el aumento de la oferta monetaria </w:t>
      </w:r>
      <w:r w:rsidRPr="00404EC6">
        <w:t xml:space="preserve">fuese </w:t>
      </w:r>
      <w:r w:rsidRPr="00404EC6">
        <w:rPr>
          <w:b/>
          <w:bCs/>
        </w:rPr>
        <w:t>anticipado</w:t>
      </w:r>
      <w:r>
        <w:t xml:space="preserve"> y permanente, los resultados cambiarían</w:t>
      </w:r>
      <w:r w:rsidR="00E74E5D">
        <w:t xml:space="preserve"> (esto se entiende mejor después de ver el modelo)</w:t>
      </w:r>
      <w:r>
        <w:t xml:space="preserve">: en </w:t>
      </w:r>
      <m:oMath>
        <m:sSub>
          <m:sSubPr>
            <m:ctrlPr>
              <w:rPr>
                <w:rFonts w:ascii="Cambria Math" w:hAnsi="Cambria Math"/>
                <w:i/>
              </w:rPr>
            </m:ctrlPr>
          </m:sSubPr>
          <m:e>
            <m:r>
              <m:rPr>
                <m:nor/>
              </m:rPr>
              <w:rPr>
                <w:i/>
              </w:rPr>
              <m:t>t</m:t>
            </m:r>
          </m:e>
          <m:sub>
            <m:r>
              <m:rPr>
                <m:nor/>
              </m:rPr>
              <w:rPr>
                <w:i/>
              </w:rPr>
              <m:t>0</m:t>
            </m:r>
          </m:sub>
        </m:sSub>
      </m:oMath>
      <w:r>
        <w:rPr>
          <w:rFonts w:eastAsiaTheme="minorEastAsia"/>
        </w:rPr>
        <w:t xml:space="preserve"> se anticipa la política monetaria expansiva (por ejemplo, porque se anuncia una política monetaria futura), en </w:t>
      </w:r>
      <m:oMath>
        <m:sSub>
          <m:sSubPr>
            <m:ctrlPr>
              <w:rPr>
                <w:rFonts w:ascii="Cambria Math" w:hAnsi="Cambria Math"/>
                <w:i/>
              </w:rPr>
            </m:ctrlPr>
          </m:sSubPr>
          <m:e>
            <m:r>
              <m:rPr>
                <m:nor/>
              </m:rPr>
              <w:rPr>
                <w:i/>
              </w:rPr>
              <m:t>t</m:t>
            </m:r>
          </m:e>
          <m:sub>
            <m:r>
              <m:rPr>
                <m:nor/>
              </m:rPr>
              <w:rPr>
                <w:i/>
              </w:rPr>
              <m:t>1</m:t>
            </m:r>
          </m:sub>
        </m:sSub>
      </m:oMath>
      <w:r>
        <w:rPr>
          <w:rFonts w:eastAsiaTheme="minorEastAsia"/>
        </w:rPr>
        <w:t xml:space="preserve"> se implementa, y en </w:t>
      </w:r>
      <m:oMath>
        <m:sSub>
          <m:sSubPr>
            <m:ctrlPr>
              <w:rPr>
                <w:rFonts w:ascii="Cambria Math" w:hAnsi="Cambria Math"/>
                <w:i/>
              </w:rPr>
            </m:ctrlPr>
          </m:sSubPr>
          <m:e>
            <m:r>
              <m:rPr>
                <m:nor/>
              </m:rPr>
              <w:rPr>
                <w:i/>
              </w:rPr>
              <m:t>t</m:t>
            </m:r>
          </m:e>
          <m:sub>
            <m:r>
              <m:rPr>
                <m:nor/>
              </m:rPr>
              <w:rPr>
                <w:i/>
              </w:rPr>
              <m:t>n</m:t>
            </m:r>
          </m:sub>
        </m:sSub>
      </m:oMath>
      <w:r>
        <w:rPr>
          <w:rFonts w:eastAsiaTheme="minorEastAsia"/>
        </w:rPr>
        <w:t xml:space="preserve"> se llega al estado estacionario. Entonces lo que vemos es que el tipo de cambio se deprecia instantáneamente con el anuncio, y continúa depreciándose hasta que se implementa la política, momento en que empieza a apreciarse hasta situarse en un nivel por encima del original:</w:t>
      </w:r>
    </w:p>
    <w:p w14:paraId="47644A3A" w14:textId="40738E9E" w:rsidR="00A87AF5" w:rsidRDefault="00C40118" w:rsidP="005F6DC3">
      <w:pPr>
        <w:pStyle w:val="Textonotapie"/>
        <w:keepNext/>
        <w:tabs>
          <w:tab w:val="center" w:pos="4819"/>
          <w:tab w:val="left" w:pos="6987"/>
        </w:tabs>
        <w:spacing w:after="0"/>
        <w:jc w:val="center"/>
      </w:pPr>
      <w:r>
        <w:rPr>
          <w:noProof/>
        </w:rPr>
        <w:drawing>
          <wp:inline distT="0" distB="0" distL="0" distR="0" wp14:anchorId="7FB487B6" wp14:editId="2AC271DA">
            <wp:extent cx="1677584" cy="1044000"/>
            <wp:effectExtent l="0" t="0" r="0" b="3810"/>
            <wp:docPr id="1599650950" name="Imagen 159965095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pic:nvPicPr>
                  <pic:blipFill rotWithShape="1">
                    <a:blip r:embed="rId4"/>
                    <a:srcRect l="13235" b="4000"/>
                    <a:stretch/>
                  </pic:blipFill>
                  <pic:spPr bwMode="auto">
                    <a:xfrm>
                      <a:off x="0" y="0"/>
                      <a:ext cx="1677584" cy="1044000"/>
                    </a:xfrm>
                    <a:prstGeom prst="rect">
                      <a:avLst/>
                    </a:prstGeom>
                    <a:ln>
                      <a:noFill/>
                    </a:ln>
                    <a:extLst>
                      <a:ext uri="{53640926-AAD7-44D8-BBD7-CCE9431645EC}">
                        <a14:shadowObscured xmlns:a14="http://schemas.microsoft.com/office/drawing/2010/main"/>
                      </a:ext>
                    </a:extLst>
                  </pic:spPr>
                </pic:pic>
              </a:graphicData>
            </a:graphic>
          </wp:inline>
        </w:drawing>
      </w:r>
    </w:p>
    <w:p w14:paraId="35CB4732" w14:textId="2F54B7C6" w:rsidR="00C31B92" w:rsidRPr="001B5AF7" w:rsidRDefault="001B5AF7" w:rsidP="00C40118">
      <w:pPr>
        <w:pStyle w:val="Textonotapie"/>
        <w:tabs>
          <w:tab w:val="center" w:pos="4819"/>
          <w:tab w:val="left" w:pos="6987"/>
        </w:tabs>
        <w:jc w:val="left"/>
      </w:pPr>
      <w:r>
        <w:t xml:space="preserve">Esto es así porque </w:t>
      </w:r>
      <w:proofErr w:type="spellStart"/>
      <w:r>
        <w:rPr>
          <w:smallCaps/>
        </w:rPr>
        <w:t>Dornbusch</w:t>
      </w:r>
      <w:proofErr w:type="spellEnd"/>
      <w:r>
        <w:t xml:space="preserve"> asume que se cumple la Hipótesis de Expectativas Racionales (HER).</w:t>
      </w:r>
    </w:p>
  </w:footnote>
  <w:footnote w:id="31">
    <w:p w14:paraId="1F0610F7" w14:textId="32687F6E" w:rsidR="00A05DBD" w:rsidRPr="00052BBA" w:rsidRDefault="00A05DBD" w:rsidP="00052BBA">
      <w:pPr>
        <w:pStyle w:val="Textonotapie"/>
        <w:rPr>
          <w:spacing w:val="-2"/>
        </w:rPr>
      </w:pPr>
      <w:r w:rsidRPr="00052BBA">
        <w:rPr>
          <w:rStyle w:val="Refdenotaalpie"/>
          <w:spacing w:val="-2"/>
        </w:rPr>
        <w:footnoteRef/>
      </w:r>
      <w:r w:rsidRPr="00052BBA">
        <w:rPr>
          <w:spacing w:val="-2"/>
        </w:rPr>
        <w:t xml:space="preserve"> Al estar los agentes dotados con HER y conocer tanto la neutralidad del dinero en el largo plazo como la PPA, aumentarán sus expectativas de inflación y, por ende, sus expectativas de depreciación del tipo de cambio. Esto provocará que la P</w:t>
      </w:r>
      <w:r w:rsidR="00316A28" w:rsidRPr="00052BBA">
        <w:rPr>
          <w:spacing w:val="-2"/>
        </w:rPr>
        <w:t>NC</w:t>
      </w:r>
      <w:r w:rsidRPr="00052BBA">
        <w:rPr>
          <w:spacing w:val="-2"/>
        </w:rPr>
        <w:t>I se desplace hacia la derecha.</w:t>
      </w:r>
    </w:p>
  </w:footnote>
  <w:footnote w:id="32">
    <w:p w14:paraId="49BB9787" w14:textId="14328738" w:rsidR="009A37AF" w:rsidRDefault="009A37AF" w:rsidP="009A37AF">
      <w:pPr>
        <w:pStyle w:val="Textonotapie"/>
      </w:pPr>
      <w:r>
        <w:rPr>
          <w:rStyle w:val="Refdenotaalpie"/>
        </w:rPr>
        <w:footnoteRef/>
      </w:r>
      <w:r>
        <w:t xml:space="preserve"> En la representación gráfica, la condición de la P</w:t>
      </w:r>
      <w:r w:rsidR="00316A28">
        <w:t>NC</w:t>
      </w:r>
      <w:r>
        <w:t xml:space="preserve">I tiene pendiente negativa, ya que dados </w:t>
      </w:r>
      <m:oMath>
        <m:r>
          <m:rPr>
            <m:nor/>
          </m:rPr>
          <w:rPr>
            <w:i/>
          </w:rPr>
          <m:t>i*</m:t>
        </m:r>
      </m:oMath>
      <w:r>
        <w:rPr>
          <w:rFonts w:eastAsiaTheme="minorEastAsia"/>
        </w:rPr>
        <w:t xml:space="preserve"> y </w:t>
      </w:r>
      <m:oMath>
        <m:sSup>
          <m:sSupPr>
            <m:ctrlPr>
              <w:rPr>
                <w:rFonts w:ascii="Cambria Math" w:hAnsi="Cambria Math"/>
                <w:i/>
                <w:iCs/>
                <w:sz w:val="22"/>
                <w:szCs w:val="22"/>
              </w:rPr>
            </m:ctrlPr>
          </m:sSupPr>
          <m:e>
            <m:r>
              <m:rPr>
                <m:nor/>
              </m:rPr>
              <w:rPr>
                <w:i/>
                <w:iCs/>
              </w:rPr>
              <m:t>E</m:t>
            </m:r>
          </m:e>
          <m:sup>
            <m:r>
              <m:rPr>
                <m:nor/>
              </m:rPr>
              <w:rPr>
                <w:i/>
                <w:iCs/>
              </w:rPr>
              <m:t>e</m:t>
            </m:r>
          </m:sup>
        </m:sSup>
      </m:oMath>
      <w:r>
        <w:rPr>
          <w:rFonts w:eastAsiaTheme="minorEastAsia"/>
        </w:rPr>
        <w:t xml:space="preserve">, </w:t>
      </w:r>
      <m:oMath>
        <m:r>
          <m:rPr>
            <m:nor/>
          </m:rPr>
          <w:rPr>
            <w:i/>
          </w:rPr>
          <m:t>i</m:t>
        </m:r>
      </m:oMath>
      <w:r>
        <w:rPr>
          <w:rFonts w:eastAsiaTheme="minorEastAsia"/>
        </w:rPr>
        <w:t xml:space="preserve"> depend</w:t>
      </w:r>
      <w:r w:rsidRPr="00C8232F">
        <w:t xml:space="preserve">e negativamente de </w:t>
      </w:r>
      <m:oMath>
        <m:r>
          <m:rPr>
            <m:nor/>
          </m:rPr>
          <w:rPr>
            <w:i/>
          </w:rPr>
          <m:t>E</m:t>
        </m:r>
      </m:oMath>
      <w:r w:rsidRPr="00C8232F">
        <w:t xml:space="preserve">, y se desplaza a la derecha al aumentar </w:t>
      </w:r>
      <m:oMath>
        <m:r>
          <m:rPr>
            <m:nor/>
          </m:rPr>
          <w:rPr>
            <w:i/>
            <w:iCs/>
          </w:rPr>
          <m:t>m</m:t>
        </m:r>
      </m:oMath>
      <w:r w:rsidRPr="00C8232F">
        <w:t xml:space="preserve">, ya que esto generará expectativas de depreciación, aumentando </w:t>
      </w:r>
      <m:oMath>
        <m:sSup>
          <m:sSupPr>
            <m:ctrlPr>
              <w:rPr>
                <w:rFonts w:ascii="Cambria Math" w:hAnsi="Cambria Math"/>
              </w:rPr>
            </m:ctrlPr>
          </m:sSupPr>
          <m:e>
            <m:r>
              <m:rPr>
                <m:nor/>
              </m:rPr>
              <w:rPr>
                <w:i/>
              </w:rPr>
              <m:t>E</m:t>
            </m:r>
          </m:e>
          <m:sup>
            <m:r>
              <m:rPr>
                <m:nor/>
              </m:rPr>
              <w:rPr>
                <w:i/>
                <w:iCs/>
              </w:rPr>
              <m:t>e</m:t>
            </m:r>
          </m:sup>
        </m:sSup>
      </m:oMath>
      <w:r w:rsidRPr="00C8232F">
        <w:t xml:space="preserve"> y por lo</w:t>
      </w:r>
      <w:r>
        <w:t xml:space="preserve"> tanto generando un desplazamiento de la curva hacia la derecha.</w:t>
      </w:r>
    </w:p>
  </w:footnote>
  <w:footnote w:id="33">
    <w:p w14:paraId="6FDB4566" w14:textId="2867BC21" w:rsidR="009742DD" w:rsidRDefault="009742DD">
      <w:pPr>
        <w:pStyle w:val="Textonotapie"/>
      </w:pPr>
      <w:r>
        <w:rPr>
          <w:rStyle w:val="Refdenotaalpie"/>
        </w:rPr>
        <w:footnoteRef/>
      </w:r>
      <w:r>
        <w:t xml:space="preserve"> Nótese que la posibilidad de sobrerreacción del tipo de cambio depende de la sensibilidad de la demanda de dinero al tipo de interés. Cuanto mayor sea la sensibilidad de la demanda de dinero al tipo de interés, mayor será la caída del tipo de interés ante un aumento en la oferta monetaria y mayor será el efecto sobre el </w:t>
      </w:r>
      <w:proofErr w:type="spellStart"/>
      <w:r w:rsidRPr="009742DD">
        <w:rPr>
          <w:i/>
          <w:iCs/>
        </w:rPr>
        <w:t>overshooting</w:t>
      </w:r>
      <w:proofErr w:type="spellEnd"/>
      <w:r>
        <w:t>.</w:t>
      </w:r>
    </w:p>
  </w:footnote>
  <w:footnote w:id="34">
    <w:p w14:paraId="18842CD4" w14:textId="379171F5" w:rsidR="00616E22" w:rsidRDefault="00616E22">
      <w:pPr>
        <w:pStyle w:val="Textonotapie"/>
      </w:pPr>
      <w:r>
        <w:rPr>
          <w:rStyle w:val="Refdenotaalpie"/>
        </w:rPr>
        <w:footnoteRef/>
      </w:r>
      <w:r>
        <w:t xml:space="preserve"> Pueden ser tanto factores de oferta (cambios en las dotaciones de factores o en el crecimiento de la productividad) como de demanda (modificaciones en las preferencias o en el gasto público).</w:t>
      </w:r>
    </w:p>
  </w:footnote>
  <w:footnote w:id="35">
    <w:p w14:paraId="16B734BD" w14:textId="289DF5F5" w:rsidR="00824408" w:rsidRDefault="00824408" w:rsidP="00824408">
      <w:pPr>
        <w:pStyle w:val="Textonotapie"/>
      </w:pPr>
      <w:r>
        <w:rPr>
          <w:rStyle w:val="Refdenotaalpie"/>
        </w:rPr>
        <w:footnoteRef/>
      </w:r>
      <w:r>
        <w:t xml:space="preserve"> En puridad, en la demanda de bonos extranjeros se produce un segundo efecto contrapuesto. Al primer efecto de depreciación, aumento de la riqueza, aumento de la demanda de bonos extranjeros, aumentos del precio, y disminución del tipo de interés, se une otro efecto: la depreciación disminuye la demanda de bonos extranjeros al reducirse el poder de compra de la moneda nacional. Pero diremos que predomina el primer efecto, por lo que la curva</w:t>
      </w:r>
      <w:r w:rsidR="00EF6DD0">
        <w:t> </w:t>
      </w:r>
      <w:r w:rsidRPr="00E12461">
        <w:rPr>
          <w:i/>
          <w:iCs/>
        </w:rPr>
        <w:t>B*B*</w:t>
      </w:r>
      <w:r>
        <w:t xml:space="preserve"> tiene pendiente negativa.</w:t>
      </w:r>
    </w:p>
    <w:p w14:paraId="0D6EF454" w14:textId="77777777" w:rsidR="00824408" w:rsidRDefault="00824408" w:rsidP="00824408">
      <w:pPr>
        <w:pStyle w:val="Textonotapie"/>
        <w:keepNext/>
        <w:spacing w:after="0"/>
      </w:pPr>
      <w:r>
        <w:t>Analíticamente, obtendríamos la pendiente de la siguiente forma:</w:t>
      </w:r>
    </w:p>
    <w:p w14:paraId="74A000CC" w14:textId="6482033A" w:rsidR="00824408" w:rsidRPr="00E12461" w:rsidRDefault="00824408" w:rsidP="00824408">
      <w:pPr>
        <w:pStyle w:val="Textonotapie"/>
        <w:spacing w:after="0"/>
        <w:ind w:right="-142"/>
        <w:jc w:val="center"/>
        <w:rPr>
          <w:i/>
          <w:iCs/>
        </w:rPr>
      </w:pPr>
      <m:oMathPara>
        <m:oMath>
          <m:r>
            <w:rPr>
              <w:rFonts w:ascii="Cambria Math" w:eastAsiaTheme="minorEastAsia" w:hAnsi="Cambria Math"/>
            </w:rPr>
            <m:t xml:space="preserve"> </m:t>
          </m:r>
          <m:r>
            <m:rPr>
              <m:nor/>
            </m:rPr>
            <w:rPr>
              <w:i/>
              <w:iCs/>
            </w:rPr>
            <m:t>e</m:t>
          </m:r>
          <m:r>
            <w:rPr>
              <w:rFonts w:ascii="Cambria Math" w:hAnsi="Cambria Math"/>
            </w:rPr>
            <m:t>∙</m:t>
          </m:r>
          <m:sSup>
            <m:sSupPr>
              <m:ctrlPr>
                <w:rPr>
                  <w:rFonts w:ascii="Cambria Math" w:hAnsi="Cambria Math"/>
                  <w:i/>
                  <w:iCs/>
                </w:rPr>
              </m:ctrlPr>
            </m:sSupPr>
            <m:e>
              <m:r>
                <m:rPr>
                  <m:nor/>
                </m:rPr>
                <w:rPr>
                  <w:i/>
                  <w:iCs/>
                </w:rPr>
                <m:t>B</m:t>
              </m:r>
            </m:e>
            <m:sup>
              <m:r>
                <m:rPr>
                  <m:nor/>
                </m:rPr>
                <w:rPr>
                  <w:i/>
                  <w:iCs/>
                </w:rPr>
                <m:t>*</m:t>
              </m:r>
            </m:sup>
          </m:sSup>
          <m:r>
            <w:rPr>
              <w:rFonts w:ascii="Cambria Math" w:hAnsi="Cambria Math"/>
            </w:rPr>
            <m:t>=</m:t>
          </m:r>
          <m:r>
            <m:rPr>
              <m:nor/>
            </m:rPr>
            <w:rPr>
              <w:i/>
              <w:iCs/>
            </w:rPr>
            <m:t>f</m:t>
          </m:r>
          <m:d>
            <m:dPr>
              <m:ctrlPr>
                <w:rPr>
                  <w:rFonts w:ascii="Cambria Math" w:hAnsi="Cambria Math"/>
                  <w:i/>
                  <w:iCs/>
                </w:rPr>
              </m:ctrlPr>
            </m:dPr>
            <m:e>
              <m:r>
                <m:rPr>
                  <m:nor/>
                </m:rPr>
                <w:rPr>
                  <w:i/>
                  <w:iCs/>
                </w:rPr>
                <m:t>i,</m:t>
              </m:r>
              <m:r>
                <m:rPr>
                  <m:nor/>
                </m:rPr>
                <w:rPr>
                  <w:rFonts w:ascii="Cambria Math"/>
                  <w:i/>
                  <w:iCs/>
                </w:rPr>
                <m:t xml:space="preserve"> </m:t>
              </m:r>
              <m:sSup>
                <m:sSupPr>
                  <m:ctrlPr>
                    <w:rPr>
                      <w:rFonts w:ascii="Cambria Math" w:hAnsi="Cambria Math"/>
                      <w:i/>
                      <w:iCs/>
                    </w:rPr>
                  </m:ctrlPr>
                </m:sSupPr>
                <m:e>
                  <m:r>
                    <m:rPr>
                      <m:nor/>
                    </m:rPr>
                    <w:rPr>
                      <w:i/>
                      <w:iCs/>
                    </w:rPr>
                    <m:t>i</m:t>
                  </m:r>
                </m:e>
                <m:sup>
                  <m:r>
                    <m:rPr>
                      <m:nor/>
                    </m:rPr>
                    <w:rPr>
                      <w:i/>
                      <w:iCs/>
                    </w:rPr>
                    <m:t>*</m:t>
                  </m:r>
                </m:sup>
              </m:sSup>
              <m:r>
                <w:rPr>
                  <w:rFonts w:ascii="Cambria Math" w:hAnsi="Cambria Math"/>
                </w:rPr>
                <m:t>+</m:t>
              </m:r>
              <m:r>
                <m:rPr>
                  <m:nor/>
                </m:rPr>
                <w:rPr>
                  <w:i/>
                  <w:iCs/>
                </w:rPr>
                <m:t>γ</m:t>
              </m:r>
              <m:sSup>
                <m:sSupPr>
                  <m:ctrlPr>
                    <w:rPr>
                      <w:rFonts w:ascii="Cambria Math" w:hAnsi="Cambria Math"/>
                      <w:i/>
                      <w:iCs/>
                    </w:rPr>
                  </m:ctrlPr>
                </m:sSupPr>
                <m:e>
                  <m:r>
                    <m:rPr>
                      <m:nor/>
                    </m:rPr>
                    <w:rPr>
                      <w:i/>
                      <w:iCs/>
                    </w:rPr>
                    <m:t>E</m:t>
                  </m:r>
                </m:e>
                <m:sup>
                  <m:r>
                    <m:rPr>
                      <m:nor/>
                    </m:rPr>
                    <w:rPr>
                      <w:i/>
                      <w:iCs/>
                    </w:rPr>
                    <m:t>e</m:t>
                  </m:r>
                </m:sup>
              </m:sSup>
              <m:r>
                <m:rPr>
                  <m:nor/>
                </m:rPr>
                <w:rPr>
                  <w:i/>
                  <w:iCs/>
                </w:rPr>
                <m:t>,</m:t>
              </m:r>
              <m:r>
                <m:rPr>
                  <m:nor/>
                </m:rPr>
                <w:rPr>
                  <w:rFonts w:ascii="Cambria Math"/>
                  <w:i/>
                  <w:iCs/>
                </w:rPr>
                <m:t xml:space="preserve"> </m:t>
              </m:r>
              <m:r>
                <m:rPr>
                  <m:nor/>
                </m:rPr>
                <w:rPr>
                  <w:i/>
                  <w:iCs/>
                </w:rPr>
                <m:t>W</m:t>
              </m:r>
            </m:e>
          </m:d>
          <m:r>
            <w:rPr>
              <w:rFonts w:ascii="Cambria Math" w:hAnsi="Cambria Math"/>
            </w:rPr>
            <m:t>∙</m:t>
          </m:r>
          <m:r>
            <m:rPr>
              <m:nor/>
            </m:rPr>
            <w:rPr>
              <w:i/>
              <w:iCs/>
            </w:rPr>
            <m:t>W</m:t>
          </m:r>
          <m:r>
            <w:rPr>
              <w:rFonts w:ascii="Cambria Math" w:hAnsi="Cambria Math"/>
            </w:rPr>
            <m:t>=</m:t>
          </m:r>
          <m:r>
            <m:rPr>
              <m:nor/>
            </m:rPr>
            <w:rPr>
              <w:i/>
              <w:iCs/>
            </w:rPr>
            <m:t>M</m:t>
          </m:r>
          <m:r>
            <w:rPr>
              <w:rFonts w:ascii="Cambria Math" w:hAnsi="Cambria Math"/>
            </w:rPr>
            <m:t>+</m:t>
          </m:r>
          <m:r>
            <m:rPr>
              <m:nor/>
            </m:rPr>
            <w:rPr>
              <w:i/>
              <w:iCs/>
            </w:rPr>
            <m:t>B</m:t>
          </m:r>
          <m:r>
            <w:rPr>
              <w:rFonts w:ascii="Cambria Math" w:hAnsi="Cambria Math"/>
            </w:rPr>
            <m:t>+</m:t>
          </m:r>
          <m:r>
            <m:rPr>
              <m:nor/>
            </m:rPr>
            <w:rPr>
              <w:i/>
              <w:iCs/>
            </w:rPr>
            <m:t>E</m:t>
          </m:r>
          <m:r>
            <w:rPr>
              <w:rFonts w:ascii="Cambria Math" w:hAnsi="Cambria Math"/>
            </w:rPr>
            <m:t>∙</m:t>
          </m:r>
          <m:sSup>
            <m:sSupPr>
              <m:ctrlPr>
                <w:rPr>
                  <w:rFonts w:ascii="Cambria Math" w:hAnsi="Cambria Math"/>
                  <w:i/>
                  <w:iCs/>
                </w:rPr>
              </m:ctrlPr>
            </m:sSupPr>
            <m:e>
              <m:r>
                <m:rPr>
                  <m:nor/>
                </m:rPr>
                <w:rPr>
                  <w:i/>
                  <w:iCs/>
                </w:rPr>
                <m:t>B</m:t>
              </m:r>
            </m:e>
            <m:sup>
              <m:r>
                <m:rPr>
                  <m:nor/>
                </m:rPr>
                <w:rPr>
                  <w:i/>
                  <w:iCs/>
                </w:rPr>
                <m:t>*</m:t>
              </m:r>
            </m:sup>
          </m:sSup>
          <m:groupChr>
            <m:groupChrPr>
              <m:chr m:val="→"/>
              <m:vertJc m:val="bot"/>
              <m:ctrlPr>
                <w:rPr>
                  <w:rFonts w:ascii="Cambria Math" w:hAnsi="Cambria Math"/>
                  <w:i/>
                  <w:iCs/>
                </w:rPr>
              </m:ctrlPr>
            </m:groupChrPr>
            <m:e>
              <m:r>
                <m:rPr>
                  <m:nor/>
                </m:rPr>
                <w:rPr>
                  <w:i/>
                  <w:iCs/>
                </w:rPr>
                <m:t>  </m:t>
              </m:r>
            </m:e>
          </m:groupChr>
          <m:sSup>
            <m:sSupPr>
              <m:ctrlPr>
                <w:rPr>
                  <w:rFonts w:ascii="Cambria Math" w:hAnsi="Cambria Math"/>
                  <w:i/>
                  <w:iCs/>
                </w:rPr>
              </m:ctrlPr>
            </m:sSupPr>
            <m:e>
              <m:r>
                <m:rPr>
                  <m:nor/>
                </m:rPr>
                <w:rPr>
                  <w:i/>
                  <w:iCs/>
                </w:rPr>
                <m:t>B</m:t>
              </m:r>
            </m:e>
            <m:sup>
              <m:r>
                <m:rPr>
                  <m:nor/>
                </m:rPr>
                <w:rPr>
                  <w:i/>
                  <w:iCs/>
                </w:rPr>
                <m:t>*</m:t>
              </m:r>
            </m:sup>
          </m:sSup>
          <m:r>
            <w:rPr>
              <w:rFonts w:ascii="Cambria Math" w:hAnsi="Cambria Math"/>
            </w:rPr>
            <m:t>=</m:t>
          </m:r>
          <m:f>
            <m:fPr>
              <m:ctrlPr>
                <w:rPr>
                  <w:rFonts w:ascii="Cambria Math" w:hAnsi="Cambria Math"/>
                  <w:i/>
                  <w:iCs/>
                </w:rPr>
              </m:ctrlPr>
            </m:fPr>
            <m:num>
              <m:r>
                <m:rPr>
                  <m:nor/>
                </m:rPr>
                <w:rPr>
                  <w:i/>
                  <w:iCs/>
                </w:rPr>
                <m:t>W</m:t>
              </m:r>
              <m:r>
                <w:rPr>
                  <w:rFonts w:ascii="Cambria Math" w:hAnsi="Cambria Math"/>
                </w:rPr>
                <m:t>-</m:t>
              </m:r>
              <m:r>
                <m:rPr>
                  <m:nor/>
                </m:rPr>
                <w:rPr>
                  <w:i/>
                  <w:iCs/>
                </w:rPr>
                <m:t>M</m:t>
              </m:r>
              <m:r>
                <w:rPr>
                  <w:rFonts w:ascii="Cambria Math" w:hAnsi="Cambria Math"/>
                </w:rPr>
                <m:t>-</m:t>
              </m:r>
              <m:r>
                <m:rPr>
                  <m:nor/>
                </m:rPr>
                <w:rPr>
                  <w:i/>
                  <w:iCs/>
                </w:rPr>
                <m:t>B</m:t>
              </m:r>
            </m:num>
            <m:den>
              <m:r>
                <m:rPr>
                  <m:nor/>
                </m:rPr>
                <w:rPr>
                  <w:i/>
                  <w:iCs/>
                </w:rPr>
                <m:t>E</m:t>
              </m:r>
            </m:den>
          </m:f>
        </m:oMath>
      </m:oMathPara>
    </w:p>
    <w:p w14:paraId="394B7A7C" w14:textId="77777777" w:rsidR="00824408" w:rsidRPr="00E12461" w:rsidRDefault="00824408" w:rsidP="00824408">
      <w:pPr>
        <w:pStyle w:val="Textonotapie"/>
        <w:spacing w:after="0"/>
        <w:ind w:right="-142"/>
        <w:jc w:val="center"/>
        <w:rPr>
          <w:i/>
          <w:iCs/>
        </w:rPr>
      </w:pPr>
      <m:oMathPara>
        <m:oMath>
          <m:r>
            <w:rPr>
              <w:rFonts w:ascii="Cambria Math" w:eastAsiaTheme="minorEastAsia" w:hAnsi="Cambria Math"/>
            </w:rPr>
            <m:t xml:space="preserve"> </m:t>
          </m:r>
          <m:r>
            <m:rPr>
              <m:nor/>
            </m:rPr>
            <w:rPr>
              <w:i/>
              <w:iCs/>
            </w:rPr>
            <m:t>T</m:t>
          </m:r>
          <m:r>
            <w:rPr>
              <w:rFonts w:ascii="Cambria Math" w:hAnsi="Cambria Math"/>
            </w:rPr>
            <m:t>=</m:t>
          </m:r>
          <m:r>
            <m:rPr>
              <m:nor/>
            </m:rPr>
            <w:rPr>
              <w:i/>
              <w:iCs/>
            </w:rPr>
            <m:t>f</m:t>
          </m:r>
          <m:d>
            <m:dPr>
              <m:ctrlPr>
                <w:rPr>
                  <w:rFonts w:ascii="Cambria Math" w:hAnsi="Cambria Math"/>
                  <w:i/>
                  <w:iCs/>
                </w:rPr>
              </m:ctrlPr>
            </m:dPr>
            <m:e>
              <m:r>
                <m:rPr>
                  <m:nor/>
                </m:rPr>
                <w:rPr>
                  <w:i/>
                  <w:iCs/>
                </w:rPr>
                <m:t>i,</m:t>
              </m:r>
              <m:r>
                <m:rPr>
                  <m:nor/>
                </m:rPr>
                <w:rPr>
                  <w:rFonts w:ascii="Cambria Math"/>
                  <w:i/>
                  <w:iCs/>
                </w:rPr>
                <m:t xml:space="preserve"> </m:t>
              </m:r>
              <m:sSup>
                <m:sSupPr>
                  <m:ctrlPr>
                    <w:rPr>
                      <w:rFonts w:ascii="Cambria Math" w:hAnsi="Cambria Math"/>
                      <w:i/>
                      <w:iCs/>
                    </w:rPr>
                  </m:ctrlPr>
                </m:sSupPr>
                <m:e>
                  <m:r>
                    <m:rPr>
                      <m:nor/>
                    </m:rPr>
                    <w:rPr>
                      <w:i/>
                      <w:iCs/>
                    </w:rPr>
                    <m:t>i</m:t>
                  </m:r>
                </m:e>
                <m:sup>
                  <m:r>
                    <m:rPr>
                      <m:nor/>
                    </m:rPr>
                    <w:rPr>
                      <w:i/>
                      <w:iCs/>
                    </w:rPr>
                    <m:t>*</m:t>
                  </m:r>
                </m:sup>
              </m:sSup>
              <m:r>
                <w:rPr>
                  <w:rFonts w:ascii="Cambria Math" w:hAnsi="Cambria Math"/>
                </w:rPr>
                <m:t>+</m:t>
              </m:r>
              <m:r>
                <m:rPr>
                  <m:nor/>
                </m:rPr>
                <w:rPr>
                  <w:i/>
                  <w:iCs/>
                </w:rPr>
                <m:t>γ</m:t>
              </m:r>
              <m:sSup>
                <m:sSupPr>
                  <m:ctrlPr>
                    <w:rPr>
                      <w:rFonts w:ascii="Cambria Math" w:hAnsi="Cambria Math"/>
                      <w:i/>
                      <w:iCs/>
                    </w:rPr>
                  </m:ctrlPr>
                </m:sSupPr>
                <m:e>
                  <m:r>
                    <m:rPr>
                      <m:nor/>
                    </m:rPr>
                    <w:rPr>
                      <w:i/>
                      <w:iCs/>
                    </w:rPr>
                    <m:t>E</m:t>
                  </m:r>
                </m:e>
                <m:sup>
                  <m:r>
                    <m:rPr>
                      <m:nor/>
                    </m:rPr>
                    <w:rPr>
                      <w:i/>
                      <w:iCs/>
                    </w:rPr>
                    <m:t>e</m:t>
                  </m:r>
                </m:sup>
              </m:sSup>
              <m:r>
                <m:rPr>
                  <m:nor/>
                </m:rPr>
                <w:rPr>
                  <w:i/>
                  <w:iCs/>
                </w:rPr>
                <m:t>,</m:t>
              </m:r>
              <m:r>
                <m:rPr>
                  <m:nor/>
                </m:rPr>
                <w:rPr>
                  <w:rFonts w:ascii="Cambria Math"/>
                  <w:i/>
                  <w:iCs/>
                </w:rPr>
                <m:t xml:space="preserve"> </m:t>
              </m:r>
              <m:r>
                <m:rPr>
                  <m:nor/>
                </m:rPr>
                <w:rPr>
                  <w:i/>
                  <w:iCs/>
                </w:rPr>
                <m:t>W</m:t>
              </m:r>
            </m:e>
          </m:d>
          <m:r>
            <w:rPr>
              <w:rFonts w:ascii="Cambria Math" w:hAnsi="Cambria Math"/>
            </w:rPr>
            <m:t>-</m:t>
          </m:r>
          <m:r>
            <m:rPr>
              <m:nor/>
            </m:rPr>
            <w:rPr>
              <w:i/>
              <w:iCs/>
            </w:rPr>
            <m:t>e</m:t>
          </m:r>
          <m:r>
            <w:rPr>
              <w:rFonts w:ascii="Cambria Math" w:hAnsi="Cambria Math"/>
            </w:rPr>
            <m:t>∙</m:t>
          </m:r>
          <m:sSup>
            <m:sSupPr>
              <m:ctrlPr>
                <w:rPr>
                  <w:rFonts w:ascii="Cambria Math" w:hAnsi="Cambria Math"/>
                  <w:i/>
                  <w:iCs/>
                </w:rPr>
              </m:ctrlPr>
            </m:sSupPr>
            <m:e>
              <m:r>
                <m:rPr>
                  <m:nor/>
                </m:rPr>
                <w:rPr>
                  <w:i/>
                  <w:iCs/>
                </w:rPr>
                <m:t>B</m:t>
              </m:r>
            </m:e>
            <m:sup>
              <m:r>
                <m:rPr>
                  <m:nor/>
                </m:rPr>
                <w:rPr>
                  <w:i/>
                  <w:iCs/>
                </w:rPr>
                <m:t>*</m:t>
              </m:r>
            </m:sup>
          </m:sSup>
          <m:r>
            <w:rPr>
              <w:rFonts w:ascii="Cambria Math" w:hAnsi="Cambria Math"/>
            </w:rPr>
            <m:t>=</m:t>
          </m:r>
          <m:r>
            <m:rPr>
              <m:nor/>
            </m:rPr>
            <w:rPr>
              <w:i/>
              <w:iCs/>
            </w:rPr>
            <m:t>0</m:t>
          </m:r>
        </m:oMath>
      </m:oMathPara>
    </w:p>
    <w:p w14:paraId="1FA6C1F0" w14:textId="6F138408" w:rsidR="00824408" w:rsidRPr="00E12461" w:rsidRDefault="00000000" w:rsidP="00824408">
      <w:pPr>
        <w:pStyle w:val="Textonotapie"/>
        <w:spacing w:after="0"/>
        <w:ind w:right="-142"/>
        <w:jc w:val="center"/>
        <w:rPr>
          <w:i/>
        </w:rPr>
      </w:pPr>
      <m:oMathPara>
        <m:oMath>
          <m:f>
            <m:fPr>
              <m:ctrlPr>
                <w:rPr>
                  <w:rFonts w:ascii="Cambria Math" w:hAnsi="Cambria Math"/>
                  <w:i/>
                </w:rPr>
              </m:ctrlPr>
            </m:fPr>
            <m:num>
              <m:r>
                <m:rPr>
                  <m:nor/>
                </m:rPr>
                <w:rPr>
                  <w:i/>
                </w:rPr>
                <m:t>∂E</m:t>
              </m:r>
            </m:num>
            <m:den>
              <m:r>
                <m:rPr>
                  <m:nor/>
                </m:rPr>
                <w:rPr>
                  <w:i/>
                </w:rPr>
                <m:t>∂i</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∂T</m:t>
                  </m:r>
                </m:num>
                <m:den>
                  <m:r>
                    <m:rPr>
                      <m:nor/>
                    </m:rPr>
                    <w:rPr>
                      <w:i/>
                    </w:rPr>
                    <m:t>∂i</m:t>
                  </m:r>
                </m:den>
              </m:f>
            </m:num>
            <m:den>
              <m:f>
                <m:fPr>
                  <m:type m:val="lin"/>
                  <m:ctrlPr>
                    <w:rPr>
                      <w:rFonts w:ascii="Cambria Math" w:hAnsi="Cambria Math"/>
                      <w:i/>
                    </w:rPr>
                  </m:ctrlPr>
                </m:fPr>
                <m:num>
                  <m:r>
                    <m:rPr>
                      <m:nor/>
                    </m:rPr>
                    <w:rPr>
                      <w:i/>
                    </w:rPr>
                    <m:t>∂T</m:t>
                  </m:r>
                </m:num>
                <m:den>
                  <m:r>
                    <m:rPr>
                      <m:nor/>
                    </m:rPr>
                    <w:rPr>
                      <w:i/>
                    </w:rPr>
                    <m:t>∂E</m:t>
                  </m:r>
                </m:den>
              </m:f>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rPr>
                    <m:t>b</m:t>
                  </m:r>
                </m:e>
                <m:sub>
                  <m:r>
                    <m:rPr>
                      <m:nor/>
                    </m:rPr>
                    <w:rPr>
                      <w:i/>
                    </w:rPr>
                    <m:t>i</m:t>
                  </m:r>
                </m:sub>
                <m:sup>
                  <m:r>
                    <m:rPr>
                      <m:nor/>
                    </m:rPr>
                    <w:rPr>
                      <w:i/>
                    </w:rPr>
                    <m:t>*</m:t>
                  </m:r>
                </m:sup>
              </m:sSubSup>
              <m:r>
                <m:rPr>
                  <m:nor/>
                </m:rPr>
                <w:rPr>
                  <w:i/>
                </w:rPr>
                <m:t>'</m:t>
              </m:r>
            </m:num>
            <m:den>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∂T</m:t>
                          </m:r>
                        </m:num>
                        <m:den>
                          <m:r>
                            <m:rPr>
                              <m:nor/>
                            </m:rPr>
                            <w:rPr>
                              <w:i/>
                            </w:rPr>
                            <m:t>∂W</m:t>
                          </m:r>
                        </m:den>
                      </m:f>
                      <m:r>
                        <w:rPr>
                          <w:rFonts w:ascii="Cambria Math" w:hAnsi="Cambria Math"/>
                        </w:rPr>
                        <m:t>∙</m:t>
                      </m:r>
                      <m:f>
                        <m:fPr>
                          <m:ctrlPr>
                            <w:rPr>
                              <w:rFonts w:ascii="Cambria Math" w:hAnsi="Cambria Math"/>
                              <w:i/>
                            </w:rPr>
                          </m:ctrlPr>
                        </m:fPr>
                        <m:num>
                          <m:r>
                            <m:rPr>
                              <m:nor/>
                            </m:rPr>
                            <w:rPr>
                              <w:i/>
                            </w:rPr>
                            <m:t>∂W</m:t>
                          </m:r>
                        </m:num>
                        <m:den>
                          <m:r>
                            <m:rPr>
                              <m:nor/>
                            </m:rPr>
                            <w:rPr>
                              <w:i/>
                            </w:rPr>
                            <m:t>∂E</m:t>
                          </m:r>
                        </m:den>
                      </m:f>
                    </m:e>
                  </m:groupChr>
                </m:e>
                <m:lim>
                  <m:f>
                    <m:fPr>
                      <m:ctrlPr>
                        <w:rPr>
                          <w:rFonts w:ascii="Cambria Math" w:hAnsi="Cambria Math"/>
                          <w:i/>
                        </w:rPr>
                      </m:ctrlPr>
                    </m:fPr>
                    <m:num>
                      <m:r>
                        <m:rPr>
                          <m:nor/>
                        </m:rPr>
                        <w:rPr>
                          <w:i/>
                        </w:rPr>
                        <m:t>∂T</m:t>
                      </m:r>
                    </m:num>
                    <m:den>
                      <m:r>
                        <m:rPr>
                          <m:nor/>
                        </m:rPr>
                        <w:rPr>
                          <w:i/>
                        </w:rPr>
                        <m:t>∂E</m:t>
                      </m:r>
                    </m:den>
                  </m:f>
                </m:lim>
              </m:limLow>
            </m:den>
          </m:f>
        </m:oMath>
      </m:oMathPara>
    </w:p>
    <w:p w14:paraId="5B6AD453" w14:textId="77777777" w:rsidR="00824408" w:rsidRPr="00E12461" w:rsidRDefault="00000000" w:rsidP="00824408">
      <w:pPr>
        <w:pStyle w:val="Textonotapie"/>
        <w:spacing w:after="0"/>
        <w:ind w:right="-142"/>
        <w:jc w:val="center"/>
        <w:rPr>
          <w:i/>
        </w:rPr>
      </w:pPr>
      <m:oMathPara>
        <m:oMath>
          <m:f>
            <m:fPr>
              <m:ctrlPr>
                <w:rPr>
                  <w:rFonts w:ascii="Cambria Math" w:hAnsi="Cambria Math"/>
                  <w:i/>
                </w:rPr>
              </m:ctrlPr>
            </m:fPr>
            <m:num>
              <m:r>
                <m:rPr>
                  <m:nor/>
                </m:rPr>
                <w:rPr>
                  <w:i/>
                </w:rPr>
                <m:t>∂T</m:t>
              </m:r>
            </m:num>
            <m:den>
              <m:r>
                <m:rPr>
                  <m:nor/>
                </m:rPr>
                <w:rPr>
                  <w:i/>
                </w:rPr>
                <m:t>∂W</m:t>
              </m:r>
            </m:den>
          </m:f>
          <m:r>
            <w:rPr>
              <w:rFonts w:ascii="Cambria Math" w:hAnsi="Cambria Math"/>
            </w:rPr>
            <m:t>=</m:t>
          </m:r>
          <m:sSubSup>
            <m:sSubSupPr>
              <m:ctrlPr>
                <w:rPr>
                  <w:rFonts w:ascii="Cambria Math" w:hAnsi="Cambria Math"/>
                  <w:i/>
                </w:rPr>
              </m:ctrlPr>
            </m:sSubSupPr>
            <m:e>
              <m:r>
                <m:rPr>
                  <m:nor/>
                </m:rPr>
                <w:rPr>
                  <w:i/>
                </w:rPr>
                <m:t>b</m:t>
              </m:r>
            </m:e>
            <m:sub>
              <m:r>
                <m:rPr>
                  <m:nor/>
                </m:rPr>
                <w:rPr>
                  <w:i/>
                </w:rPr>
                <m:t>W</m:t>
              </m:r>
            </m:sub>
            <m:sup>
              <m:r>
                <m:rPr>
                  <m:nor/>
                </m:rPr>
                <w:rPr>
                  <w:i/>
                </w:rPr>
                <m:t>*</m:t>
              </m:r>
            </m:sup>
          </m:sSubSup>
          <m:r>
            <m:rPr>
              <m:nor/>
            </m:rPr>
            <w:rPr>
              <w:i/>
            </w:rPr>
            <m:t>'</m:t>
          </m:r>
          <m:r>
            <w:rPr>
              <w:rFonts w:ascii="Cambria Math" w:hAnsi="Cambria Math"/>
            </w:rPr>
            <m:t>-</m:t>
          </m:r>
          <m:r>
            <m:rPr>
              <m:nor/>
            </m:rPr>
            <w:rPr>
              <w:i/>
            </w:rPr>
            <m:t>E</m:t>
          </m:r>
          <m:r>
            <w:rPr>
              <w:rFonts w:ascii="Cambria Math" w:hAnsi="Cambria Math"/>
            </w:rPr>
            <m:t>∙</m:t>
          </m:r>
          <m:f>
            <m:fPr>
              <m:ctrlPr>
                <w:rPr>
                  <w:rFonts w:ascii="Cambria Math" w:hAnsi="Cambria Math"/>
                  <w:i/>
                </w:rPr>
              </m:ctrlPr>
            </m:fPr>
            <m:num>
              <m:r>
                <m:rPr>
                  <m:nor/>
                </m:rPr>
                <w:rPr>
                  <w:i/>
                </w:rPr>
                <m:t>1</m:t>
              </m:r>
            </m:num>
            <m:den>
              <m:r>
                <m:rPr>
                  <m:nor/>
                </m:rPr>
                <w:rPr>
                  <w:i/>
                </w:rPr>
                <m:t>E</m:t>
              </m:r>
            </m:den>
          </m:f>
          <m:r>
            <w:rPr>
              <w:rFonts w:ascii="Cambria Math" w:hAnsi="Cambria Math"/>
            </w:rPr>
            <m:t>=</m:t>
          </m:r>
          <m:sSubSup>
            <m:sSubSupPr>
              <m:ctrlPr>
                <w:rPr>
                  <w:rFonts w:ascii="Cambria Math" w:hAnsi="Cambria Math"/>
                  <w:i/>
                </w:rPr>
              </m:ctrlPr>
            </m:sSubSupPr>
            <m:e>
              <m:r>
                <m:rPr>
                  <m:nor/>
                </m:rPr>
                <w:rPr>
                  <w:i/>
                </w:rPr>
                <m:t>b</m:t>
              </m:r>
            </m:e>
            <m:sub>
              <m:r>
                <m:rPr>
                  <m:nor/>
                </m:rPr>
                <w:rPr>
                  <w:i/>
                </w:rPr>
                <m:t>W</m:t>
              </m:r>
            </m:sub>
            <m:sup>
              <m:r>
                <m:rPr>
                  <m:nor/>
                </m:rPr>
                <w:rPr>
                  <w:i/>
                </w:rPr>
                <m:t>*</m:t>
              </m:r>
            </m:sup>
          </m:sSubSup>
          <m:r>
            <m:rPr>
              <m:nor/>
            </m:rPr>
            <w:rPr>
              <w:i/>
            </w:rPr>
            <m:t>'</m:t>
          </m:r>
          <m:r>
            <w:rPr>
              <w:rFonts w:ascii="Cambria Math" w:hAnsi="Cambria Math"/>
            </w:rPr>
            <m:t>-</m:t>
          </m:r>
          <m:r>
            <m:rPr>
              <m:nor/>
            </m:rPr>
            <w:rPr>
              <w:i/>
            </w:rPr>
            <m:t>1</m:t>
          </m:r>
          <m:r>
            <w:rPr>
              <w:rFonts w:ascii="Cambria Math" w:hAnsi="Cambria Math"/>
            </w:rPr>
            <m:t>∙</m:t>
          </m:r>
          <m:f>
            <m:fPr>
              <m:ctrlPr>
                <w:rPr>
                  <w:rFonts w:ascii="Cambria Math" w:hAnsi="Cambria Math"/>
                  <w:i/>
                </w:rPr>
              </m:ctrlPr>
            </m:fPr>
            <m:num>
              <m:r>
                <m:rPr>
                  <m:nor/>
                </m:rPr>
                <w:rPr>
                  <w:i/>
                </w:rPr>
                <m:t>∂W</m:t>
              </m:r>
            </m:num>
            <m:den>
              <m:r>
                <m:rPr>
                  <m:nor/>
                </m:rPr>
                <w:rPr>
                  <w:i/>
                </w:rPr>
                <m:t>∂E</m:t>
              </m:r>
            </m:den>
          </m:f>
          <m:r>
            <w:rPr>
              <w:rFonts w:ascii="Cambria Math" w:hAnsi="Cambria Math"/>
            </w:rPr>
            <m:t>=</m:t>
          </m:r>
          <m:sSup>
            <m:sSupPr>
              <m:ctrlPr>
                <w:rPr>
                  <w:rFonts w:ascii="Cambria Math" w:hAnsi="Cambria Math"/>
                  <w:i/>
                </w:rPr>
              </m:ctrlPr>
            </m:sSupPr>
            <m:e>
              <m:r>
                <m:rPr>
                  <m:nor/>
                </m:rPr>
                <w:rPr>
                  <w:i/>
                </w:rPr>
                <m:t>B</m:t>
              </m:r>
            </m:e>
            <m:sup>
              <m:r>
                <m:rPr>
                  <m:nor/>
                </m:rPr>
                <w:rPr>
                  <w:i/>
                </w:rPr>
                <m:t>*</m:t>
              </m:r>
            </m:sup>
          </m:sSup>
        </m:oMath>
      </m:oMathPara>
    </w:p>
    <w:p w14:paraId="2C606093" w14:textId="77777777" w:rsidR="00824408" w:rsidRPr="00E12461" w:rsidRDefault="00000000" w:rsidP="00824408">
      <w:pPr>
        <w:pStyle w:val="Textonotapie"/>
        <w:spacing w:after="0"/>
        <w:ind w:right="-142"/>
        <w:jc w:val="center"/>
        <w:rPr>
          <w:i/>
        </w:rPr>
      </w:pPr>
      <m:oMathPara>
        <m:oMath>
          <m:f>
            <m:fPr>
              <m:ctrlPr>
                <w:rPr>
                  <w:rFonts w:ascii="Cambria Math" w:hAnsi="Cambria Math"/>
                  <w:i/>
                </w:rPr>
              </m:ctrlPr>
            </m:fPr>
            <m:num>
              <m:r>
                <m:rPr>
                  <m:nor/>
                </m:rPr>
                <w:rPr>
                  <w:i/>
                </w:rPr>
                <m:t>∂E</m:t>
              </m:r>
            </m:num>
            <m:den>
              <m:r>
                <m:rPr>
                  <m:nor/>
                </m:rPr>
                <w:rPr>
                  <w:i/>
                </w:rPr>
                <m:t>∂i</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rPr>
                    <m:t>b</m:t>
                  </m:r>
                </m:e>
                <m:sub>
                  <m:r>
                    <m:rPr>
                      <m:nor/>
                    </m:rPr>
                    <w:rPr>
                      <w:i/>
                    </w:rPr>
                    <m:t>i</m:t>
                  </m:r>
                </m:sub>
                <m:sup>
                  <m:r>
                    <m:rPr>
                      <m:nor/>
                    </m:rPr>
                    <w:rPr>
                      <w:i/>
                    </w:rPr>
                    <m:t>*</m:t>
                  </m:r>
                </m:sup>
              </m:sSubSup>
              <m:r>
                <m:rPr>
                  <m:nor/>
                </m:rPr>
                <w:rPr>
                  <w:i/>
                </w:rPr>
                <m:t>'</m:t>
              </m:r>
            </m:num>
            <m:den>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∂T</m:t>
                          </m:r>
                        </m:num>
                        <m:den>
                          <m:r>
                            <m:rPr>
                              <m:nor/>
                            </m:rPr>
                            <w:rPr>
                              <w:i/>
                            </w:rPr>
                            <m:t>∂W</m:t>
                          </m:r>
                        </m:den>
                      </m:f>
                      <m:r>
                        <w:rPr>
                          <w:rFonts w:ascii="Cambria Math" w:hAnsi="Cambria Math"/>
                        </w:rPr>
                        <m:t>∙</m:t>
                      </m:r>
                      <m:f>
                        <m:fPr>
                          <m:ctrlPr>
                            <w:rPr>
                              <w:rFonts w:ascii="Cambria Math" w:hAnsi="Cambria Math"/>
                              <w:i/>
                            </w:rPr>
                          </m:ctrlPr>
                        </m:fPr>
                        <m:num>
                          <m:r>
                            <m:rPr>
                              <m:nor/>
                            </m:rPr>
                            <w:rPr>
                              <w:i/>
                            </w:rPr>
                            <m:t>∂W</m:t>
                          </m:r>
                        </m:num>
                        <m:den>
                          <m:r>
                            <m:rPr>
                              <m:nor/>
                            </m:rPr>
                            <w:rPr>
                              <w:i/>
                            </w:rPr>
                            <m:t>∂E</m:t>
                          </m:r>
                        </m:den>
                      </m:f>
                    </m:e>
                  </m:groupChr>
                </m:e>
                <m:lim>
                  <m:f>
                    <m:fPr>
                      <m:ctrlPr>
                        <w:rPr>
                          <w:rFonts w:ascii="Cambria Math" w:hAnsi="Cambria Math"/>
                          <w:i/>
                        </w:rPr>
                      </m:ctrlPr>
                    </m:fPr>
                    <m:num>
                      <m:r>
                        <m:rPr>
                          <m:nor/>
                        </m:rPr>
                        <w:rPr>
                          <w:i/>
                        </w:rPr>
                        <m:t>∂T</m:t>
                      </m:r>
                    </m:num>
                    <m:den>
                      <m:r>
                        <m:rPr>
                          <m:nor/>
                        </m:rPr>
                        <w:rPr>
                          <w:i/>
                        </w:rPr>
                        <m:t>∂E</m:t>
                      </m:r>
                    </m:den>
                  </m:f>
                </m:lim>
              </m:limLow>
            </m:den>
          </m:f>
          <m:r>
            <m:rPr>
              <m:nor/>
            </m:rPr>
            <w:rPr>
              <w:i/>
            </w:rPr>
            <m:t>=-</m:t>
          </m:r>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sSubSup>
                        <m:sSubSupPr>
                          <m:ctrlPr>
                            <w:rPr>
                              <w:rFonts w:ascii="Cambria Math" w:hAnsi="Cambria Math"/>
                              <w:i/>
                            </w:rPr>
                          </m:ctrlPr>
                        </m:sSubSupPr>
                        <m:e>
                          <m:r>
                            <m:rPr>
                              <m:nor/>
                            </m:rPr>
                            <w:rPr>
                              <w:i/>
                            </w:rPr>
                            <m:t>b</m:t>
                          </m:r>
                        </m:e>
                        <m:sub>
                          <m:r>
                            <m:rPr>
                              <m:nor/>
                            </m:rPr>
                            <w:rPr>
                              <w:i/>
                            </w:rPr>
                            <m:t>i</m:t>
                          </m:r>
                        </m:sub>
                        <m:sup>
                          <m:r>
                            <m:rPr>
                              <m:nor/>
                            </m:rPr>
                            <w:rPr>
                              <w:i/>
                            </w:rPr>
                            <m:t>*</m:t>
                          </m:r>
                        </m:sup>
                      </m:sSubSup>
                      <m:r>
                        <m:rPr>
                          <m:nor/>
                        </m:rPr>
                        <w:rPr>
                          <w:i/>
                        </w:rPr>
                        <m:t>'</m:t>
                      </m:r>
                    </m:e>
                  </m:groupChr>
                </m:e>
                <m:lim>
                  <m:r>
                    <w:rPr>
                      <w:rFonts w:ascii="Cambria Math" w:hAnsi="Cambria Math"/>
                    </w:rPr>
                    <m:t>-</m:t>
                  </m:r>
                </m:lim>
              </m:limUpp>
            </m:num>
            <m:den>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Sup>
                            <m:sSubSupPr>
                              <m:ctrlPr>
                                <w:rPr>
                                  <w:rFonts w:ascii="Cambria Math" w:hAnsi="Cambria Math"/>
                                  <w:i/>
                                </w:rPr>
                              </m:ctrlPr>
                            </m:sSubSupPr>
                            <m:e>
                              <m:r>
                                <m:rPr>
                                  <m:nor/>
                                </m:rPr>
                                <w:rPr>
                                  <w:i/>
                                </w:rPr>
                                <m:t>b</m:t>
                              </m:r>
                            </m:e>
                            <m:sub>
                              <m:r>
                                <m:rPr>
                                  <m:nor/>
                                </m:rPr>
                                <w:rPr>
                                  <w:i/>
                                </w:rPr>
                                <m:t>W</m:t>
                              </m:r>
                            </m:sub>
                            <m:sup>
                              <m:r>
                                <m:rPr>
                                  <m:nor/>
                                </m:rPr>
                                <w:rPr>
                                  <w:i/>
                                </w:rPr>
                                <m:t>*</m:t>
                              </m:r>
                            </m:sup>
                          </m:sSubSup>
                          <m:r>
                            <m:rPr>
                              <m:nor/>
                            </m:rPr>
                            <w:rPr>
                              <w:i/>
                            </w:rPr>
                            <m:t>'</m:t>
                          </m:r>
                          <m:r>
                            <w:rPr>
                              <w:rFonts w:ascii="Cambria Math" w:hAnsi="Cambria Math"/>
                            </w:rPr>
                            <m:t>-</m:t>
                          </m:r>
                          <m:r>
                            <m:rPr>
                              <m:nor/>
                            </m:rPr>
                            <w:rPr>
                              <w:i/>
                            </w:rPr>
                            <m:t>1</m:t>
                          </m:r>
                        </m:e>
                      </m:d>
                    </m:e>
                  </m:groupChr>
                </m:e>
                <m:lim>
                  <m:r>
                    <w:rPr>
                      <w:rFonts w:ascii="Cambria Math" w:hAnsi="Cambria Math"/>
                    </w:rPr>
                    <m:t>-</m:t>
                  </m:r>
                </m:lim>
              </m:limLow>
              <m:r>
                <w:rPr>
                  <w:rFonts w:ascii="Cambria Math" w:hAnsi="Cambria Math"/>
                </w:rPr>
                <m:t>∙</m:t>
              </m:r>
              <m:sSup>
                <m:sSupPr>
                  <m:ctrlPr>
                    <w:rPr>
                      <w:rFonts w:ascii="Cambria Math" w:hAnsi="Cambria Math"/>
                      <w:i/>
                    </w:rPr>
                  </m:ctrlPr>
                </m:sSupPr>
                <m:e>
                  <m:r>
                    <m:rPr>
                      <m:nor/>
                    </m:rPr>
                    <w:rPr>
                      <w:i/>
                    </w:rPr>
                    <m:t>B</m:t>
                  </m:r>
                </m:e>
                <m:sup>
                  <m:r>
                    <m:rPr>
                      <m:nor/>
                    </m:rPr>
                    <w:rPr>
                      <w:i/>
                    </w:rPr>
                    <m:t>*</m:t>
                  </m:r>
                </m:sup>
              </m:sSup>
            </m:den>
          </m:f>
          <m:r>
            <w:rPr>
              <w:rFonts w:ascii="Cambria Math" w:hAnsi="Cambria Math"/>
            </w:rPr>
            <m:t>&lt;</m:t>
          </m:r>
          <m:r>
            <m:rPr>
              <m:nor/>
            </m:rPr>
            <w:rPr>
              <w:i/>
            </w:rPr>
            <m:t>0</m:t>
          </m:r>
          <m:r>
            <m:rPr>
              <m:nor/>
            </m:rPr>
            <w:rPr>
              <w:rFonts w:ascii="Cambria Math"/>
              <w:i/>
            </w:rPr>
            <m:t xml:space="preserve"> </m:t>
          </m:r>
          <m:r>
            <m:rPr>
              <m:nor/>
            </m:rPr>
            <w:rPr>
              <w:i/>
              <w:sz w:val="14"/>
              <w:szCs w:val="18"/>
            </w:rPr>
            <m:t>(</m:t>
          </m:r>
          <w:proofErr w:type="spellStart"/>
          <m:r>
            <m:rPr>
              <m:nor/>
            </m:rPr>
            <w:rPr>
              <w:i/>
              <w:sz w:val="14"/>
              <w:szCs w:val="18"/>
            </w:rPr>
            <m:t>i.e.pte.negativa</m:t>
          </m:r>
          <w:proofErr w:type="spellEnd"/>
          <m:r>
            <m:rPr>
              <m:nor/>
            </m:rPr>
            <w:rPr>
              <w:i/>
              <w:sz w:val="14"/>
              <w:szCs w:val="18"/>
            </w:rPr>
            <m:t>)</m:t>
          </m:r>
        </m:oMath>
      </m:oMathPara>
    </w:p>
    <w:p w14:paraId="0865BAE0" w14:textId="0695F999" w:rsidR="00824408" w:rsidRDefault="00000000" w:rsidP="00824408">
      <w:pPr>
        <w:pStyle w:val="Textonotapie"/>
        <w:ind w:right="-142"/>
        <w:jc w:val="center"/>
      </w:pPr>
      <m:oMathPara>
        <m:oMath>
          <m:sSub>
            <m:sSubPr>
              <m:ctrlPr>
                <w:rPr>
                  <w:rFonts w:ascii="Cambria Math" w:hAnsi="Cambria Math"/>
                  <w:i/>
                </w:rPr>
              </m:ctrlPr>
            </m:sSubPr>
            <m:e>
              <m:r>
                <m:rPr>
                  <m:nor/>
                </m:rPr>
                <w:rPr>
                  <w:i/>
                </w:rPr>
                <m:t>m</m:t>
              </m:r>
            </m:e>
            <m:sub>
              <m:r>
                <m:rPr>
                  <m:nor/>
                </m:rPr>
                <w:rPr>
                  <w:i/>
                </w:rPr>
                <m:t>W</m:t>
              </m:r>
            </m:sub>
          </m:sSub>
          <m:r>
            <m:rPr>
              <m:nor/>
            </m:rPr>
            <w:rPr>
              <w:i/>
            </w:rPr>
            <m:t>'</m:t>
          </m:r>
          <m:r>
            <w:rPr>
              <w:rFonts w:ascii="Cambria Math" w:hAnsi="Cambria Math"/>
            </w:rPr>
            <m:t>+</m:t>
          </m:r>
          <m:sSub>
            <m:sSubPr>
              <m:ctrlPr>
                <w:rPr>
                  <w:rFonts w:ascii="Cambria Math" w:hAnsi="Cambria Math"/>
                  <w:i/>
                </w:rPr>
              </m:ctrlPr>
            </m:sSubPr>
            <m:e>
              <m:r>
                <m:rPr>
                  <m:nor/>
                </m:rPr>
                <w:rPr>
                  <w:i/>
                </w:rPr>
                <m:t>b</m:t>
              </m:r>
            </m:e>
            <m:sub>
              <m:r>
                <m:rPr>
                  <m:nor/>
                </m:rPr>
                <w:rPr>
                  <w:i/>
                </w:rPr>
                <m:t>W</m:t>
              </m:r>
            </m:sub>
          </m:sSub>
          <m:r>
            <m:rPr>
              <m:nor/>
            </m:rPr>
            <w:rPr>
              <w:i/>
            </w:rPr>
            <m:t>'</m:t>
          </m:r>
          <m:r>
            <w:rPr>
              <w:rFonts w:ascii="Cambria Math" w:hAnsi="Cambria Math"/>
            </w:rPr>
            <m:t>+</m:t>
          </m:r>
          <m:sSubSup>
            <m:sSubSupPr>
              <m:ctrlPr>
                <w:rPr>
                  <w:rFonts w:ascii="Cambria Math" w:hAnsi="Cambria Math"/>
                  <w:i/>
                </w:rPr>
              </m:ctrlPr>
            </m:sSubSupPr>
            <m:e>
              <m:r>
                <m:rPr>
                  <m:nor/>
                </m:rPr>
                <w:rPr>
                  <w:i/>
                </w:rPr>
                <m:t>b</m:t>
              </m:r>
            </m:e>
            <m:sub>
              <m:r>
                <m:rPr>
                  <m:nor/>
                </m:rPr>
                <w:rPr>
                  <w:i/>
                </w:rPr>
                <m:t>W</m:t>
              </m:r>
            </m:sub>
            <m:sup>
              <m:r>
                <m:rPr>
                  <m:nor/>
                </m:rPr>
                <w:rPr>
                  <w:i/>
                </w:rPr>
                <m:t>*</m:t>
              </m:r>
            </m:sup>
          </m:sSubSup>
          <m:r>
            <m:rPr>
              <m:nor/>
            </m:rPr>
            <w:rPr>
              <w:i/>
            </w:rPr>
            <m:t>'</m:t>
          </m:r>
          <m:r>
            <w:rPr>
              <w:rFonts w:ascii="Cambria Math" w:hAnsi="Cambria Math"/>
            </w:rPr>
            <m:t>=</m:t>
          </m:r>
          <m:r>
            <m:rPr>
              <m:nor/>
            </m:rPr>
            <w:rPr>
              <w:i/>
            </w:rPr>
            <m:t>1</m:t>
          </m:r>
        </m:oMath>
      </m:oMathPara>
    </w:p>
    <w:p w14:paraId="41BEE430" w14:textId="6FDD7C77" w:rsidR="00824408" w:rsidRPr="00A876E2" w:rsidRDefault="00824408" w:rsidP="00824408">
      <w:pPr>
        <w:pStyle w:val="Textonotapie"/>
        <w:rPr>
          <w:spacing w:val="-3"/>
        </w:rPr>
      </w:pPr>
      <w:r w:rsidRPr="00A876E2">
        <w:rPr>
          <w:spacing w:val="-3"/>
        </w:rPr>
        <w:t>Esto último se debe a que una variación de la riqueza se reparte entre los 3 activos, de forma que si, por ejemplo, la riqueza del individuo aumenta en 1 </w:t>
      </w:r>
      <w:proofErr w:type="spellStart"/>
      <w:r w:rsidRPr="00A876E2">
        <w:rPr>
          <w:spacing w:val="-3"/>
        </w:rPr>
        <w:t>u.m</w:t>
      </w:r>
      <w:proofErr w:type="spellEnd"/>
      <w:r w:rsidRPr="00A876E2">
        <w:rPr>
          <w:spacing w:val="-3"/>
        </w:rPr>
        <w:t>., dicha unidad se reparte completamente entre los 3 activos: p.ej. aumenta la demanda de dinero en 0,3 </w:t>
      </w:r>
      <w:proofErr w:type="spellStart"/>
      <w:r w:rsidRPr="00A876E2">
        <w:rPr>
          <w:spacing w:val="-3"/>
        </w:rPr>
        <w:t>u.m</w:t>
      </w:r>
      <w:proofErr w:type="spellEnd"/>
      <w:r w:rsidRPr="00A876E2">
        <w:rPr>
          <w:spacing w:val="-3"/>
        </w:rPr>
        <w:t xml:space="preserve">. (i.e. </w:t>
      </w:r>
      <m:oMath>
        <m:sSub>
          <m:sSubPr>
            <m:ctrlPr>
              <w:rPr>
                <w:rFonts w:ascii="Cambria Math" w:hAnsi="Cambria Math"/>
                <w:i/>
                <w:spacing w:val="-3"/>
              </w:rPr>
            </m:ctrlPr>
          </m:sSubPr>
          <m:e>
            <m:r>
              <m:rPr>
                <m:nor/>
              </m:rPr>
              <w:rPr>
                <w:i/>
                <w:iCs/>
                <w:spacing w:val="-3"/>
              </w:rPr>
              <m:t>m</m:t>
            </m:r>
          </m:e>
          <m:sub>
            <m:r>
              <m:rPr>
                <m:nor/>
              </m:rPr>
              <w:rPr>
                <w:i/>
                <w:iCs/>
                <w:spacing w:val="-3"/>
              </w:rPr>
              <m:t>W</m:t>
            </m:r>
          </m:sub>
        </m:sSub>
        <m:r>
          <m:rPr>
            <m:nor/>
          </m:rPr>
          <w:rPr>
            <w:i/>
            <w:iCs/>
            <w:spacing w:val="-3"/>
          </w:rPr>
          <m:t>'</m:t>
        </m:r>
        <m:r>
          <w:rPr>
            <w:rFonts w:ascii="Cambria Math" w:hAnsi="Cambria Math"/>
            <w:spacing w:val="-3"/>
          </w:rPr>
          <m:t>=</m:t>
        </m:r>
        <m:r>
          <m:rPr>
            <m:nor/>
          </m:rPr>
          <w:rPr>
            <w:i/>
            <w:iCs/>
            <w:spacing w:val="-3"/>
          </w:rPr>
          <m:t>0,3</m:t>
        </m:r>
      </m:oMath>
      <w:r w:rsidRPr="00A876E2">
        <w:rPr>
          <w:spacing w:val="-3"/>
        </w:rPr>
        <w:t>), la demanda de bonos nacionales aumenta 0,5 (</w:t>
      </w:r>
      <m:oMath>
        <m:sSub>
          <m:sSubPr>
            <m:ctrlPr>
              <w:rPr>
                <w:rFonts w:ascii="Cambria Math" w:hAnsi="Cambria Math"/>
                <w:i/>
                <w:spacing w:val="-3"/>
              </w:rPr>
            </m:ctrlPr>
          </m:sSubPr>
          <m:e>
            <m:r>
              <m:rPr>
                <m:nor/>
              </m:rPr>
              <w:rPr>
                <w:i/>
                <w:iCs/>
                <w:spacing w:val="-3"/>
              </w:rPr>
              <m:t>b</m:t>
            </m:r>
          </m:e>
          <m:sub>
            <m:r>
              <m:rPr>
                <m:nor/>
              </m:rPr>
              <w:rPr>
                <w:i/>
                <w:iCs/>
                <w:spacing w:val="-3"/>
              </w:rPr>
              <m:t>W</m:t>
            </m:r>
          </m:sub>
        </m:sSub>
        <m:r>
          <m:rPr>
            <m:nor/>
          </m:rPr>
          <w:rPr>
            <w:i/>
            <w:iCs/>
            <w:spacing w:val="-3"/>
          </w:rPr>
          <m:t>'</m:t>
        </m:r>
        <m:r>
          <w:rPr>
            <w:rFonts w:ascii="Cambria Math" w:hAnsi="Cambria Math"/>
            <w:spacing w:val="-3"/>
          </w:rPr>
          <m:t>=</m:t>
        </m:r>
        <m:r>
          <m:rPr>
            <m:nor/>
          </m:rPr>
          <w:rPr>
            <w:i/>
            <w:iCs/>
            <w:spacing w:val="-3"/>
          </w:rPr>
          <m:t>0,5</m:t>
        </m:r>
      </m:oMath>
      <w:r w:rsidRPr="00A876E2">
        <w:rPr>
          <w:spacing w:val="-3"/>
        </w:rPr>
        <w:t>), y la demanda de bonos extranjeros aumenta 0,2 (</w:t>
      </w:r>
      <m:oMath>
        <m:sSub>
          <m:sSubPr>
            <m:ctrlPr>
              <w:rPr>
                <w:rFonts w:ascii="Cambria Math" w:hAnsi="Cambria Math"/>
                <w:i/>
                <w:spacing w:val="-3"/>
              </w:rPr>
            </m:ctrlPr>
          </m:sSubPr>
          <m:e>
            <m:r>
              <m:rPr>
                <m:nor/>
              </m:rPr>
              <w:rPr>
                <w:i/>
                <w:iCs/>
                <w:spacing w:val="-3"/>
              </w:rPr>
              <m:t>b*</m:t>
            </m:r>
          </m:e>
          <m:sub>
            <m:r>
              <m:rPr>
                <m:nor/>
              </m:rPr>
              <w:rPr>
                <w:i/>
                <w:iCs/>
                <w:spacing w:val="-3"/>
              </w:rPr>
              <m:t>W</m:t>
            </m:r>
          </m:sub>
        </m:sSub>
        <m:r>
          <m:rPr>
            <m:nor/>
          </m:rPr>
          <w:rPr>
            <w:i/>
            <w:iCs/>
            <w:spacing w:val="-3"/>
          </w:rPr>
          <m:t>'</m:t>
        </m:r>
        <m:r>
          <w:rPr>
            <w:rFonts w:ascii="Cambria Math" w:hAnsi="Cambria Math"/>
            <w:spacing w:val="-3"/>
          </w:rPr>
          <m:t>=</m:t>
        </m:r>
        <m:r>
          <m:rPr>
            <m:nor/>
          </m:rPr>
          <w:rPr>
            <w:i/>
            <w:iCs/>
            <w:spacing w:val="-3"/>
          </w:rPr>
          <m:t>0,2</m:t>
        </m:r>
      </m:oMath>
      <w:r w:rsidRPr="00A876E2">
        <w:rPr>
          <w:spacing w:val="-3"/>
        </w:rPr>
        <w:t>); por eso,</w:t>
      </w:r>
      <w:r w:rsidRPr="00A876E2">
        <w:rPr>
          <w:rFonts w:ascii="Cambria Math" w:hAnsi="Cambria Math"/>
          <w:i/>
          <w:spacing w:val="-3"/>
        </w:rPr>
        <w:t xml:space="preserve"> </w:t>
      </w:r>
      <m:oMath>
        <m:sSub>
          <m:sSubPr>
            <m:ctrlPr>
              <w:rPr>
                <w:rFonts w:ascii="Cambria Math" w:hAnsi="Cambria Math"/>
                <w:i/>
                <w:spacing w:val="-3"/>
              </w:rPr>
            </m:ctrlPr>
          </m:sSubPr>
          <m:e>
            <m:r>
              <m:rPr>
                <m:nor/>
              </m:rPr>
              <w:rPr>
                <w:i/>
                <w:iCs/>
                <w:spacing w:val="-3"/>
              </w:rPr>
              <m:t>b*</m:t>
            </m:r>
          </m:e>
          <m:sub>
            <m:r>
              <m:rPr>
                <m:nor/>
              </m:rPr>
              <w:rPr>
                <w:i/>
                <w:iCs/>
                <w:spacing w:val="-3"/>
              </w:rPr>
              <m:t>W</m:t>
            </m:r>
          </m:sub>
        </m:sSub>
        <m:r>
          <m:rPr>
            <m:nor/>
          </m:rPr>
          <w:rPr>
            <w:i/>
            <w:iCs/>
            <w:spacing w:val="-3"/>
          </w:rPr>
          <m:t>'</m:t>
        </m:r>
        <m:r>
          <w:rPr>
            <w:rFonts w:ascii="Cambria Math" w:hAnsi="Cambria Math"/>
            <w:spacing w:val="-3"/>
          </w:rPr>
          <m:t>-</m:t>
        </m:r>
        <m:r>
          <m:rPr>
            <m:nor/>
          </m:rPr>
          <w:rPr>
            <w:i/>
            <w:iCs/>
            <w:spacing w:val="-3"/>
          </w:rPr>
          <m:t>1</m:t>
        </m:r>
        <m:r>
          <w:rPr>
            <w:rFonts w:ascii="Cambria Math" w:hAnsi="Cambria Math"/>
            <w:spacing w:val="-3"/>
          </w:rPr>
          <m:t>&lt;</m:t>
        </m:r>
        <m:r>
          <m:rPr>
            <m:nor/>
          </m:rPr>
          <w:rPr>
            <w:i/>
            <w:iCs/>
            <w:spacing w:val="-3"/>
          </w:rPr>
          <m:t>0</m:t>
        </m:r>
      </m:oMath>
      <w:r w:rsidRPr="00A876E2">
        <w:rPr>
          <w:spacing w:val="-3"/>
        </w:rPr>
        <w:t>).</w:t>
      </w:r>
    </w:p>
  </w:footnote>
  <w:footnote w:id="36">
    <w:p w14:paraId="7C486747" w14:textId="630294C0" w:rsidR="009C7065" w:rsidRDefault="009C7065" w:rsidP="00926735">
      <w:pPr>
        <w:pStyle w:val="Textonotapie"/>
      </w:pPr>
      <w:r>
        <w:rPr>
          <w:rStyle w:val="Refdenotaalpie"/>
        </w:rPr>
        <w:footnoteRef/>
      </w:r>
      <w:r>
        <w:t xml:space="preserve"> Para evitar una posible confusión es importante remarcar que comparar las previsiones de un modelo con las predicciones de un paseo aleatorio no significa que estemos asumiendo que el tipo de cambio este siguiendo un paseo aleatorio (podría seguirlo o no). Simplemente significa tomar como modelo de base el modelo más simple de predicción, que es un paseo aleatorio. Este modelo de base asume un agente ingenuo</w:t>
      </w:r>
      <w:r w:rsidR="0098760C">
        <w:t xml:space="preserve"> que no tiene ni idea de </w:t>
      </w:r>
      <w:r w:rsidR="00926735">
        <w:t>cómo</w:t>
      </w:r>
      <w:r w:rsidR="0098760C">
        <w:t xml:space="preserve"> va a evolucionar el tipo de cambio y considera que existe la misma posibilidad de una apreciación que de una depreciación.</w:t>
      </w:r>
    </w:p>
  </w:footnote>
  <w:footnote w:id="37">
    <w:p w14:paraId="245C6641" w14:textId="77777777" w:rsidR="00C01857" w:rsidRDefault="0098760C" w:rsidP="00C01857">
      <w:pPr>
        <w:pStyle w:val="Textonotapie"/>
        <w:spacing w:after="0"/>
        <w:rPr>
          <w:rStyle w:val="TextonotapieCar"/>
        </w:rPr>
      </w:pPr>
      <w:r>
        <w:rPr>
          <w:rStyle w:val="Refdenotaalpie"/>
        </w:rPr>
        <w:footnoteRef/>
      </w:r>
      <w:r>
        <w:t xml:space="preserve"> </w:t>
      </w:r>
      <w:r w:rsidRPr="00926735">
        <w:rPr>
          <w:rStyle w:val="TextonotapieCar"/>
        </w:rPr>
        <w:t xml:space="preserve">Dada una muestra de datos temporales (p.ej. entre 1970 y 2020), las predicciones </w:t>
      </w:r>
      <w:proofErr w:type="spellStart"/>
      <w:r w:rsidR="00C01857">
        <w:rPr>
          <w:rStyle w:val="TextonotapieCar"/>
        </w:rPr>
        <w:t>ex-</w:t>
      </w:r>
      <w:r w:rsidRPr="00926735">
        <w:rPr>
          <w:rStyle w:val="TextonotapieCar"/>
        </w:rPr>
        <w:t>post</w:t>
      </w:r>
      <w:proofErr w:type="spellEnd"/>
      <w:r w:rsidRPr="00926735">
        <w:rPr>
          <w:rStyle w:val="TextonotapieCar"/>
        </w:rPr>
        <w:t xml:space="preserve"> consisten en utilizar una submuestra de los datos (p.ej. entre 1970 y 1995) para estimar las ecuaciones del modelo. Las ecuaciones estimadas son usadas para generar predicciones fuera de la muestra a lo largo del período restante en la muestra (1996-2020), pero usando los valores actuales de las variables exógenas observados en esos períodos.</w:t>
      </w:r>
    </w:p>
    <w:p w14:paraId="223A042F" w14:textId="3D98A771" w:rsidR="0098760C" w:rsidRPr="00C01857" w:rsidRDefault="0098760C" w:rsidP="00926735">
      <w:pPr>
        <w:pStyle w:val="Textonotapie"/>
        <w:rPr>
          <w:spacing w:val="-2"/>
        </w:rPr>
      </w:pPr>
      <w:r w:rsidRPr="00C01857">
        <w:rPr>
          <w:rStyle w:val="TextonotapieCar"/>
          <w:spacing w:val="-2"/>
        </w:rPr>
        <w:t>En otras palabras, es como si un agente actuando en 1995 poseyera una previsión perfecta de las variables exógenas</w:t>
      </w:r>
      <w:r w:rsidR="00C55B59" w:rsidRPr="00C01857">
        <w:rPr>
          <w:rStyle w:val="TextonotapieCar"/>
          <w:spacing w:val="-2"/>
        </w:rPr>
        <w:t>, debiendo únicamente pronosticar la variable endógena (en nuestro caso, el tipo de cambio), utilizando las ecuaciones estimadas con los datos de los años 1970-1995.</w:t>
      </w:r>
    </w:p>
  </w:footnote>
  <w:footnote w:id="38">
    <w:p w14:paraId="4BBA8082" w14:textId="77777777" w:rsidR="00592729" w:rsidRPr="004E52A4" w:rsidRDefault="00592729" w:rsidP="00592729">
      <w:pPr>
        <w:pStyle w:val="Textonotapie"/>
      </w:pPr>
      <w:r>
        <w:rPr>
          <w:rStyle w:val="Refdenotaalpie"/>
        </w:rPr>
        <w:footnoteRef/>
      </w:r>
      <w:r w:rsidRPr="004E52A4">
        <w:t xml:space="preserve"> </w:t>
      </w:r>
      <w:r>
        <w:t xml:space="preserve">El interés de los economistas por la </w:t>
      </w:r>
      <w:r w:rsidRPr="00202C93">
        <w:rPr>
          <w:i/>
          <w:iCs/>
        </w:rPr>
        <w:t>teoría del caos</w:t>
      </w:r>
      <w:r>
        <w:t xml:space="preserve"> empezó en los años 80 de la mano de </w:t>
      </w:r>
      <w:proofErr w:type="spellStart"/>
      <w:r>
        <w:rPr>
          <w:smallCaps/>
        </w:rPr>
        <w:t>Brock</w:t>
      </w:r>
      <w:proofErr w:type="spellEnd"/>
      <w:r>
        <w:t xml:space="preserve"> (1986) –más de 20 años después de su aparición en la física (</w:t>
      </w:r>
      <w:r>
        <w:rPr>
          <w:smallCaps/>
        </w:rPr>
        <w:t>Lorenz</w:t>
      </w:r>
      <w:r>
        <w:t>, 1963)–.</w:t>
      </w:r>
    </w:p>
  </w:footnote>
  <w:footnote w:id="39">
    <w:p w14:paraId="68B41E6F" w14:textId="5B44EB4E" w:rsidR="00955817" w:rsidRDefault="00955817" w:rsidP="00926735">
      <w:pPr>
        <w:pStyle w:val="Textonotapie"/>
      </w:pPr>
      <w:r>
        <w:rPr>
          <w:rStyle w:val="Refdenotaalpie"/>
        </w:rPr>
        <w:footnoteRef/>
      </w:r>
      <w:r>
        <w:t xml:space="preserve"> Generalmente, se habla indistintamente de análisis técnico y análisis </w:t>
      </w:r>
      <w:proofErr w:type="spellStart"/>
      <w:r>
        <w:t>chartista</w:t>
      </w:r>
      <w:proofErr w:type="spellEnd"/>
      <w:r>
        <w:t xml:space="preserve">. Sin embargo, mientras que el </w:t>
      </w:r>
      <w:r w:rsidRPr="00272242">
        <w:rPr>
          <w:b/>
          <w:bCs/>
        </w:rPr>
        <w:t xml:space="preserve">análisis </w:t>
      </w:r>
      <w:proofErr w:type="spellStart"/>
      <w:r w:rsidRPr="00272242">
        <w:rPr>
          <w:b/>
          <w:bCs/>
        </w:rPr>
        <w:t>chartista</w:t>
      </w:r>
      <w:proofErr w:type="spellEnd"/>
      <w:r>
        <w:t xml:space="preserve"> se basa únicamente en el </w:t>
      </w:r>
      <w:r w:rsidRPr="00272242">
        <w:rPr>
          <w:u w:val="single"/>
        </w:rPr>
        <w:t>estudio de gráficos</w:t>
      </w:r>
      <w:r>
        <w:t xml:space="preserve">, el </w:t>
      </w:r>
      <w:r w:rsidRPr="00272242">
        <w:rPr>
          <w:b/>
          <w:bCs/>
        </w:rPr>
        <w:t>análisis técnico</w:t>
      </w:r>
      <w:r>
        <w:t xml:space="preserve"> </w:t>
      </w:r>
      <w:r w:rsidRPr="00272242">
        <w:rPr>
          <w:u w:val="single"/>
        </w:rPr>
        <w:t>incorpora herramientas de análisis matemáticas o estadísticas</w:t>
      </w:r>
      <w:r>
        <w:t xml:space="preserve"> como medias móviles o indicadores de fortaleza de la tendencia</w:t>
      </w:r>
      <w:r w:rsidR="00331FF8">
        <w:t xml:space="preserve"> </w:t>
      </w:r>
      <w:r w:rsidR="00331FF8" w:rsidRPr="00484419">
        <w:rPr>
          <w:color w:val="767171" w:themeColor="background2" w:themeShade="80"/>
          <w:sz w:val="14"/>
          <w:szCs w:val="18"/>
        </w:rPr>
        <w:t>[véase tema 3.B.2</w:t>
      </w:r>
      <w:r w:rsidR="004D26D9">
        <w:rPr>
          <w:color w:val="767171" w:themeColor="background2" w:themeShade="80"/>
          <w:sz w:val="14"/>
          <w:szCs w:val="18"/>
        </w:rPr>
        <w:t>3</w:t>
      </w:r>
      <w:r w:rsidR="00331FF8" w:rsidRPr="00484419">
        <w:rPr>
          <w:color w:val="767171" w:themeColor="background2" w:themeShade="80"/>
          <w:sz w:val="14"/>
          <w:szCs w:val="18"/>
        </w:rPr>
        <w:t>]</w:t>
      </w:r>
      <w:r>
        <w:t>.</w:t>
      </w:r>
    </w:p>
  </w:footnote>
  <w:footnote w:id="40">
    <w:p w14:paraId="1E771BCA" w14:textId="77777777" w:rsidR="00C01A4E" w:rsidRPr="00901928" w:rsidRDefault="00C01A4E" w:rsidP="00C01A4E">
      <w:pPr>
        <w:pStyle w:val="Textonotapie"/>
        <w:rPr>
          <w:lang w:val="en-US"/>
        </w:rPr>
      </w:pPr>
      <w:r>
        <w:rPr>
          <w:rStyle w:val="Refdenotaalpie"/>
        </w:rPr>
        <w:footnoteRef/>
      </w:r>
      <w:r w:rsidRPr="004D418D">
        <w:rPr>
          <w:lang w:val="en-US"/>
        </w:rPr>
        <w:t xml:space="preserve"> </w:t>
      </w:r>
      <w:r>
        <w:rPr>
          <w:lang w:val="en-US"/>
        </w:rPr>
        <w:t>Garnham, P.</w:t>
      </w:r>
      <w:r w:rsidRPr="004D418D">
        <w:rPr>
          <w:lang w:val="en-US"/>
        </w:rPr>
        <w:t xml:space="preserve"> (2007) </w:t>
      </w:r>
      <w:r w:rsidRPr="004D418D">
        <w:rPr>
          <w:i/>
          <w:iCs/>
          <w:lang w:val="en-US"/>
        </w:rPr>
        <w:t>“Inflation drives Canadian dollar higher”</w:t>
      </w:r>
      <w:r w:rsidRPr="004D418D">
        <w:rPr>
          <w:lang w:val="en-US"/>
        </w:rPr>
        <w:t>. Financial Time</w:t>
      </w:r>
      <w:r>
        <w:rPr>
          <w:lang w:val="en-US"/>
        </w:rPr>
        <w:t>s.</w:t>
      </w:r>
      <w:r w:rsidRPr="004D418D">
        <w:rPr>
          <w:lang w:val="en-US"/>
        </w:rPr>
        <w:t xml:space="preserve"> </w:t>
      </w:r>
      <w:hyperlink r:id="rId5" w:history="1">
        <w:r w:rsidRPr="00901928">
          <w:rPr>
            <w:rStyle w:val="Hipervnculo"/>
            <w:lang w:val="en-US"/>
          </w:rPr>
          <w:t>https://www.ft.com/content/51e52c04-090c-11dc-a349-000b5df10621</w:t>
        </w:r>
      </w:hyperlink>
    </w:p>
  </w:footnote>
  <w:footnote w:id="41">
    <w:p w14:paraId="5A71C4C9" w14:textId="77777777" w:rsidR="00C01A4E" w:rsidRPr="009D3DF9" w:rsidRDefault="00C01A4E" w:rsidP="00C01A4E">
      <w:pPr>
        <w:pStyle w:val="Textonotapie"/>
      </w:pPr>
      <w:r>
        <w:rPr>
          <w:rStyle w:val="Refdenotaalpie"/>
        </w:rPr>
        <w:footnoteRef/>
      </w:r>
      <w:r>
        <w:t xml:space="preserve"> En el debate desarrollado en 2008 y 2009 en torno al estímulo fiscal y la política monetaria expansiva aplicada por los gobiernos para contener la crisis en el mundo occidental y en los países asiáticos, los argumentos más utilizados fueron de tipo histórico. Los polemistas reconocían que la teoría actual tenía poco (o nada) que ofrecer para solucionar la crisis. Toda la parafernalia matemática de los modelos de los mercados eficientes y de las expectativas racionales, que habían servido de base para las políticas liberales de las tres décadas previas, se derrumbaron como un castillo de naipes con la crisis iniciada en 2007. No obstante, aunque </w:t>
      </w:r>
      <w:r>
        <w:rPr>
          <w:smallCaps/>
        </w:rPr>
        <w:t>Justin Fox</w:t>
      </w:r>
      <w:r>
        <w:t xml:space="preserve"> (2009) consideró que esa teoría formulada por </w:t>
      </w:r>
      <w:r>
        <w:rPr>
          <w:smallCaps/>
        </w:rPr>
        <w:t>Eugene Fama</w:t>
      </w:r>
      <w:r>
        <w:t xml:space="preserve"> sobre los mercados eficientes, que inspiró la doctrina desreguladora de </w:t>
      </w:r>
      <w:r>
        <w:rPr>
          <w:smallCaps/>
        </w:rPr>
        <w:t>Alan Greenspan</w:t>
      </w:r>
      <w:r>
        <w:t xml:space="preserve"> y del consenso de </w:t>
      </w:r>
      <w:r w:rsidRPr="009D3DF9">
        <w:t>Was</w:t>
      </w:r>
      <w:r>
        <w:t xml:space="preserve">hington, quedó refutada por la catástrofe financiera de 2008, </w:t>
      </w:r>
      <w:r>
        <w:rPr>
          <w:smallCaps/>
        </w:rPr>
        <w:t xml:space="preserve">John </w:t>
      </w:r>
      <w:proofErr w:type="spellStart"/>
      <w:r>
        <w:rPr>
          <w:smallCaps/>
        </w:rPr>
        <w:t>Quiggin</w:t>
      </w:r>
      <w:proofErr w:type="spellEnd"/>
      <w:r>
        <w:t xml:space="preserve"> (2010) la incluye entre las </w:t>
      </w:r>
      <w:r w:rsidRPr="009D3DF9">
        <w:rPr>
          <w:rFonts w:cs="Times New Roman"/>
        </w:rPr>
        <w:t>«</w:t>
      </w:r>
      <w:r>
        <w:rPr>
          <w:rFonts w:cs="Times New Roman"/>
        </w:rPr>
        <w:t xml:space="preserve">doctrinas </w:t>
      </w:r>
      <w:proofErr w:type="spellStart"/>
      <w:r>
        <w:rPr>
          <w:rFonts w:cs="Times New Roman"/>
        </w:rPr>
        <w:t>zombie</w:t>
      </w:r>
      <w:proofErr w:type="spellEnd"/>
      <w:r w:rsidRPr="009D3DF9">
        <w:rPr>
          <w:rFonts w:cs="Times New Roman"/>
        </w:rPr>
        <w:t>»</w:t>
      </w:r>
      <w:r>
        <w:rPr>
          <w:rFonts w:cs="Times New Roman"/>
        </w:rPr>
        <w:t>, caracterizadas poque siguen vivas entre los académicos universitarios, a pesar de haber sido desacreditadas por la realidad económica.</w:t>
      </w:r>
    </w:p>
  </w:footnote>
  <w:footnote w:id="42">
    <w:p w14:paraId="599739E5" w14:textId="77777777" w:rsidR="00C01A4E" w:rsidRDefault="00C01A4E" w:rsidP="00C01A4E">
      <w:pPr>
        <w:pStyle w:val="Textonotapie"/>
      </w:pPr>
      <w:r>
        <w:rPr>
          <w:rStyle w:val="Refdenotaalpie"/>
        </w:rPr>
        <w:footnoteRef/>
      </w:r>
      <w:r>
        <w:t xml:space="preserve"> Que no existan posibilidades de arbitrar no quita que se puedan obtener remuneraciones positivas a largo plazo. Los agentes que mejor absorban el riesgo o que invierten a un plazo mayor podrán obtener rendimientos positivos. Sin embargo, no tendría fundamento la gestión activa de carteras.</w:t>
      </w:r>
    </w:p>
  </w:footnote>
  <w:footnote w:id="43">
    <w:p w14:paraId="1994EF18" w14:textId="22D9C9B4" w:rsidR="00C01A4E" w:rsidRDefault="00C01A4E" w:rsidP="00C01A4E">
      <w:pPr>
        <w:pStyle w:val="Textonotapie"/>
      </w:pPr>
      <w:r>
        <w:rPr>
          <w:rStyle w:val="Refdenotaalpie"/>
        </w:rPr>
        <w:footnoteRef/>
      </w:r>
      <w:r>
        <w:t xml:space="preserve"> Una rama de la literatura iniciada por </w:t>
      </w:r>
      <w:r>
        <w:rPr>
          <w:smallCaps/>
        </w:rPr>
        <w:t>Roll</w:t>
      </w:r>
      <w:r>
        <w:t xml:space="preserve"> (1977) mantiene que los mercados financieros internacionales son eficientes y por eso las desviaciones de la PPA (el tipo de cambio real) deben seguir un paseo aleatorio. A veces se le denomina PPA ex ante o PPA de mercados eficientes. Parte de los supuestos de expectativas racionales y cumplimiento de la P</w:t>
      </w:r>
      <w:r w:rsidR="00316A28">
        <w:t>NC</w:t>
      </w:r>
      <w:r>
        <w:t>I.</w:t>
      </w:r>
    </w:p>
    <w:p w14:paraId="01A52A96" w14:textId="0397251F" w:rsidR="00C01A4E" w:rsidRDefault="00C01A4E" w:rsidP="00C01A4E">
      <w:pPr>
        <w:pStyle w:val="Textonotapie"/>
      </w:pPr>
      <w:r>
        <w:t xml:space="preserve">Siguiendo a </w:t>
      </w:r>
      <w:r>
        <w:rPr>
          <w:smallCaps/>
        </w:rPr>
        <w:t>Roll</w:t>
      </w:r>
      <w:r>
        <w:t xml:space="preserve">, supongamos que los agentes </w:t>
      </w:r>
      <w:r w:rsidR="00572558">
        <w:t>forma</w:t>
      </w:r>
      <w:r>
        <w:t>n sus expectativas racionalmente y que participan en la compra especulativa de bienes. Un agente nacional puede comprar un bien extranjero y mantenerlo un periodo. El rendimiento nominal esperado de esa estrategia, expresado en moneda extranjera será igual a la inflación esperada en el extranjero. Para expresarlo en moneda doméstica habrá que tener en cuenta los cambios esperados en el tipo de cambio y en los precios domésticos de forma que el rendimiento esperado para un residente nacional al especular con un bien extranjero será:</w:t>
      </w:r>
    </w:p>
    <w:p w14:paraId="385F7F2E" w14:textId="77777777" w:rsidR="00C01A4E" w:rsidRPr="00270E65" w:rsidRDefault="00000000" w:rsidP="00C01A4E">
      <w:pPr>
        <w:pStyle w:val="Textonotapie"/>
        <w:rPr>
          <w:rFonts w:eastAsiaTheme="minorEastAsia"/>
          <w:i/>
          <w:szCs w:val="16"/>
          <w:lang w:val="fr-FR"/>
        </w:rPr>
      </w:pPr>
      <m:oMathPara>
        <m:oMath>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p*</m:t>
                  </m:r>
                </m:e>
                <m:sub>
                  <m:r>
                    <m:rPr>
                      <m:nor/>
                    </m:rPr>
                    <w:rPr>
                      <w:i/>
                      <w:szCs w:val="16"/>
                      <w:lang w:val="fr-FR"/>
                    </w:rPr>
                    <m:t>t+1</m:t>
                  </m:r>
                </m:sub>
              </m:sSub>
            </m:e>
          </m:d>
          <m:r>
            <w:rPr>
              <w:rFonts w:ascii="Cambria Math" w:eastAsiaTheme="minorEastAsia" w:hAnsi="Cambria Math"/>
              <w:szCs w:val="16"/>
              <w:lang w:val="fr-FR"/>
            </w:rPr>
            <m:t>+</m:t>
          </m:r>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s</m:t>
                  </m:r>
                </m:e>
                <m:sub>
                  <m:r>
                    <m:rPr>
                      <m:nor/>
                    </m:rPr>
                    <w:rPr>
                      <w:i/>
                      <w:szCs w:val="16"/>
                      <w:lang w:val="fr-FR"/>
                    </w:rPr>
                    <m:t>t+1</m:t>
                  </m:r>
                </m:sub>
              </m:sSub>
            </m:e>
          </m:d>
          <m:r>
            <w:rPr>
              <w:rFonts w:ascii="Cambria Math" w:hAnsi="Cambria Math"/>
              <w:szCs w:val="16"/>
              <w:lang w:val="fr-FR"/>
            </w:rPr>
            <m:t>-</m:t>
          </m:r>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p</m:t>
                  </m:r>
                </m:e>
                <m:sub>
                  <m:r>
                    <m:rPr>
                      <m:nor/>
                    </m:rPr>
                    <w:rPr>
                      <w:i/>
                      <w:szCs w:val="16"/>
                      <w:lang w:val="fr-FR"/>
                    </w:rPr>
                    <m:t>t+1</m:t>
                  </m:r>
                </m:sub>
              </m:sSub>
            </m:e>
          </m:d>
        </m:oMath>
      </m:oMathPara>
    </w:p>
    <w:p w14:paraId="429ED484" w14:textId="77777777" w:rsidR="00C01A4E" w:rsidRDefault="00C01A4E" w:rsidP="00C01A4E">
      <w:pPr>
        <w:pStyle w:val="Textonotapie"/>
        <w:rPr>
          <w:rFonts w:eastAsiaTheme="minorEastAsia"/>
          <w:iCs/>
        </w:rPr>
      </w:pPr>
      <w:r>
        <w:rPr>
          <w:rFonts w:eastAsiaTheme="minorEastAsia"/>
          <w:iCs/>
        </w:rPr>
        <w:t xml:space="preserve">Teniendo en cuenta la definición del tipo de cambio real (en logs): </w:t>
      </w:r>
      <m:oMath>
        <m:sSub>
          <m:sSubPr>
            <m:ctrlPr>
              <w:rPr>
                <w:rFonts w:ascii="Cambria Math" w:hAnsi="Cambria Math"/>
                <w:i/>
                <w:sz w:val="22"/>
              </w:rPr>
            </m:ctrlPr>
          </m:sSubPr>
          <m:e>
            <m:r>
              <m:rPr>
                <m:nor/>
              </m:rPr>
              <w:rPr>
                <w:i/>
              </w:rPr>
              <m:t>q</m:t>
            </m:r>
          </m:e>
          <m:sub>
            <m:r>
              <m:rPr>
                <m:nor/>
              </m:rPr>
              <w:rPr>
                <w:i/>
              </w:rPr>
              <m:t>t</m:t>
            </m:r>
          </m:sub>
        </m:sSub>
        <m:r>
          <w:rPr>
            <w:rFonts w:ascii="Cambria Math" w:hAnsi="Cambria Math"/>
          </w:rPr>
          <m:t>=</m:t>
        </m:r>
        <m:sSub>
          <m:sSubPr>
            <m:ctrlPr>
              <w:rPr>
                <w:rFonts w:ascii="Cambria Math" w:hAnsi="Cambria Math"/>
                <w:i/>
                <w:sz w:val="22"/>
              </w:rPr>
            </m:ctrlPr>
          </m:sSubPr>
          <m:e>
            <m:r>
              <m:rPr>
                <m:nor/>
              </m:rPr>
              <w:rPr>
                <w:i/>
              </w:rPr>
              <m:t>s</m:t>
            </m:r>
          </m:e>
          <m:sub>
            <m:r>
              <m:rPr>
                <m:nor/>
              </m:rPr>
              <w:rPr>
                <w:i/>
              </w:rPr>
              <m:t>t</m:t>
            </m:r>
          </m:sub>
        </m:sSub>
        <m:r>
          <w:rPr>
            <w:rFonts w:ascii="Cambria Math" w:hAnsi="Cambria Math"/>
          </w:rPr>
          <m:t>-</m:t>
        </m:r>
        <m:sSub>
          <m:sSubPr>
            <m:ctrlPr>
              <w:rPr>
                <w:rFonts w:ascii="Cambria Math" w:hAnsi="Cambria Math"/>
                <w:i/>
                <w:sz w:val="22"/>
              </w:rPr>
            </m:ctrlPr>
          </m:sSubPr>
          <m:e>
            <m:r>
              <m:rPr>
                <m:nor/>
              </m:rPr>
              <w:rPr>
                <w:i/>
              </w:rPr>
              <m:t>p</m:t>
            </m:r>
          </m:e>
          <m:sub>
            <m:r>
              <m:rPr>
                <m:nor/>
              </m:rPr>
              <w:rPr>
                <w:i/>
              </w:rPr>
              <m:t>t</m:t>
            </m:r>
          </m:sub>
        </m:sSub>
        <m:r>
          <w:rPr>
            <w:rFonts w:ascii="Cambria Math" w:hAnsi="Cambria Math"/>
          </w:rPr>
          <m:t>+</m:t>
        </m:r>
        <m:sSub>
          <m:sSubPr>
            <m:ctrlPr>
              <w:rPr>
                <w:rFonts w:ascii="Cambria Math" w:hAnsi="Cambria Math"/>
                <w:i/>
                <w:sz w:val="22"/>
              </w:rPr>
            </m:ctrlPr>
          </m:sSubPr>
          <m:e>
            <m:r>
              <m:rPr>
                <m:nor/>
              </m:rPr>
              <w:rPr>
                <w:i/>
              </w:rPr>
              <m:t>p*</m:t>
            </m:r>
          </m:e>
          <m:sub>
            <m:r>
              <m:rPr>
                <m:nor/>
              </m:rPr>
              <w:rPr>
                <w:i/>
              </w:rPr>
              <m:t>t</m:t>
            </m:r>
          </m:sub>
        </m:sSub>
      </m:oMath>
      <w:r>
        <w:rPr>
          <w:rFonts w:eastAsiaTheme="minorEastAsia"/>
        </w:rPr>
        <w:t xml:space="preserve"> obtenemos:</w:t>
      </w:r>
    </w:p>
    <w:p w14:paraId="624B91DC" w14:textId="77777777" w:rsidR="00C01A4E" w:rsidRPr="00270E65" w:rsidRDefault="00000000" w:rsidP="00C01A4E">
      <w:pPr>
        <w:pStyle w:val="Textonotapie"/>
        <w:rPr>
          <w:rFonts w:eastAsiaTheme="minorEastAsia"/>
          <w:i/>
          <w:szCs w:val="16"/>
        </w:rPr>
      </w:pPr>
      <m:oMathPara>
        <m:oMath>
          <m:sSub>
            <m:sSubPr>
              <m:ctrlPr>
                <w:rPr>
                  <w:rFonts w:ascii="Cambria Math" w:hAnsi="Cambria Math"/>
                  <w:i/>
                  <w:szCs w:val="16"/>
                </w:rPr>
              </m:ctrlPr>
            </m:sSubPr>
            <m:e>
              <m:r>
                <m:rPr>
                  <m:nor/>
                </m:rPr>
                <w:rPr>
                  <w:i/>
                  <w:szCs w:val="16"/>
                </w:rPr>
                <m:t>E</m:t>
              </m:r>
            </m:e>
            <m:sub>
              <m:r>
                <m:rPr>
                  <m:nor/>
                </m:rPr>
                <w:rPr>
                  <w:i/>
                  <w:szCs w:val="16"/>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rPr>
                    <m:t>q</m:t>
                  </m:r>
                </m:e>
                <m:sub>
                  <m:r>
                    <m:rPr>
                      <m:nor/>
                    </m:rPr>
                    <w:rPr>
                      <w:i/>
                      <w:szCs w:val="16"/>
                    </w:rPr>
                    <m:t>t+1</m:t>
                  </m:r>
                </m:sub>
              </m:sSub>
            </m:e>
          </m:d>
          <m:r>
            <w:rPr>
              <w:rFonts w:ascii="Cambria Math" w:eastAsiaTheme="minorEastAsia" w:hAnsi="Cambria Math"/>
              <w:szCs w:val="16"/>
            </w:rPr>
            <m:t>=</m:t>
          </m:r>
          <m:r>
            <m:rPr>
              <m:nor/>
            </m:rPr>
            <w:rPr>
              <w:i/>
              <w:szCs w:val="16"/>
            </w:rPr>
            <m:t>0</m:t>
          </m:r>
        </m:oMath>
      </m:oMathPara>
    </w:p>
    <w:p w14:paraId="082790D3" w14:textId="77777777" w:rsidR="00C01A4E" w:rsidRDefault="00C01A4E" w:rsidP="00C01A4E">
      <w:pPr>
        <w:pStyle w:val="Textonotapie"/>
        <w:rPr>
          <w:rFonts w:eastAsiaTheme="minorEastAsia"/>
        </w:rPr>
      </w:pPr>
      <w:r w:rsidRPr="00434C49">
        <w:rPr>
          <w:iCs/>
        </w:rPr>
        <w:t>Lo que</w:t>
      </w:r>
      <w:r>
        <w:rPr>
          <w:iCs/>
        </w:rPr>
        <w:t xml:space="preserve"> implica que </w:t>
      </w:r>
      <m:oMath>
        <m:sSub>
          <m:sSubPr>
            <m:ctrlPr>
              <w:rPr>
                <w:rFonts w:ascii="Cambria Math" w:hAnsi="Cambria Math"/>
                <w:i/>
                <w:sz w:val="22"/>
              </w:rPr>
            </m:ctrlPr>
          </m:sSubPr>
          <m:e>
            <m:r>
              <m:rPr>
                <m:nor/>
              </m:rPr>
              <w:rPr>
                <w:i/>
              </w:rPr>
              <m:t>q</m:t>
            </m:r>
          </m:e>
          <m:sub>
            <m:r>
              <m:rPr>
                <m:nor/>
              </m:rPr>
              <w:rPr>
                <w:i/>
              </w:rPr>
              <m:t>t</m:t>
            </m:r>
          </m:sub>
        </m:sSub>
      </m:oMath>
      <w:r>
        <w:rPr>
          <w:rFonts w:eastAsiaTheme="minorEastAsia"/>
        </w:rPr>
        <w:t xml:space="preserve"> sigue un paseo aleatorio: </w:t>
      </w:r>
      <m:oMath>
        <m:sSub>
          <m:sSubPr>
            <m:ctrlPr>
              <w:rPr>
                <w:rFonts w:ascii="Cambria Math" w:hAnsi="Cambria Math"/>
                <w:i/>
                <w:sz w:val="22"/>
              </w:rPr>
            </m:ctrlPr>
          </m:sSubPr>
          <m:e>
            <m:r>
              <m:rPr>
                <m:nor/>
              </m:rPr>
              <w:rPr>
                <w:i/>
              </w:rPr>
              <m:t>q</m:t>
            </m:r>
          </m:e>
          <m:sub>
            <m:r>
              <m:rPr>
                <m:nor/>
              </m:rPr>
              <w:rPr>
                <w:i/>
              </w:rPr>
              <m:t>t+1</m:t>
            </m:r>
          </m:sub>
        </m:sSub>
        <m:r>
          <w:rPr>
            <w:rFonts w:ascii="Cambria Math" w:hAnsi="Cambria Math"/>
          </w:rPr>
          <m:t>=</m:t>
        </m:r>
        <m:sSub>
          <m:sSubPr>
            <m:ctrlPr>
              <w:rPr>
                <w:rFonts w:ascii="Cambria Math" w:hAnsi="Cambria Math"/>
                <w:i/>
                <w:sz w:val="22"/>
              </w:rPr>
            </m:ctrlPr>
          </m:sSubPr>
          <m:e>
            <m:r>
              <m:rPr>
                <m:nor/>
              </m:rPr>
              <w:rPr>
                <w:i/>
              </w:rPr>
              <m:t>q</m:t>
            </m:r>
          </m:e>
          <m:sub>
            <m:r>
              <m:rPr>
                <m:nor/>
              </m:rPr>
              <w:rPr>
                <w:i/>
              </w:rPr>
              <m:t>t</m:t>
            </m:r>
          </m:sub>
        </m:sSub>
        <m:r>
          <w:rPr>
            <w:rFonts w:ascii="Cambria Math" w:eastAsiaTheme="minorEastAsia" w:hAnsi="Cambria Math"/>
          </w:rPr>
          <m:t>+</m:t>
        </m:r>
        <m:sSub>
          <m:sSubPr>
            <m:ctrlPr>
              <w:rPr>
                <w:rFonts w:ascii="Cambria Math" w:hAnsi="Cambria Math"/>
                <w:i/>
                <w:sz w:val="22"/>
              </w:rPr>
            </m:ctrlPr>
          </m:sSubPr>
          <m:e>
            <m:r>
              <m:rPr>
                <m:nor/>
              </m:rPr>
              <w:rPr>
                <w:i/>
                <w:iCs/>
              </w:rPr>
              <m:t>η</m:t>
            </m:r>
          </m:e>
          <m:sub>
            <m:r>
              <m:rPr>
                <m:nor/>
              </m:rPr>
              <w:rPr>
                <w:i/>
              </w:rPr>
              <m:t>t+1</m:t>
            </m:r>
          </m:sub>
        </m:sSub>
      </m:oMath>
      <w:r>
        <w:rPr>
          <w:rFonts w:eastAsiaTheme="minorEastAsia"/>
        </w:rPr>
        <w:t xml:space="preserve">, donde </w:t>
      </w:r>
      <m:oMath>
        <m:sSub>
          <m:sSubPr>
            <m:ctrlPr>
              <w:rPr>
                <w:rFonts w:ascii="Cambria Math" w:hAnsi="Cambria Math"/>
                <w:i/>
                <w:sz w:val="22"/>
              </w:rPr>
            </m:ctrlPr>
          </m:sSubPr>
          <m:e>
            <m:r>
              <m:rPr>
                <m:nor/>
              </m:rPr>
              <w:rPr>
                <w:i/>
                <w:iCs/>
              </w:rPr>
              <m:t>η</m:t>
            </m:r>
          </m:e>
          <m:sub>
            <m:r>
              <m:rPr>
                <m:nor/>
              </m:rPr>
              <w:rPr>
                <w:i/>
              </w:rPr>
              <m:t>t+1</m:t>
            </m:r>
          </m:sub>
        </m:sSub>
      </m:oMath>
      <w:r>
        <w:rPr>
          <w:rFonts w:eastAsiaTheme="minorEastAsia"/>
        </w:rPr>
        <w:t xml:space="preserve"> es un error de previsión con expectativas racionales tal que </w:t>
      </w:r>
      <m:oMath>
        <m:sSub>
          <m:sSubPr>
            <m:ctrlPr>
              <w:rPr>
                <w:rFonts w:ascii="Cambria Math" w:hAnsi="Cambria Math"/>
                <w:i/>
                <w:szCs w:val="16"/>
              </w:rPr>
            </m:ctrlPr>
          </m:sSubPr>
          <m:e>
            <m:r>
              <m:rPr>
                <m:nor/>
              </m:rPr>
              <w:rPr>
                <w:i/>
                <w:szCs w:val="16"/>
              </w:rPr>
              <m:t>E</m:t>
            </m:r>
          </m:e>
          <m:sub>
            <m:r>
              <m:rPr>
                <m:nor/>
              </m:rPr>
              <w:rPr>
                <w:i/>
                <w:szCs w:val="16"/>
              </w:rPr>
              <m:t>t</m:t>
            </m:r>
          </m:sub>
        </m:sSub>
        <m:d>
          <m:dPr>
            <m:begChr m:val="["/>
            <m:endChr m:val="]"/>
            <m:ctrlPr>
              <w:rPr>
                <w:rFonts w:ascii="Cambria Math" w:hAnsi="Cambria Math"/>
                <w:i/>
                <w:szCs w:val="16"/>
              </w:rPr>
            </m:ctrlPr>
          </m:dPr>
          <m:e>
            <m:sSub>
              <m:sSubPr>
                <m:ctrlPr>
                  <w:rPr>
                    <w:rFonts w:ascii="Cambria Math" w:hAnsi="Cambria Math"/>
                    <w:i/>
                    <w:szCs w:val="16"/>
                  </w:rPr>
                </m:ctrlPr>
              </m:sSubPr>
              <m:e>
                <m:r>
                  <m:rPr>
                    <m:nor/>
                  </m:rPr>
                  <w:rPr>
                    <w:i/>
                    <w:iCs/>
                    <w:szCs w:val="16"/>
                  </w:rPr>
                  <m:t>η</m:t>
                </m:r>
              </m:e>
              <m:sub>
                <m:r>
                  <m:rPr>
                    <m:nor/>
                  </m:rPr>
                  <w:rPr>
                    <w:i/>
                    <w:szCs w:val="16"/>
                  </w:rPr>
                  <m:t>t+1</m:t>
                </m:r>
              </m:sub>
            </m:sSub>
          </m:e>
        </m:d>
        <m:r>
          <w:rPr>
            <w:rFonts w:ascii="Cambria Math" w:eastAsiaTheme="minorEastAsia" w:hAnsi="Cambria Math"/>
            <w:szCs w:val="16"/>
          </w:rPr>
          <m:t>=</m:t>
        </m:r>
        <m:r>
          <m:rPr>
            <m:nor/>
          </m:rPr>
          <w:rPr>
            <w:i/>
            <w:szCs w:val="16"/>
          </w:rPr>
          <m:t>0</m:t>
        </m:r>
      </m:oMath>
      <w:r>
        <w:rPr>
          <w:rFonts w:eastAsiaTheme="minorEastAsia"/>
        </w:rPr>
        <w:t>.</w:t>
      </w:r>
    </w:p>
    <w:p w14:paraId="70EB9157" w14:textId="77777777" w:rsidR="00C01A4E" w:rsidRDefault="00C01A4E" w:rsidP="00C01A4E">
      <w:pPr>
        <w:pStyle w:val="Textonotapie"/>
        <w:rPr>
          <w:rFonts w:eastAsiaTheme="minorEastAsia"/>
        </w:rPr>
      </w:pPr>
      <w:r>
        <w:rPr>
          <w:rFonts w:eastAsiaTheme="minorEastAsia"/>
        </w:rPr>
        <w:t>Esto significa que la mejor predicción del tipo de cambio real futuro será el tipo de cambio real actual y que ante cualquier desviación de la PPA, no se producirá un proceso de reajuste o reversión a la media. Un shock que afecte al tipo de cambio real tendrá efectos permanentes. De acuerdo con este enfoque, el cumplimiento de la PPA a largo plazo sería incompatible con la eficiencia de los mercados (otros autores no comparten esta conclusión).</w:t>
      </w:r>
    </w:p>
    <w:p w14:paraId="1833BAA2" w14:textId="77777777" w:rsidR="00C01A4E" w:rsidRDefault="00C01A4E" w:rsidP="00C01A4E">
      <w:pPr>
        <w:pStyle w:val="Textonotapie"/>
        <w:rPr>
          <w:rFonts w:eastAsiaTheme="minorEastAsia"/>
        </w:rPr>
      </w:pPr>
      <w:r>
        <w:rPr>
          <w:rFonts w:eastAsiaTheme="minorEastAsia"/>
        </w:rPr>
        <w:t>Los resultados empíricos sugieren que la PPA es una buena primera aproximación al comportamiento a largo plazo de los tipos de cambio y que el proceso de ajuste hacia ese nivel parece presentar no linealidades. Estos modelos no lineales parecen la línea de trabajo más prometedora en estos momentos.</w:t>
      </w:r>
    </w:p>
    <w:p w14:paraId="138B8E6E" w14:textId="77777777" w:rsidR="00C01A4E" w:rsidRDefault="00C01A4E" w:rsidP="00C01A4E">
      <w:pPr>
        <w:pStyle w:val="Textonotapie"/>
        <w:spacing w:after="0"/>
        <w:rPr>
          <w:rFonts w:eastAsiaTheme="minorEastAsia"/>
        </w:rPr>
      </w:pPr>
      <w:r>
        <w:rPr>
          <w:rFonts w:eastAsiaTheme="minorEastAsia"/>
        </w:rPr>
        <w:t>La mayoría de los modelos del tipo de cambio real se centran en los determinantes reales (frente a los nominales) del tipo de cambio ajustado por el nivel de precios. La PPA es una versión particularmente simple donde se supone que el tipo de cambio real es constante.</w:t>
      </w:r>
    </w:p>
    <w:p w14:paraId="6BE3C090" w14:textId="77777777" w:rsidR="00C01A4E" w:rsidRDefault="00000000" w:rsidP="00C01A4E">
      <w:pPr>
        <w:pStyle w:val="Textonotapie"/>
        <w:spacing w:after="0"/>
        <w:rPr>
          <w:rFonts w:eastAsiaTheme="minorEastAsia"/>
        </w:rPr>
      </w:pPr>
      <w:hyperlink r:id="rId6" w:history="1">
        <w:r w:rsidR="00C01A4E" w:rsidRPr="00097556">
          <w:rPr>
            <w:rStyle w:val="Hipervnculo"/>
            <w:rFonts w:eastAsiaTheme="minorEastAsia"/>
          </w:rPr>
          <w:t>https://en.wikipedia.org/wiki/Roll%27s_critique</w:t>
        </w:r>
      </w:hyperlink>
      <w:r w:rsidR="00C01A4E">
        <w:rPr>
          <w:rFonts w:eastAsiaTheme="minorEastAsia"/>
        </w:rPr>
        <w:t xml:space="preserve"> </w:t>
      </w:r>
    </w:p>
    <w:p w14:paraId="1B5F53C5" w14:textId="77777777" w:rsidR="00C01A4E" w:rsidRPr="002A62A0" w:rsidRDefault="00000000" w:rsidP="00C01A4E">
      <w:pPr>
        <w:pStyle w:val="Textonotapie"/>
        <w:rPr>
          <w:rFonts w:eastAsiaTheme="minorEastAsia"/>
        </w:rPr>
      </w:pPr>
      <w:hyperlink r:id="rId7" w:history="1">
        <w:r w:rsidR="00C01A4E" w:rsidRPr="00097556">
          <w:rPr>
            <w:rStyle w:val="Hipervnculo"/>
            <w:rFonts w:eastAsiaTheme="minorEastAsia"/>
          </w:rPr>
          <w:t>https://www.investopedia.com/terms/r/rollscritique.asp</w:t>
        </w:r>
      </w:hyperlink>
    </w:p>
  </w:footnote>
  <w:footnote w:id="44">
    <w:p w14:paraId="2248CEAB" w14:textId="77777777" w:rsidR="002A0ED1" w:rsidRPr="00B77D5A" w:rsidRDefault="002A0ED1" w:rsidP="002A0ED1">
      <w:pPr>
        <w:pStyle w:val="Textonotapie"/>
        <w:rPr>
          <w:i/>
          <w:iCs/>
          <w:lang w:val="en-US"/>
        </w:rPr>
      </w:pPr>
      <w:r>
        <w:rPr>
          <w:rStyle w:val="Refdenotaalpie"/>
        </w:rPr>
        <w:footnoteRef/>
      </w:r>
      <w:r w:rsidRPr="00B77D5A">
        <w:rPr>
          <w:lang w:val="en-US"/>
        </w:rPr>
        <w:t xml:space="preserve"> </w:t>
      </w:r>
      <w:r w:rsidRPr="00B77D5A">
        <w:rPr>
          <w:i/>
          <w:iCs/>
          <w:lang w:val="en-US"/>
        </w:rPr>
        <w:t xml:space="preserve">If investors are risk neutral and have rational expectations, then the market’s forecast of the future exchange rate is implicit in international differences in interest rates. To see this, suppose that the one-year dollar interest rate is 10 %, and that the comparable German mark interest rate is 7 %. The dollar interest differential is then said to be 3 %. Risk neutral, rational investors then must expect the dollar to depreciate against the mark by 3 % over </w:t>
      </w:r>
      <w:proofErr w:type="spellStart"/>
      <w:r w:rsidRPr="00B77D5A">
        <w:rPr>
          <w:i/>
          <w:iCs/>
          <w:lang w:val="en-US"/>
        </w:rPr>
        <w:t>then</w:t>
      </w:r>
      <w:proofErr w:type="spellEnd"/>
      <w:r w:rsidRPr="00B77D5A">
        <w:rPr>
          <w:i/>
          <w:iCs/>
          <w:lang w:val="en-US"/>
        </w:rPr>
        <w:t xml:space="preserve"> next year. This amount of depreciation would be just enough to equalize the expected returns on dollar and mark denominated deposits. If instead these investors expected a different rate of dollar depreciation, say 4 %, they would all wish to borrow in dollars and lend in marks.</w:t>
      </w:r>
    </w:p>
    <w:p w14:paraId="5E2D4193" w14:textId="77777777" w:rsidR="002A0ED1" w:rsidRPr="00B77D5A" w:rsidRDefault="002A0ED1" w:rsidP="002A0ED1">
      <w:pPr>
        <w:pStyle w:val="Textonotapie"/>
        <w:rPr>
          <w:i/>
          <w:iCs/>
          <w:lang w:val="en-US"/>
        </w:rPr>
      </w:pPr>
      <w:r w:rsidRPr="00B77D5A">
        <w:rPr>
          <w:i/>
          <w:iCs/>
          <w:lang w:val="en-US"/>
        </w:rPr>
        <w:t>Consequently, dollar interest rates would tend to rise and mark interest rates would tend to fall until the interest differential also became 4 %. This simple relationship between interest differentials and expected currency depreciation is called uncovered interest parity (uncovered because forward markets are not used as a hedge). Thus, uncovered interest parity implies that the interest differential is an estimate of the future exchange rate change. If expectations are rational, then this estimate of future exchange rate changes provided by the interest differential should be unbiased.</w:t>
      </w:r>
    </w:p>
    <w:p w14:paraId="09397AE0" w14:textId="77777777" w:rsidR="002A0ED1" w:rsidRPr="00B77D5A" w:rsidRDefault="002A0ED1" w:rsidP="002A0ED1">
      <w:pPr>
        <w:pStyle w:val="Textonotapie"/>
        <w:rPr>
          <w:lang w:val="en-US"/>
        </w:rPr>
      </w:pPr>
      <w:r w:rsidRPr="00B77D5A">
        <w:rPr>
          <w:i/>
          <w:iCs/>
          <w:lang w:val="en-US"/>
        </w:rPr>
        <w:t>Unbiasedness is usually tested by regressing the change in the exchange rate on the interest differential</w:t>
      </w:r>
      <w:r>
        <w:rPr>
          <w:i/>
          <w:iCs/>
          <w:lang w:val="en-US"/>
        </w:rPr>
        <w:t>.</w:t>
      </w:r>
    </w:p>
  </w:footnote>
  <w:footnote w:id="45">
    <w:p w14:paraId="2347E843" w14:textId="77777777" w:rsidR="002A0ED1" w:rsidRPr="00775B65" w:rsidRDefault="002A0ED1" w:rsidP="002A0ED1">
      <w:pPr>
        <w:pStyle w:val="Textonotapie"/>
        <w:keepNext/>
        <w:spacing w:after="0"/>
        <w:rPr>
          <w:i/>
          <w:iCs/>
          <w:spacing w:val="-4"/>
          <w:lang w:val="en-US"/>
        </w:rPr>
      </w:pPr>
      <w:r>
        <w:rPr>
          <w:rStyle w:val="Refdenotaalpie"/>
        </w:rPr>
        <w:footnoteRef/>
      </w:r>
      <w:r w:rsidRPr="003A2933">
        <w:rPr>
          <w:lang w:val="en-US"/>
        </w:rPr>
        <w:t xml:space="preserve"> </w:t>
      </w:r>
      <w:r w:rsidRPr="00775B65">
        <w:rPr>
          <w:i/>
          <w:iCs/>
          <w:spacing w:val="-4"/>
          <w:lang w:val="en-US"/>
        </w:rPr>
        <w:t xml:space="preserve">“The average coefficient across some 75 published estimates is </w:t>
      </w:r>
      <w:r w:rsidRPr="00775B65">
        <w:rPr>
          <w:rFonts w:ascii="Times New Roman" w:hAnsi="Times New Roman" w:cs="Times New Roman"/>
          <w:i/>
          <w:iCs/>
          <w:spacing w:val="-4"/>
          <w:lang w:val="en-US"/>
        </w:rPr>
        <w:t>−</w:t>
      </w:r>
      <w:r w:rsidRPr="00775B65">
        <w:rPr>
          <w:i/>
          <w:iCs/>
          <w:spacing w:val="-4"/>
          <w:lang w:val="en-US"/>
        </w:rPr>
        <w:t xml:space="preserve">0.88. A few are positive, but not one is equal to or greater than the null hypothesis of </w:t>
      </w:r>
      <m:oMath>
        <m:sSub>
          <m:sSubPr>
            <m:ctrlPr>
              <w:rPr>
                <w:rFonts w:ascii="Cambria Math" w:hAnsi="Cambria Math"/>
                <w:i/>
                <w:iCs/>
                <w:spacing w:val="-4"/>
              </w:rPr>
            </m:ctrlPr>
          </m:sSubPr>
          <m:e>
            <m:r>
              <m:rPr>
                <m:nor/>
              </m:rPr>
              <w:rPr>
                <w:i/>
                <w:iCs/>
                <w:spacing w:val="-4"/>
              </w:rPr>
              <m:t>β</m:t>
            </m:r>
          </m:e>
          <m:sub>
            <m:r>
              <m:rPr>
                <m:nor/>
              </m:rPr>
              <w:rPr>
                <w:i/>
                <w:iCs/>
                <w:spacing w:val="-4"/>
                <w:lang w:val="en-US"/>
              </w:rPr>
              <m:t>1</m:t>
            </m:r>
          </m:sub>
        </m:sSub>
        <m:r>
          <w:rPr>
            <w:rFonts w:ascii="Cambria Math" w:hAnsi="Cambria Math"/>
            <w:spacing w:val="-4"/>
            <w:lang w:val="en-US"/>
          </w:rPr>
          <m:t>=</m:t>
        </m:r>
        <m:r>
          <m:rPr>
            <m:nor/>
          </m:rPr>
          <w:rPr>
            <w:i/>
            <w:iCs/>
            <w:spacing w:val="-4"/>
            <w:lang w:val="en-US"/>
          </w:rPr>
          <m:t>1</m:t>
        </m:r>
      </m:oMath>
      <w:r w:rsidRPr="00775B65">
        <w:rPr>
          <w:i/>
          <w:iCs/>
          <w:spacing w:val="-4"/>
          <w:lang w:val="en-US"/>
        </w:rPr>
        <w:t>”</w:t>
      </w:r>
    </w:p>
    <w:p w14:paraId="18A61A0D" w14:textId="77777777" w:rsidR="002A0ED1" w:rsidRPr="00C736AE" w:rsidRDefault="002A0ED1" w:rsidP="002A0ED1">
      <w:pPr>
        <w:pStyle w:val="Textonotapie"/>
        <w:jc w:val="right"/>
        <w:rPr>
          <w:lang w:val="en-US"/>
        </w:rPr>
      </w:pPr>
      <w:r>
        <w:rPr>
          <w:smallCaps/>
          <w:lang w:val="en-US"/>
        </w:rPr>
        <w:t>Froot</w:t>
      </w:r>
      <w:r>
        <w:rPr>
          <w:lang w:val="en-US"/>
        </w:rPr>
        <w:t xml:space="preserve"> y </w:t>
      </w:r>
      <w:r>
        <w:rPr>
          <w:smallCaps/>
          <w:lang w:val="en-US"/>
        </w:rPr>
        <w:t>Thaler</w:t>
      </w:r>
      <w:r>
        <w:rPr>
          <w:lang w:val="en-US"/>
        </w:rPr>
        <w:t xml:space="preserve"> (</w:t>
      </w:r>
      <w:r>
        <w:rPr>
          <w:i/>
          <w:iCs/>
          <w:lang w:val="en-US"/>
        </w:rPr>
        <w:t>Anomalies: Foreign Exchange</w:t>
      </w:r>
      <w:r>
        <w:rPr>
          <w:lang w:val="en-US"/>
        </w:rPr>
        <w:t>, 1990)</w:t>
      </w:r>
    </w:p>
  </w:footnote>
  <w:footnote w:id="46">
    <w:p w14:paraId="40BBF409" w14:textId="52B9D120" w:rsidR="00C71D2A" w:rsidRDefault="00C71D2A" w:rsidP="00C71D2A">
      <w:pPr>
        <w:pStyle w:val="Textonotapie"/>
      </w:pPr>
      <w:r>
        <w:rPr>
          <w:rStyle w:val="Refdenotaalpie"/>
        </w:rPr>
        <w:footnoteRef/>
      </w:r>
      <w:r>
        <w:t xml:space="preserve"> Otro fenómeno que señala al incumplimiento de la P</w:t>
      </w:r>
      <w:r w:rsidR="00316A28">
        <w:t>NC</w:t>
      </w:r>
      <w:r>
        <w:t xml:space="preserve">I (y por tanto indica que el tipo de cambio forward no es un buen predictor del tipo de cambio esperado futuro) es el éxito empírico de operaciones de </w:t>
      </w:r>
      <w:proofErr w:type="spellStart"/>
      <w:r>
        <w:rPr>
          <w:i/>
          <w:iCs/>
        </w:rPr>
        <w:t>carry</w:t>
      </w:r>
      <w:proofErr w:type="spellEnd"/>
      <w:r>
        <w:rPr>
          <w:i/>
          <w:iCs/>
        </w:rPr>
        <w:t xml:space="preserve"> </w:t>
      </w:r>
      <w:proofErr w:type="spellStart"/>
      <w:r>
        <w:rPr>
          <w:i/>
          <w:iCs/>
        </w:rPr>
        <w:t>trade</w:t>
      </w:r>
      <w:proofErr w:type="spellEnd"/>
      <w:r>
        <w:t>.</w:t>
      </w:r>
    </w:p>
    <w:p w14:paraId="058DD10B" w14:textId="615D0621" w:rsidR="00C71D2A" w:rsidRDefault="00C71D2A" w:rsidP="00C71D2A">
      <w:pPr>
        <w:pStyle w:val="Textonotapie"/>
      </w:pPr>
      <w:r>
        <w:t xml:space="preserve">El </w:t>
      </w:r>
      <w:proofErr w:type="spellStart"/>
      <w:r>
        <w:rPr>
          <w:i/>
          <w:iCs/>
        </w:rPr>
        <w:t>carry</w:t>
      </w:r>
      <w:proofErr w:type="spellEnd"/>
      <w:r>
        <w:rPr>
          <w:i/>
          <w:iCs/>
        </w:rPr>
        <w:t xml:space="preserve"> </w:t>
      </w:r>
      <w:proofErr w:type="spellStart"/>
      <w:r>
        <w:rPr>
          <w:i/>
          <w:iCs/>
        </w:rPr>
        <w:t>trade</w:t>
      </w:r>
      <w:proofErr w:type="spellEnd"/>
      <w:r>
        <w:t xml:space="preserve"> consiste en endeudarse en una divisa con bajos tipos de interés para invertir en activos denominados en una divisa con altos tipos de interés. Según la P</w:t>
      </w:r>
      <w:r w:rsidR="00316A28">
        <w:t>NC</w:t>
      </w:r>
      <w:r>
        <w:t xml:space="preserve">I, el diferencial de tipos de interés debe ser igual a la depreciación esperada de la divisa cuyos tipos de interés son más elevados. Por tanto, si se cumpliese la </w:t>
      </w:r>
      <w:r w:rsidR="00316A28">
        <w:t>P</w:t>
      </w:r>
      <w:r>
        <w:t xml:space="preserve">aridad </w:t>
      </w:r>
      <w:r w:rsidR="00316A28">
        <w:t>No C</w:t>
      </w:r>
      <w:r>
        <w:t xml:space="preserve">ubierta de </w:t>
      </w:r>
      <w:r w:rsidR="00316A28">
        <w:t>I</w:t>
      </w:r>
      <w:r>
        <w:t xml:space="preserve">ntereses, una operación de </w:t>
      </w:r>
      <w:proofErr w:type="spellStart"/>
      <w:r>
        <w:rPr>
          <w:i/>
          <w:iCs/>
        </w:rPr>
        <w:t>carry</w:t>
      </w:r>
      <w:proofErr w:type="spellEnd"/>
      <w:r>
        <w:rPr>
          <w:i/>
          <w:iCs/>
        </w:rPr>
        <w:t xml:space="preserve"> </w:t>
      </w:r>
      <w:proofErr w:type="spellStart"/>
      <w:r>
        <w:rPr>
          <w:i/>
          <w:iCs/>
        </w:rPr>
        <w:t>trade</w:t>
      </w:r>
      <w:proofErr w:type="spellEnd"/>
      <w:r>
        <w:t xml:space="preserve"> debería esperar unas ganancias netas nulas.</w:t>
      </w:r>
    </w:p>
    <w:p w14:paraId="2C994952" w14:textId="77777777" w:rsidR="00C71D2A" w:rsidRPr="005F5207" w:rsidRDefault="00C71D2A" w:rsidP="00C71D2A">
      <w:pPr>
        <w:pStyle w:val="Textonotapie"/>
      </w:pPr>
      <w:r>
        <w:t xml:space="preserve">Esta práctica cuenta con cierto éxito debido a la </w:t>
      </w:r>
      <w:r>
        <w:rPr>
          <w:i/>
          <w:iCs/>
        </w:rPr>
        <w:t>paradoja del margen forward</w:t>
      </w:r>
      <w:r>
        <w:t xml:space="preserve"> (las divisas con tipos de interés más elevados tienden a apreciarse y no a depreciarse). En consecuencia, históricamente las estrategias de </w:t>
      </w:r>
      <w:proofErr w:type="spellStart"/>
      <w:r>
        <w:rPr>
          <w:i/>
          <w:iCs/>
        </w:rPr>
        <w:t>carry</w:t>
      </w:r>
      <w:proofErr w:type="spellEnd"/>
      <w:r>
        <w:rPr>
          <w:i/>
          <w:iCs/>
        </w:rPr>
        <w:t xml:space="preserve"> </w:t>
      </w:r>
      <w:proofErr w:type="spellStart"/>
      <w:r>
        <w:rPr>
          <w:i/>
          <w:iCs/>
        </w:rPr>
        <w:t>trade</w:t>
      </w:r>
      <w:proofErr w:type="spellEnd"/>
      <w:r>
        <w:t xml:space="preserve"> se han visto recompensadas con rendimientos positivos.</w:t>
      </w:r>
    </w:p>
  </w:footnote>
  <w:footnote w:id="47">
    <w:p w14:paraId="56377B1E" w14:textId="63623070" w:rsidR="00C65FB2" w:rsidRPr="00C65FB2" w:rsidRDefault="00C65FB2">
      <w:pPr>
        <w:pStyle w:val="Textonotapie"/>
        <w:rPr>
          <w:lang w:val="en-US"/>
        </w:rPr>
      </w:pPr>
      <w:r>
        <w:rPr>
          <w:rStyle w:val="Refdenotaalpie"/>
        </w:rPr>
        <w:footnoteRef/>
      </w:r>
      <w:r w:rsidRPr="00C65FB2">
        <w:rPr>
          <w:lang w:val="en-US"/>
        </w:rPr>
        <w:t xml:space="preserve"> The Peso problem</w:t>
      </w:r>
      <w:r>
        <w:rPr>
          <w:lang w:val="en-US"/>
        </w:rPr>
        <w:t xml:space="preserve"> </w:t>
      </w:r>
      <w:r w:rsidRPr="00C65FB2">
        <w:rPr>
          <w:lang w:val="en-US"/>
        </w:rPr>
        <w:t xml:space="preserve">in finance </w:t>
      </w:r>
      <w:r>
        <w:rPr>
          <w:lang w:val="en-US"/>
        </w:rPr>
        <w:t xml:space="preserve">is a problem which arises when </w:t>
      </w:r>
      <w:r w:rsidR="007E7984">
        <w:rPr>
          <w:lang w:val="en-US"/>
        </w:rPr>
        <w:t>“the possibility that some infrequent or unprecedented event may occur affects asset prices”. The difficulty or impossibility of predicting such an event creates problems in modeling the economy and financial markets by using the past. It is useful in various contexts</w:t>
      </w:r>
      <w:proofErr w:type="gramStart"/>
      <w:r w:rsidR="007E7984">
        <w:rPr>
          <w:lang w:val="en-US"/>
        </w:rPr>
        <w:t>, in particular, in</w:t>
      </w:r>
      <w:proofErr w:type="gramEnd"/>
      <w:r w:rsidR="007E7984">
        <w:rPr>
          <w:lang w:val="en-US"/>
        </w:rPr>
        <w:t xml:space="preserve"> analyzing the </w:t>
      </w:r>
      <w:r w:rsidR="007E7984" w:rsidRPr="007E7984">
        <w:rPr>
          <w:i/>
          <w:iCs/>
          <w:lang w:val="en-US"/>
        </w:rPr>
        <w:t>forward premium anomaly</w:t>
      </w:r>
      <w:r w:rsidR="007E7984">
        <w:rPr>
          <w:lang w:val="en-US"/>
        </w:rPr>
        <w:t>.</w:t>
      </w:r>
    </w:p>
  </w:footnote>
  <w:footnote w:id="48">
    <w:p w14:paraId="5056FBA7" w14:textId="77777777" w:rsidR="00937869" w:rsidRPr="00C65FB2" w:rsidRDefault="00937869" w:rsidP="00937869">
      <w:pPr>
        <w:pStyle w:val="Textonotapie"/>
        <w:rPr>
          <w:lang w:val="en-US"/>
        </w:rPr>
      </w:pPr>
      <w:r>
        <w:rPr>
          <w:rStyle w:val="Refdenotaalpie"/>
        </w:rPr>
        <w:footnoteRef/>
      </w:r>
      <w:r w:rsidRPr="00C65FB2">
        <w:rPr>
          <w:lang w:val="en-US"/>
        </w:rPr>
        <w:t xml:space="preserve"> </w:t>
      </w:r>
      <w:hyperlink r:id="rId8" w:history="1">
        <w:r w:rsidRPr="00C65FB2">
          <w:rPr>
            <w:rStyle w:val="Hipervnculo"/>
            <w:lang w:val="en-US"/>
          </w:rPr>
          <w:t>https://www.ifo.de/DocDL/cesifo1_wp1849.pdf</w:t>
        </w:r>
      </w:hyperlink>
    </w:p>
  </w:footnote>
  <w:footnote w:id="49">
    <w:p w14:paraId="550867DF" w14:textId="6E07F1B5" w:rsidR="00F54D3C" w:rsidRDefault="00F54D3C">
      <w:pPr>
        <w:pStyle w:val="Textonotapie"/>
      </w:pPr>
      <w:r>
        <w:rPr>
          <w:rStyle w:val="Refdenotaalpie"/>
        </w:rPr>
        <w:footnoteRef/>
      </w:r>
      <w:r>
        <w:t xml:space="preserve"> No obstante, según la PCI y la P</w:t>
      </w:r>
      <w:r w:rsidR="00316A28">
        <w:t>NC</w:t>
      </w:r>
      <w:r>
        <w:t xml:space="preserve">I, el diferencial del tipo de interés nacional respecto al internacional, </w:t>
      </w:r>
      <m:oMath>
        <m:r>
          <m:rPr>
            <m:nor/>
          </m:rPr>
          <w:rPr>
            <w:i/>
            <w:iCs/>
          </w:rPr>
          <m:t>i</m:t>
        </m:r>
        <m:r>
          <w:rPr>
            <w:rFonts w:ascii="Cambria Math" w:hAnsi="Cambria Math"/>
          </w:rPr>
          <m:t>-</m:t>
        </m:r>
        <m:r>
          <m:rPr>
            <m:nor/>
          </m:rPr>
          <w:rPr>
            <w:i/>
            <w:iCs/>
          </w:rPr>
          <m:t>i*</m:t>
        </m:r>
      </m:oMath>
      <w:r>
        <w:rPr>
          <w:rFonts w:eastAsiaTheme="minorEastAsia"/>
          <w:iCs/>
        </w:rPr>
        <w:t>, no produce una depreciación sino una apreciación, ya que entran capitales.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31A48BAF"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1EB07E8" w14:textId="6BBA4446" w:rsidR="00FD7152" w:rsidRPr="00C44422" w:rsidRDefault="0083034C" w:rsidP="00C4442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3.B.14</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309B047B" w14:textId="238351E7" w:rsidR="00FD7152" w:rsidRPr="00C44422" w:rsidRDefault="00111B9C" w:rsidP="00C44422">
              <w:pPr>
                <w:pStyle w:val="Encabezado"/>
                <w:spacing w:after="0"/>
                <w:ind w:right="-110"/>
                <w:contextualSpacing/>
                <w:jc w:val="center"/>
                <w:rPr>
                  <w:i/>
                  <w:iCs/>
                  <w:color w:val="5F2987"/>
                  <w:sz w:val="18"/>
                  <w:szCs w:val="18"/>
                </w:rPr>
              </w:pPr>
              <w:r>
                <w:rPr>
                  <w:i/>
                  <w:iCs/>
                  <w:color w:val="5F2987"/>
                  <w:sz w:val="18"/>
                  <w:szCs w:val="18"/>
                </w:rPr>
                <w:t>Teorías de la determinación del tipo de cambio.</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607BB2D" w14:textId="77777777" w:rsidR="00FD7152" w:rsidRPr="00C44422" w:rsidRDefault="00FD7152" w:rsidP="00C4442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08F865A"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07884534" w14:textId="77777777" w:rsidTr="009C4C2E">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A742BB4" w14:textId="0B57889E" w:rsidR="00837B5A" w:rsidRPr="00C44422" w:rsidRDefault="0083034C" w:rsidP="00C4442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3.B.14</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65BD7706" w14:textId="482B187B" w:rsidR="00837B5A" w:rsidRPr="00C44422" w:rsidRDefault="00111B9C" w:rsidP="00C44422">
              <w:pPr>
                <w:pStyle w:val="Encabezado"/>
                <w:spacing w:after="0"/>
                <w:ind w:right="-110"/>
                <w:contextualSpacing/>
                <w:jc w:val="center"/>
                <w:rPr>
                  <w:i/>
                  <w:iCs/>
                  <w:color w:val="5F2987"/>
                  <w:sz w:val="18"/>
                  <w:szCs w:val="18"/>
                </w:rPr>
              </w:pPr>
              <w:r>
                <w:rPr>
                  <w:i/>
                  <w:iCs/>
                  <w:color w:val="5F2987"/>
                  <w:sz w:val="18"/>
                  <w:szCs w:val="18"/>
                </w:rPr>
                <w:t>Teorías de la determinación del tipo de cambio.</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08C0AD4" w14:textId="77777777" w:rsidR="00837B5A" w:rsidRPr="00C44422" w:rsidRDefault="00837B5A" w:rsidP="00C4442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1D39BBC"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134F36E0" w14:textId="77777777" w:rsidTr="003E24D7">
      <w:tc>
        <w:tcPr>
          <w:tcW w:w="3261" w:type="dxa"/>
          <w:tcBorders>
            <w:bottom w:val="thickThinSmallGap" w:sz="12" w:space="0" w:color="5F2987"/>
          </w:tcBorders>
        </w:tcPr>
        <w:p w14:paraId="1B8F0DF0" w14:textId="0B18A9F7" w:rsidR="00FF77D1" w:rsidRPr="00BE1B62" w:rsidRDefault="00FF77D1" w:rsidP="003E24D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056F9E">
            <w:rPr>
              <w:i/>
              <w:iCs/>
              <w:color w:val="5F2987"/>
              <w:spacing w:val="-6"/>
              <w:sz w:val="18"/>
              <w:szCs w:val="18"/>
            </w:rPr>
            <w:fldChar w:fldCharType="begin"/>
          </w:r>
          <w:r w:rsidR="00056F9E">
            <w:rPr>
              <w:i/>
              <w:iCs/>
              <w:color w:val="5F2987"/>
              <w:spacing w:val="-6"/>
              <w:sz w:val="18"/>
              <w:szCs w:val="18"/>
            </w:rPr>
            <w:instrText xml:space="preserve"> SAVEDATE  \@ "dd/MM/yyyy"  \* MERGEFORMAT </w:instrText>
          </w:r>
          <w:r w:rsidR="00056F9E">
            <w:rPr>
              <w:i/>
              <w:iCs/>
              <w:color w:val="5F2987"/>
              <w:spacing w:val="-6"/>
              <w:sz w:val="18"/>
              <w:szCs w:val="18"/>
            </w:rPr>
            <w:fldChar w:fldCharType="separate"/>
          </w:r>
          <w:r w:rsidR="00A448D4">
            <w:rPr>
              <w:i/>
              <w:iCs/>
              <w:noProof/>
              <w:color w:val="5F2987"/>
              <w:spacing w:val="-6"/>
              <w:sz w:val="18"/>
              <w:szCs w:val="18"/>
            </w:rPr>
            <w:t>10/08/2024</w:t>
          </w:r>
          <w:r w:rsidR="00056F9E">
            <w:rPr>
              <w:i/>
              <w:iCs/>
              <w:color w:val="5F2987"/>
              <w:spacing w:val="-6"/>
              <w:sz w:val="18"/>
              <w:szCs w:val="18"/>
            </w:rPr>
            <w:fldChar w:fldCharType="end"/>
          </w:r>
        </w:p>
      </w:tc>
      <w:tc>
        <w:tcPr>
          <w:tcW w:w="4819" w:type="dxa"/>
          <w:tcBorders>
            <w:bottom w:val="thickThinSmallGap" w:sz="12" w:space="0" w:color="5F2987"/>
          </w:tcBorders>
        </w:tcPr>
        <w:p w14:paraId="5A167053" w14:textId="77777777" w:rsidR="00FF77D1" w:rsidRPr="00BE1B62" w:rsidRDefault="00FF77D1" w:rsidP="003E24D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29E00C93" w14:textId="32B73A29" w:rsidR="00FF77D1" w:rsidRPr="00BE1B62" w:rsidRDefault="0083034C" w:rsidP="003E24D7">
              <w:pPr>
                <w:pStyle w:val="Encabezado"/>
                <w:spacing w:after="0"/>
                <w:jc w:val="right"/>
                <w:rPr>
                  <w:i/>
                  <w:iCs/>
                  <w:color w:val="5F2987"/>
                  <w:spacing w:val="-6"/>
                  <w:sz w:val="18"/>
                  <w:szCs w:val="18"/>
                </w:rPr>
              </w:pPr>
              <w:r>
                <w:rPr>
                  <w:i/>
                  <w:iCs/>
                  <w:color w:val="5F2987"/>
                  <w:spacing w:val="-6"/>
                  <w:sz w:val="20"/>
                  <w:szCs w:val="20"/>
                </w:rPr>
                <w:t>3.B.14</w:t>
              </w:r>
            </w:p>
          </w:tc>
        </w:sdtContent>
      </w:sdt>
    </w:tr>
  </w:tbl>
  <w:p w14:paraId="60F8F030" w14:textId="77777777" w:rsidR="002756C0" w:rsidRPr="00BE1B62" w:rsidRDefault="002756C0" w:rsidP="003E24D7">
    <w:pPr>
      <w:pStyle w:val="Encabezado"/>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6265D62"/>
    <w:multiLevelType w:val="hybridMultilevel"/>
    <w:tmpl w:val="9118E2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E8474F7"/>
    <w:multiLevelType w:val="hybridMultilevel"/>
    <w:tmpl w:val="DF94D096"/>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09D69FC"/>
    <w:multiLevelType w:val="hybridMultilevel"/>
    <w:tmpl w:val="72209354"/>
    <w:lvl w:ilvl="0" w:tplc="6DC224A2">
      <w:start w:val="1"/>
      <w:numFmt w:val="lowerLetter"/>
      <w:lvlText w:val="%1)"/>
      <w:lvlJc w:val="left"/>
      <w:pPr>
        <w:ind w:left="402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9"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9C2440"/>
    <w:multiLevelType w:val="hybridMultilevel"/>
    <w:tmpl w:val="9E940EF6"/>
    <w:lvl w:ilvl="0" w:tplc="FFFFFFFF">
      <w:start w:val="1"/>
      <w:numFmt w:val="lowerLetter"/>
      <w:lvlText w:val="%1."/>
      <w:lvlJc w:val="left"/>
      <w:pPr>
        <w:ind w:left="1146" w:hanging="360"/>
      </w:pPr>
      <w:rPr>
        <w:i/>
        <w:iCs/>
      </w:rPr>
    </w:lvl>
    <w:lvl w:ilvl="1" w:tplc="F23ECD64">
      <w:start w:val="1"/>
      <w:numFmt w:val="bullet"/>
      <w:lvlText w:val="▫"/>
      <w:lvlJc w:val="left"/>
      <w:pPr>
        <w:ind w:left="2149" w:hanging="360"/>
      </w:pPr>
      <w:rPr>
        <w:rFonts w:ascii="Palatino Linotype" w:hAnsi="Palatino Linotype" w:hint="default"/>
      </w:rPr>
    </w:lvl>
    <w:lvl w:ilvl="2" w:tplc="1F30EE3E">
      <w:start w:val="1"/>
      <w:numFmt w:val="decimal"/>
      <w:lvlText w:val="%3)"/>
      <w:lvlJc w:val="left"/>
      <w:pPr>
        <w:ind w:left="2766" w:hanging="360"/>
      </w:pPr>
      <w:rPr>
        <w:rFonts w:hint="default"/>
        <w:b w:val="0"/>
        <w:bCs/>
      </w:rPr>
    </w:lvl>
    <w:lvl w:ilvl="3" w:tplc="0ABC2A14">
      <w:start w:val="1"/>
      <w:numFmt w:val="decimal"/>
      <w:lvlText w:val="%4."/>
      <w:lvlJc w:val="left"/>
      <w:pPr>
        <w:ind w:left="3306" w:hanging="360"/>
      </w:pPr>
      <w:rPr>
        <w:rFonts w:hint="default"/>
      </w:rPr>
    </w:lvl>
    <w:lvl w:ilvl="4" w:tplc="6DC224A2">
      <w:start w:val="1"/>
      <w:numFmt w:val="lowerLetter"/>
      <w:lvlText w:val="%5)"/>
      <w:lvlJc w:val="left"/>
      <w:pPr>
        <w:ind w:left="4026" w:hanging="360"/>
      </w:pPr>
      <w:rPr>
        <w:rFonts w:hint="default"/>
      </w:r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747D0E"/>
    <w:multiLevelType w:val="hybridMultilevel"/>
    <w:tmpl w:val="E3BAE086"/>
    <w:lvl w:ilvl="0" w:tplc="79621026">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3" w15:restartNumberingAfterBreak="0">
    <w:nsid w:val="484E0A1C"/>
    <w:multiLevelType w:val="hybridMultilevel"/>
    <w:tmpl w:val="8DD803E2"/>
    <w:lvl w:ilvl="0" w:tplc="67ACBE82">
      <w:start w:val="1"/>
      <w:numFmt w:val="decimal"/>
      <w:lvlText w:val="%1."/>
      <w:lvlJc w:val="right"/>
      <w:pPr>
        <w:ind w:left="720" w:hanging="360"/>
      </w:pPr>
      <w:rPr>
        <w:rFonts w:hint="default"/>
        <w:i w:val="0"/>
        <w:iCs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234C13"/>
    <w:multiLevelType w:val="hybridMultilevel"/>
    <w:tmpl w:val="B19AF78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FB7C1A"/>
    <w:multiLevelType w:val="multilevel"/>
    <w:tmpl w:val="0809001D"/>
    <w:numStyleLink w:val="Lista1"/>
  </w:abstractNum>
  <w:abstractNum w:abstractNumId="2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F1432A5"/>
    <w:multiLevelType w:val="hybridMultilevel"/>
    <w:tmpl w:val="5ACA4E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6" w15:restartNumberingAfterBreak="0">
    <w:nsid w:val="7D090335"/>
    <w:multiLevelType w:val="hybridMultilevel"/>
    <w:tmpl w:val="C8C4C1C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EB2575E"/>
    <w:multiLevelType w:val="hybridMultilevel"/>
    <w:tmpl w:val="AE58E408"/>
    <w:lvl w:ilvl="0" w:tplc="3B06DDC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05827051">
    <w:abstractNumId w:val="11"/>
  </w:num>
  <w:num w:numId="2" w16cid:durableId="803546096">
    <w:abstractNumId w:val="34"/>
  </w:num>
  <w:num w:numId="3" w16cid:durableId="1394621497">
    <w:abstractNumId w:val="17"/>
  </w:num>
  <w:num w:numId="4" w16cid:durableId="1024332154">
    <w:abstractNumId w:val="29"/>
  </w:num>
  <w:num w:numId="5" w16cid:durableId="1676571984">
    <w:abstractNumId w:val="18"/>
  </w:num>
  <w:num w:numId="6" w16cid:durableId="647707617">
    <w:abstractNumId w:val="21"/>
  </w:num>
  <w:num w:numId="7" w16cid:durableId="1728919041">
    <w:abstractNumId w:val="18"/>
    <w:lvlOverride w:ilvl="0">
      <w:startOverride w:val="1"/>
    </w:lvlOverride>
  </w:num>
  <w:num w:numId="8" w16cid:durableId="902720443">
    <w:abstractNumId w:val="18"/>
    <w:lvlOverride w:ilvl="0">
      <w:startOverride w:val="1"/>
    </w:lvlOverride>
  </w:num>
  <w:num w:numId="9" w16cid:durableId="2135365658">
    <w:abstractNumId w:val="18"/>
    <w:lvlOverride w:ilvl="0">
      <w:startOverride w:val="1"/>
    </w:lvlOverride>
  </w:num>
  <w:num w:numId="10" w16cid:durableId="100029925">
    <w:abstractNumId w:val="18"/>
    <w:lvlOverride w:ilvl="0">
      <w:startOverride w:val="1"/>
    </w:lvlOverride>
  </w:num>
  <w:num w:numId="11" w16cid:durableId="1415324079">
    <w:abstractNumId w:val="10"/>
  </w:num>
  <w:num w:numId="12" w16cid:durableId="1323123980">
    <w:abstractNumId w:val="13"/>
  </w:num>
  <w:num w:numId="13" w16cid:durableId="431823948">
    <w:abstractNumId w:val="18"/>
    <w:lvlOverride w:ilvl="0">
      <w:startOverride w:val="1"/>
    </w:lvlOverride>
  </w:num>
  <w:num w:numId="14" w16cid:durableId="890460590">
    <w:abstractNumId w:val="29"/>
    <w:lvlOverride w:ilvl="0">
      <w:startOverride w:val="1"/>
    </w:lvlOverride>
  </w:num>
  <w:num w:numId="15" w16cid:durableId="2010403737">
    <w:abstractNumId w:val="14"/>
  </w:num>
  <w:num w:numId="16" w16cid:durableId="1541894386">
    <w:abstractNumId w:val="20"/>
  </w:num>
  <w:num w:numId="17" w16cid:durableId="509763047">
    <w:abstractNumId w:val="18"/>
    <w:lvlOverride w:ilvl="0">
      <w:startOverride w:val="1"/>
    </w:lvlOverride>
  </w:num>
  <w:num w:numId="18" w16cid:durableId="63993811">
    <w:abstractNumId w:val="18"/>
    <w:lvlOverride w:ilvl="0">
      <w:startOverride w:val="1"/>
    </w:lvlOverride>
  </w:num>
  <w:num w:numId="19" w16cid:durableId="292714576">
    <w:abstractNumId w:val="10"/>
    <w:lvlOverride w:ilvl="0">
      <w:startOverride w:val="1"/>
    </w:lvlOverride>
  </w:num>
  <w:num w:numId="20" w16cid:durableId="1174999097">
    <w:abstractNumId w:val="30"/>
  </w:num>
  <w:num w:numId="21" w16cid:durableId="54396067">
    <w:abstractNumId w:val="32"/>
  </w:num>
  <w:num w:numId="22" w16cid:durableId="332681122">
    <w:abstractNumId w:val="35"/>
  </w:num>
  <w:num w:numId="23" w16cid:durableId="1228109354">
    <w:abstractNumId w:val="16"/>
  </w:num>
  <w:num w:numId="24" w16cid:durableId="169297159">
    <w:abstractNumId w:val="27"/>
  </w:num>
  <w:num w:numId="25" w16cid:durableId="1889026215">
    <w:abstractNumId w:val="25"/>
  </w:num>
  <w:num w:numId="26" w16cid:durableId="2142796025">
    <w:abstractNumId w:val="9"/>
  </w:num>
  <w:num w:numId="27" w16cid:durableId="1291591631">
    <w:abstractNumId w:val="7"/>
  </w:num>
  <w:num w:numId="28" w16cid:durableId="1965690042">
    <w:abstractNumId w:val="6"/>
  </w:num>
  <w:num w:numId="29" w16cid:durableId="1543244997">
    <w:abstractNumId w:val="5"/>
  </w:num>
  <w:num w:numId="30" w16cid:durableId="373625420">
    <w:abstractNumId w:val="4"/>
  </w:num>
  <w:num w:numId="31" w16cid:durableId="443772507">
    <w:abstractNumId w:val="8"/>
  </w:num>
  <w:num w:numId="32" w16cid:durableId="1834182745">
    <w:abstractNumId w:val="3"/>
  </w:num>
  <w:num w:numId="33" w16cid:durableId="1859657292">
    <w:abstractNumId w:val="2"/>
  </w:num>
  <w:num w:numId="34" w16cid:durableId="208297866">
    <w:abstractNumId w:val="1"/>
  </w:num>
  <w:num w:numId="35" w16cid:durableId="1850483417">
    <w:abstractNumId w:val="0"/>
  </w:num>
  <w:num w:numId="36" w16cid:durableId="648826464">
    <w:abstractNumId w:val="33"/>
  </w:num>
  <w:num w:numId="37" w16cid:durableId="202059638">
    <w:abstractNumId w:val="19"/>
  </w:num>
  <w:num w:numId="38" w16cid:durableId="7665390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5596124">
    <w:abstractNumId w:val="26"/>
  </w:num>
  <w:num w:numId="40" w16cid:durableId="595289029">
    <w:abstractNumId w:val="37"/>
  </w:num>
  <w:num w:numId="41" w16cid:durableId="1799257036">
    <w:abstractNumId w:val="12"/>
  </w:num>
  <w:num w:numId="42" w16cid:durableId="1743017114">
    <w:abstractNumId w:val="31"/>
  </w:num>
  <w:num w:numId="43" w16cid:durableId="693112193">
    <w:abstractNumId w:val="22"/>
  </w:num>
  <w:num w:numId="44" w16cid:durableId="941767258">
    <w:abstractNumId w:val="24"/>
  </w:num>
  <w:num w:numId="45" w16cid:durableId="471824474">
    <w:abstractNumId w:val="36"/>
  </w:num>
  <w:num w:numId="46" w16cid:durableId="427970118">
    <w:abstractNumId w:val="15"/>
  </w:num>
  <w:num w:numId="47" w16cid:durableId="2064673076">
    <w:abstractNumId w:val="23"/>
  </w:num>
  <w:num w:numId="48" w16cid:durableId="1562516768">
    <w:abstractNumId w:val="28"/>
  </w:num>
  <w:num w:numId="49" w16cid:durableId="1718509194">
    <w:abstractNumId w:val="18"/>
    <w:lvlOverride w:ilvl="0">
      <w:startOverride w:val="1"/>
    </w:lvlOverride>
  </w:num>
  <w:num w:numId="50" w16cid:durableId="610943617">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14"/>
    <w:rsid w:val="000002B3"/>
    <w:rsid w:val="00000DC1"/>
    <w:rsid w:val="00002579"/>
    <w:rsid w:val="000121D4"/>
    <w:rsid w:val="00024C5B"/>
    <w:rsid w:val="0002549F"/>
    <w:rsid w:val="00026AD7"/>
    <w:rsid w:val="00031D43"/>
    <w:rsid w:val="00034787"/>
    <w:rsid w:val="00035AF7"/>
    <w:rsid w:val="00037836"/>
    <w:rsid w:val="00044055"/>
    <w:rsid w:val="0004722C"/>
    <w:rsid w:val="00050DE2"/>
    <w:rsid w:val="00052BBA"/>
    <w:rsid w:val="00056F9E"/>
    <w:rsid w:val="000579DC"/>
    <w:rsid w:val="00061DD1"/>
    <w:rsid w:val="00062E91"/>
    <w:rsid w:val="000641A4"/>
    <w:rsid w:val="00064516"/>
    <w:rsid w:val="00065097"/>
    <w:rsid w:val="0006593D"/>
    <w:rsid w:val="00066A5E"/>
    <w:rsid w:val="00071516"/>
    <w:rsid w:val="00076B3A"/>
    <w:rsid w:val="00080F22"/>
    <w:rsid w:val="000835F4"/>
    <w:rsid w:val="00086568"/>
    <w:rsid w:val="000900FB"/>
    <w:rsid w:val="000908D6"/>
    <w:rsid w:val="0009291D"/>
    <w:rsid w:val="000948F1"/>
    <w:rsid w:val="00095648"/>
    <w:rsid w:val="00096A8A"/>
    <w:rsid w:val="000A01B0"/>
    <w:rsid w:val="000A0697"/>
    <w:rsid w:val="000A07DB"/>
    <w:rsid w:val="000A3137"/>
    <w:rsid w:val="000A5109"/>
    <w:rsid w:val="000A70AC"/>
    <w:rsid w:val="000B11A9"/>
    <w:rsid w:val="000B1405"/>
    <w:rsid w:val="000B1957"/>
    <w:rsid w:val="000B1B99"/>
    <w:rsid w:val="000B3ACA"/>
    <w:rsid w:val="000B60E2"/>
    <w:rsid w:val="000B74B2"/>
    <w:rsid w:val="000C0800"/>
    <w:rsid w:val="000D0C40"/>
    <w:rsid w:val="000D33A8"/>
    <w:rsid w:val="000D36BA"/>
    <w:rsid w:val="000D54DD"/>
    <w:rsid w:val="000D6891"/>
    <w:rsid w:val="000E10A4"/>
    <w:rsid w:val="000E275D"/>
    <w:rsid w:val="000E31E6"/>
    <w:rsid w:val="000E348A"/>
    <w:rsid w:val="000E3517"/>
    <w:rsid w:val="000E5983"/>
    <w:rsid w:val="000E71C3"/>
    <w:rsid w:val="00103B5E"/>
    <w:rsid w:val="00103D02"/>
    <w:rsid w:val="00103E36"/>
    <w:rsid w:val="00104CD9"/>
    <w:rsid w:val="0011031E"/>
    <w:rsid w:val="00111B9C"/>
    <w:rsid w:val="00124C14"/>
    <w:rsid w:val="001255B3"/>
    <w:rsid w:val="001337A5"/>
    <w:rsid w:val="00137FAF"/>
    <w:rsid w:val="001410D0"/>
    <w:rsid w:val="0014123E"/>
    <w:rsid w:val="001466D9"/>
    <w:rsid w:val="0015013E"/>
    <w:rsid w:val="001516F4"/>
    <w:rsid w:val="0015287A"/>
    <w:rsid w:val="00152AC7"/>
    <w:rsid w:val="0015757C"/>
    <w:rsid w:val="00160C77"/>
    <w:rsid w:val="0016795D"/>
    <w:rsid w:val="001703F6"/>
    <w:rsid w:val="001705E1"/>
    <w:rsid w:val="00170897"/>
    <w:rsid w:val="00174513"/>
    <w:rsid w:val="001754CE"/>
    <w:rsid w:val="00185532"/>
    <w:rsid w:val="001869B6"/>
    <w:rsid w:val="001942CE"/>
    <w:rsid w:val="001957CC"/>
    <w:rsid w:val="00195819"/>
    <w:rsid w:val="001B16D4"/>
    <w:rsid w:val="001B2163"/>
    <w:rsid w:val="001B5AF7"/>
    <w:rsid w:val="001B6B74"/>
    <w:rsid w:val="001D47BD"/>
    <w:rsid w:val="001D6647"/>
    <w:rsid w:val="001E17AC"/>
    <w:rsid w:val="001E2098"/>
    <w:rsid w:val="001E6DF1"/>
    <w:rsid w:val="00200172"/>
    <w:rsid w:val="00202C93"/>
    <w:rsid w:val="00204B41"/>
    <w:rsid w:val="0021133C"/>
    <w:rsid w:val="0021564C"/>
    <w:rsid w:val="0021676D"/>
    <w:rsid w:val="002174C9"/>
    <w:rsid w:val="0021754E"/>
    <w:rsid w:val="0021774E"/>
    <w:rsid w:val="00225B15"/>
    <w:rsid w:val="0022677F"/>
    <w:rsid w:val="00226F84"/>
    <w:rsid w:val="0023036F"/>
    <w:rsid w:val="00231BDD"/>
    <w:rsid w:val="0023766A"/>
    <w:rsid w:val="00241177"/>
    <w:rsid w:val="00247CA1"/>
    <w:rsid w:val="002505A0"/>
    <w:rsid w:val="00254714"/>
    <w:rsid w:val="00255452"/>
    <w:rsid w:val="00262B22"/>
    <w:rsid w:val="002658F0"/>
    <w:rsid w:val="00266823"/>
    <w:rsid w:val="0027131A"/>
    <w:rsid w:val="00274BDA"/>
    <w:rsid w:val="002756C0"/>
    <w:rsid w:val="00276B39"/>
    <w:rsid w:val="00280700"/>
    <w:rsid w:val="00281D7C"/>
    <w:rsid w:val="002837A0"/>
    <w:rsid w:val="00284EF6"/>
    <w:rsid w:val="00285F4B"/>
    <w:rsid w:val="002866BD"/>
    <w:rsid w:val="00286D8F"/>
    <w:rsid w:val="0029255D"/>
    <w:rsid w:val="00293498"/>
    <w:rsid w:val="00294AD7"/>
    <w:rsid w:val="00295F46"/>
    <w:rsid w:val="002A0ED1"/>
    <w:rsid w:val="002A1386"/>
    <w:rsid w:val="002A17D0"/>
    <w:rsid w:val="002A3679"/>
    <w:rsid w:val="002A5E1A"/>
    <w:rsid w:val="002A7603"/>
    <w:rsid w:val="002B2D78"/>
    <w:rsid w:val="002B2D87"/>
    <w:rsid w:val="002B3D31"/>
    <w:rsid w:val="002B70B1"/>
    <w:rsid w:val="002C3B14"/>
    <w:rsid w:val="002C6323"/>
    <w:rsid w:val="002C6439"/>
    <w:rsid w:val="002C6618"/>
    <w:rsid w:val="002C795F"/>
    <w:rsid w:val="002C7AC2"/>
    <w:rsid w:val="002D6782"/>
    <w:rsid w:val="002E0C48"/>
    <w:rsid w:val="002E1526"/>
    <w:rsid w:val="002E3ED7"/>
    <w:rsid w:val="002E5448"/>
    <w:rsid w:val="002E5F5F"/>
    <w:rsid w:val="002F3A6C"/>
    <w:rsid w:val="002F56F9"/>
    <w:rsid w:val="002F7FA3"/>
    <w:rsid w:val="00302A0E"/>
    <w:rsid w:val="00304CCB"/>
    <w:rsid w:val="003060BB"/>
    <w:rsid w:val="00306A04"/>
    <w:rsid w:val="00307C23"/>
    <w:rsid w:val="00311C92"/>
    <w:rsid w:val="00311D71"/>
    <w:rsid w:val="00311F35"/>
    <w:rsid w:val="00314C75"/>
    <w:rsid w:val="00316A28"/>
    <w:rsid w:val="0031762E"/>
    <w:rsid w:val="00321FB6"/>
    <w:rsid w:val="00324FF3"/>
    <w:rsid w:val="003252F6"/>
    <w:rsid w:val="00325A33"/>
    <w:rsid w:val="00325B00"/>
    <w:rsid w:val="00327331"/>
    <w:rsid w:val="003319E1"/>
    <w:rsid w:val="00331FF8"/>
    <w:rsid w:val="00333E42"/>
    <w:rsid w:val="00337605"/>
    <w:rsid w:val="00342486"/>
    <w:rsid w:val="00342648"/>
    <w:rsid w:val="00351130"/>
    <w:rsid w:val="00352E6C"/>
    <w:rsid w:val="00353272"/>
    <w:rsid w:val="00355EEA"/>
    <w:rsid w:val="003568AE"/>
    <w:rsid w:val="00357EBA"/>
    <w:rsid w:val="00357FF1"/>
    <w:rsid w:val="0036279C"/>
    <w:rsid w:val="00363C9F"/>
    <w:rsid w:val="00364519"/>
    <w:rsid w:val="00367FB3"/>
    <w:rsid w:val="003739F7"/>
    <w:rsid w:val="00382871"/>
    <w:rsid w:val="003847B1"/>
    <w:rsid w:val="00384A7C"/>
    <w:rsid w:val="00386F92"/>
    <w:rsid w:val="00387773"/>
    <w:rsid w:val="003918AB"/>
    <w:rsid w:val="003A5B62"/>
    <w:rsid w:val="003A67B8"/>
    <w:rsid w:val="003B04F7"/>
    <w:rsid w:val="003B1BA1"/>
    <w:rsid w:val="003B1BBF"/>
    <w:rsid w:val="003B3819"/>
    <w:rsid w:val="003C2265"/>
    <w:rsid w:val="003C7CCE"/>
    <w:rsid w:val="003C7F5E"/>
    <w:rsid w:val="003D1374"/>
    <w:rsid w:val="003D294C"/>
    <w:rsid w:val="003D3354"/>
    <w:rsid w:val="003D7B40"/>
    <w:rsid w:val="003E24D7"/>
    <w:rsid w:val="003E5C22"/>
    <w:rsid w:val="003E77BB"/>
    <w:rsid w:val="003F344C"/>
    <w:rsid w:val="003F529B"/>
    <w:rsid w:val="004005AD"/>
    <w:rsid w:val="00402B16"/>
    <w:rsid w:val="00403F4A"/>
    <w:rsid w:val="00404EC6"/>
    <w:rsid w:val="004060C0"/>
    <w:rsid w:val="00407522"/>
    <w:rsid w:val="004119C2"/>
    <w:rsid w:val="00412F18"/>
    <w:rsid w:val="004160AE"/>
    <w:rsid w:val="00417327"/>
    <w:rsid w:val="00422423"/>
    <w:rsid w:val="00422A3A"/>
    <w:rsid w:val="004245FE"/>
    <w:rsid w:val="0042562E"/>
    <w:rsid w:val="004263AB"/>
    <w:rsid w:val="00431AE3"/>
    <w:rsid w:val="00434642"/>
    <w:rsid w:val="004376B4"/>
    <w:rsid w:val="00443AA9"/>
    <w:rsid w:val="004464AC"/>
    <w:rsid w:val="00447376"/>
    <w:rsid w:val="004477E0"/>
    <w:rsid w:val="00447C0F"/>
    <w:rsid w:val="0045029B"/>
    <w:rsid w:val="0045038E"/>
    <w:rsid w:val="00453781"/>
    <w:rsid w:val="004545C6"/>
    <w:rsid w:val="004552F6"/>
    <w:rsid w:val="004567F5"/>
    <w:rsid w:val="0046017C"/>
    <w:rsid w:val="0046019E"/>
    <w:rsid w:val="00471325"/>
    <w:rsid w:val="004754A5"/>
    <w:rsid w:val="00477D38"/>
    <w:rsid w:val="00481E21"/>
    <w:rsid w:val="004832C1"/>
    <w:rsid w:val="00484419"/>
    <w:rsid w:val="00484A2E"/>
    <w:rsid w:val="0048737B"/>
    <w:rsid w:val="004927E6"/>
    <w:rsid w:val="004938D9"/>
    <w:rsid w:val="00495085"/>
    <w:rsid w:val="0049517F"/>
    <w:rsid w:val="004A088C"/>
    <w:rsid w:val="004A103B"/>
    <w:rsid w:val="004A2576"/>
    <w:rsid w:val="004A38C4"/>
    <w:rsid w:val="004A6BE1"/>
    <w:rsid w:val="004B6A1C"/>
    <w:rsid w:val="004C05F9"/>
    <w:rsid w:val="004C0C34"/>
    <w:rsid w:val="004C0D84"/>
    <w:rsid w:val="004C2EC7"/>
    <w:rsid w:val="004C465C"/>
    <w:rsid w:val="004C5DE5"/>
    <w:rsid w:val="004D111D"/>
    <w:rsid w:val="004D26D9"/>
    <w:rsid w:val="004D418D"/>
    <w:rsid w:val="004D5609"/>
    <w:rsid w:val="004D63C4"/>
    <w:rsid w:val="004E33A3"/>
    <w:rsid w:val="004E3CE3"/>
    <w:rsid w:val="004E4BD5"/>
    <w:rsid w:val="004E52A4"/>
    <w:rsid w:val="004E7EFD"/>
    <w:rsid w:val="004F062F"/>
    <w:rsid w:val="004F1C83"/>
    <w:rsid w:val="004F3DEE"/>
    <w:rsid w:val="00501786"/>
    <w:rsid w:val="005027F0"/>
    <w:rsid w:val="00502A72"/>
    <w:rsid w:val="0050457C"/>
    <w:rsid w:val="005057F8"/>
    <w:rsid w:val="0050592F"/>
    <w:rsid w:val="0051055E"/>
    <w:rsid w:val="00510FB5"/>
    <w:rsid w:val="005111F5"/>
    <w:rsid w:val="00513AE1"/>
    <w:rsid w:val="00517795"/>
    <w:rsid w:val="005203C3"/>
    <w:rsid w:val="0052273D"/>
    <w:rsid w:val="005307A0"/>
    <w:rsid w:val="0053175A"/>
    <w:rsid w:val="00534118"/>
    <w:rsid w:val="00536EFA"/>
    <w:rsid w:val="00537ECB"/>
    <w:rsid w:val="00542E09"/>
    <w:rsid w:val="00550E4F"/>
    <w:rsid w:val="0055420B"/>
    <w:rsid w:val="00554E7A"/>
    <w:rsid w:val="00555CEA"/>
    <w:rsid w:val="00556F6E"/>
    <w:rsid w:val="0056215A"/>
    <w:rsid w:val="00562AA1"/>
    <w:rsid w:val="00564060"/>
    <w:rsid w:val="00564A58"/>
    <w:rsid w:val="0057254F"/>
    <w:rsid w:val="00572558"/>
    <w:rsid w:val="005727D1"/>
    <w:rsid w:val="00573B0C"/>
    <w:rsid w:val="00581AC9"/>
    <w:rsid w:val="005858E2"/>
    <w:rsid w:val="00592729"/>
    <w:rsid w:val="00592811"/>
    <w:rsid w:val="00594683"/>
    <w:rsid w:val="00596A61"/>
    <w:rsid w:val="005A0192"/>
    <w:rsid w:val="005A092C"/>
    <w:rsid w:val="005A142C"/>
    <w:rsid w:val="005A21EC"/>
    <w:rsid w:val="005A3B38"/>
    <w:rsid w:val="005B4FE2"/>
    <w:rsid w:val="005B7954"/>
    <w:rsid w:val="005B7D38"/>
    <w:rsid w:val="005C131B"/>
    <w:rsid w:val="005C265E"/>
    <w:rsid w:val="005C581F"/>
    <w:rsid w:val="005C61F3"/>
    <w:rsid w:val="005C777E"/>
    <w:rsid w:val="005D524D"/>
    <w:rsid w:val="005D5519"/>
    <w:rsid w:val="005D5AF4"/>
    <w:rsid w:val="005D7E1C"/>
    <w:rsid w:val="005E3351"/>
    <w:rsid w:val="005E3F44"/>
    <w:rsid w:val="005E53B9"/>
    <w:rsid w:val="005E7105"/>
    <w:rsid w:val="005E71AB"/>
    <w:rsid w:val="005F0C11"/>
    <w:rsid w:val="005F1766"/>
    <w:rsid w:val="005F6DC3"/>
    <w:rsid w:val="005F7BBC"/>
    <w:rsid w:val="00601761"/>
    <w:rsid w:val="00602888"/>
    <w:rsid w:val="0060664A"/>
    <w:rsid w:val="00606E13"/>
    <w:rsid w:val="006142E7"/>
    <w:rsid w:val="00616E22"/>
    <w:rsid w:val="006208DA"/>
    <w:rsid w:val="0062112A"/>
    <w:rsid w:val="006225DE"/>
    <w:rsid w:val="006247CC"/>
    <w:rsid w:val="00625779"/>
    <w:rsid w:val="00630A80"/>
    <w:rsid w:val="00630D0B"/>
    <w:rsid w:val="00635D23"/>
    <w:rsid w:val="00636938"/>
    <w:rsid w:val="00636F4C"/>
    <w:rsid w:val="00640D23"/>
    <w:rsid w:val="006412ED"/>
    <w:rsid w:val="00644231"/>
    <w:rsid w:val="006456A9"/>
    <w:rsid w:val="00646DBE"/>
    <w:rsid w:val="0064717B"/>
    <w:rsid w:val="00647A00"/>
    <w:rsid w:val="00651CB4"/>
    <w:rsid w:val="00651F08"/>
    <w:rsid w:val="006537C7"/>
    <w:rsid w:val="0065657E"/>
    <w:rsid w:val="00665673"/>
    <w:rsid w:val="00667521"/>
    <w:rsid w:val="00675EA9"/>
    <w:rsid w:val="00680642"/>
    <w:rsid w:val="00684229"/>
    <w:rsid w:val="0068426C"/>
    <w:rsid w:val="00685950"/>
    <w:rsid w:val="00692FA1"/>
    <w:rsid w:val="00693B21"/>
    <w:rsid w:val="00693E74"/>
    <w:rsid w:val="0069405C"/>
    <w:rsid w:val="006A2C6E"/>
    <w:rsid w:val="006A31EB"/>
    <w:rsid w:val="006B0C7E"/>
    <w:rsid w:val="006B35C8"/>
    <w:rsid w:val="006B650E"/>
    <w:rsid w:val="006B6734"/>
    <w:rsid w:val="006C69B3"/>
    <w:rsid w:val="006C756B"/>
    <w:rsid w:val="006E1CC7"/>
    <w:rsid w:val="006E21EC"/>
    <w:rsid w:val="006E6087"/>
    <w:rsid w:val="006F1480"/>
    <w:rsid w:val="006F20BF"/>
    <w:rsid w:val="006F64E1"/>
    <w:rsid w:val="00702869"/>
    <w:rsid w:val="007036EB"/>
    <w:rsid w:val="00710C21"/>
    <w:rsid w:val="00710C73"/>
    <w:rsid w:val="00711593"/>
    <w:rsid w:val="00712FD3"/>
    <w:rsid w:val="00720ACB"/>
    <w:rsid w:val="00724BD9"/>
    <w:rsid w:val="00726F45"/>
    <w:rsid w:val="0073107B"/>
    <w:rsid w:val="0073217E"/>
    <w:rsid w:val="007345AB"/>
    <w:rsid w:val="00735B77"/>
    <w:rsid w:val="007402FC"/>
    <w:rsid w:val="00740C1B"/>
    <w:rsid w:val="00741B8A"/>
    <w:rsid w:val="00747D16"/>
    <w:rsid w:val="0075013F"/>
    <w:rsid w:val="00753EC9"/>
    <w:rsid w:val="00755A7D"/>
    <w:rsid w:val="00764940"/>
    <w:rsid w:val="0076744D"/>
    <w:rsid w:val="00767EBD"/>
    <w:rsid w:val="00772CED"/>
    <w:rsid w:val="00773BEB"/>
    <w:rsid w:val="0077692A"/>
    <w:rsid w:val="007770BC"/>
    <w:rsid w:val="00780B65"/>
    <w:rsid w:val="007833D6"/>
    <w:rsid w:val="0079044D"/>
    <w:rsid w:val="00791138"/>
    <w:rsid w:val="00791B2C"/>
    <w:rsid w:val="007939C7"/>
    <w:rsid w:val="007A524C"/>
    <w:rsid w:val="007A52E1"/>
    <w:rsid w:val="007B00B3"/>
    <w:rsid w:val="007B25F9"/>
    <w:rsid w:val="007C4B12"/>
    <w:rsid w:val="007D4C76"/>
    <w:rsid w:val="007D6D03"/>
    <w:rsid w:val="007D7B56"/>
    <w:rsid w:val="007E42D5"/>
    <w:rsid w:val="007E4A7C"/>
    <w:rsid w:val="007E590B"/>
    <w:rsid w:val="007E7984"/>
    <w:rsid w:val="007F02D6"/>
    <w:rsid w:val="007F4702"/>
    <w:rsid w:val="00805E5F"/>
    <w:rsid w:val="008113B4"/>
    <w:rsid w:val="00811AC4"/>
    <w:rsid w:val="00812700"/>
    <w:rsid w:val="00812821"/>
    <w:rsid w:val="008142B0"/>
    <w:rsid w:val="0081544B"/>
    <w:rsid w:val="008233F9"/>
    <w:rsid w:val="00824408"/>
    <w:rsid w:val="00825DC4"/>
    <w:rsid w:val="008274D7"/>
    <w:rsid w:val="00827955"/>
    <w:rsid w:val="0083034C"/>
    <w:rsid w:val="00831D05"/>
    <w:rsid w:val="00832523"/>
    <w:rsid w:val="00832BC1"/>
    <w:rsid w:val="0083472A"/>
    <w:rsid w:val="00834F33"/>
    <w:rsid w:val="00837B5A"/>
    <w:rsid w:val="00844EE4"/>
    <w:rsid w:val="00851F47"/>
    <w:rsid w:val="00856C38"/>
    <w:rsid w:val="008570E6"/>
    <w:rsid w:val="0086404B"/>
    <w:rsid w:val="00864E92"/>
    <w:rsid w:val="008653F0"/>
    <w:rsid w:val="008665CC"/>
    <w:rsid w:val="00873E04"/>
    <w:rsid w:val="008740A3"/>
    <w:rsid w:val="008747F1"/>
    <w:rsid w:val="008762F1"/>
    <w:rsid w:val="008764F9"/>
    <w:rsid w:val="00880683"/>
    <w:rsid w:val="00881498"/>
    <w:rsid w:val="0088235D"/>
    <w:rsid w:val="008872EC"/>
    <w:rsid w:val="0089045C"/>
    <w:rsid w:val="00891C06"/>
    <w:rsid w:val="00893793"/>
    <w:rsid w:val="008937DA"/>
    <w:rsid w:val="008956FA"/>
    <w:rsid w:val="00895734"/>
    <w:rsid w:val="008967C9"/>
    <w:rsid w:val="008A70E4"/>
    <w:rsid w:val="008A75A3"/>
    <w:rsid w:val="008B12E1"/>
    <w:rsid w:val="008B3272"/>
    <w:rsid w:val="008B6A7A"/>
    <w:rsid w:val="008C31A1"/>
    <w:rsid w:val="008C52EE"/>
    <w:rsid w:val="008C7816"/>
    <w:rsid w:val="008D435E"/>
    <w:rsid w:val="008E15D4"/>
    <w:rsid w:val="008E1805"/>
    <w:rsid w:val="008E2DA4"/>
    <w:rsid w:val="008E5500"/>
    <w:rsid w:val="008E72AA"/>
    <w:rsid w:val="008F2ABD"/>
    <w:rsid w:val="008F4407"/>
    <w:rsid w:val="008F60AD"/>
    <w:rsid w:val="008F677F"/>
    <w:rsid w:val="008F6B84"/>
    <w:rsid w:val="008F7503"/>
    <w:rsid w:val="00900D26"/>
    <w:rsid w:val="00901928"/>
    <w:rsid w:val="00902861"/>
    <w:rsid w:val="00904D4C"/>
    <w:rsid w:val="0091490E"/>
    <w:rsid w:val="0091670D"/>
    <w:rsid w:val="009170EC"/>
    <w:rsid w:val="009226A9"/>
    <w:rsid w:val="00926735"/>
    <w:rsid w:val="009342FE"/>
    <w:rsid w:val="00934551"/>
    <w:rsid w:val="00937869"/>
    <w:rsid w:val="00940044"/>
    <w:rsid w:val="00940C73"/>
    <w:rsid w:val="00955817"/>
    <w:rsid w:val="00962F13"/>
    <w:rsid w:val="00963AE8"/>
    <w:rsid w:val="0096481D"/>
    <w:rsid w:val="00971031"/>
    <w:rsid w:val="009742DD"/>
    <w:rsid w:val="009774CB"/>
    <w:rsid w:val="009813CF"/>
    <w:rsid w:val="00981A85"/>
    <w:rsid w:val="00981B03"/>
    <w:rsid w:val="00981F11"/>
    <w:rsid w:val="00982D11"/>
    <w:rsid w:val="00983087"/>
    <w:rsid w:val="00983EC3"/>
    <w:rsid w:val="00983FC5"/>
    <w:rsid w:val="0098492F"/>
    <w:rsid w:val="0098760C"/>
    <w:rsid w:val="00987FB4"/>
    <w:rsid w:val="00993AEF"/>
    <w:rsid w:val="009959A3"/>
    <w:rsid w:val="009A07A2"/>
    <w:rsid w:val="009A37AF"/>
    <w:rsid w:val="009A6D69"/>
    <w:rsid w:val="009B0E1C"/>
    <w:rsid w:val="009B7CCA"/>
    <w:rsid w:val="009C4C2E"/>
    <w:rsid w:val="009C531D"/>
    <w:rsid w:val="009C61AF"/>
    <w:rsid w:val="009C69E8"/>
    <w:rsid w:val="009C7065"/>
    <w:rsid w:val="009C7E0D"/>
    <w:rsid w:val="009D1C49"/>
    <w:rsid w:val="009D5A22"/>
    <w:rsid w:val="009E0697"/>
    <w:rsid w:val="009E25C7"/>
    <w:rsid w:val="009E489B"/>
    <w:rsid w:val="009E71EC"/>
    <w:rsid w:val="009F6E99"/>
    <w:rsid w:val="00A0090A"/>
    <w:rsid w:val="00A00F54"/>
    <w:rsid w:val="00A02C0A"/>
    <w:rsid w:val="00A03356"/>
    <w:rsid w:val="00A04349"/>
    <w:rsid w:val="00A05DBD"/>
    <w:rsid w:val="00A079DF"/>
    <w:rsid w:val="00A07FD9"/>
    <w:rsid w:val="00A116B6"/>
    <w:rsid w:val="00A12206"/>
    <w:rsid w:val="00A168F2"/>
    <w:rsid w:val="00A200F2"/>
    <w:rsid w:val="00A20BF3"/>
    <w:rsid w:val="00A22479"/>
    <w:rsid w:val="00A22A02"/>
    <w:rsid w:val="00A234D9"/>
    <w:rsid w:val="00A24814"/>
    <w:rsid w:val="00A24D4B"/>
    <w:rsid w:val="00A27B24"/>
    <w:rsid w:val="00A27F53"/>
    <w:rsid w:val="00A31427"/>
    <w:rsid w:val="00A404B0"/>
    <w:rsid w:val="00A4154A"/>
    <w:rsid w:val="00A42628"/>
    <w:rsid w:val="00A42B58"/>
    <w:rsid w:val="00A443E0"/>
    <w:rsid w:val="00A448D4"/>
    <w:rsid w:val="00A45C7E"/>
    <w:rsid w:val="00A47CC2"/>
    <w:rsid w:val="00A50D51"/>
    <w:rsid w:val="00A51B24"/>
    <w:rsid w:val="00A522A1"/>
    <w:rsid w:val="00A52E9A"/>
    <w:rsid w:val="00A5364C"/>
    <w:rsid w:val="00A54398"/>
    <w:rsid w:val="00A56DAC"/>
    <w:rsid w:val="00A6505E"/>
    <w:rsid w:val="00A653DF"/>
    <w:rsid w:val="00A657AD"/>
    <w:rsid w:val="00A65CFE"/>
    <w:rsid w:val="00A67E0F"/>
    <w:rsid w:val="00A73A52"/>
    <w:rsid w:val="00A73B5D"/>
    <w:rsid w:val="00A73F51"/>
    <w:rsid w:val="00A80BD4"/>
    <w:rsid w:val="00A82C22"/>
    <w:rsid w:val="00A82DAC"/>
    <w:rsid w:val="00A84CCD"/>
    <w:rsid w:val="00A876E2"/>
    <w:rsid w:val="00A87AF5"/>
    <w:rsid w:val="00A91828"/>
    <w:rsid w:val="00A93893"/>
    <w:rsid w:val="00A9410D"/>
    <w:rsid w:val="00A96BA0"/>
    <w:rsid w:val="00A97C1A"/>
    <w:rsid w:val="00AA1D8D"/>
    <w:rsid w:val="00AA3A12"/>
    <w:rsid w:val="00AB435E"/>
    <w:rsid w:val="00AC050D"/>
    <w:rsid w:val="00AC09F9"/>
    <w:rsid w:val="00AC1223"/>
    <w:rsid w:val="00AC16AC"/>
    <w:rsid w:val="00AC1C30"/>
    <w:rsid w:val="00AC4764"/>
    <w:rsid w:val="00AC65FF"/>
    <w:rsid w:val="00AC6BA6"/>
    <w:rsid w:val="00AC6F1B"/>
    <w:rsid w:val="00AD02BA"/>
    <w:rsid w:val="00AD047D"/>
    <w:rsid w:val="00AD34B6"/>
    <w:rsid w:val="00AD3A33"/>
    <w:rsid w:val="00AD3AC1"/>
    <w:rsid w:val="00AD472E"/>
    <w:rsid w:val="00AD4844"/>
    <w:rsid w:val="00AD5A8C"/>
    <w:rsid w:val="00AD60B0"/>
    <w:rsid w:val="00AD654E"/>
    <w:rsid w:val="00AD6AC9"/>
    <w:rsid w:val="00AE147A"/>
    <w:rsid w:val="00AE2CD8"/>
    <w:rsid w:val="00AF1499"/>
    <w:rsid w:val="00AF2969"/>
    <w:rsid w:val="00AF2B6D"/>
    <w:rsid w:val="00AF3476"/>
    <w:rsid w:val="00AF4F1E"/>
    <w:rsid w:val="00AF5E02"/>
    <w:rsid w:val="00AF6081"/>
    <w:rsid w:val="00B0080A"/>
    <w:rsid w:val="00B019B8"/>
    <w:rsid w:val="00B206CA"/>
    <w:rsid w:val="00B2111C"/>
    <w:rsid w:val="00B248BB"/>
    <w:rsid w:val="00B35265"/>
    <w:rsid w:val="00B404BC"/>
    <w:rsid w:val="00B463B4"/>
    <w:rsid w:val="00B479B3"/>
    <w:rsid w:val="00B50D06"/>
    <w:rsid w:val="00B51A2F"/>
    <w:rsid w:val="00B52052"/>
    <w:rsid w:val="00B532F8"/>
    <w:rsid w:val="00B55227"/>
    <w:rsid w:val="00B56F2D"/>
    <w:rsid w:val="00B625AB"/>
    <w:rsid w:val="00B66D4A"/>
    <w:rsid w:val="00B67620"/>
    <w:rsid w:val="00B6766B"/>
    <w:rsid w:val="00B70943"/>
    <w:rsid w:val="00B7147A"/>
    <w:rsid w:val="00B72D55"/>
    <w:rsid w:val="00B74AB3"/>
    <w:rsid w:val="00B75046"/>
    <w:rsid w:val="00B750A6"/>
    <w:rsid w:val="00B77C0F"/>
    <w:rsid w:val="00B81CB2"/>
    <w:rsid w:val="00B861A7"/>
    <w:rsid w:val="00B9022F"/>
    <w:rsid w:val="00B90BC1"/>
    <w:rsid w:val="00B93400"/>
    <w:rsid w:val="00B937F6"/>
    <w:rsid w:val="00B939A3"/>
    <w:rsid w:val="00B949A4"/>
    <w:rsid w:val="00B94B2C"/>
    <w:rsid w:val="00B967D1"/>
    <w:rsid w:val="00B96D15"/>
    <w:rsid w:val="00BA16DF"/>
    <w:rsid w:val="00BA2668"/>
    <w:rsid w:val="00BA4403"/>
    <w:rsid w:val="00BA659B"/>
    <w:rsid w:val="00BB4101"/>
    <w:rsid w:val="00BC027A"/>
    <w:rsid w:val="00BC2795"/>
    <w:rsid w:val="00BC2A9C"/>
    <w:rsid w:val="00BC4DF7"/>
    <w:rsid w:val="00BC590F"/>
    <w:rsid w:val="00BC5E52"/>
    <w:rsid w:val="00BD1C5B"/>
    <w:rsid w:val="00BD6C2B"/>
    <w:rsid w:val="00BE1B62"/>
    <w:rsid w:val="00BE1E42"/>
    <w:rsid w:val="00BE325B"/>
    <w:rsid w:val="00BE74EB"/>
    <w:rsid w:val="00BF2191"/>
    <w:rsid w:val="00BF6FB0"/>
    <w:rsid w:val="00C00C4B"/>
    <w:rsid w:val="00C01857"/>
    <w:rsid w:val="00C01A4E"/>
    <w:rsid w:val="00C02F64"/>
    <w:rsid w:val="00C06317"/>
    <w:rsid w:val="00C10C70"/>
    <w:rsid w:val="00C11454"/>
    <w:rsid w:val="00C11832"/>
    <w:rsid w:val="00C11884"/>
    <w:rsid w:val="00C15AFE"/>
    <w:rsid w:val="00C15CCD"/>
    <w:rsid w:val="00C176C0"/>
    <w:rsid w:val="00C2658E"/>
    <w:rsid w:val="00C26C58"/>
    <w:rsid w:val="00C31313"/>
    <w:rsid w:val="00C31A05"/>
    <w:rsid w:val="00C31B92"/>
    <w:rsid w:val="00C325BE"/>
    <w:rsid w:val="00C34429"/>
    <w:rsid w:val="00C40118"/>
    <w:rsid w:val="00C40584"/>
    <w:rsid w:val="00C40D25"/>
    <w:rsid w:val="00C41218"/>
    <w:rsid w:val="00C4210F"/>
    <w:rsid w:val="00C44422"/>
    <w:rsid w:val="00C47216"/>
    <w:rsid w:val="00C5426C"/>
    <w:rsid w:val="00C55B59"/>
    <w:rsid w:val="00C563A9"/>
    <w:rsid w:val="00C6272C"/>
    <w:rsid w:val="00C65FB2"/>
    <w:rsid w:val="00C66727"/>
    <w:rsid w:val="00C679F0"/>
    <w:rsid w:val="00C709D5"/>
    <w:rsid w:val="00C71D2A"/>
    <w:rsid w:val="00C720EB"/>
    <w:rsid w:val="00C732C5"/>
    <w:rsid w:val="00C73466"/>
    <w:rsid w:val="00C81078"/>
    <w:rsid w:val="00C8232F"/>
    <w:rsid w:val="00C851DA"/>
    <w:rsid w:val="00CA27B3"/>
    <w:rsid w:val="00CA5FDF"/>
    <w:rsid w:val="00CA6A8D"/>
    <w:rsid w:val="00CA6BEA"/>
    <w:rsid w:val="00CB6524"/>
    <w:rsid w:val="00CC6BA6"/>
    <w:rsid w:val="00CC7148"/>
    <w:rsid w:val="00CC758D"/>
    <w:rsid w:val="00CD610A"/>
    <w:rsid w:val="00CD6EDF"/>
    <w:rsid w:val="00CD7E47"/>
    <w:rsid w:val="00CE01DE"/>
    <w:rsid w:val="00CE0511"/>
    <w:rsid w:val="00CE0A9F"/>
    <w:rsid w:val="00CE3923"/>
    <w:rsid w:val="00CE7571"/>
    <w:rsid w:val="00CF3857"/>
    <w:rsid w:val="00CF47DE"/>
    <w:rsid w:val="00CF6BBD"/>
    <w:rsid w:val="00CF6FE1"/>
    <w:rsid w:val="00D00603"/>
    <w:rsid w:val="00D05D2C"/>
    <w:rsid w:val="00D0748B"/>
    <w:rsid w:val="00D07B71"/>
    <w:rsid w:val="00D1166C"/>
    <w:rsid w:val="00D16E36"/>
    <w:rsid w:val="00D25BCD"/>
    <w:rsid w:val="00D310A5"/>
    <w:rsid w:val="00D336DA"/>
    <w:rsid w:val="00D34916"/>
    <w:rsid w:val="00D3604E"/>
    <w:rsid w:val="00D40F17"/>
    <w:rsid w:val="00D418CD"/>
    <w:rsid w:val="00D4626D"/>
    <w:rsid w:val="00D504B5"/>
    <w:rsid w:val="00D5092E"/>
    <w:rsid w:val="00D53570"/>
    <w:rsid w:val="00D53A70"/>
    <w:rsid w:val="00D564BC"/>
    <w:rsid w:val="00D602FF"/>
    <w:rsid w:val="00D66239"/>
    <w:rsid w:val="00D674ED"/>
    <w:rsid w:val="00D75C9A"/>
    <w:rsid w:val="00D76EE4"/>
    <w:rsid w:val="00D81FAD"/>
    <w:rsid w:val="00D852AF"/>
    <w:rsid w:val="00D85C74"/>
    <w:rsid w:val="00D862BF"/>
    <w:rsid w:val="00D86C12"/>
    <w:rsid w:val="00D877E8"/>
    <w:rsid w:val="00D93F4A"/>
    <w:rsid w:val="00D9403D"/>
    <w:rsid w:val="00DA2706"/>
    <w:rsid w:val="00DA2810"/>
    <w:rsid w:val="00DA3625"/>
    <w:rsid w:val="00DA5BAA"/>
    <w:rsid w:val="00DA5E29"/>
    <w:rsid w:val="00DA723A"/>
    <w:rsid w:val="00DB1FC2"/>
    <w:rsid w:val="00DB3172"/>
    <w:rsid w:val="00DB3942"/>
    <w:rsid w:val="00DB4466"/>
    <w:rsid w:val="00DB5F92"/>
    <w:rsid w:val="00DB624B"/>
    <w:rsid w:val="00DB7D6D"/>
    <w:rsid w:val="00DC07D4"/>
    <w:rsid w:val="00DC117D"/>
    <w:rsid w:val="00DC2CDC"/>
    <w:rsid w:val="00DC5472"/>
    <w:rsid w:val="00DC6F40"/>
    <w:rsid w:val="00DC74CB"/>
    <w:rsid w:val="00DC76E6"/>
    <w:rsid w:val="00DD66B4"/>
    <w:rsid w:val="00DD694A"/>
    <w:rsid w:val="00DE1C16"/>
    <w:rsid w:val="00DE3D48"/>
    <w:rsid w:val="00DE664B"/>
    <w:rsid w:val="00DF0C7F"/>
    <w:rsid w:val="00DF5EB2"/>
    <w:rsid w:val="00DF6998"/>
    <w:rsid w:val="00DF7529"/>
    <w:rsid w:val="00E04919"/>
    <w:rsid w:val="00E04E5C"/>
    <w:rsid w:val="00E06ABE"/>
    <w:rsid w:val="00E06CE9"/>
    <w:rsid w:val="00E1088B"/>
    <w:rsid w:val="00E12461"/>
    <w:rsid w:val="00E14EF3"/>
    <w:rsid w:val="00E150AC"/>
    <w:rsid w:val="00E207DF"/>
    <w:rsid w:val="00E31C6C"/>
    <w:rsid w:val="00E33029"/>
    <w:rsid w:val="00E35ECB"/>
    <w:rsid w:val="00E36C0A"/>
    <w:rsid w:val="00E40EC8"/>
    <w:rsid w:val="00E42AAD"/>
    <w:rsid w:val="00E45B2E"/>
    <w:rsid w:val="00E4744D"/>
    <w:rsid w:val="00E47D44"/>
    <w:rsid w:val="00E5034D"/>
    <w:rsid w:val="00E504D1"/>
    <w:rsid w:val="00E53BFE"/>
    <w:rsid w:val="00E54135"/>
    <w:rsid w:val="00E577CB"/>
    <w:rsid w:val="00E6544F"/>
    <w:rsid w:val="00E67C48"/>
    <w:rsid w:val="00E7052C"/>
    <w:rsid w:val="00E7202A"/>
    <w:rsid w:val="00E73A9D"/>
    <w:rsid w:val="00E7487F"/>
    <w:rsid w:val="00E74E5D"/>
    <w:rsid w:val="00E81A3B"/>
    <w:rsid w:val="00E917E1"/>
    <w:rsid w:val="00E940DC"/>
    <w:rsid w:val="00E97C8E"/>
    <w:rsid w:val="00EA3768"/>
    <w:rsid w:val="00EB07AA"/>
    <w:rsid w:val="00EB35D3"/>
    <w:rsid w:val="00EB38B8"/>
    <w:rsid w:val="00EB4E64"/>
    <w:rsid w:val="00EB6E46"/>
    <w:rsid w:val="00EB707E"/>
    <w:rsid w:val="00EC1270"/>
    <w:rsid w:val="00EC4253"/>
    <w:rsid w:val="00EC7835"/>
    <w:rsid w:val="00ED22B1"/>
    <w:rsid w:val="00ED3A45"/>
    <w:rsid w:val="00ED646B"/>
    <w:rsid w:val="00ED6815"/>
    <w:rsid w:val="00ED7809"/>
    <w:rsid w:val="00ED7865"/>
    <w:rsid w:val="00EE13E1"/>
    <w:rsid w:val="00EE3CC0"/>
    <w:rsid w:val="00EE4F40"/>
    <w:rsid w:val="00EE666F"/>
    <w:rsid w:val="00EF53A6"/>
    <w:rsid w:val="00EF6DD0"/>
    <w:rsid w:val="00F018F3"/>
    <w:rsid w:val="00F01AEF"/>
    <w:rsid w:val="00F02E9F"/>
    <w:rsid w:val="00F041B1"/>
    <w:rsid w:val="00F06F02"/>
    <w:rsid w:val="00F11982"/>
    <w:rsid w:val="00F17414"/>
    <w:rsid w:val="00F17F8F"/>
    <w:rsid w:val="00F20EEF"/>
    <w:rsid w:val="00F242A0"/>
    <w:rsid w:val="00F2467B"/>
    <w:rsid w:val="00F253DB"/>
    <w:rsid w:val="00F31B9A"/>
    <w:rsid w:val="00F31E37"/>
    <w:rsid w:val="00F328E2"/>
    <w:rsid w:val="00F33A23"/>
    <w:rsid w:val="00F36CC4"/>
    <w:rsid w:val="00F41332"/>
    <w:rsid w:val="00F42ED7"/>
    <w:rsid w:val="00F43363"/>
    <w:rsid w:val="00F44E57"/>
    <w:rsid w:val="00F45DA6"/>
    <w:rsid w:val="00F46569"/>
    <w:rsid w:val="00F54C19"/>
    <w:rsid w:val="00F54D3C"/>
    <w:rsid w:val="00F5636D"/>
    <w:rsid w:val="00F57003"/>
    <w:rsid w:val="00F5704A"/>
    <w:rsid w:val="00F60552"/>
    <w:rsid w:val="00F7018F"/>
    <w:rsid w:val="00F80933"/>
    <w:rsid w:val="00F80946"/>
    <w:rsid w:val="00F810B2"/>
    <w:rsid w:val="00F81B3F"/>
    <w:rsid w:val="00F86C73"/>
    <w:rsid w:val="00F87AD1"/>
    <w:rsid w:val="00F910A9"/>
    <w:rsid w:val="00F919B8"/>
    <w:rsid w:val="00F92205"/>
    <w:rsid w:val="00F92A40"/>
    <w:rsid w:val="00F937B1"/>
    <w:rsid w:val="00F94ECA"/>
    <w:rsid w:val="00F9798D"/>
    <w:rsid w:val="00FA0672"/>
    <w:rsid w:val="00FA10C1"/>
    <w:rsid w:val="00FA2D21"/>
    <w:rsid w:val="00FB2586"/>
    <w:rsid w:val="00FB305C"/>
    <w:rsid w:val="00FB379F"/>
    <w:rsid w:val="00FB59BD"/>
    <w:rsid w:val="00FC2872"/>
    <w:rsid w:val="00FD095D"/>
    <w:rsid w:val="00FD0F44"/>
    <w:rsid w:val="00FD30D0"/>
    <w:rsid w:val="00FD3EF6"/>
    <w:rsid w:val="00FD43F2"/>
    <w:rsid w:val="00FD48E9"/>
    <w:rsid w:val="00FD7152"/>
    <w:rsid w:val="00FD74B7"/>
    <w:rsid w:val="00FD7D24"/>
    <w:rsid w:val="00FE0280"/>
    <w:rsid w:val="00FE035C"/>
    <w:rsid w:val="00FE0542"/>
    <w:rsid w:val="00FE174E"/>
    <w:rsid w:val="00FE1FD3"/>
    <w:rsid w:val="00FE5692"/>
    <w:rsid w:val="00FE5D69"/>
    <w:rsid w:val="00FE62EB"/>
    <w:rsid w:val="00FE6F1A"/>
    <w:rsid w:val="00FF0353"/>
    <w:rsid w:val="00FF4597"/>
    <w:rsid w:val="00FF5737"/>
    <w:rsid w:val="00FF58D9"/>
    <w:rsid w:val="00FF58F8"/>
    <w:rsid w:val="00FF77D1"/>
    <w:rsid w:val="00FF7B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2D67EB"/>
  <w15:docId w15:val="{F02EB68E-E2D2-4ED5-979B-EAC6981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498"/>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93498"/>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93498"/>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93498"/>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93498"/>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93498"/>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93498"/>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93498"/>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93498"/>
    <w:pPr>
      <w:ind w:left="993"/>
      <w:outlineLvl w:val="7"/>
    </w:pPr>
    <w:rPr>
      <w:color w:val="321547"/>
      <w:szCs w:val="22"/>
      <w:u w:val="dotDotDash"/>
    </w:rPr>
  </w:style>
  <w:style w:type="paragraph" w:styleId="Ttulo9">
    <w:name w:val="heading 9"/>
    <w:basedOn w:val="Ttulo8"/>
    <w:next w:val="Normal"/>
    <w:link w:val="Ttulo9Car"/>
    <w:uiPriority w:val="9"/>
    <w:unhideWhenUsed/>
    <w:qFormat/>
    <w:rsid w:val="00293498"/>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9349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93498"/>
  </w:style>
  <w:style w:type="paragraph" w:styleId="Encabezado">
    <w:name w:val="header"/>
    <w:basedOn w:val="Normal"/>
    <w:link w:val="EncabezadoCar"/>
    <w:uiPriority w:val="99"/>
    <w:unhideWhenUsed/>
    <w:rsid w:val="00293498"/>
    <w:pPr>
      <w:tabs>
        <w:tab w:val="center" w:pos="4252"/>
        <w:tab w:val="right" w:pos="8504"/>
      </w:tabs>
    </w:pPr>
  </w:style>
  <w:style w:type="character" w:customStyle="1" w:styleId="HeaderChar">
    <w:name w:val="Header Char"/>
    <w:basedOn w:val="Fuentedeprrafopredeter"/>
    <w:uiPriority w:val="99"/>
    <w:rsid w:val="00293498"/>
    <w:rPr>
      <w:rFonts w:ascii="Garamond" w:hAnsi="Garamond"/>
      <w:lang w:val="es-ES"/>
    </w:rPr>
  </w:style>
  <w:style w:type="paragraph" w:styleId="Piedepgina">
    <w:name w:val="footer"/>
    <w:basedOn w:val="Normal"/>
    <w:link w:val="PiedepginaCar"/>
    <w:uiPriority w:val="99"/>
    <w:unhideWhenUsed/>
    <w:qFormat/>
    <w:rsid w:val="00BB4101"/>
    <w:pPr>
      <w:tabs>
        <w:tab w:val="center" w:pos="4252"/>
        <w:tab w:val="right" w:pos="8504"/>
      </w:tabs>
      <w:spacing w:after="0" w:line="240" w:lineRule="auto"/>
    </w:pPr>
  </w:style>
  <w:style w:type="character" w:customStyle="1" w:styleId="FooterChar">
    <w:name w:val="Footer Char"/>
    <w:basedOn w:val="Fuentedeprrafopredeter"/>
    <w:uiPriority w:val="99"/>
    <w:rsid w:val="00293498"/>
    <w:rPr>
      <w:rFonts w:ascii="Garamond" w:hAnsi="Garamond"/>
      <w:lang w:val="es-ES"/>
    </w:rPr>
  </w:style>
  <w:style w:type="table" w:styleId="Tablaconcuadrcula">
    <w:name w:val="Table Grid"/>
    <w:basedOn w:val="Tablanormal"/>
    <w:uiPriority w:val="39"/>
    <w:rsid w:val="00293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93498"/>
    <w:rPr>
      <w:color w:val="808080"/>
    </w:rPr>
  </w:style>
  <w:style w:type="paragraph" w:styleId="Ttulo">
    <w:name w:val="Title"/>
    <w:basedOn w:val="Normal"/>
    <w:next w:val="Normal"/>
    <w:link w:val="TtuloCar"/>
    <w:uiPriority w:val="10"/>
    <w:qFormat/>
    <w:rsid w:val="00293498"/>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293498"/>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93498"/>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293498"/>
    <w:pPr>
      <w:numPr>
        <w:ilvl w:val="1"/>
        <w:numId w:val="1"/>
      </w:numPr>
      <w:spacing w:after="100"/>
      <w:ind w:left="1049" w:hanging="198"/>
      <w:contextualSpacing/>
    </w:pPr>
  </w:style>
  <w:style w:type="character" w:customStyle="1" w:styleId="Heading2Char">
    <w:name w:val="Heading 2 Char"/>
    <w:basedOn w:val="Fuentedeprrafopredeter"/>
    <w:uiPriority w:val="9"/>
    <w:rsid w:val="00293498"/>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93498"/>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293498"/>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93498"/>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93498"/>
    <w:rPr>
      <w:color w:val="0563C1" w:themeColor="hyperlink"/>
      <w:u w:val="single"/>
    </w:rPr>
  </w:style>
  <w:style w:type="character" w:customStyle="1" w:styleId="Heading3Char">
    <w:name w:val="Heading 3 Char"/>
    <w:basedOn w:val="Fuentedeprrafopredeter"/>
    <w:uiPriority w:val="9"/>
    <w:rsid w:val="00293498"/>
    <w:rPr>
      <w:rFonts w:ascii="Garamond" w:hAnsi="Garamond"/>
      <w:i/>
      <w:iCs/>
      <w:color w:val="5F2987"/>
      <w:u w:val="single"/>
      <w:lang w:val="es-ES"/>
    </w:rPr>
  </w:style>
  <w:style w:type="paragraph" w:styleId="TDC3">
    <w:name w:val="toc 3"/>
    <w:basedOn w:val="Normal"/>
    <w:next w:val="FinTDC"/>
    <w:autoRedefine/>
    <w:uiPriority w:val="39"/>
    <w:unhideWhenUsed/>
    <w:rsid w:val="00293498"/>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293498"/>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93498"/>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293498"/>
    <w:rPr>
      <w:color w:val="FFFFFF" w:themeColor="text1" w:themeTint="80"/>
      <w:sz w:val="16"/>
    </w:rPr>
  </w:style>
  <w:style w:type="character" w:customStyle="1" w:styleId="NocantarChar">
    <w:name w:val="No cantar Char"/>
    <w:basedOn w:val="Fuentedeprrafopredeter"/>
    <w:link w:val="Nocantar"/>
    <w:rsid w:val="00293498"/>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293498"/>
    <w:pPr>
      <w:numPr>
        <w:numId w:val="0"/>
      </w:numPr>
      <w:ind w:firstLine="142"/>
    </w:pPr>
  </w:style>
  <w:style w:type="character" w:customStyle="1" w:styleId="IntroduccinyconclusinChar">
    <w:name w:val="Introducción y conclusión Char"/>
    <w:basedOn w:val="Ttulo1Car"/>
    <w:link w:val="Introduccinyconclusin"/>
    <w:rsid w:val="00293498"/>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293498"/>
    <w:pPr>
      <w:numPr>
        <w:numId w:val="3"/>
      </w:numPr>
    </w:pPr>
  </w:style>
  <w:style w:type="paragraph" w:customStyle="1" w:styleId="Nivel1">
    <w:name w:val="Nivel 1"/>
    <w:basedOn w:val="Normal"/>
    <w:qFormat/>
    <w:rsid w:val="00293498"/>
    <w:pPr>
      <w:numPr>
        <w:numId w:val="1"/>
      </w:numPr>
      <w:spacing w:before="100" w:after="100"/>
      <w:ind w:left="623" w:hanging="198"/>
    </w:pPr>
  </w:style>
  <w:style w:type="paragraph" w:customStyle="1" w:styleId="Nivel3">
    <w:name w:val="Nivel 3"/>
    <w:basedOn w:val="Nivel2"/>
    <w:link w:val="Nivel3Car"/>
    <w:qFormat/>
    <w:rsid w:val="00293498"/>
    <w:pPr>
      <w:numPr>
        <w:ilvl w:val="2"/>
      </w:numPr>
      <w:spacing w:after="0"/>
      <w:ind w:left="1474" w:hanging="198"/>
    </w:pPr>
  </w:style>
  <w:style w:type="paragraph" w:customStyle="1" w:styleId="Letra">
    <w:name w:val="Letra"/>
    <w:basedOn w:val="Nivel1"/>
    <w:qFormat/>
    <w:rsid w:val="00293498"/>
    <w:pPr>
      <w:numPr>
        <w:numId w:val="4"/>
      </w:numPr>
      <w:spacing w:before="0" w:after="40"/>
      <w:ind w:left="936" w:hanging="227"/>
    </w:pPr>
  </w:style>
  <w:style w:type="paragraph" w:customStyle="1" w:styleId="Nmero">
    <w:name w:val="Número"/>
    <w:basedOn w:val="Normal"/>
    <w:qFormat/>
    <w:rsid w:val="00293498"/>
    <w:pPr>
      <w:numPr>
        <w:numId w:val="5"/>
      </w:numPr>
      <w:spacing w:after="40"/>
      <w:ind w:left="936" w:hanging="227"/>
    </w:pPr>
  </w:style>
  <w:style w:type="paragraph" w:styleId="Textodeglobo">
    <w:name w:val="Balloon Text"/>
    <w:basedOn w:val="Normal"/>
    <w:link w:val="TextodegloboCar"/>
    <w:uiPriority w:val="99"/>
    <w:semiHidden/>
    <w:unhideWhenUsed/>
    <w:rsid w:val="00293498"/>
    <w:rPr>
      <w:rFonts w:ascii="Segoe UI" w:hAnsi="Segoe UI" w:cs="Segoe UI"/>
      <w:sz w:val="18"/>
      <w:szCs w:val="18"/>
    </w:rPr>
  </w:style>
  <w:style w:type="character" w:customStyle="1" w:styleId="BalloonTextChar">
    <w:name w:val="Balloon Text Char"/>
    <w:basedOn w:val="Fuentedeprrafopredeter"/>
    <w:uiPriority w:val="99"/>
    <w:semiHidden/>
    <w:rsid w:val="00293498"/>
    <w:rPr>
      <w:rFonts w:ascii="Segoe UI" w:hAnsi="Segoe UI" w:cs="Segoe UI"/>
      <w:sz w:val="18"/>
      <w:szCs w:val="18"/>
      <w:lang w:val="es-ES"/>
    </w:rPr>
  </w:style>
  <w:style w:type="paragraph" w:customStyle="1" w:styleId="Notaalopositor">
    <w:name w:val="Nota al opositor"/>
    <w:basedOn w:val="Normal"/>
    <w:link w:val="NotaalopositorChar"/>
    <w:qFormat/>
    <w:rsid w:val="00293498"/>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93498"/>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293498"/>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293498"/>
    <w:rPr>
      <w:rFonts w:ascii="Garamond" w:hAnsi="Garamond"/>
      <w:sz w:val="16"/>
      <w:szCs w:val="20"/>
      <w:lang w:val="es-ES"/>
    </w:rPr>
  </w:style>
  <w:style w:type="character" w:styleId="Refdenotaalpie">
    <w:name w:val="footnote reference"/>
    <w:basedOn w:val="Fuentedeprrafopredeter"/>
    <w:uiPriority w:val="99"/>
    <w:unhideWhenUsed/>
    <w:rsid w:val="00293498"/>
    <w:rPr>
      <w:vertAlign w:val="superscript"/>
    </w:rPr>
  </w:style>
  <w:style w:type="character" w:customStyle="1" w:styleId="Heading6Char">
    <w:name w:val="Heading 6 Char"/>
    <w:basedOn w:val="Fuentedeprrafopredeter"/>
    <w:uiPriority w:val="9"/>
    <w:semiHidden/>
    <w:rsid w:val="00293498"/>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293498"/>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293498"/>
    <w:rPr>
      <w:rFonts w:ascii="Garamond" w:eastAsiaTheme="minorEastAsia" w:hAnsi="Garamond"/>
      <w:smallCaps/>
      <w:color w:val="FFFFFF" w:themeColor="text1" w:themeTint="A5"/>
      <w:lang w:val="es-ES"/>
    </w:rPr>
  </w:style>
  <w:style w:type="paragraph" w:customStyle="1" w:styleId="Nivel1SM">
    <w:name w:val="Nivel 1 SM"/>
    <w:basedOn w:val="Nivel1"/>
    <w:qFormat/>
    <w:rsid w:val="00293498"/>
    <w:pPr>
      <w:ind w:left="0"/>
    </w:pPr>
  </w:style>
  <w:style w:type="paragraph" w:customStyle="1" w:styleId="Nivel2SM">
    <w:name w:val="Nivel 2 SM"/>
    <w:basedOn w:val="Nivel2"/>
    <w:qFormat/>
    <w:rsid w:val="00293498"/>
    <w:pPr>
      <w:ind w:left="567"/>
    </w:pPr>
  </w:style>
  <w:style w:type="paragraph" w:customStyle="1" w:styleId="Nivel3SM">
    <w:name w:val="Nivel 3 SM"/>
    <w:basedOn w:val="Nivel3"/>
    <w:qFormat/>
    <w:rsid w:val="00293498"/>
    <w:pPr>
      <w:ind w:left="963"/>
    </w:pPr>
  </w:style>
  <w:style w:type="paragraph" w:styleId="Encabezadodelista">
    <w:name w:val="toa heading"/>
    <w:basedOn w:val="Normal"/>
    <w:next w:val="Normal"/>
    <w:uiPriority w:val="99"/>
    <w:semiHidden/>
    <w:unhideWhenUsed/>
    <w:rsid w:val="00293498"/>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93498"/>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93498"/>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93498"/>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293498"/>
    <w:rPr>
      <w:rFonts w:ascii="Palatino Linotype" w:hAnsi="Palatino Linotype"/>
      <w:lang w:val="es-ES"/>
    </w:rPr>
  </w:style>
  <w:style w:type="character" w:customStyle="1" w:styleId="PiedepginaCar">
    <w:name w:val="Pie de página Car"/>
    <w:basedOn w:val="Fuentedeprrafopredeter"/>
    <w:link w:val="Piedepgina"/>
    <w:uiPriority w:val="99"/>
    <w:rsid w:val="00BB4101"/>
    <w:rPr>
      <w:rFonts w:ascii="Palatino Linotype" w:hAnsi="Palatino Linotype"/>
      <w:lang w:val="es-ES"/>
    </w:rPr>
  </w:style>
  <w:style w:type="character" w:customStyle="1" w:styleId="TtuloCar">
    <w:name w:val="Título Car"/>
    <w:basedOn w:val="Fuentedeprrafopredeter"/>
    <w:link w:val="Ttulo"/>
    <w:uiPriority w:val="10"/>
    <w:rsid w:val="00293498"/>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293498"/>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293498"/>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293498"/>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293498"/>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93498"/>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293498"/>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293498"/>
    <w:rPr>
      <w:rFonts w:ascii="Palatino Linotype" w:hAnsi="Palatino Linotype"/>
      <w:sz w:val="16"/>
      <w:szCs w:val="20"/>
      <w:lang w:val="es-ES"/>
    </w:rPr>
  </w:style>
  <w:style w:type="character" w:customStyle="1" w:styleId="Ttulo6Car">
    <w:name w:val="Título 6 Car"/>
    <w:basedOn w:val="Fuentedeprrafopredeter"/>
    <w:link w:val="Ttulo6"/>
    <w:uiPriority w:val="9"/>
    <w:rsid w:val="00293498"/>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293498"/>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293498"/>
    <w:rPr>
      <w:color w:val="605E5C"/>
      <w:shd w:val="clear" w:color="auto" w:fill="E1DFDD"/>
    </w:rPr>
  </w:style>
  <w:style w:type="character" w:customStyle="1" w:styleId="Ttulo7Car">
    <w:name w:val="Título 7 Car"/>
    <w:basedOn w:val="Fuentedeprrafopredeter"/>
    <w:link w:val="Ttulo7"/>
    <w:uiPriority w:val="9"/>
    <w:rsid w:val="00293498"/>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293498"/>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93498"/>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93498"/>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93498"/>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93498"/>
    <w:pPr>
      <w:spacing w:line="240" w:lineRule="auto"/>
      <w:ind w:left="567" w:hanging="567"/>
    </w:pPr>
  </w:style>
  <w:style w:type="paragraph" w:customStyle="1" w:styleId="Ttuloimagen">
    <w:name w:val="Título imagen"/>
    <w:basedOn w:val="PiedeImagen"/>
    <w:next w:val="Imagen"/>
    <w:link w:val="TtuloimagenCar"/>
    <w:qFormat/>
    <w:rsid w:val="00293498"/>
    <w:pPr>
      <w:keepNext/>
      <w:spacing w:after="0"/>
    </w:pPr>
    <w:rPr>
      <w:i w:val="0"/>
      <w:smallCaps/>
      <w:sz w:val="20"/>
    </w:rPr>
  </w:style>
  <w:style w:type="character" w:customStyle="1" w:styleId="TtuloimagenCar">
    <w:name w:val="Título imagen Car"/>
    <w:basedOn w:val="ImagenCar"/>
    <w:link w:val="Ttuloimagen"/>
    <w:rsid w:val="00293498"/>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93498"/>
    <w:pPr>
      <w:ind w:left="1100"/>
    </w:pPr>
  </w:style>
  <w:style w:type="paragraph" w:styleId="Sinespaciado">
    <w:name w:val="No Spacing"/>
    <w:link w:val="SinespaciadoCar"/>
    <w:uiPriority w:val="1"/>
    <w:qFormat/>
    <w:rsid w:val="00293498"/>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93498"/>
    <w:rPr>
      <w:rFonts w:eastAsiaTheme="minorEastAsia"/>
      <w:lang w:val="es-ES" w:eastAsia="es-ES"/>
    </w:rPr>
  </w:style>
  <w:style w:type="paragraph" w:styleId="Prrafodelista">
    <w:name w:val="List Paragraph"/>
    <w:basedOn w:val="Normal"/>
    <w:uiPriority w:val="34"/>
    <w:rsid w:val="00293498"/>
    <w:pPr>
      <w:ind w:left="720"/>
      <w:contextualSpacing/>
    </w:pPr>
  </w:style>
  <w:style w:type="paragraph" w:customStyle="1" w:styleId="Nmeroromano">
    <w:name w:val="Número romano"/>
    <w:basedOn w:val="Prrafodelista"/>
    <w:qFormat/>
    <w:rsid w:val="00293498"/>
    <w:pPr>
      <w:numPr>
        <w:numId w:val="48"/>
      </w:numPr>
      <w:spacing w:after="100"/>
      <w:ind w:left="567" w:hanging="113"/>
    </w:pPr>
  </w:style>
  <w:style w:type="paragraph" w:customStyle="1" w:styleId="Saltodettulos">
    <w:name w:val="Salto de títulos"/>
    <w:basedOn w:val="Normal"/>
    <w:rsid w:val="00293498"/>
    <w:pPr>
      <w:spacing w:after="0" w:line="240" w:lineRule="auto"/>
    </w:pPr>
    <w:rPr>
      <w:color w:val="FFFFFF"/>
      <w:sz w:val="2"/>
    </w:rPr>
  </w:style>
  <w:style w:type="paragraph" w:styleId="TDC7">
    <w:name w:val="toc 7"/>
    <w:basedOn w:val="Normal"/>
    <w:next w:val="FinTDC"/>
    <w:autoRedefine/>
    <w:uiPriority w:val="39"/>
    <w:unhideWhenUsed/>
    <w:rsid w:val="00293498"/>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293498"/>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293498"/>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293498"/>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93498"/>
    <w:pPr>
      <w:spacing w:after="0" w:line="240" w:lineRule="auto"/>
      <w:jc w:val="left"/>
    </w:pPr>
    <w:rPr>
      <w:sz w:val="15"/>
    </w:rPr>
  </w:style>
  <w:style w:type="paragraph" w:styleId="TDC9">
    <w:name w:val="toc 9"/>
    <w:basedOn w:val="TDC8"/>
    <w:next w:val="FinTDC"/>
    <w:autoRedefine/>
    <w:uiPriority w:val="39"/>
    <w:semiHidden/>
    <w:unhideWhenUsed/>
    <w:rsid w:val="00293498"/>
    <w:pPr>
      <w:ind w:left="1760"/>
    </w:pPr>
  </w:style>
  <w:style w:type="paragraph" w:customStyle="1" w:styleId="Apartado0">
    <w:name w:val="Apartado 0"/>
    <w:basedOn w:val="Ttulo1"/>
    <w:next w:val="Normal"/>
    <w:link w:val="Apartado0Car"/>
    <w:qFormat/>
    <w:rsid w:val="00293498"/>
    <w:pPr>
      <w:numPr>
        <w:numId w:val="12"/>
      </w:numPr>
      <w:ind w:left="357" w:hanging="357"/>
    </w:pPr>
  </w:style>
  <w:style w:type="character" w:customStyle="1" w:styleId="Apartado0Car">
    <w:name w:val="Apartado 0 Car"/>
    <w:basedOn w:val="Ttulo1Car"/>
    <w:link w:val="Apartado0"/>
    <w:rsid w:val="00293498"/>
    <w:rPr>
      <w:rFonts w:ascii="Palatino Linotype" w:hAnsi="Palatino Linotype"/>
      <w:b/>
      <w:bCs/>
      <w:caps/>
      <w:color w:val="E2EFD9" w:themeColor="accent6" w:themeTint="33"/>
      <w:shd w:val="clear" w:color="auto" w:fill="5F2987"/>
      <w:lang w:val="es-ES"/>
    </w:rPr>
  </w:style>
  <w:style w:type="character" w:styleId="Hipervnculovisitado">
    <w:name w:val="FollowedHyperlink"/>
    <w:basedOn w:val="Fuentedeprrafopredeter"/>
    <w:uiPriority w:val="99"/>
    <w:semiHidden/>
    <w:unhideWhenUsed/>
    <w:rsid w:val="00AD654E"/>
    <w:rPr>
      <w:color w:val="954F72" w:themeColor="followedHyperlink"/>
      <w:u w:val="single"/>
    </w:rPr>
  </w:style>
  <w:style w:type="character" w:styleId="Refdecomentario">
    <w:name w:val="annotation reference"/>
    <w:basedOn w:val="Fuentedeprrafopredeter"/>
    <w:uiPriority w:val="99"/>
    <w:semiHidden/>
    <w:unhideWhenUsed/>
    <w:rsid w:val="00A9410D"/>
    <w:rPr>
      <w:sz w:val="16"/>
      <w:szCs w:val="16"/>
    </w:rPr>
  </w:style>
  <w:style w:type="paragraph" w:styleId="Textocomentario">
    <w:name w:val="annotation text"/>
    <w:basedOn w:val="Normal"/>
    <w:link w:val="TextocomentarioCar"/>
    <w:uiPriority w:val="99"/>
    <w:unhideWhenUsed/>
    <w:rsid w:val="00A9410D"/>
    <w:pPr>
      <w:spacing w:line="240" w:lineRule="auto"/>
    </w:pPr>
    <w:rPr>
      <w:sz w:val="20"/>
      <w:szCs w:val="20"/>
    </w:rPr>
  </w:style>
  <w:style w:type="character" w:customStyle="1" w:styleId="TextocomentarioCar">
    <w:name w:val="Texto comentario Car"/>
    <w:basedOn w:val="Fuentedeprrafopredeter"/>
    <w:link w:val="Textocomentario"/>
    <w:uiPriority w:val="99"/>
    <w:rsid w:val="00A9410D"/>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A9410D"/>
    <w:rPr>
      <w:b/>
      <w:bCs/>
    </w:rPr>
  </w:style>
  <w:style w:type="character" w:customStyle="1" w:styleId="AsuntodelcomentarioCar">
    <w:name w:val="Asunto del comentario Car"/>
    <w:basedOn w:val="TextocomentarioCar"/>
    <w:link w:val="Asuntodelcomentario"/>
    <w:uiPriority w:val="99"/>
    <w:semiHidden/>
    <w:rsid w:val="00A9410D"/>
    <w:rPr>
      <w:rFonts w:ascii="Palatino Linotype" w:hAnsi="Palatino Linotype"/>
      <w:b/>
      <w:bCs/>
      <w:sz w:val="20"/>
      <w:szCs w:val="20"/>
      <w:lang w:val="es-ES"/>
    </w:rPr>
  </w:style>
  <w:style w:type="paragraph" w:customStyle="1" w:styleId="Nivel4">
    <w:name w:val="Nivel 4"/>
    <w:basedOn w:val="Nivel3"/>
    <w:link w:val="Nivel4Car"/>
    <w:qFormat/>
    <w:rsid w:val="00293498"/>
    <w:pPr>
      <w:numPr>
        <w:ilvl w:val="3"/>
      </w:numPr>
      <w:ind w:left="1899" w:hanging="198"/>
    </w:pPr>
  </w:style>
  <w:style w:type="paragraph" w:customStyle="1" w:styleId="Nivel5">
    <w:name w:val="Nivel 5"/>
    <w:basedOn w:val="Nivel4"/>
    <w:link w:val="Nivel5Car"/>
    <w:qFormat/>
    <w:rsid w:val="00293498"/>
    <w:pPr>
      <w:numPr>
        <w:ilvl w:val="4"/>
      </w:numPr>
      <w:ind w:left="2155" w:hanging="170"/>
    </w:pPr>
  </w:style>
  <w:style w:type="character" w:customStyle="1" w:styleId="Nivel2Car">
    <w:name w:val="Nivel 2 Car"/>
    <w:basedOn w:val="Fuentedeprrafopredeter"/>
    <w:link w:val="Nivel2"/>
    <w:rsid w:val="00293498"/>
    <w:rPr>
      <w:rFonts w:ascii="Palatino Linotype" w:hAnsi="Palatino Linotype"/>
      <w:lang w:val="es-ES"/>
    </w:rPr>
  </w:style>
  <w:style w:type="character" w:customStyle="1" w:styleId="Nivel3Car">
    <w:name w:val="Nivel 3 Car"/>
    <w:basedOn w:val="Nivel2Car"/>
    <w:link w:val="Nivel3"/>
    <w:rsid w:val="00293498"/>
    <w:rPr>
      <w:rFonts w:ascii="Palatino Linotype" w:hAnsi="Palatino Linotype"/>
      <w:lang w:val="es-ES"/>
    </w:rPr>
  </w:style>
  <w:style w:type="character" w:customStyle="1" w:styleId="Nivel4Car">
    <w:name w:val="Nivel 4 Car"/>
    <w:basedOn w:val="Nivel3Car"/>
    <w:link w:val="Nivel4"/>
    <w:rsid w:val="00293498"/>
    <w:rPr>
      <w:rFonts w:ascii="Palatino Linotype" w:hAnsi="Palatino Linotype"/>
      <w:lang w:val="es-ES"/>
    </w:rPr>
  </w:style>
  <w:style w:type="paragraph" w:customStyle="1" w:styleId="Nivel6">
    <w:name w:val="Nivel 6"/>
    <w:basedOn w:val="Nivel5"/>
    <w:link w:val="Nivel6Car"/>
    <w:qFormat/>
    <w:rsid w:val="00293498"/>
    <w:pPr>
      <w:numPr>
        <w:ilvl w:val="5"/>
      </w:numPr>
      <w:ind w:left="2438" w:hanging="227"/>
    </w:pPr>
  </w:style>
  <w:style w:type="character" w:customStyle="1" w:styleId="Nivel5Car">
    <w:name w:val="Nivel 5 Car"/>
    <w:basedOn w:val="Nivel4Car"/>
    <w:link w:val="Nivel5"/>
    <w:rsid w:val="00293498"/>
    <w:rPr>
      <w:rFonts w:ascii="Palatino Linotype" w:hAnsi="Palatino Linotype"/>
      <w:lang w:val="es-ES"/>
    </w:rPr>
  </w:style>
  <w:style w:type="paragraph" w:customStyle="1" w:styleId="Nivel7">
    <w:name w:val="Nivel 7"/>
    <w:basedOn w:val="Nivel5"/>
    <w:link w:val="Nivel7Car"/>
    <w:qFormat/>
    <w:rsid w:val="00293498"/>
    <w:pPr>
      <w:numPr>
        <w:ilvl w:val="6"/>
      </w:numPr>
      <w:ind w:left="2722" w:hanging="170"/>
    </w:pPr>
  </w:style>
  <w:style w:type="character" w:customStyle="1" w:styleId="Nivel6Car">
    <w:name w:val="Nivel 6 Car"/>
    <w:basedOn w:val="Nivel5Car"/>
    <w:link w:val="Nivel6"/>
    <w:rsid w:val="00293498"/>
    <w:rPr>
      <w:rFonts w:ascii="Palatino Linotype" w:hAnsi="Palatino Linotype"/>
      <w:lang w:val="es-ES"/>
    </w:rPr>
  </w:style>
  <w:style w:type="character" w:customStyle="1" w:styleId="Nivel7Car">
    <w:name w:val="Nivel 7 Car"/>
    <w:basedOn w:val="Nivel5Car"/>
    <w:link w:val="Nivel7"/>
    <w:rsid w:val="00293498"/>
    <w:rPr>
      <w:rFonts w:ascii="Palatino Linotype" w:hAnsi="Palatino Linotype"/>
      <w:lang w:val="es-ES"/>
    </w:rPr>
  </w:style>
  <w:style w:type="paragraph" w:styleId="Descripcin">
    <w:name w:val="caption"/>
    <w:basedOn w:val="Normal"/>
    <w:next w:val="Normal"/>
    <w:uiPriority w:val="35"/>
    <w:unhideWhenUsed/>
    <w:qFormat/>
    <w:rsid w:val="00293498"/>
    <w:pPr>
      <w:spacing w:after="200" w:line="240" w:lineRule="auto"/>
    </w:pPr>
    <w:rPr>
      <w:i/>
      <w:iCs/>
      <w:color w:val="44546A" w:themeColor="text2"/>
      <w:sz w:val="18"/>
      <w:szCs w:val="18"/>
    </w:rPr>
  </w:style>
  <w:style w:type="paragraph" w:customStyle="1" w:styleId="Ttulo10">
    <w:name w:val="Título 10"/>
    <w:basedOn w:val="Ttulo9"/>
    <w:link w:val="Ttulo10Car"/>
    <w:qFormat/>
    <w:rsid w:val="00293498"/>
    <w:pPr>
      <w:ind w:left="1276"/>
    </w:pPr>
    <w:rPr>
      <w:w w:val="97"/>
      <w:sz w:val="20"/>
    </w:rPr>
  </w:style>
  <w:style w:type="character" w:customStyle="1" w:styleId="Ttulo10Car">
    <w:name w:val="Título 10 Car"/>
    <w:basedOn w:val="Ttulo9Car"/>
    <w:link w:val="Ttulo10"/>
    <w:rsid w:val="00293498"/>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293498"/>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93498"/>
    <w:pPr>
      <w:numPr>
        <w:ilvl w:val="7"/>
      </w:numPr>
      <w:ind w:left="3005" w:hanging="170"/>
    </w:pPr>
  </w:style>
  <w:style w:type="character" w:customStyle="1" w:styleId="Nivel8Car">
    <w:name w:val="Nivel 8 Car"/>
    <w:basedOn w:val="Nivel7Car"/>
    <w:link w:val="Nivel8"/>
    <w:rsid w:val="00293498"/>
    <w:rPr>
      <w:rFonts w:ascii="Palatino Linotype" w:hAnsi="Palatino Linotype"/>
      <w:lang w:val="es-ES"/>
    </w:rPr>
  </w:style>
  <w:style w:type="paragraph" w:customStyle="1" w:styleId="Advertencia">
    <w:name w:val="Advertencia"/>
    <w:basedOn w:val="Normal"/>
    <w:next w:val="Normal"/>
    <w:link w:val="AdvertenciaCar"/>
    <w:qFormat/>
    <w:rsid w:val="00293498"/>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93498"/>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9349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93498"/>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934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32539">
      <w:bodyDiv w:val="1"/>
      <w:marLeft w:val="0"/>
      <w:marRight w:val="0"/>
      <w:marTop w:val="0"/>
      <w:marBottom w:val="0"/>
      <w:divBdr>
        <w:top w:val="none" w:sz="0" w:space="0" w:color="auto"/>
        <w:left w:val="none" w:sz="0" w:space="0" w:color="auto"/>
        <w:bottom w:val="none" w:sz="0" w:space="0" w:color="auto"/>
        <w:right w:val="none" w:sz="0" w:space="0" w:color="auto"/>
      </w:divBdr>
    </w:div>
    <w:div w:id="230696373">
      <w:bodyDiv w:val="1"/>
      <w:marLeft w:val="0"/>
      <w:marRight w:val="0"/>
      <w:marTop w:val="0"/>
      <w:marBottom w:val="0"/>
      <w:divBdr>
        <w:top w:val="none" w:sz="0" w:space="0" w:color="auto"/>
        <w:left w:val="none" w:sz="0" w:space="0" w:color="auto"/>
        <w:bottom w:val="none" w:sz="0" w:space="0" w:color="auto"/>
        <w:right w:val="none" w:sz="0" w:space="0" w:color="auto"/>
      </w:divBdr>
    </w:div>
    <w:div w:id="254023833">
      <w:bodyDiv w:val="1"/>
      <w:marLeft w:val="0"/>
      <w:marRight w:val="0"/>
      <w:marTop w:val="0"/>
      <w:marBottom w:val="0"/>
      <w:divBdr>
        <w:top w:val="none" w:sz="0" w:space="0" w:color="auto"/>
        <w:left w:val="none" w:sz="0" w:space="0" w:color="auto"/>
        <w:bottom w:val="none" w:sz="0" w:space="0" w:color="auto"/>
        <w:right w:val="none" w:sz="0" w:space="0" w:color="auto"/>
      </w:divBdr>
    </w:div>
    <w:div w:id="354843262">
      <w:bodyDiv w:val="1"/>
      <w:marLeft w:val="0"/>
      <w:marRight w:val="0"/>
      <w:marTop w:val="0"/>
      <w:marBottom w:val="0"/>
      <w:divBdr>
        <w:top w:val="none" w:sz="0" w:space="0" w:color="auto"/>
        <w:left w:val="none" w:sz="0" w:space="0" w:color="auto"/>
        <w:bottom w:val="none" w:sz="0" w:space="0" w:color="auto"/>
        <w:right w:val="none" w:sz="0" w:space="0" w:color="auto"/>
      </w:divBdr>
      <w:divsChild>
        <w:div w:id="191304589">
          <w:marLeft w:val="480"/>
          <w:marRight w:val="0"/>
          <w:marTop w:val="0"/>
          <w:marBottom w:val="0"/>
          <w:divBdr>
            <w:top w:val="none" w:sz="0" w:space="0" w:color="auto"/>
            <w:left w:val="none" w:sz="0" w:space="0" w:color="auto"/>
            <w:bottom w:val="none" w:sz="0" w:space="0" w:color="auto"/>
            <w:right w:val="none" w:sz="0" w:space="0" w:color="auto"/>
          </w:divBdr>
          <w:divsChild>
            <w:div w:id="10432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2581">
      <w:bodyDiv w:val="1"/>
      <w:marLeft w:val="0"/>
      <w:marRight w:val="0"/>
      <w:marTop w:val="0"/>
      <w:marBottom w:val="0"/>
      <w:divBdr>
        <w:top w:val="none" w:sz="0" w:space="0" w:color="auto"/>
        <w:left w:val="none" w:sz="0" w:space="0" w:color="auto"/>
        <w:bottom w:val="none" w:sz="0" w:space="0" w:color="auto"/>
        <w:right w:val="none" w:sz="0" w:space="0" w:color="auto"/>
      </w:divBdr>
    </w:div>
    <w:div w:id="852383342">
      <w:bodyDiv w:val="1"/>
      <w:marLeft w:val="0"/>
      <w:marRight w:val="0"/>
      <w:marTop w:val="0"/>
      <w:marBottom w:val="0"/>
      <w:divBdr>
        <w:top w:val="none" w:sz="0" w:space="0" w:color="auto"/>
        <w:left w:val="none" w:sz="0" w:space="0" w:color="auto"/>
        <w:bottom w:val="none" w:sz="0" w:space="0" w:color="auto"/>
        <w:right w:val="none" w:sz="0" w:space="0" w:color="auto"/>
      </w:divBdr>
    </w:div>
    <w:div w:id="896890373">
      <w:bodyDiv w:val="1"/>
      <w:marLeft w:val="0"/>
      <w:marRight w:val="0"/>
      <w:marTop w:val="0"/>
      <w:marBottom w:val="0"/>
      <w:divBdr>
        <w:top w:val="none" w:sz="0" w:space="0" w:color="auto"/>
        <w:left w:val="none" w:sz="0" w:space="0" w:color="auto"/>
        <w:bottom w:val="none" w:sz="0" w:space="0" w:color="auto"/>
        <w:right w:val="none" w:sz="0" w:space="0" w:color="auto"/>
      </w:divBdr>
    </w:div>
    <w:div w:id="1123575927">
      <w:bodyDiv w:val="1"/>
      <w:marLeft w:val="0"/>
      <w:marRight w:val="0"/>
      <w:marTop w:val="0"/>
      <w:marBottom w:val="0"/>
      <w:divBdr>
        <w:top w:val="none" w:sz="0" w:space="0" w:color="auto"/>
        <w:left w:val="none" w:sz="0" w:space="0" w:color="auto"/>
        <w:bottom w:val="none" w:sz="0" w:space="0" w:color="auto"/>
        <w:right w:val="none" w:sz="0" w:space="0" w:color="auto"/>
      </w:divBdr>
      <w:divsChild>
        <w:div w:id="1341734698">
          <w:marLeft w:val="480"/>
          <w:marRight w:val="0"/>
          <w:marTop w:val="0"/>
          <w:marBottom w:val="0"/>
          <w:divBdr>
            <w:top w:val="none" w:sz="0" w:space="0" w:color="auto"/>
            <w:left w:val="none" w:sz="0" w:space="0" w:color="auto"/>
            <w:bottom w:val="none" w:sz="0" w:space="0" w:color="auto"/>
            <w:right w:val="none" w:sz="0" w:space="0" w:color="auto"/>
          </w:divBdr>
          <w:divsChild>
            <w:div w:id="8909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58026">
      <w:bodyDiv w:val="1"/>
      <w:marLeft w:val="0"/>
      <w:marRight w:val="0"/>
      <w:marTop w:val="0"/>
      <w:marBottom w:val="0"/>
      <w:divBdr>
        <w:top w:val="none" w:sz="0" w:space="0" w:color="auto"/>
        <w:left w:val="none" w:sz="0" w:space="0" w:color="auto"/>
        <w:bottom w:val="none" w:sz="0" w:space="0" w:color="auto"/>
        <w:right w:val="none" w:sz="0" w:space="0" w:color="auto"/>
      </w:divBdr>
    </w:div>
    <w:div w:id="1783917789">
      <w:bodyDiv w:val="1"/>
      <w:marLeft w:val="0"/>
      <w:marRight w:val="0"/>
      <w:marTop w:val="0"/>
      <w:marBottom w:val="0"/>
      <w:divBdr>
        <w:top w:val="none" w:sz="0" w:space="0" w:color="auto"/>
        <w:left w:val="none" w:sz="0" w:space="0" w:color="auto"/>
        <w:bottom w:val="none" w:sz="0" w:space="0" w:color="auto"/>
        <w:right w:val="none" w:sz="0" w:space="0" w:color="auto"/>
      </w:divBdr>
    </w:div>
    <w:div w:id="1860002736">
      <w:bodyDiv w:val="1"/>
      <w:marLeft w:val="0"/>
      <w:marRight w:val="0"/>
      <w:marTop w:val="0"/>
      <w:marBottom w:val="0"/>
      <w:divBdr>
        <w:top w:val="none" w:sz="0" w:space="0" w:color="auto"/>
        <w:left w:val="none" w:sz="0" w:space="0" w:color="auto"/>
        <w:bottom w:val="none" w:sz="0" w:space="0" w:color="auto"/>
        <w:right w:val="none" w:sz="0" w:space="0" w:color="auto"/>
      </w:divBdr>
    </w:div>
    <w:div w:id="2036880566">
      <w:bodyDiv w:val="1"/>
      <w:marLeft w:val="0"/>
      <w:marRight w:val="0"/>
      <w:marTop w:val="0"/>
      <w:marBottom w:val="0"/>
      <w:divBdr>
        <w:top w:val="none" w:sz="0" w:space="0" w:color="auto"/>
        <w:left w:val="none" w:sz="0" w:space="0" w:color="auto"/>
        <w:bottom w:val="none" w:sz="0" w:space="0" w:color="auto"/>
        <w:right w:val="none" w:sz="0" w:space="0" w:color="auto"/>
      </w:divBdr>
      <w:divsChild>
        <w:div w:id="1716079261">
          <w:marLeft w:val="480"/>
          <w:marRight w:val="0"/>
          <w:marTop w:val="0"/>
          <w:marBottom w:val="0"/>
          <w:divBdr>
            <w:top w:val="none" w:sz="0" w:space="0" w:color="auto"/>
            <w:left w:val="none" w:sz="0" w:space="0" w:color="auto"/>
            <w:bottom w:val="none" w:sz="0" w:space="0" w:color="auto"/>
            <w:right w:val="none" w:sz="0" w:space="0" w:color="auto"/>
          </w:divBdr>
          <w:divsChild>
            <w:div w:id="6807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2.jp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1.jpg"/><Relationship Id="rId25" Type="http://schemas.openxmlformats.org/officeDocument/2006/relationships/image" Target="media/image19.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8.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7.png"/><Relationship Id="rId28" Type="http://schemas.openxmlformats.org/officeDocument/2006/relationships/hyperlink" Target="https://www.ecb.europa.eu/pub/pdf/scpwps/ecbwp1418.pdf" TargetMode="External"/><Relationship Id="rId36" Type="http://schemas.openxmlformats.org/officeDocument/2006/relationships/glossaryDocument" Target="glossary/document.xml"/><Relationship Id="rId10" Type="http://schemas.openxmlformats.org/officeDocument/2006/relationships/image" Target="media/image3.svg"/><Relationship Id="rId19" Type="http://schemas.openxmlformats.org/officeDocument/2006/relationships/image" Target="media/image13.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6.jpg"/><Relationship Id="rId27" Type="http://schemas.openxmlformats.org/officeDocument/2006/relationships/hyperlink" Target="https://pubs.aeaweb.org/doi/pdfplus/10.1257/0895330042632744"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ifo.de/DocDL/cesifo1_wp1849.pdf" TargetMode="External"/><Relationship Id="rId3" Type="http://schemas.openxmlformats.org/officeDocument/2006/relationships/hyperlink" Target="https://es.wikipedia.org/wiki/%C3%8Dndice_Big_Mac" TargetMode="External"/><Relationship Id="rId7" Type="http://schemas.openxmlformats.org/officeDocument/2006/relationships/hyperlink" Target="https://www.investopedia.com/terms/r/rollscritique.asp" TargetMode="External"/><Relationship Id="rId2" Type="http://schemas.openxmlformats.org/officeDocument/2006/relationships/hyperlink" Target="https://www.economist.com/big-mac-index" TargetMode="External"/><Relationship Id="rId1" Type="http://schemas.openxmlformats.org/officeDocument/2006/relationships/hyperlink" Target="https://doi.org/10.1257/0895330042632744" TargetMode="External"/><Relationship Id="rId6" Type="http://schemas.openxmlformats.org/officeDocument/2006/relationships/hyperlink" Target="https://en.wikipedia.org/wiki/Roll%27s_critique" TargetMode="External"/><Relationship Id="rId5" Type="http://schemas.openxmlformats.org/officeDocument/2006/relationships/hyperlink" Target="https://www.ft.com/content/51e52c04-090c-11dc-a349-000b5df10621" TargetMode="External"/><Relationship Id="rId4" Type="http://schemas.openxmlformats.org/officeDocument/2006/relationships/image" Target="media/image9.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930F85A2EBA4B2FB631725042B88175"/>
        <w:category>
          <w:name w:val="General"/>
          <w:gallery w:val="placeholder"/>
        </w:category>
        <w:types>
          <w:type w:val="bbPlcHdr"/>
        </w:types>
        <w:behaviors>
          <w:behavior w:val="content"/>
        </w:behaviors>
        <w:guid w:val="{27B17572-E277-43F3-A95F-3B9492FFA4E7}"/>
      </w:docPartPr>
      <w:docPartBody>
        <w:p w:rsidR="00D973B1" w:rsidRDefault="003F72EE">
          <w:pPr>
            <w:pStyle w:val="D930F85A2EBA4B2FB631725042B88175"/>
          </w:pPr>
          <w:r w:rsidRPr="001B5103">
            <w:rPr>
              <w:rStyle w:val="Textodelmarcadordeposicin"/>
            </w:rPr>
            <w:t>[Title]</w:t>
          </w:r>
        </w:p>
      </w:docPartBody>
    </w:docPart>
    <w:docPart>
      <w:docPartPr>
        <w:name w:val="6680564685BF4A0BBD0E3184D2AE36AA"/>
        <w:category>
          <w:name w:val="General"/>
          <w:gallery w:val="placeholder"/>
        </w:category>
        <w:types>
          <w:type w:val="bbPlcHdr"/>
        </w:types>
        <w:behaviors>
          <w:behavior w:val="content"/>
        </w:behaviors>
        <w:guid w:val="{4E0AEB9E-8F68-44E5-B7F8-1EB1A3C32377}"/>
      </w:docPartPr>
      <w:docPartBody>
        <w:p w:rsidR="00D973B1" w:rsidRDefault="003F72EE">
          <w:pPr>
            <w:pStyle w:val="6680564685BF4A0BBD0E3184D2AE36AA"/>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EE"/>
    <w:rsid w:val="00006882"/>
    <w:rsid w:val="00012D92"/>
    <w:rsid w:val="000C0F18"/>
    <w:rsid w:val="000C305B"/>
    <w:rsid w:val="001020DD"/>
    <w:rsid w:val="0012702F"/>
    <w:rsid w:val="0014123E"/>
    <w:rsid w:val="001472CA"/>
    <w:rsid w:val="00170F12"/>
    <w:rsid w:val="001848FA"/>
    <w:rsid w:val="001B5D47"/>
    <w:rsid w:val="001E05FA"/>
    <w:rsid w:val="00232BAD"/>
    <w:rsid w:val="00242771"/>
    <w:rsid w:val="002C6ECD"/>
    <w:rsid w:val="00301F2A"/>
    <w:rsid w:val="003B083B"/>
    <w:rsid w:val="003C7645"/>
    <w:rsid w:val="003F72EE"/>
    <w:rsid w:val="00406693"/>
    <w:rsid w:val="00411388"/>
    <w:rsid w:val="00413D9C"/>
    <w:rsid w:val="004719C3"/>
    <w:rsid w:val="0047308F"/>
    <w:rsid w:val="00512E05"/>
    <w:rsid w:val="00584E92"/>
    <w:rsid w:val="005879E7"/>
    <w:rsid w:val="00597EA3"/>
    <w:rsid w:val="00603E59"/>
    <w:rsid w:val="00634010"/>
    <w:rsid w:val="00672406"/>
    <w:rsid w:val="006C1883"/>
    <w:rsid w:val="00704184"/>
    <w:rsid w:val="00711B2B"/>
    <w:rsid w:val="00722437"/>
    <w:rsid w:val="007B00B3"/>
    <w:rsid w:val="007B6D45"/>
    <w:rsid w:val="00801790"/>
    <w:rsid w:val="008503F4"/>
    <w:rsid w:val="008B43FB"/>
    <w:rsid w:val="008E0907"/>
    <w:rsid w:val="009A7050"/>
    <w:rsid w:val="009D228F"/>
    <w:rsid w:val="00A16F47"/>
    <w:rsid w:val="00A17BE5"/>
    <w:rsid w:val="00A40B12"/>
    <w:rsid w:val="00A66B64"/>
    <w:rsid w:val="00AC5B8D"/>
    <w:rsid w:val="00AE7175"/>
    <w:rsid w:val="00B044FD"/>
    <w:rsid w:val="00B343CF"/>
    <w:rsid w:val="00B779E8"/>
    <w:rsid w:val="00BA074F"/>
    <w:rsid w:val="00BA4C5C"/>
    <w:rsid w:val="00BB30EA"/>
    <w:rsid w:val="00BC695C"/>
    <w:rsid w:val="00C13670"/>
    <w:rsid w:val="00C82E4D"/>
    <w:rsid w:val="00CD7820"/>
    <w:rsid w:val="00CF77A6"/>
    <w:rsid w:val="00D60C37"/>
    <w:rsid w:val="00D973B1"/>
    <w:rsid w:val="00DA426F"/>
    <w:rsid w:val="00DC66FB"/>
    <w:rsid w:val="00DD19E7"/>
    <w:rsid w:val="00E37ACD"/>
    <w:rsid w:val="00F15401"/>
    <w:rsid w:val="00F73F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13D9C"/>
    <w:rPr>
      <w:color w:val="808080"/>
    </w:rPr>
  </w:style>
  <w:style w:type="paragraph" w:customStyle="1" w:styleId="D930F85A2EBA4B2FB631725042B88175">
    <w:name w:val="D930F85A2EBA4B2FB631725042B88175"/>
  </w:style>
  <w:style w:type="paragraph" w:customStyle="1" w:styleId="6680564685BF4A0BBD0E3184D2AE36AA">
    <w:name w:val="6680564685BF4A0BBD0E3184D2AE36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17</TotalTime>
  <Pages>1</Pages>
  <Words>18447</Words>
  <Characters>101459</Characters>
  <Application>Microsoft Office Word</Application>
  <DocSecurity>0</DocSecurity>
  <Lines>845</Lines>
  <Paragraphs>239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3.B.14</vt:lpstr>
      <vt:lpstr>TEMA E.P.NN</vt:lpstr>
    </vt:vector>
  </TitlesOfParts>
  <Company/>
  <LinksUpToDate>false</LinksUpToDate>
  <CharactersWithSpaces>119667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3.B.14</dc:title>
  <dc:subject>Teorías de la determinación del tipo de cambio.</dc:subject>
  <dc:creator>Víctor Gutiérrez Marcos</dc:creator>
  <cp:keywords/>
  <dc:description/>
  <cp:lastModifiedBy>Víctor Gutiérrez Marcos</cp:lastModifiedBy>
  <dcterms:created xsi:type="dcterms:W3CDTF">2024-08-07T21:54:00Z</dcterms:created>
  <dcterms:modified xsi:type="dcterms:W3CDTF">2024-08-10T20:18:00Z</dcterms:modified>
</cp:coreProperties>
</file>