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F1575" w14:textId="41497BDF" w:rsidR="00307C23" w:rsidRDefault="00000000" w:rsidP="003E4ED2">
      <w:pPr>
        <w:pStyle w:val="Ttulo"/>
        <w:ind w:left="720" w:hanging="720"/>
      </w:pPr>
      <w:sdt>
        <w:sdtPr>
          <w:rPr>
            <w:i/>
            <w:iCs w:val="0"/>
            <w:u w:val="single"/>
          </w:rPr>
          <w:alias w:val="Title"/>
          <w:tag w:val=""/>
          <w:id w:val="-780801520"/>
          <w:placeholder>
            <w:docPart w:val="A591CA442E6C479AB2DC87FE708AE35F"/>
          </w:placeholder>
          <w:dataBinding w:prefixMappings="xmlns:ns0='http://purl.org/dc/elements/1.1/' xmlns:ns1='http://schemas.openxmlformats.org/package/2006/metadata/core-properties' " w:xpath="/ns1:coreProperties[1]/ns0:title[1]" w:storeItemID="{6C3C8BC8-F283-45AE-878A-BAB7291924A1}"/>
          <w:text/>
        </w:sdtPr>
        <w:sdtContent>
          <w:r w:rsidR="008C2065">
            <w:rPr>
              <w:i/>
              <w:iCs w:val="0"/>
              <w:u w:val="single"/>
            </w:rPr>
            <w:t>3.B.10</w:t>
          </w:r>
        </w:sdtContent>
      </w:sdt>
      <w:r w:rsidR="00C851DA">
        <w:t xml:space="preserve"> :</w:t>
      </w:r>
      <w:r w:rsidR="00C81078" w:rsidRPr="004C0C34">
        <w:t xml:space="preserve"> </w:t>
      </w:r>
      <w:sdt>
        <w:sdtPr>
          <w:alias w:val="Subject"/>
          <w:tag w:val=""/>
          <w:id w:val="-1903059896"/>
          <w:placeholder>
            <w:docPart w:val="4C79774821534565AF9B5A58D7BD1B9F"/>
          </w:placeholder>
          <w:dataBinding w:prefixMappings="xmlns:ns0='http://purl.org/dc/elements/1.1/' xmlns:ns1='http://schemas.openxmlformats.org/package/2006/metadata/core-properties' " w:xpath="/ns1:coreProperties[1]/ns0:subject[1]" w:storeItemID="{6C3C8BC8-F283-45AE-878A-BAB7291924A1}"/>
          <w:text/>
        </w:sdtPr>
        <w:sdtContent>
          <w:r w:rsidR="008C2065">
            <w:t>Teoría de la integración económica</w:t>
          </w:r>
          <w:r w:rsidR="00F63F27">
            <w:t>.</w:t>
          </w:r>
        </w:sdtContent>
      </w:sdt>
    </w:p>
    <w:p w14:paraId="523AD137" w14:textId="77777777" w:rsidR="004618DD" w:rsidRDefault="004618DD" w:rsidP="004618DD">
      <w:pPr>
        <w:pStyle w:val="Notaalopositor"/>
        <w:spacing w:after="0"/>
      </w:pPr>
      <w:bookmarkStart w:id="0" w:name="_Hlk120007641"/>
      <w:bookmarkStart w:id="1" w:name="_Hlk111463127"/>
      <w:r>
        <w:t>Con el cambio de temario, a partir de la convocatoria de 2023 este tema pasará a ser:</w:t>
      </w:r>
    </w:p>
    <w:p w14:paraId="35790066" w14:textId="3CCCC177" w:rsidR="004618DD" w:rsidRDefault="004618DD" w:rsidP="004618DD">
      <w:pPr>
        <w:pStyle w:val="Notaalopositor"/>
      </w:pPr>
      <w:r>
        <w:t>3.B.10: Teoría de la integración económica.</w:t>
      </w:r>
    </w:p>
    <w:p w14:paraId="7E112596" w14:textId="77777777" w:rsidR="004618DD" w:rsidRDefault="004618DD" w:rsidP="004618DD">
      <w:pPr>
        <w:pStyle w:val="Notaalopositor"/>
      </w:pPr>
      <w:r>
        <w:t xml:space="preserve">De este modo, con lo escrito en este documento este tema estaría </w:t>
      </w:r>
      <w:r>
        <w:rPr>
          <w:b/>
          <w:bCs/>
        </w:rPr>
        <w:t>actualizado</w:t>
      </w:r>
      <w:r w:rsidRPr="00FC696F">
        <w:t>.</w:t>
      </w:r>
    </w:p>
    <w:p w14:paraId="72DBF834" w14:textId="1E79E2C4" w:rsidR="004618DD" w:rsidRDefault="004618DD" w:rsidP="004618DD">
      <w:pPr>
        <w:pStyle w:val="Notaalopositor"/>
        <w:jc w:val="center"/>
      </w:pPr>
      <w:r w:rsidRPr="001E6083">
        <w:rPr>
          <w:noProof/>
        </w:rPr>
        <w:drawing>
          <wp:inline distT="0" distB="0" distL="0" distR="0" wp14:anchorId="2545D931" wp14:editId="4C08F9E7">
            <wp:extent cx="2880000" cy="1498775"/>
            <wp:effectExtent l="0" t="0" r="0" b="635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8"/>
                    <a:stretch>
                      <a:fillRect/>
                    </a:stretch>
                  </pic:blipFill>
                  <pic:spPr>
                    <a:xfrm>
                      <a:off x="0" y="0"/>
                      <a:ext cx="2880000" cy="1498775"/>
                    </a:xfrm>
                    <a:prstGeom prst="rect">
                      <a:avLst/>
                    </a:prstGeom>
                  </pic:spPr>
                </pic:pic>
              </a:graphicData>
            </a:graphic>
          </wp:inline>
        </w:drawing>
      </w:r>
    </w:p>
    <w:bookmarkEnd w:id="0"/>
    <w:p w14:paraId="4FA70704" w14:textId="2EF04B19"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bookmarkEnd w:id="1"/>
      <w:r w:rsidRPr="00B9022F">
        <w:t>I</w:t>
      </w:r>
      <w:r w:rsidRPr="00B9022F">
        <w:rPr>
          <w:rStyle w:val="IntroduccinyconclusinChar"/>
          <w:b/>
          <w:bCs/>
          <w:caps/>
          <w:shd w:val="clear" w:color="auto" w:fill="auto"/>
        </w:rPr>
        <w:t>NTRODUCCIÓN</w:t>
      </w:r>
      <w:bookmarkEnd w:id="2"/>
      <w:bookmarkEnd w:id="3"/>
      <w:bookmarkEnd w:id="4"/>
      <w:bookmarkEnd w:id="5"/>
    </w:p>
    <w:p w14:paraId="55C4F24D" w14:textId="6BA17D10" w:rsidR="00B77C0F" w:rsidRDefault="00B77C0F" w:rsidP="00933302">
      <w:pPr>
        <w:pStyle w:val="Nivel1"/>
        <w:keepNext/>
        <w:spacing w:before="0" w:after="0"/>
      </w:pPr>
      <w:r w:rsidRPr="001F649F">
        <w:rPr>
          <w:b/>
          <w:bCs/>
          <w:i/>
          <w:iCs/>
        </w:rPr>
        <w:t>Enganche</w:t>
      </w:r>
      <w:r>
        <w:t>:</w:t>
      </w:r>
    </w:p>
    <w:bookmarkEnd w:id="6"/>
    <w:p w14:paraId="47B20471" w14:textId="00170F29" w:rsidR="00291CBD" w:rsidRDefault="00291CBD" w:rsidP="00701F49">
      <w:pPr>
        <w:pStyle w:val="Nivel2"/>
        <w:keepNext/>
        <w:spacing w:after="0"/>
      </w:pPr>
      <w:r w:rsidRPr="00FE4361">
        <w:t xml:space="preserve">La </w:t>
      </w:r>
      <w:r w:rsidRPr="00507EC6">
        <w:rPr>
          <w:b/>
          <w:bCs/>
        </w:rPr>
        <w:t>integración económica</w:t>
      </w:r>
      <w:r w:rsidRPr="00FE4361">
        <w:t xml:space="preserve"> </w:t>
      </w:r>
      <w:r>
        <w:t xml:space="preserve">es </w:t>
      </w:r>
      <w:r w:rsidRPr="00FE4361">
        <w:t>el proceso por el cual diferentes países deciden conformar conjuntamente entidades más grandes con el fin de mejorar tanto el bienestar nacional</w:t>
      </w:r>
      <w:r>
        <w:t xml:space="preserve"> c</w:t>
      </w:r>
      <w:r w:rsidRPr="00FE4361">
        <w:t>omo el de</w:t>
      </w:r>
      <w:r>
        <w:t>l grupo en su</w:t>
      </w:r>
      <w:r w:rsidRPr="00FE4361">
        <w:t xml:space="preserve"> conjunto.</w:t>
      </w:r>
    </w:p>
    <w:p w14:paraId="13613F11" w14:textId="77777777" w:rsidR="00291CBD" w:rsidRDefault="00291CBD" w:rsidP="00701F49">
      <w:pPr>
        <w:pStyle w:val="Nivel3"/>
      </w:pPr>
      <w:r>
        <w:t xml:space="preserve">Desde el punto de vista de la teoría económica, como indica </w:t>
      </w:r>
      <w:proofErr w:type="spellStart"/>
      <w:r>
        <w:rPr>
          <w:smallCaps/>
        </w:rPr>
        <w:t>Pelkmans</w:t>
      </w:r>
      <w:proofErr w:type="spellEnd"/>
      <w:r>
        <w:t xml:space="preserve"> (2006), la </w:t>
      </w:r>
      <w:r w:rsidRPr="00572EDC">
        <w:rPr>
          <w:b/>
          <w:bCs/>
        </w:rPr>
        <w:t>integración económica</w:t>
      </w:r>
      <w:r>
        <w:t xml:space="preserve"> supone la eliminación de las </w:t>
      </w:r>
      <w:r w:rsidRPr="007671B7">
        <w:rPr>
          <w:rFonts w:cs="Times New Roman"/>
        </w:rPr>
        <w:t>«</w:t>
      </w:r>
      <w:r>
        <w:rPr>
          <w:rFonts w:cs="Times New Roman"/>
        </w:rPr>
        <w:t>fronteras económicas</w:t>
      </w:r>
      <w:r w:rsidRPr="007671B7">
        <w:rPr>
          <w:rFonts w:cs="Times New Roman"/>
        </w:rPr>
        <w:t>»</w:t>
      </w:r>
      <w:r>
        <w:rPr>
          <w:rFonts w:cs="Times New Roman"/>
        </w:rPr>
        <w:t xml:space="preserve"> entre dos o más países, entendiendo por </w:t>
      </w:r>
      <w:r w:rsidRPr="007671B7">
        <w:rPr>
          <w:rFonts w:cs="Times New Roman"/>
        </w:rPr>
        <w:t>«</w:t>
      </w:r>
      <w:r>
        <w:rPr>
          <w:rFonts w:cs="Times New Roman"/>
        </w:rPr>
        <w:t>frontera económica</w:t>
      </w:r>
      <w:r w:rsidRPr="007671B7">
        <w:rPr>
          <w:rFonts w:cs="Times New Roman"/>
        </w:rPr>
        <w:t>»</w:t>
      </w:r>
      <w:r>
        <w:rPr>
          <w:rFonts w:cs="Times New Roman"/>
        </w:rPr>
        <w:t xml:space="preserve"> cualquier elemento, no sólo físico, que restringe la libre movilidad de bienes, servicios y factores productivos entre unos países y otros.</w:t>
      </w:r>
    </w:p>
    <w:p w14:paraId="14BD24C1" w14:textId="0CA98E9D" w:rsidR="00291CBD" w:rsidRDefault="00291CBD" w:rsidP="00291CBD">
      <w:pPr>
        <w:pStyle w:val="Nivel2"/>
        <w:keepNext/>
        <w:spacing w:after="0"/>
      </w:pPr>
      <w:r w:rsidRPr="00FE4361">
        <w:t>Al estudi</w:t>
      </w:r>
      <w:r>
        <w:t>o de</w:t>
      </w:r>
      <w:r w:rsidRPr="00FE4361">
        <w:t xml:space="preserve"> estos procesos se dedica a la </w:t>
      </w:r>
      <w:r w:rsidRPr="00507EC6">
        <w:rPr>
          <w:i/>
          <w:iCs/>
          <w:u w:val="single"/>
        </w:rPr>
        <w:t>teoría de la integración económica</w:t>
      </w:r>
      <w:r w:rsidRPr="00FE4361">
        <w:t xml:space="preserve">. En concreto, esta pretende </w:t>
      </w:r>
      <w:r w:rsidR="004F27DD" w:rsidRPr="00FE4361">
        <w:t xml:space="preserve">medir los </w:t>
      </w:r>
      <w:r w:rsidR="004F27DD">
        <w:rPr>
          <w:i/>
          <w:iCs/>
        </w:rPr>
        <w:t>efectos</w:t>
      </w:r>
      <w:r w:rsidR="004F27DD" w:rsidRPr="00FE4361">
        <w:t xml:space="preserve"> que la integración tiene sobre el bienestar</w:t>
      </w:r>
      <w:r w:rsidR="004F27DD">
        <w:t xml:space="preserve"> y </w:t>
      </w:r>
      <w:r w:rsidRPr="00FE4361">
        <w:t xml:space="preserve">analizar los </w:t>
      </w:r>
      <w:r w:rsidRPr="004F27DD">
        <w:rPr>
          <w:i/>
          <w:iCs/>
        </w:rPr>
        <w:t>determinantes</w:t>
      </w:r>
      <w:r w:rsidRPr="00FE4361">
        <w:t xml:space="preserve"> que empujan este proceso</w:t>
      </w:r>
      <w:r>
        <w:t>.</w:t>
      </w:r>
    </w:p>
    <w:p w14:paraId="3737AEB8" w14:textId="77777777" w:rsidR="00291CBD" w:rsidRDefault="00291CBD" w:rsidP="00291CBD">
      <w:pPr>
        <w:pStyle w:val="Nivel3"/>
      </w:pPr>
      <w:r w:rsidRPr="00FE4361">
        <w:t xml:space="preserve">Sin embargo, esta no es una </w:t>
      </w:r>
      <w:r>
        <w:t xml:space="preserve">tarea </w:t>
      </w:r>
      <w:r w:rsidRPr="00FE4361">
        <w:t>sencilla. Dentro de la integración</w:t>
      </w:r>
      <w:r>
        <w:t>,</w:t>
      </w:r>
      <w:r w:rsidRPr="00FE4361">
        <w:t xml:space="preserve"> intervienen múltiples factores que pueden tener un rol simultáneo en distintas direcciones. Su marco originario de la liberalización comercial, pero posteriormente se ha incorporado el estudio de la movilidad de otros factores </w:t>
      </w:r>
      <w:r>
        <w:t>(</w:t>
      </w:r>
      <w:r w:rsidRPr="00FE4361">
        <w:t>capital y trabajo</w:t>
      </w:r>
      <w:r>
        <w:t>)</w:t>
      </w:r>
      <w:r w:rsidRPr="00FE4361">
        <w:t>.</w:t>
      </w:r>
    </w:p>
    <w:p w14:paraId="6E36A1EE" w14:textId="77777777" w:rsidR="00291CBD" w:rsidRDefault="00291CBD" w:rsidP="00291CBD">
      <w:pPr>
        <w:pStyle w:val="Nivel3"/>
        <w:keepNext/>
      </w:pPr>
      <w:r>
        <w:t>Además, la teoría de la integración, pese a estar muy interconectada con otras disciplinas de la teoría económica, carece de un cuerpo teórico claro y estructurado.</w:t>
      </w:r>
    </w:p>
    <w:p w14:paraId="3C56385E" w14:textId="77777777" w:rsidR="00291CBD" w:rsidRDefault="00291CBD" w:rsidP="00291CBD">
      <w:pPr>
        <w:pStyle w:val="Nivel4"/>
      </w:pPr>
      <w:r>
        <w:t xml:space="preserve">Sus orígenes parten de la propia </w:t>
      </w:r>
      <w:r w:rsidRPr="00827E5A">
        <w:rPr>
          <w:i/>
          <w:iCs/>
        </w:rPr>
        <w:t>teoría clásica del comercio internacional</w:t>
      </w:r>
      <w:r>
        <w:t>, pero según se fue expandiendo el abanico de temas incluidos dentro de la integración, ésta se vio en la necesidad de reformularse.</w:t>
      </w:r>
    </w:p>
    <w:p w14:paraId="40EF268A" w14:textId="77CDB9D7" w:rsidR="00291CBD" w:rsidRDefault="00291CBD" w:rsidP="00291CBD">
      <w:pPr>
        <w:pStyle w:val="Nivel4"/>
      </w:pPr>
      <w:r>
        <w:t xml:space="preserve">Así y tras unos vagos inicios como </w:t>
      </w:r>
      <w:r w:rsidRPr="00827E5A">
        <w:rPr>
          <w:i/>
          <w:iCs/>
        </w:rPr>
        <w:t>disciplina propia</w:t>
      </w:r>
      <w:r>
        <w:t xml:space="preserve"> en los años</w:t>
      </w:r>
      <w:r w:rsidR="00F30B25">
        <w:t> </w:t>
      </w:r>
      <w:r>
        <w:t xml:space="preserve">50, la integración empezó a beber de temas propios de las </w:t>
      </w:r>
      <w:r w:rsidRPr="00827E5A">
        <w:rPr>
          <w:i/>
          <w:iCs/>
        </w:rPr>
        <w:t>ciencias políticas</w:t>
      </w:r>
      <w:r>
        <w:t xml:space="preserve">, la </w:t>
      </w:r>
      <w:r w:rsidRPr="00827E5A">
        <w:rPr>
          <w:i/>
          <w:iCs/>
        </w:rPr>
        <w:t xml:space="preserve">economía política </w:t>
      </w:r>
      <w:r w:rsidRPr="00827E5A">
        <w:rPr>
          <w:i/>
          <w:iCs/>
        </w:rPr>
        <w:lastRenderedPageBreak/>
        <w:t>internacional</w:t>
      </w:r>
      <w:r>
        <w:t xml:space="preserve"> o incluso la </w:t>
      </w:r>
      <w:r w:rsidRPr="00827E5A">
        <w:rPr>
          <w:i/>
          <w:iCs/>
        </w:rPr>
        <w:t>teoría de juegos</w:t>
      </w:r>
      <w:r>
        <w:t xml:space="preserve">, todo ello bajo la influencia directa de las </w:t>
      </w:r>
      <w:r w:rsidRPr="00827E5A">
        <w:rPr>
          <w:i/>
          <w:iCs/>
        </w:rPr>
        <w:t>nuevas teorías del comercio</w:t>
      </w:r>
      <w:r>
        <w:t xml:space="preserve"> y del </w:t>
      </w:r>
      <w:r w:rsidRPr="00827E5A">
        <w:rPr>
          <w:i/>
          <w:iCs/>
        </w:rPr>
        <w:t>crecimiento</w:t>
      </w:r>
      <w:r w:rsidR="007C3EF2" w:rsidRPr="007C3EF2">
        <w:rPr>
          <w:rStyle w:val="Refdenotaalpie"/>
        </w:rPr>
        <w:footnoteReference w:id="3"/>
      </w:r>
      <w:r>
        <w:t>.</w:t>
      </w:r>
    </w:p>
    <w:p w14:paraId="28987041" w14:textId="77777777" w:rsidR="00291CBD" w:rsidRDefault="00291CBD" w:rsidP="00291CBD">
      <w:pPr>
        <w:pStyle w:val="Nivel3"/>
        <w:keepNext/>
      </w:pPr>
      <w:r>
        <w:t xml:space="preserve">A lo largo de esta exposición, es conveniente tener en mente que la integración podría considerarse como un sustitutivo imperfecto de la teoría del librecambio planteada por autores clásicos como </w:t>
      </w:r>
      <w:r>
        <w:rPr>
          <w:smallCaps/>
        </w:rPr>
        <w:t>Adam Smith</w:t>
      </w:r>
      <w:r>
        <w:t xml:space="preserve"> o </w:t>
      </w:r>
      <w:r>
        <w:rPr>
          <w:smallCaps/>
        </w:rPr>
        <w:t>David Ricardo</w:t>
      </w:r>
      <w:r>
        <w:t>.</w:t>
      </w:r>
    </w:p>
    <w:p w14:paraId="31A6585F" w14:textId="59E1C7F0" w:rsidR="00291CBD" w:rsidRPr="000C2E17" w:rsidRDefault="00291CBD" w:rsidP="00291CBD">
      <w:pPr>
        <w:pStyle w:val="Nivel4"/>
        <w:rPr>
          <w:spacing w:val="-1"/>
        </w:rPr>
      </w:pPr>
      <w:r w:rsidRPr="000C2E17">
        <w:rPr>
          <w:spacing w:val="-1"/>
        </w:rPr>
        <w:t>Estos plantearon teóricamente los beneficios y la necesidad de llevar al mundo hacia una situación en la que las barreras al comercio y a la libre movilidad de factores fuesen prácticamente inexistentes. Sin embargo, el mundo “real” puede estar sujeto a mayores riesgos e incertidumbres que la teoría clásica del comercio estaba obviando.</w:t>
      </w:r>
      <w:r w:rsidR="002539E0" w:rsidRPr="000C2E17">
        <w:rPr>
          <w:spacing w:val="-1"/>
        </w:rPr>
        <w:t xml:space="preserve"> </w:t>
      </w:r>
      <w:r w:rsidRPr="000C2E17">
        <w:rPr>
          <w:spacing w:val="-1"/>
        </w:rPr>
        <w:t xml:space="preserve">Por el contrario y sabedores de las dificultades y posibles efectos adversos que acarrea la apertura total e incondicional de un país al libre mercado internacional, los países han optado por ir abriendo sus fronteras de manera gradual y mediante acuerdos más o menos comprometidos con otros posibles socios comerciales, todo ello tras ponderar los posibles costes y beneficios en términos de bienestar que acarrea dicho proceso. Por ello, no es de extrañar que, sin llegar a ser una teoría sobre el libre comercio, la teoría de la integración haya sido concebida como un </w:t>
      </w:r>
      <w:proofErr w:type="spellStart"/>
      <w:r w:rsidRPr="000C2E17">
        <w:rPr>
          <w:i/>
          <w:iCs/>
          <w:spacing w:val="-1"/>
        </w:rPr>
        <w:t>second</w:t>
      </w:r>
      <w:proofErr w:type="spellEnd"/>
      <w:r w:rsidRPr="000C2E17">
        <w:rPr>
          <w:i/>
          <w:iCs/>
          <w:spacing w:val="-1"/>
        </w:rPr>
        <w:t xml:space="preserve"> </w:t>
      </w:r>
      <w:proofErr w:type="spellStart"/>
      <w:r w:rsidRPr="000C2E17">
        <w:rPr>
          <w:i/>
          <w:iCs/>
          <w:spacing w:val="-1"/>
        </w:rPr>
        <w:t>best</w:t>
      </w:r>
      <w:proofErr w:type="spellEnd"/>
      <w:r w:rsidRPr="000C2E17">
        <w:rPr>
          <w:spacing w:val="-1"/>
        </w:rPr>
        <w:t xml:space="preserve"> de la propia idea del librecambio</w:t>
      </w:r>
      <w:r w:rsidRPr="000C2E17">
        <w:rPr>
          <w:rStyle w:val="Refdenotaalpie"/>
          <w:spacing w:val="-1"/>
        </w:rPr>
        <w:footnoteReference w:id="4"/>
      </w:r>
      <w:r w:rsidRPr="000C2E17">
        <w:rPr>
          <w:spacing w:val="-1"/>
        </w:rPr>
        <w:t>.</w:t>
      </w:r>
    </w:p>
    <w:bookmarkEnd w:id="7"/>
    <w:p w14:paraId="541815FA" w14:textId="22129A51" w:rsidR="00CE758B" w:rsidRDefault="00CE758B" w:rsidP="001F649F">
      <w:pPr>
        <w:pStyle w:val="Nivel1"/>
        <w:keepNext/>
        <w:spacing w:after="0"/>
      </w:pPr>
      <w:r w:rsidRPr="00CE758B">
        <w:rPr>
          <w:b/>
          <w:bCs/>
          <w:i/>
          <w:iCs/>
        </w:rPr>
        <w:t>Relevancia</w:t>
      </w:r>
      <w:r>
        <w:t>:</w:t>
      </w:r>
    </w:p>
    <w:p w14:paraId="54EDFF71" w14:textId="77777777" w:rsidR="007C3EF2" w:rsidRPr="00C506D0" w:rsidRDefault="007C3EF2" w:rsidP="007C3EF2">
      <w:pPr>
        <w:pStyle w:val="Nivel2"/>
        <w:keepNext/>
        <w:spacing w:after="0"/>
      </w:pPr>
      <w:r w:rsidRPr="00C506D0">
        <w:t>Esta cuestión es, por lo tanto, de gran relevancia tanto a nivel teórico como práctico:</w:t>
      </w:r>
    </w:p>
    <w:p w14:paraId="496D69B7" w14:textId="4C4C9F84" w:rsidR="007C3EF2" w:rsidRPr="00C506D0" w:rsidRDefault="007C3EF2" w:rsidP="007C3EF2">
      <w:pPr>
        <w:pStyle w:val="Nivel3"/>
        <w:keepNext/>
      </w:pPr>
      <w:r w:rsidRPr="004F27DD">
        <w:rPr>
          <w:i/>
          <w:iCs/>
        </w:rPr>
        <w:t>Desde un punto de vista teórico</w:t>
      </w:r>
      <w:r w:rsidRPr="00C506D0">
        <w:t>,</w:t>
      </w:r>
      <w:r>
        <w:t xml:space="preserve"> el estudio de los efectos y los determinantes de la teoría de la integración económica arrojará importantes implicaciones en materia de política económica.</w:t>
      </w:r>
    </w:p>
    <w:p w14:paraId="1BFB0EA0" w14:textId="712762B0" w:rsidR="007C3EF2" w:rsidRPr="007C3EF2" w:rsidRDefault="007C3EF2" w:rsidP="007C3EF2">
      <w:pPr>
        <w:pStyle w:val="Nivel3"/>
      </w:pPr>
      <w:r w:rsidRPr="004F27DD">
        <w:rPr>
          <w:i/>
          <w:iCs/>
        </w:rPr>
        <w:t>Desde un punto de vista práctico</w:t>
      </w:r>
      <w:r w:rsidRPr="00C506D0">
        <w:t xml:space="preserve">, </w:t>
      </w:r>
      <w:r w:rsidR="00B2627D">
        <w:t>su relevancia se puede ejemplificar en el siguiente da</w:t>
      </w:r>
      <w:r w:rsidR="00F96245">
        <w:t>t</w:t>
      </w:r>
      <w:r w:rsidR="00B2627D">
        <w:t>o:</w:t>
      </w:r>
      <w:r>
        <w:t xml:space="preserve"> s</w:t>
      </w:r>
      <w:r w:rsidRPr="007C3EF2">
        <w:t>egún los datos de la Organización Mundial del Comercio existen en torno a 420</w:t>
      </w:r>
      <w:r w:rsidR="00933302">
        <w:t> </w:t>
      </w:r>
      <w:r w:rsidRPr="007C3EF2">
        <w:t xml:space="preserve">acuerdos regionales notificados </w:t>
      </w:r>
      <w:r w:rsidR="00B2627D">
        <w:t>(</w:t>
      </w:r>
      <w:r w:rsidRPr="007C3EF2">
        <w:t>la mayoría áreas de libre comercio</w:t>
      </w:r>
      <w:r w:rsidR="00B2627D">
        <w:t>)</w:t>
      </w:r>
      <w:r w:rsidRPr="007C3EF2">
        <w:t>.</w:t>
      </w:r>
    </w:p>
    <w:p w14:paraId="7F90699B" w14:textId="7CF72CE6" w:rsidR="00A51B24" w:rsidRDefault="001F649F" w:rsidP="001F649F">
      <w:pPr>
        <w:pStyle w:val="Nivel1"/>
        <w:keepNext/>
        <w:spacing w:after="0"/>
      </w:pPr>
      <w:r>
        <w:rPr>
          <w:b/>
          <w:bCs/>
          <w:i/>
          <w:iCs/>
        </w:rPr>
        <w:t>Contextualización</w:t>
      </w:r>
      <w:r w:rsidR="00A51B24">
        <w:t>:</w:t>
      </w:r>
    </w:p>
    <w:p w14:paraId="24947DAC" w14:textId="4568C3E6" w:rsidR="008F225C" w:rsidRPr="00291CBD" w:rsidRDefault="008F225C" w:rsidP="008F225C">
      <w:pPr>
        <w:pStyle w:val="Nivel2"/>
        <w:keepNext/>
        <w:spacing w:after="0"/>
      </w:pPr>
      <w:bookmarkStart w:id="9" w:name="_Hlk95925175"/>
      <w:r w:rsidRPr="00291CBD">
        <w:rPr>
          <w:i/>
          <w:iCs/>
          <w:u w:val="single"/>
        </w:rPr>
        <w:t>Desde un punto de vista histórico</w:t>
      </w:r>
      <w:r w:rsidRPr="00291CBD">
        <w:t>,</w:t>
      </w:r>
    </w:p>
    <w:p w14:paraId="69EFC2A6" w14:textId="41ACB46C" w:rsidR="008F225C" w:rsidRPr="00291CBD" w:rsidRDefault="008F225C" w:rsidP="008F225C">
      <w:pPr>
        <w:pStyle w:val="Nivel3"/>
        <w:keepNext/>
      </w:pPr>
      <w:r w:rsidRPr="00291CBD">
        <w:t>L</w:t>
      </w:r>
      <w:r w:rsidR="00E03BBC">
        <w:t>os comienzos de la teoría de la integración se enmarcan en l</w:t>
      </w:r>
      <w:r w:rsidRPr="00291CBD">
        <w:t xml:space="preserve">a </w:t>
      </w:r>
      <w:r w:rsidRPr="00E03BBC">
        <w:rPr>
          <w:b/>
          <w:bCs/>
        </w:rPr>
        <w:t>teoría tradicional de las Uniones Aduaneras</w:t>
      </w:r>
      <w:r w:rsidR="00E03BBC">
        <w:t>, con las contribuciones pioneras de</w:t>
      </w:r>
      <w:r w:rsidRPr="00291CBD">
        <w:t xml:space="preserve"> </w:t>
      </w:r>
      <w:r w:rsidRPr="00291CBD">
        <w:rPr>
          <w:smallCaps/>
        </w:rPr>
        <w:t>Viner</w:t>
      </w:r>
      <w:r w:rsidRPr="00291CBD">
        <w:t xml:space="preserve"> (1950) y posteriormente desarrollada por autores como </w:t>
      </w:r>
      <w:r w:rsidRPr="00291CBD">
        <w:rPr>
          <w:smallCaps/>
        </w:rPr>
        <w:t>Meade</w:t>
      </w:r>
      <w:r w:rsidRPr="00291CBD">
        <w:t xml:space="preserve"> y </w:t>
      </w:r>
      <w:proofErr w:type="spellStart"/>
      <w:r w:rsidRPr="00291CBD">
        <w:rPr>
          <w:smallCaps/>
        </w:rPr>
        <w:t>Lipsey</w:t>
      </w:r>
      <w:proofErr w:type="spellEnd"/>
      <w:r w:rsidRPr="00291CBD">
        <w:t xml:space="preserve">. Estas teorías adoptan un </w:t>
      </w:r>
      <w:r w:rsidRPr="00291CBD">
        <w:rPr>
          <w:i/>
          <w:iCs/>
        </w:rPr>
        <w:t>enfoque estático</w:t>
      </w:r>
      <w:r w:rsidRPr="00291CBD">
        <w:t>.</w:t>
      </w:r>
    </w:p>
    <w:p w14:paraId="4AF23E2D" w14:textId="2EAB4DD4" w:rsidR="008F225C" w:rsidRPr="00291CBD" w:rsidRDefault="008F225C" w:rsidP="008F225C">
      <w:pPr>
        <w:pStyle w:val="Nivel4"/>
      </w:pPr>
      <w:r w:rsidRPr="00291CBD">
        <w:t>No es casualidad que la literatura comience a desarrollarse justo después</w:t>
      </w:r>
      <w:r w:rsidR="00E5554C" w:rsidRPr="00291CBD">
        <w:t xml:space="preserve"> de la Segunda Guerra Mundial, en paralelo a los procesos de integración.</w:t>
      </w:r>
    </w:p>
    <w:p w14:paraId="36BD49B8" w14:textId="0F17F421" w:rsidR="00E03BBC" w:rsidRPr="00570882" w:rsidRDefault="00E5554C" w:rsidP="00E03BBC">
      <w:pPr>
        <w:pStyle w:val="Nivel3"/>
        <w:keepNext/>
        <w:rPr>
          <w:spacing w:val="-2"/>
        </w:rPr>
      </w:pPr>
      <w:r w:rsidRPr="00570882">
        <w:rPr>
          <w:spacing w:val="-2"/>
        </w:rPr>
        <w:t xml:space="preserve">En la década de 1980, la teoría de la integración económica se enriquece </w:t>
      </w:r>
      <w:r w:rsidR="00E03BBC" w:rsidRPr="00570882">
        <w:rPr>
          <w:spacing w:val="-2"/>
        </w:rPr>
        <w:t>y se reaviva el interés de la literatura por esta rama</w:t>
      </w:r>
      <w:r w:rsidR="00570882" w:rsidRPr="00570882">
        <w:rPr>
          <w:spacing w:val="-2"/>
        </w:rPr>
        <w:t xml:space="preserve">, dando lugar a la </w:t>
      </w:r>
      <w:r w:rsidR="00570882" w:rsidRPr="00570882">
        <w:rPr>
          <w:b/>
          <w:bCs/>
          <w:spacing w:val="-2"/>
        </w:rPr>
        <w:t>nueva teoría de la integración</w:t>
      </w:r>
      <w:r w:rsidR="00E03BBC" w:rsidRPr="00570882">
        <w:rPr>
          <w:spacing w:val="-2"/>
        </w:rPr>
        <w:t>:</w:t>
      </w:r>
    </w:p>
    <w:p w14:paraId="7FB99727" w14:textId="54D29CB3" w:rsidR="008F225C" w:rsidRPr="00291CBD" w:rsidRDefault="00E03BBC" w:rsidP="00E03BBC">
      <w:pPr>
        <w:pStyle w:val="Nivel4"/>
      </w:pPr>
      <w:r>
        <w:t>Surgen</w:t>
      </w:r>
      <w:r w:rsidR="00E5554C" w:rsidRPr="00291CBD">
        <w:t xml:space="preserve"> contribuciones enmarcadas en las </w:t>
      </w:r>
      <w:r w:rsidR="00E5554C" w:rsidRPr="00E03BBC">
        <w:rPr>
          <w:i/>
          <w:iCs/>
          <w:u w:val="single"/>
        </w:rPr>
        <w:t>‘nuevas’ teorías del comercio internacional</w:t>
      </w:r>
      <w:r w:rsidR="00E5554C" w:rsidRPr="00291CBD">
        <w:t xml:space="preserve"> que incorporan los efectos de las </w:t>
      </w:r>
      <w:r w:rsidR="00E5554C" w:rsidRPr="00E03BBC">
        <w:rPr>
          <w:i/>
          <w:iCs/>
        </w:rPr>
        <w:t>economías de escala</w:t>
      </w:r>
      <w:r w:rsidR="00E5554C" w:rsidRPr="00291CBD">
        <w:t xml:space="preserve"> y de la </w:t>
      </w:r>
      <w:r w:rsidR="00E5554C" w:rsidRPr="00E03BBC">
        <w:rPr>
          <w:i/>
          <w:iCs/>
        </w:rPr>
        <w:t>competencia imperfecta</w:t>
      </w:r>
      <w:r w:rsidR="00E5554C" w:rsidRPr="00291CBD">
        <w:t>.</w:t>
      </w:r>
    </w:p>
    <w:p w14:paraId="31583E0D" w14:textId="41ECC557" w:rsidR="00E5554C" w:rsidRPr="00291CBD" w:rsidRDefault="00E03BBC" w:rsidP="00E03BBC">
      <w:pPr>
        <w:pStyle w:val="Nivel4"/>
      </w:pPr>
      <w:r>
        <w:lastRenderedPageBreak/>
        <w:t>S</w:t>
      </w:r>
      <w:r w:rsidR="00E5554C" w:rsidRPr="00291CBD">
        <w:t>e produce un esfuerzo en la literatura por medir los efectos sobre el crecimiento (</w:t>
      </w:r>
      <w:r w:rsidR="00E5554C" w:rsidRPr="00291CBD">
        <w:rPr>
          <w:i/>
          <w:iCs/>
        </w:rPr>
        <w:t>efectos dinámicos</w:t>
      </w:r>
      <w:r w:rsidR="00E5554C" w:rsidRPr="00291CBD">
        <w:t>) de esta mayor integración en los mercados europeos.</w:t>
      </w:r>
    </w:p>
    <w:p w14:paraId="5CBBF12B" w14:textId="7FC58DEB" w:rsidR="00E5554C" w:rsidRDefault="00E5554C" w:rsidP="00E03BBC">
      <w:pPr>
        <w:pStyle w:val="Nivel3"/>
        <w:keepNext/>
      </w:pPr>
      <w:r w:rsidRPr="00E03BBC">
        <w:rPr>
          <w:b/>
          <w:bCs/>
        </w:rPr>
        <w:t>Más recientemente</w:t>
      </w:r>
      <w:r w:rsidRPr="00291CBD">
        <w:t xml:space="preserve">, la teoría de la integración económica se ha preocupado por cuestiones como la </w:t>
      </w:r>
      <w:r w:rsidRPr="00E03BBC">
        <w:rPr>
          <w:i/>
          <w:iCs/>
        </w:rPr>
        <w:t>localización de la producción</w:t>
      </w:r>
      <w:r w:rsidRPr="00291CBD">
        <w:t xml:space="preserve">, contribuciones enmarcadas en la </w:t>
      </w:r>
      <w:r w:rsidRPr="00E03BBC">
        <w:rPr>
          <w:i/>
          <w:iCs/>
          <w:u w:val="single"/>
        </w:rPr>
        <w:t>economía geográfica</w:t>
      </w:r>
      <w:r w:rsidRPr="00291CBD">
        <w:t>.</w:t>
      </w:r>
    </w:p>
    <w:p w14:paraId="1AFDF831" w14:textId="77777777" w:rsidR="00821445" w:rsidRDefault="00821445" w:rsidP="00E03BBC">
      <w:pPr>
        <w:pStyle w:val="Nivel4"/>
      </w:pPr>
      <w:r w:rsidRPr="00291CBD">
        <w:t>El análisis de la integración económica ha ido creciendo en importancia a lo largo de las últimas décadas hasta convertirse en un campo autónomo dentro de la Economía Internacional.</w:t>
      </w:r>
    </w:p>
    <w:bookmarkEnd w:id="9"/>
    <w:p w14:paraId="41DAF3F3" w14:textId="77777777" w:rsidR="00CE758B" w:rsidRDefault="00B77C0F" w:rsidP="00CE758B">
      <w:pPr>
        <w:pStyle w:val="Nivel1"/>
        <w:keepNext/>
        <w:spacing w:after="0"/>
      </w:pPr>
      <w:r w:rsidRPr="001F649F">
        <w:rPr>
          <w:b/>
          <w:bCs/>
          <w:i/>
          <w:iCs/>
        </w:rPr>
        <w:t>Problemática</w:t>
      </w:r>
      <w:r w:rsidR="001F649F">
        <w:rPr>
          <w:b/>
          <w:bCs/>
          <w:i/>
          <w:iCs/>
        </w:rPr>
        <w:t xml:space="preserve"> (Preguntas clave)</w:t>
      </w:r>
      <w:r w:rsidRPr="000A3137">
        <w:t>:</w:t>
      </w:r>
    </w:p>
    <w:p w14:paraId="14EA9428" w14:textId="63E48B6F" w:rsidR="00520564" w:rsidRDefault="00520564" w:rsidP="00CE758B">
      <w:pPr>
        <w:pStyle w:val="Nivel2"/>
      </w:pPr>
      <w:r>
        <w:t>¿Qué es la integración económic</w:t>
      </w:r>
      <w:r w:rsidR="00CA7BF2">
        <w:t xml:space="preserve">a? </w:t>
      </w:r>
      <w:r w:rsidR="00585BE3" w:rsidRPr="00CA7BF2">
        <w:rPr>
          <w:color w:val="767171" w:themeColor="background2" w:themeShade="80"/>
          <w:sz w:val="19"/>
          <w:szCs w:val="19"/>
        </w:rPr>
        <w:t>– Introducción</w:t>
      </w:r>
    </w:p>
    <w:p w14:paraId="2B63D811" w14:textId="74323BDC" w:rsidR="00520564" w:rsidRDefault="00520564" w:rsidP="00CE758B">
      <w:pPr>
        <w:pStyle w:val="Nivel2"/>
      </w:pPr>
      <w:r>
        <w:t>¿Qué tipos de integración económica existen?</w:t>
      </w:r>
      <w:r w:rsidR="00CA7BF2">
        <w:t xml:space="preserve"> </w:t>
      </w:r>
      <w:r w:rsidR="00CA7BF2" w:rsidRPr="00CA7BF2">
        <w:rPr>
          <w:color w:val="767171" w:themeColor="background2" w:themeShade="80"/>
          <w:sz w:val="19"/>
          <w:szCs w:val="19"/>
        </w:rPr>
        <w:t xml:space="preserve">– </w:t>
      </w:r>
      <w:r w:rsidR="00CA7BF2">
        <w:rPr>
          <w:color w:val="767171" w:themeColor="background2" w:themeShade="80"/>
          <w:sz w:val="19"/>
          <w:szCs w:val="19"/>
        </w:rPr>
        <w:t>Apartado 0</w:t>
      </w:r>
    </w:p>
    <w:p w14:paraId="47CA4E2E" w14:textId="4C654953" w:rsidR="00520564" w:rsidRDefault="00520564" w:rsidP="00CE758B">
      <w:pPr>
        <w:pStyle w:val="Nivel2"/>
      </w:pPr>
      <w:r>
        <w:t>¿Cómo se modelizan sus efectos?</w:t>
      </w:r>
      <w:r w:rsidR="00CA7BF2">
        <w:t xml:space="preserve"> </w:t>
      </w:r>
      <w:r w:rsidR="00CA7BF2" w:rsidRPr="00CA7BF2">
        <w:rPr>
          <w:color w:val="767171" w:themeColor="background2" w:themeShade="80"/>
          <w:sz w:val="19"/>
          <w:szCs w:val="19"/>
        </w:rPr>
        <w:t xml:space="preserve">– </w:t>
      </w:r>
      <w:r w:rsidR="00CA7BF2">
        <w:rPr>
          <w:color w:val="767171" w:themeColor="background2" w:themeShade="80"/>
          <w:sz w:val="19"/>
          <w:szCs w:val="19"/>
        </w:rPr>
        <w:t>Apartado 1</w:t>
      </w:r>
    </w:p>
    <w:p w14:paraId="1E80D826" w14:textId="3824341D" w:rsidR="00824AB5" w:rsidRDefault="00824AB5" w:rsidP="00824AB5">
      <w:pPr>
        <w:pStyle w:val="Nivel2"/>
      </w:pPr>
      <w:r>
        <w:t>¿Por qué se lleva a cabo la integración económica?</w:t>
      </w:r>
      <w:r w:rsidR="00CA7BF2">
        <w:t xml:space="preserve"> </w:t>
      </w:r>
      <w:r w:rsidR="00CA7BF2" w:rsidRPr="00CA7BF2">
        <w:rPr>
          <w:color w:val="767171" w:themeColor="background2" w:themeShade="80"/>
          <w:sz w:val="19"/>
          <w:szCs w:val="19"/>
        </w:rPr>
        <w:t xml:space="preserve">– </w:t>
      </w:r>
      <w:r w:rsidR="00CA7BF2">
        <w:rPr>
          <w:color w:val="767171" w:themeColor="background2" w:themeShade="80"/>
          <w:sz w:val="19"/>
          <w:szCs w:val="19"/>
        </w:rPr>
        <w:t>Apartado 2</w:t>
      </w:r>
    </w:p>
    <w:p w14:paraId="35035D15" w14:textId="736AEAA5" w:rsidR="00520564" w:rsidRDefault="00520564" w:rsidP="00CE758B">
      <w:pPr>
        <w:pStyle w:val="Nivel2"/>
      </w:pPr>
      <w:r>
        <w:t>¿Cómo se valoran los efectos de la in</w:t>
      </w:r>
      <w:r w:rsidR="001847A1">
        <w:t>te</w:t>
      </w:r>
      <w:r>
        <w:t>gración?</w:t>
      </w:r>
      <w:r w:rsidR="00CA7BF2">
        <w:t xml:space="preserve"> </w:t>
      </w:r>
      <w:r w:rsidR="00CA7BF2" w:rsidRPr="00CA7BF2">
        <w:rPr>
          <w:color w:val="767171" w:themeColor="background2" w:themeShade="80"/>
          <w:sz w:val="19"/>
          <w:szCs w:val="19"/>
        </w:rPr>
        <w:t xml:space="preserve">– </w:t>
      </w:r>
      <w:r w:rsidR="00CA7BF2">
        <w:rPr>
          <w:color w:val="767171" w:themeColor="background2" w:themeShade="80"/>
          <w:sz w:val="19"/>
          <w:szCs w:val="19"/>
        </w:rPr>
        <w:t>Apartado 3</w:t>
      </w:r>
    </w:p>
    <w:p w14:paraId="6F3D2F0B" w14:textId="7F3BE190" w:rsidR="00585BE3" w:rsidRDefault="00585BE3" w:rsidP="00585BE3">
      <w:pPr>
        <w:pStyle w:val="Nivel2"/>
      </w:pPr>
      <w:r w:rsidRPr="000A3137">
        <w:t>¿</w:t>
      </w:r>
      <w:r>
        <w:t>Son los Acuerdos Comerciales Regionales un escalón o un obstáculo para el sistema comercial</w:t>
      </w:r>
      <w:r w:rsidRPr="000A3137">
        <w:t>?</w:t>
      </w:r>
      <w:r w:rsidR="00CA7BF2">
        <w:t xml:space="preserve"> </w:t>
      </w:r>
      <w:r w:rsidR="00CA7BF2" w:rsidRPr="00CA7BF2">
        <w:rPr>
          <w:color w:val="767171" w:themeColor="background2" w:themeShade="80"/>
          <w:sz w:val="19"/>
          <w:szCs w:val="19"/>
        </w:rPr>
        <w:t xml:space="preserve">– </w:t>
      </w:r>
      <w:r w:rsidR="00CA7BF2">
        <w:rPr>
          <w:color w:val="767171" w:themeColor="background2" w:themeShade="80"/>
          <w:sz w:val="19"/>
          <w:szCs w:val="19"/>
        </w:rPr>
        <w:t>Conclusión</w:t>
      </w:r>
    </w:p>
    <w:p w14:paraId="7FD10D4B" w14:textId="2F7419D0" w:rsidR="00A42628" w:rsidRPr="000A3137" w:rsidRDefault="001F649F" w:rsidP="001F649F">
      <w:pPr>
        <w:pStyle w:val="Nivel1"/>
        <w:keepNext/>
        <w:spacing w:after="0"/>
      </w:pPr>
      <w:r>
        <w:rPr>
          <w:b/>
          <w:bCs/>
          <w:i/>
          <w:iCs/>
        </w:rPr>
        <w:t>Estructura</w:t>
      </w:r>
      <w:r w:rsidR="00B77C0F" w:rsidRPr="000A3137">
        <w:t>:</w:t>
      </w:r>
    </w:p>
    <w:tbl>
      <w:tblPr>
        <w:tblStyle w:val="Tablaconcuadrcula"/>
        <w:tblW w:w="10772" w:type="dxa"/>
        <w:jc w:val="center"/>
        <w:tblLook w:val="04A0" w:firstRow="1" w:lastRow="0" w:firstColumn="1" w:lastColumn="0" w:noHBand="0" w:noVBand="1"/>
      </w:tblPr>
      <w:tblGrid>
        <w:gridCol w:w="10772"/>
      </w:tblGrid>
      <w:tr w:rsidR="0021774E" w14:paraId="6B3A0DE3" w14:textId="77777777" w:rsidTr="002F11DC">
        <w:trPr>
          <w:jc w:val="center"/>
          <w:hidden/>
        </w:trPr>
        <w:tc>
          <w:tcPr>
            <w:tcW w:w="1077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1DE1EE0" w14:textId="77777777" w:rsidR="0081544B" w:rsidRPr="00CA6BEA" w:rsidRDefault="0081544B">
      <w:pPr>
        <w:spacing w:after="160"/>
        <w:jc w:val="left"/>
        <w:rPr>
          <w:sz w:val="20"/>
          <w:highlight w:val="lightGray"/>
        </w:rPr>
      </w:pPr>
      <w:r>
        <w:rPr>
          <w:highlight w:val="lightGray"/>
        </w:rPr>
        <w:br w:type="page"/>
      </w:r>
    </w:p>
    <w:p w14:paraId="31534FA4" w14:textId="1D977183" w:rsidR="00C4210F" w:rsidRDefault="00E6198A" w:rsidP="00C918EB">
      <w:pPr>
        <w:pStyle w:val="Apartado0"/>
      </w:pPr>
      <w:bookmarkStart w:id="10" w:name="_Toc172225478"/>
      <w:r>
        <w:lastRenderedPageBreak/>
        <w:t>FORMAS DE INTEGRACIÓN ECONÓMICA</w:t>
      </w:r>
      <w:bookmarkEnd w:id="10"/>
    </w:p>
    <w:p w14:paraId="55EA6A02" w14:textId="1C54AD8B" w:rsidR="006F67F7" w:rsidRDefault="006F67F7" w:rsidP="006F67F7">
      <w:pPr>
        <w:pStyle w:val="Notaalopositor"/>
      </w:pPr>
      <w:bookmarkStart w:id="11" w:name="_Hlk124872865"/>
      <w:r>
        <w:t>Exponer brevemente</w:t>
      </w:r>
      <w:r w:rsidR="006B4989">
        <w:t>.</w:t>
      </w:r>
    </w:p>
    <w:p w14:paraId="70BD98C6" w14:textId="77777777" w:rsidR="00497340" w:rsidRDefault="00497340" w:rsidP="00497340">
      <w:pPr>
        <w:pStyle w:val="Nivel1SM"/>
        <w:keepNext/>
        <w:spacing w:before="0" w:after="0"/>
      </w:pPr>
      <w:bookmarkStart w:id="12" w:name="_Hlk124872881"/>
      <w:bookmarkEnd w:id="11"/>
      <w:r>
        <w:t xml:space="preserve">La </w:t>
      </w:r>
      <w:r w:rsidRPr="00497340">
        <w:t>integración económica</w:t>
      </w:r>
      <w:r>
        <w:t xml:space="preserve"> puede tomar distintas </w:t>
      </w:r>
      <w:r w:rsidRPr="00D0520D">
        <w:rPr>
          <w:b/>
          <w:bCs/>
        </w:rPr>
        <w:t>formas en función del grado de compromiso de los países participantes</w:t>
      </w:r>
      <w:r>
        <w:t>.</w:t>
      </w:r>
    </w:p>
    <w:p w14:paraId="349AD094" w14:textId="77777777" w:rsidR="00497340" w:rsidRDefault="00497340" w:rsidP="00497340">
      <w:pPr>
        <w:pStyle w:val="Nivel2SM"/>
      </w:pPr>
      <w:r>
        <w:t>En su situación más básica, la integración económica suele contemplarse como una mera reducción de aranceles para determinados productos y con algún país en particular.</w:t>
      </w:r>
    </w:p>
    <w:p w14:paraId="32407FEE" w14:textId="77777777" w:rsidR="00497340" w:rsidRDefault="00497340" w:rsidP="00497340">
      <w:pPr>
        <w:pStyle w:val="Nivel2SM"/>
      </w:pPr>
      <w:r>
        <w:t xml:space="preserve">Sin embargo, cuando nos referimos a la </w:t>
      </w:r>
      <w:r w:rsidRPr="000E4AF5">
        <w:rPr>
          <w:i/>
          <w:iCs/>
        </w:rPr>
        <w:t>teoría de la integración económica</w:t>
      </w:r>
      <w:r>
        <w:t>, ésta considera estas reducciones arancelarias como casi anecdóticas, para pasar a analizar procesos mucho más amplios y globales.</w:t>
      </w:r>
    </w:p>
    <w:p w14:paraId="7AE9B963" w14:textId="4BE6FBF5" w:rsidR="006F67F7" w:rsidRPr="006F67F7" w:rsidRDefault="006F67F7" w:rsidP="00497340">
      <w:pPr>
        <w:pStyle w:val="Nivel1SM"/>
        <w:keepNext/>
        <w:spacing w:after="0"/>
      </w:pPr>
      <w:r>
        <w:t>Pasamos a ver las distintas fases de la integración económica:</w:t>
      </w:r>
    </w:p>
    <w:p w14:paraId="27232D9B" w14:textId="77777777" w:rsidR="000301CB" w:rsidRPr="000301CB" w:rsidRDefault="00F070EA" w:rsidP="000301CB">
      <w:pPr>
        <w:pStyle w:val="Nmero"/>
        <w:keepNext/>
        <w:numPr>
          <w:ilvl w:val="0"/>
          <w:numId w:val="7"/>
        </w:numPr>
        <w:spacing w:after="0"/>
        <w:ind w:left="425" w:hanging="227"/>
        <w:rPr>
          <w:i/>
          <w:iCs/>
        </w:rPr>
      </w:pPr>
      <w:r w:rsidRPr="00F369D9">
        <w:rPr>
          <w:i/>
          <w:iCs/>
          <w:u w:val="single"/>
        </w:rPr>
        <w:t>Tratado de Preferencia Comercial</w:t>
      </w:r>
      <w:r w:rsidRPr="00F369D9">
        <w:t>: Es una primera fase de un proceso de integración. Éste suele llevarse a cabo por parte de dos o más países que pretenden reducir barreras en el comercio de una serie de bienes. Esta reducción de barreras, aunque es sustancial, no llega a bajar los aranceles a cero. De este modo, los países participantes acuerdan una reducción de los aranceles aplicados a dichos productos, manteniendo los aranceles originales frente a terceros.</w:t>
      </w:r>
    </w:p>
    <w:p w14:paraId="5B20586B" w14:textId="7C9BE62F" w:rsidR="00F070EA" w:rsidRPr="00F369D9" w:rsidRDefault="00F070EA" w:rsidP="000301CB">
      <w:pPr>
        <w:pStyle w:val="Nivel3SM"/>
        <w:rPr>
          <w:i/>
          <w:iCs/>
        </w:rPr>
      </w:pPr>
      <w:r w:rsidRPr="00F369D9">
        <w:t>Un ejemplo de Tratado de Preferencia Comercial sería el tratado “</w:t>
      </w:r>
      <w:proofErr w:type="spellStart"/>
      <w:r w:rsidRPr="00F369D9">
        <w:t>Developing</w:t>
      </w:r>
      <w:proofErr w:type="spellEnd"/>
      <w:r w:rsidRPr="00F369D9">
        <w:t xml:space="preserve"> 8 </w:t>
      </w:r>
      <w:proofErr w:type="spellStart"/>
      <w:r w:rsidRPr="00F369D9">
        <w:t>Organization</w:t>
      </w:r>
      <w:proofErr w:type="spellEnd"/>
      <w:r w:rsidRPr="00F369D9">
        <w:t>” formado por 8</w:t>
      </w:r>
      <w:r w:rsidR="00497340">
        <w:t> </w:t>
      </w:r>
      <w:r w:rsidRPr="00F369D9">
        <w:t>países árabes (Turquía, Indonesia, Malasia, Bangladesh, Pakistán, Egipto, Irán y Nigeria).</w:t>
      </w:r>
    </w:p>
    <w:p w14:paraId="2C6A7769" w14:textId="114718F7" w:rsidR="00C71C0B" w:rsidRPr="00C71C0B" w:rsidRDefault="00F070EA" w:rsidP="00C71C0B">
      <w:pPr>
        <w:pStyle w:val="Nivel3SM"/>
        <w:ind w:left="964"/>
        <w:rPr>
          <w:i/>
          <w:iCs/>
        </w:rPr>
      </w:pPr>
      <w:r w:rsidRPr="00F369D9">
        <w:t xml:space="preserve">Esto constituye una </w:t>
      </w:r>
      <w:r w:rsidRPr="00C71C0B">
        <w:rPr>
          <w:i/>
          <w:iCs/>
        </w:rPr>
        <w:t>estructura arancelaria discriminatoria</w:t>
      </w:r>
      <w:r w:rsidRPr="00F369D9">
        <w:t>, no aceptado por la OMC, ya que suponen un trato discriminatorio que entra</w:t>
      </w:r>
      <w:r w:rsidRPr="00C71C0B">
        <w:rPr>
          <w:i/>
          <w:iCs/>
        </w:rPr>
        <w:t xml:space="preserve"> en conflicto con la cláusula de nación más favorecida (artículo</w:t>
      </w:r>
      <w:r w:rsidR="00497340">
        <w:rPr>
          <w:i/>
          <w:iCs/>
        </w:rPr>
        <w:t> </w:t>
      </w:r>
      <w:r w:rsidRPr="00C71C0B">
        <w:rPr>
          <w:i/>
          <w:iCs/>
        </w:rPr>
        <w:t>I del GATT)</w:t>
      </w:r>
      <w:r>
        <w:t>.</w:t>
      </w:r>
    </w:p>
    <w:p w14:paraId="0F47B305" w14:textId="7273A143" w:rsidR="00C71C0B" w:rsidRPr="00C71C0B" w:rsidRDefault="00000000" w:rsidP="00C71C0B">
      <w:pPr>
        <w:pStyle w:val="Nivel3SM"/>
        <w:numPr>
          <w:ilvl w:val="0"/>
          <w:numId w:val="0"/>
        </w:numPr>
        <w:ind w:left="964"/>
        <w:rPr>
          <w:i/>
          <w:iCs/>
        </w:rPr>
      </w:pPr>
      <w:hyperlink r:id="rId11" w:history="1">
        <w:r w:rsidR="00C71C0B" w:rsidRPr="00790A31">
          <w:rPr>
            <w:rStyle w:val="Hipervnculo"/>
          </w:rPr>
          <w:t>https://www.wto.org/spanish/forums_s/debates_s/debate3_s.htm</w:t>
        </w:r>
      </w:hyperlink>
    </w:p>
    <w:p w14:paraId="56FEE237" w14:textId="77777777" w:rsidR="00F070EA" w:rsidRPr="000301CB" w:rsidRDefault="00F070EA" w:rsidP="000301CB">
      <w:pPr>
        <w:pStyle w:val="Nmero"/>
        <w:keepNext/>
        <w:spacing w:after="0"/>
        <w:ind w:left="425"/>
        <w:rPr>
          <w:i/>
          <w:iCs/>
          <w:spacing w:val="-2"/>
        </w:rPr>
      </w:pPr>
      <w:r w:rsidRPr="000301CB">
        <w:rPr>
          <w:i/>
          <w:iCs/>
          <w:spacing w:val="-2"/>
          <w:u w:val="single"/>
        </w:rPr>
        <w:t>Tratado de Libre Comercio</w:t>
      </w:r>
      <w:r w:rsidRPr="000301CB">
        <w:rPr>
          <w:spacing w:val="-2"/>
        </w:rPr>
        <w:t>: Es un siguiente paso hacia la integración consistente en la eliminación de las barreras arancelarias y las restricciones cuantitativas al comercio entre los países que se integran, pero reteniendo cada país sus propios aranceles y restricciones frente al resto del mundo.</w:t>
      </w:r>
    </w:p>
    <w:p w14:paraId="0B393652" w14:textId="77777777" w:rsidR="00F070EA" w:rsidRPr="00AD5F70" w:rsidRDefault="00F070EA" w:rsidP="000301CB">
      <w:pPr>
        <w:pStyle w:val="Nivel3SM"/>
      </w:pPr>
      <w:r>
        <w:t xml:space="preserve">Un ejemplo de zona de libre comercio lo constituye el </w:t>
      </w:r>
      <w:r w:rsidRPr="00AC67DB">
        <w:t xml:space="preserve">Tratado entre México, Estados Unidos y Canadá </w:t>
      </w:r>
      <w:r>
        <w:t>(</w:t>
      </w:r>
      <w:r w:rsidRPr="00AC67DB">
        <w:t>T-MEC</w:t>
      </w:r>
      <w:r>
        <w:t xml:space="preserve">) o el </w:t>
      </w:r>
      <w:proofErr w:type="spellStart"/>
      <w:r>
        <w:t>European</w:t>
      </w:r>
      <w:proofErr w:type="spellEnd"/>
      <w:r>
        <w:t xml:space="preserve"> Free </w:t>
      </w:r>
      <w:proofErr w:type="spellStart"/>
      <w:r>
        <w:t>Trade</w:t>
      </w:r>
      <w:proofErr w:type="spellEnd"/>
      <w:r>
        <w:t xml:space="preserve"> </w:t>
      </w:r>
      <w:proofErr w:type="spellStart"/>
      <w:r>
        <w:t>Agreement</w:t>
      </w:r>
      <w:proofErr w:type="spellEnd"/>
      <w:r>
        <w:t xml:space="preserve"> (EFTA).</w:t>
      </w:r>
    </w:p>
    <w:p w14:paraId="2CE5A635" w14:textId="22A92904" w:rsidR="00F070EA" w:rsidRDefault="00F070EA" w:rsidP="000301CB">
      <w:pPr>
        <w:pStyle w:val="Nivel3SM"/>
        <w:keepNext/>
      </w:pPr>
      <w:r>
        <w:t xml:space="preserve">El hecho de que este tipo de acuerdos permita a los miembros fijar aranceles distintos frente a terceros plantea un problema práctico conocido como </w:t>
      </w:r>
      <w:r w:rsidRPr="00AC67DB">
        <w:rPr>
          <w:rFonts w:cs="Times New Roman"/>
          <w:i/>
          <w:iCs/>
        </w:rPr>
        <w:t>«</w:t>
      </w:r>
      <w:r>
        <w:rPr>
          <w:rFonts w:cs="Times New Roman"/>
          <w:i/>
          <w:iCs/>
        </w:rPr>
        <w:t>evicción</w:t>
      </w:r>
      <w:r w:rsidRPr="00AC67DB">
        <w:rPr>
          <w:rFonts w:cs="Times New Roman"/>
          <w:i/>
          <w:iCs/>
        </w:rPr>
        <w:t xml:space="preserve"> de comercio»</w:t>
      </w:r>
      <w:r>
        <w:t xml:space="preserve"> (</w:t>
      </w:r>
      <w:proofErr w:type="spellStart"/>
      <w:r>
        <w:rPr>
          <w:i/>
          <w:iCs/>
        </w:rPr>
        <w:t>trade</w:t>
      </w:r>
      <w:proofErr w:type="spellEnd"/>
      <w:r>
        <w:rPr>
          <w:i/>
          <w:iCs/>
        </w:rPr>
        <w:t xml:space="preserve"> </w:t>
      </w:r>
      <w:proofErr w:type="spellStart"/>
      <w:r>
        <w:rPr>
          <w:i/>
          <w:iCs/>
        </w:rPr>
        <w:t>deflection</w:t>
      </w:r>
      <w:proofErr w:type="spellEnd"/>
      <w:r>
        <w:t>). Productos externos pueden entrar a la unión por un país del área de integración con impuestos más bajos, para terminar en otro país socio con aranceles más altos. Este ejemplo se puede ilustrar en la siguiente imagen:</w:t>
      </w:r>
    </w:p>
    <w:p w14:paraId="4E97530C" w14:textId="7D440626" w:rsidR="00933302" w:rsidRPr="00671AC5" w:rsidRDefault="00933302" w:rsidP="00933302">
      <w:pPr>
        <w:pStyle w:val="Ttuloimagen"/>
      </w:pPr>
      <w:bookmarkStart w:id="13" w:name="_Hlk129278295"/>
      <w:r>
        <w:t>Imagen </w:t>
      </w:r>
      <w:r>
        <w:fldChar w:fldCharType="begin"/>
      </w:r>
      <w:r>
        <w:instrText xml:space="preserve"> SEQ Ilustración \* ARABIC </w:instrText>
      </w:r>
      <w:r>
        <w:fldChar w:fldCharType="separate"/>
      </w:r>
      <w:r w:rsidR="006C02E9">
        <w:t>1</w:t>
      </w:r>
      <w:r>
        <w:fldChar w:fldCharType="end"/>
      </w:r>
      <w:r w:rsidRPr="00933302">
        <w:rPr>
          <w:smallCaps w:val="0"/>
        </w:rPr>
        <w:t xml:space="preserve">.– </w:t>
      </w:r>
      <w:r>
        <w:rPr>
          <w:i/>
          <w:iCs/>
          <w:smallCaps w:val="0"/>
        </w:rPr>
        <w:t>Evicción de comercio</w:t>
      </w:r>
    </w:p>
    <w:p w14:paraId="0125FE7F" w14:textId="6BD7FA64" w:rsidR="00F070EA" w:rsidRDefault="00F070EA" w:rsidP="00933302">
      <w:pPr>
        <w:pStyle w:val="Imagen"/>
      </w:pPr>
      <w:r w:rsidRPr="00A77BAC">
        <w:drawing>
          <wp:inline distT="0" distB="0" distL="0" distR="0" wp14:anchorId="0AB1D8D8" wp14:editId="63D88D77">
            <wp:extent cx="2263140" cy="836724"/>
            <wp:effectExtent l="0" t="0" r="3810" b="1905"/>
            <wp:docPr id="2" name="Imagen 2"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baja"/>
                    <pic:cNvPicPr/>
                  </pic:nvPicPr>
                  <pic:blipFill>
                    <a:blip r:embed="rId12"/>
                    <a:stretch>
                      <a:fillRect/>
                    </a:stretch>
                  </pic:blipFill>
                  <pic:spPr>
                    <a:xfrm>
                      <a:off x="0" y="0"/>
                      <a:ext cx="2287073" cy="845573"/>
                    </a:xfrm>
                    <a:prstGeom prst="rect">
                      <a:avLst/>
                    </a:prstGeom>
                  </pic:spPr>
                </pic:pic>
              </a:graphicData>
            </a:graphic>
          </wp:inline>
        </w:drawing>
      </w:r>
    </w:p>
    <w:p w14:paraId="57ADC876" w14:textId="54C960A6" w:rsidR="00933302" w:rsidRPr="00933302" w:rsidRDefault="00933302" w:rsidP="00933302">
      <w:pPr>
        <w:pStyle w:val="PiedeImagen"/>
        <w:rPr>
          <w:i w:val="0"/>
          <w:iCs/>
        </w:rPr>
      </w:pPr>
      <w:r>
        <w:t>Fuente</w:t>
      </w:r>
      <w:r>
        <w:rPr>
          <w:i w:val="0"/>
          <w:iCs/>
        </w:rPr>
        <w:t xml:space="preserve">: </w:t>
      </w:r>
      <w:r w:rsidRPr="00933302">
        <w:rPr>
          <w:i w:val="0"/>
          <w:iCs/>
        </w:rPr>
        <w:t xml:space="preserve">Camarero, M. &amp; Tamarit, C. (2019). </w:t>
      </w:r>
      <w:r w:rsidRPr="00933302">
        <w:t>Economía de la Unión Europea</w:t>
      </w:r>
      <w:r w:rsidRPr="00933302">
        <w:rPr>
          <w:i w:val="0"/>
          <w:iCs/>
        </w:rPr>
        <w:t xml:space="preserve"> (8ª). Editorial Aranzadi, S.A.U.</w:t>
      </w:r>
    </w:p>
    <w:bookmarkEnd w:id="13"/>
    <w:p w14:paraId="29A10D4E" w14:textId="254FB38A" w:rsidR="00F070EA" w:rsidRPr="00AD5F70" w:rsidRDefault="00F070EA" w:rsidP="000301CB">
      <w:pPr>
        <w:pStyle w:val="Nivel3SM"/>
        <w:numPr>
          <w:ilvl w:val="0"/>
          <w:numId w:val="0"/>
        </w:numPr>
        <w:ind w:left="963"/>
      </w:pPr>
      <w:r>
        <w:t xml:space="preserve">Para evitar este problema, se puede recurrir a </w:t>
      </w:r>
      <w:r w:rsidRPr="00D471AC">
        <w:rPr>
          <w:i/>
          <w:iCs/>
        </w:rPr>
        <w:t>reglas de origen</w:t>
      </w:r>
      <w:r>
        <w:t>, las cuales s</w:t>
      </w:r>
      <w:r w:rsidR="005A6DCD">
        <w:t>ó</w:t>
      </w:r>
      <w:r>
        <w:t>lo permiten el libre movimiento de mercancías que hayan sido producidas íntegramente o en un determinado porcentaje del valor añadido en los países asociados. Sin embargo, en la práctica</w:t>
      </w:r>
      <w:r w:rsidR="005A6DCD">
        <w:t>,</w:t>
      </w:r>
      <w:r>
        <w:t xml:space="preserve"> estas reglas suelen ser complicadas de aplicar y generan muchos problemas burocráticos, por lo que una forma más sencilla de evitar este problema es avanzar en el progreso de integración hacia un estadio superior: la </w:t>
      </w:r>
      <w:r w:rsidRPr="00D471AC">
        <w:rPr>
          <w:i/>
          <w:iCs/>
        </w:rPr>
        <w:t>Unión Aduanera</w:t>
      </w:r>
    </w:p>
    <w:p w14:paraId="5EA6CB9B" w14:textId="77777777" w:rsidR="000301CB" w:rsidRPr="000301CB" w:rsidRDefault="00F070EA" w:rsidP="000301CB">
      <w:pPr>
        <w:pStyle w:val="Nmero"/>
        <w:keepNext/>
        <w:spacing w:after="0"/>
        <w:ind w:left="425"/>
        <w:rPr>
          <w:i/>
          <w:iCs/>
        </w:rPr>
      </w:pPr>
      <w:r w:rsidRPr="00027230">
        <w:rPr>
          <w:i/>
          <w:iCs/>
          <w:u w:val="single"/>
        </w:rPr>
        <w:t>Unión A</w:t>
      </w:r>
      <w:r>
        <w:rPr>
          <w:i/>
          <w:iCs/>
          <w:u w:val="single"/>
        </w:rPr>
        <w:t>duaner</w:t>
      </w:r>
      <w:r w:rsidRPr="00027230">
        <w:rPr>
          <w:i/>
          <w:iCs/>
          <w:u w:val="single"/>
        </w:rPr>
        <w:t>a</w:t>
      </w:r>
      <w:r>
        <w:t xml:space="preserve">: Constituye una forma de integración económica en la que, además de suprimirse las barreras arancelarias y las restricciones al comercio entre los países miembros, éstos adoptan un Arancel Aduanero Común frente al resto del mundo, lo que asegura un nivel de protección uniforme para cada producto sea cual sea el punto de la </w:t>
      </w:r>
      <w:r w:rsidR="00C5299E">
        <w:t>u</w:t>
      </w:r>
      <w:r>
        <w:t xml:space="preserve">nión por el que se </w:t>
      </w:r>
      <w:r>
        <w:lastRenderedPageBreak/>
        <w:t>importe el mismo. Ello conforma un territorio aduanero único y plantea la exigencia de elaborar y aplicar una legislación aduanera común, así como una política comercial exterior común.</w:t>
      </w:r>
    </w:p>
    <w:p w14:paraId="73EE2786" w14:textId="2D2B73BD" w:rsidR="00DB0E16" w:rsidRPr="005D7D9D" w:rsidRDefault="00F070EA" w:rsidP="00DB0E16">
      <w:pPr>
        <w:pStyle w:val="Nivel3SM"/>
      </w:pPr>
      <w:r>
        <w:t xml:space="preserve">El ejemplo clásico de </w:t>
      </w:r>
      <w:r w:rsidR="00C5299E">
        <w:t>u</w:t>
      </w:r>
      <w:r>
        <w:t xml:space="preserve">nión </w:t>
      </w:r>
      <w:r w:rsidR="00C5299E">
        <w:t>a</w:t>
      </w:r>
      <w:r>
        <w:t xml:space="preserve">duanera sería la formada por los </w:t>
      </w:r>
      <w:r w:rsidR="005D7D9D">
        <w:t>6 </w:t>
      </w:r>
      <w:r>
        <w:t xml:space="preserve">países fundadores de la Comunidad Europea (1957) a partir de 1968. Un ejemplo más actual (aunque con importantes trabas) sería la </w:t>
      </w:r>
      <w:r w:rsidR="00C5299E">
        <w:t>U</w:t>
      </w:r>
      <w:r>
        <w:t xml:space="preserve">nión </w:t>
      </w:r>
      <w:r w:rsidR="00C5299E">
        <w:t>A</w:t>
      </w:r>
      <w:r>
        <w:t>duanera de África Austral formada por Sudáfrica, Lesoto, Botsuana, Namibia y Suazilandia.</w:t>
      </w:r>
    </w:p>
    <w:p w14:paraId="34BAD17D" w14:textId="0D42C403" w:rsidR="00DB0E16" w:rsidRPr="00671AC5" w:rsidRDefault="00DB0E16" w:rsidP="00DB0E16">
      <w:pPr>
        <w:pStyle w:val="Ttuloimagen"/>
      </w:pPr>
      <w:bookmarkStart w:id="14" w:name="_Hlk129278316"/>
      <w:r>
        <w:t>Imagen </w:t>
      </w:r>
      <w:r>
        <w:fldChar w:fldCharType="begin"/>
      </w:r>
      <w:r>
        <w:instrText xml:space="preserve"> SEQ Ilustración \* ARABIC </w:instrText>
      </w:r>
      <w:r>
        <w:fldChar w:fldCharType="separate"/>
      </w:r>
      <w:r w:rsidR="006C02E9">
        <w:t>2</w:t>
      </w:r>
      <w:r>
        <w:fldChar w:fldCharType="end"/>
      </w:r>
      <w:r w:rsidRPr="00933302">
        <w:rPr>
          <w:smallCaps w:val="0"/>
        </w:rPr>
        <w:t xml:space="preserve">.– </w:t>
      </w:r>
      <w:r>
        <w:rPr>
          <w:i/>
          <w:iCs/>
          <w:smallCaps w:val="0"/>
        </w:rPr>
        <w:t>Unión aduanera y arancel exterior común</w:t>
      </w:r>
    </w:p>
    <w:p w14:paraId="7E038731" w14:textId="008FC015" w:rsidR="00DB0E16" w:rsidRDefault="00DB0E16" w:rsidP="00DB0E16">
      <w:pPr>
        <w:pStyle w:val="Imagen"/>
      </w:pPr>
      <w:r w:rsidRPr="00DB0E16">
        <w:t xml:space="preserve"> </w:t>
      </w:r>
      <w:r w:rsidRPr="00433A4E">
        <w:drawing>
          <wp:inline distT="0" distB="0" distL="0" distR="0" wp14:anchorId="03ADC7C3" wp14:editId="3CD5252F">
            <wp:extent cx="1035050" cy="685800"/>
            <wp:effectExtent l="0" t="0" r="0" b="0"/>
            <wp:docPr id="8" name="Imagen 8"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Forma&#10;&#10;Descripción generada automáticamente"/>
                    <pic:cNvPicPr/>
                  </pic:nvPicPr>
                  <pic:blipFill rotWithShape="1">
                    <a:blip r:embed="rId13"/>
                    <a:srcRect l="11849" t="10638" r="19172" b="12766"/>
                    <a:stretch/>
                  </pic:blipFill>
                  <pic:spPr bwMode="auto">
                    <a:xfrm>
                      <a:off x="0" y="0"/>
                      <a:ext cx="1054011" cy="698363"/>
                    </a:xfrm>
                    <a:prstGeom prst="rect">
                      <a:avLst/>
                    </a:prstGeom>
                    <a:ln>
                      <a:noFill/>
                    </a:ln>
                    <a:extLst>
                      <a:ext uri="{53640926-AAD7-44D8-BBD7-CCE9431645EC}">
                        <a14:shadowObscured xmlns:a14="http://schemas.microsoft.com/office/drawing/2010/main"/>
                      </a:ext>
                    </a:extLst>
                  </pic:spPr>
                </pic:pic>
              </a:graphicData>
            </a:graphic>
          </wp:inline>
        </w:drawing>
      </w:r>
    </w:p>
    <w:p w14:paraId="5B7B4C96" w14:textId="2F760544" w:rsidR="00F070EA" w:rsidRPr="00DB0E16" w:rsidRDefault="00DB0E16" w:rsidP="00DB0E16">
      <w:pPr>
        <w:pStyle w:val="PiedeImagen"/>
        <w:rPr>
          <w:i w:val="0"/>
          <w:iCs/>
        </w:rPr>
      </w:pPr>
      <w:r>
        <w:t>Fuente</w:t>
      </w:r>
      <w:r>
        <w:rPr>
          <w:i w:val="0"/>
          <w:iCs/>
        </w:rPr>
        <w:t xml:space="preserve">: </w:t>
      </w:r>
      <w:r w:rsidRPr="00933302">
        <w:rPr>
          <w:i w:val="0"/>
          <w:iCs/>
        </w:rPr>
        <w:t xml:space="preserve">Camarero, M. &amp; Tamarit, C. (2019). </w:t>
      </w:r>
      <w:r w:rsidRPr="00933302">
        <w:t>Economía de la Unión Europea</w:t>
      </w:r>
      <w:r w:rsidRPr="00933302">
        <w:rPr>
          <w:i w:val="0"/>
          <w:iCs/>
        </w:rPr>
        <w:t xml:space="preserve"> (8ª). Editorial Aranzadi, S.A.U.</w:t>
      </w:r>
    </w:p>
    <w:bookmarkEnd w:id="14"/>
    <w:p w14:paraId="24360773" w14:textId="2796BEC5" w:rsidR="00F070EA" w:rsidRPr="00AD5F70" w:rsidRDefault="00F070EA" w:rsidP="000301CB">
      <w:pPr>
        <w:pStyle w:val="Nivel3SM"/>
      </w:pPr>
      <w:r>
        <w:t>La gestión de una unión aduanera no está exenta tampoco de problemas y puede suponer un incentivo a medidas de integración positiva</w:t>
      </w:r>
      <w:r w:rsidR="00572EDC">
        <w:rPr>
          <w:rStyle w:val="Refdenotaalpie"/>
        </w:rPr>
        <w:footnoteReference w:id="5"/>
      </w:r>
      <w:r>
        <w:t>, ya que supone únicamente libertad de movimiento de bienes, pero según los países se van integrando, se requiere de mecanismos formales que permitan la libre movilidad de los demás factore</w:t>
      </w:r>
      <w:r w:rsidR="006D7ADC">
        <w:t>s</w:t>
      </w:r>
      <w:r>
        <w:t xml:space="preserve"> productivos: trabajo y capital. Esto dará lugar a un nivel superior de integración: el </w:t>
      </w:r>
      <w:r>
        <w:rPr>
          <w:i/>
          <w:iCs/>
        </w:rPr>
        <w:t>Mercado Común</w:t>
      </w:r>
      <w:r>
        <w:t xml:space="preserve">. </w:t>
      </w:r>
    </w:p>
    <w:p w14:paraId="1E681C56" w14:textId="2C7FDBCF" w:rsidR="000301CB" w:rsidRPr="005D7D9D" w:rsidRDefault="00F070EA" w:rsidP="000301CB">
      <w:pPr>
        <w:pStyle w:val="Nmero"/>
        <w:keepNext/>
        <w:spacing w:after="0"/>
        <w:ind w:left="425"/>
      </w:pPr>
      <w:r w:rsidRPr="0098012A">
        <w:rPr>
          <w:i/>
          <w:iCs/>
          <w:u w:val="single"/>
        </w:rPr>
        <w:t>Mercado Común</w:t>
      </w:r>
      <w:r>
        <w:t>: Es una forma de integración económica en la que, además de permitir/facilitar la libre circulación de mercancías a través de la instauración de una unión aduanera, los países miembros eliminarán también los obstáculos a la libre circulación de los factores productivos (el trabajo y el capital), con lo que quedan integrados tanto los mercados de bienes y servicios como los mercados de factores (lo cual exige a su vez la armonización o coordinación de determinadas políticas económicas).</w:t>
      </w:r>
    </w:p>
    <w:p w14:paraId="47C8869E" w14:textId="397A2848" w:rsidR="00F070EA" w:rsidRPr="00064D7B" w:rsidRDefault="00F070EA" w:rsidP="000301CB">
      <w:pPr>
        <w:pStyle w:val="Nivel3SM"/>
        <w:rPr>
          <w:i/>
          <w:iCs/>
        </w:rPr>
      </w:pPr>
      <w:r>
        <w:t>Un buen ejemplo de esta forma de integración sería MERCOSUR, integrado por Brasil, Argentina, Paraguay y Uruguay (a pesar de las considerables fallas a la libre movilidad del trabajo).</w:t>
      </w:r>
    </w:p>
    <w:p w14:paraId="72E12BF2" w14:textId="77777777" w:rsidR="00F070EA" w:rsidRPr="006B4989" w:rsidRDefault="00F070EA" w:rsidP="000301CB">
      <w:pPr>
        <w:pStyle w:val="Nivel3SM"/>
        <w:rPr>
          <w:i/>
          <w:iCs/>
        </w:rPr>
      </w:pPr>
      <w:r>
        <w:t xml:space="preserve">Un mercado común puede presentar problemas en cuanto a las disparidades del ciclo económico y de las políticas económicas que lleven a cabo los países socios. Para intentar conseguir una armonización de las políticas y del ciclo, los países pueden avanzar hacia una </w:t>
      </w:r>
      <w:r w:rsidRPr="00064D7B">
        <w:rPr>
          <w:i/>
          <w:iCs/>
        </w:rPr>
        <w:t>Unión Económica</w:t>
      </w:r>
      <w:r>
        <w:t>.</w:t>
      </w:r>
    </w:p>
    <w:p w14:paraId="435FC6DE" w14:textId="77777777" w:rsidR="00F070EA" w:rsidRPr="00AD5F70" w:rsidRDefault="00F070EA" w:rsidP="00C1675C">
      <w:pPr>
        <w:pStyle w:val="Nmero"/>
        <w:spacing w:after="0"/>
        <w:ind w:left="425"/>
        <w:rPr>
          <w:i/>
          <w:iCs/>
        </w:rPr>
      </w:pPr>
      <w:r w:rsidRPr="0098012A">
        <w:rPr>
          <w:i/>
          <w:iCs/>
          <w:u w:val="single"/>
        </w:rPr>
        <w:t>Unión Económica</w:t>
      </w:r>
      <w:r>
        <w:t>: Se trata de un mercado común en el que se ha establecido una estrecha coordinación de las políticas económicas. Supone que los países miembros se comprometan a alcanzar una serie de objetivos de política económica comunes, como la armonización impositiva, con el fin de evitar costes de transacción en la libre circulación del comercio. Además, esta Unión Económica permitiría la libre movilidad de capitales.</w:t>
      </w:r>
    </w:p>
    <w:p w14:paraId="4C5D187A" w14:textId="33271FF8" w:rsidR="00F070EA" w:rsidRPr="0029731B" w:rsidRDefault="00F070EA" w:rsidP="00C1675C">
      <w:pPr>
        <w:pStyle w:val="Nmero"/>
        <w:spacing w:after="0"/>
        <w:ind w:left="425"/>
        <w:rPr>
          <w:i/>
          <w:iCs/>
        </w:rPr>
      </w:pPr>
      <w:r w:rsidRPr="0098012A">
        <w:rPr>
          <w:i/>
          <w:iCs/>
          <w:u w:val="single"/>
        </w:rPr>
        <w:t xml:space="preserve">Unión </w:t>
      </w:r>
      <w:r w:rsidR="006D7ADC">
        <w:rPr>
          <w:i/>
          <w:iCs/>
          <w:u w:val="single"/>
        </w:rPr>
        <w:t>Económica</w:t>
      </w:r>
      <w:r w:rsidRPr="0098012A">
        <w:rPr>
          <w:i/>
          <w:iCs/>
          <w:u w:val="single"/>
        </w:rPr>
        <w:t xml:space="preserve"> y </w:t>
      </w:r>
      <w:r w:rsidR="006D7ADC">
        <w:rPr>
          <w:i/>
          <w:iCs/>
          <w:u w:val="single"/>
        </w:rPr>
        <w:t>Monetaria</w:t>
      </w:r>
      <w:r>
        <w:t xml:space="preserve">: Consiste en una unión económica donde se ha unificado la política monetaria. Con ella, los Estados miembros poseerían una moneda común a fin de eliminar fluctuaciones y costes debidos al tipo de cambio, pero a la vez tendrían que ceder parte de su política monetaria a un Banco Central que controlaría la inflación de toda su área. La zona euro sería un ejemplo de esto. Una vertiente teórica de la Unión Monetaria y Económica plantea la cesión no sólo de la política monetaria sino también de la fiscal hacia una institución supranacional </w:t>
      </w:r>
      <w:r w:rsidRPr="0029731B">
        <w:rPr>
          <w:color w:val="767171" w:themeColor="background2" w:themeShade="80"/>
          <w:sz w:val="19"/>
          <w:szCs w:val="19"/>
        </w:rPr>
        <w:t>[</w:t>
      </w:r>
      <w:r>
        <w:rPr>
          <w:color w:val="767171" w:themeColor="background2" w:themeShade="80"/>
          <w:sz w:val="19"/>
          <w:szCs w:val="19"/>
        </w:rPr>
        <w:t>véase tema 3.B.17</w:t>
      </w:r>
      <w:r w:rsidRPr="0029731B">
        <w:rPr>
          <w:color w:val="767171" w:themeColor="background2" w:themeShade="80"/>
          <w:sz w:val="19"/>
          <w:szCs w:val="19"/>
        </w:rPr>
        <w:t>]</w:t>
      </w:r>
      <w:r>
        <w:t>.</w:t>
      </w:r>
    </w:p>
    <w:p w14:paraId="2A80D464" w14:textId="77777777" w:rsidR="00F070EA" w:rsidRPr="0029731B" w:rsidRDefault="00F070EA" w:rsidP="00C1675C">
      <w:pPr>
        <w:pStyle w:val="Nmero"/>
        <w:numPr>
          <w:ilvl w:val="0"/>
          <w:numId w:val="0"/>
        </w:numPr>
        <w:spacing w:after="0"/>
        <w:ind w:left="425"/>
      </w:pPr>
      <w:r>
        <w:t xml:space="preserve">Sin embargo, pese a adoptar una política monetaria y fiscal común, pueden surgir fallos de gobernanza interna que impiden la gestión eficiente de las instituciones políticas. Este problema interno puede llevar a que los países necesiten también integrarse en términos políticos, es decir, </w:t>
      </w:r>
      <w:r>
        <w:lastRenderedPageBreak/>
        <w:t xml:space="preserve">crear instituciones políticas que puedan dirimir problemas de gobernanza como crear leyes y ejecutarlas para el conjunto de los socios. Esto nos llevaría a una </w:t>
      </w:r>
      <w:r w:rsidRPr="00A40D0F">
        <w:rPr>
          <w:i/>
          <w:iCs/>
        </w:rPr>
        <w:t>Unión Económica y Política</w:t>
      </w:r>
      <w:r>
        <w:t>.</w:t>
      </w:r>
    </w:p>
    <w:p w14:paraId="2B60D287" w14:textId="0F43D01A" w:rsidR="00F070EA" w:rsidRPr="006A69E0" w:rsidRDefault="00F070EA" w:rsidP="00F070EA">
      <w:pPr>
        <w:pStyle w:val="Nmero"/>
        <w:ind w:left="425"/>
        <w:rPr>
          <w:i/>
          <w:iCs/>
        </w:rPr>
      </w:pPr>
      <w:r w:rsidRPr="0098012A">
        <w:rPr>
          <w:i/>
          <w:iCs/>
          <w:u w:val="single"/>
        </w:rPr>
        <w:t>Unión Económica y Política</w:t>
      </w:r>
      <w:r>
        <w:t xml:space="preserve">: Supondría el último estadio de integración. Este es, por ejemplo, el nivel de integración existente entre los distintos </w:t>
      </w:r>
      <w:r w:rsidR="00C71C0B">
        <w:t>E</w:t>
      </w:r>
      <w:r>
        <w:t>stados que conforman un sistema.</w:t>
      </w:r>
    </w:p>
    <w:p w14:paraId="3C79427C" w14:textId="77777777" w:rsidR="00F070EA" w:rsidRPr="00AB22B5" w:rsidRDefault="00F070EA" w:rsidP="00AB22B5">
      <w:pPr>
        <w:pStyle w:val="Nivel1SM"/>
        <w:rPr>
          <w:spacing w:val="-1"/>
        </w:rPr>
      </w:pPr>
      <w:r w:rsidRPr="00AB22B5">
        <w:rPr>
          <w:spacing w:val="-1"/>
        </w:rPr>
        <w:t>En cualquier caso, cabe señalar que, en la práctica, pocos procesos se presentan en estas formas puras.</w:t>
      </w:r>
    </w:p>
    <w:tbl>
      <w:tblPr>
        <w:tblStyle w:val="Tablaconcuadrcula"/>
        <w:tblW w:w="10319" w:type="dxa"/>
        <w:jc w:val="center"/>
        <w:tblBorders>
          <w:top w:val="single" w:sz="2" w:space="0" w:color="5F2987"/>
          <w:left w:val="single" w:sz="2" w:space="0" w:color="5F2987"/>
          <w:bottom w:val="single" w:sz="2" w:space="0" w:color="5F2987"/>
          <w:right w:val="single" w:sz="2" w:space="0" w:color="5F2987"/>
          <w:insideH w:val="single" w:sz="2" w:space="0" w:color="5F2987"/>
          <w:insideV w:val="single" w:sz="2" w:space="0" w:color="5F2987"/>
        </w:tblBorders>
        <w:tblLook w:val="04A0" w:firstRow="1" w:lastRow="0" w:firstColumn="1" w:lastColumn="0" w:noHBand="0" w:noVBand="1"/>
      </w:tblPr>
      <w:tblGrid>
        <w:gridCol w:w="2381"/>
        <w:gridCol w:w="1134"/>
        <w:gridCol w:w="1134"/>
        <w:gridCol w:w="1134"/>
        <w:gridCol w:w="1134"/>
        <w:gridCol w:w="1134"/>
        <w:gridCol w:w="1134"/>
        <w:gridCol w:w="1134"/>
      </w:tblGrid>
      <w:tr w:rsidR="00F070EA" w14:paraId="7CF71D47" w14:textId="77777777" w:rsidTr="00C90D3E">
        <w:trPr>
          <w:tblHeader/>
          <w:jc w:val="center"/>
        </w:trPr>
        <w:tc>
          <w:tcPr>
            <w:tcW w:w="2381" w:type="dxa"/>
            <w:tcBorders>
              <w:top w:val="nil"/>
              <w:left w:val="nil"/>
              <w:bottom w:val="single" w:sz="18" w:space="0" w:color="5F2987"/>
              <w:right w:val="single" w:sz="18" w:space="0" w:color="5F2987"/>
            </w:tcBorders>
            <w:shd w:val="clear" w:color="auto" w:fill="E2EFD9" w:themeFill="accent6" w:themeFillTint="33"/>
            <w:vAlign w:val="center"/>
          </w:tcPr>
          <w:p w14:paraId="12F866CA" w14:textId="77777777" w:rsidR="00F070EA" w:rsidRPr="00217578" w:rsidRDefault="00F070EA" w:rsidP="00F070EA">
            <w:pPr>
              <w:keepNext/>
              <w:spacing w:after="0"/>
              <w:jc w:val="center"/>
              <w:rPr>
                <w:b/>
                <w:bCs/>
                <w:i/>
                <w:iCs/>
              </w:rPr>
            </w:pPr>
            <w:bookmarkStart w:id="15" w:name="_Hlk124872905"/>
            <w:r w:rsidRPr="00217578">
              <w:rPr>
                <w:b/>
                <w:bCs/>
                <w:i/>
                <w:iCs/>
              </w:rPr>
              <w:t>Etapa integradora</w:t>
            </w:r>
          </w:p>
        </w:tc>
        <w:tc>
          <w:tcPr>
            <w:tcW w:w="1134" w:type="dxa"/>
            <w:tcBorders>
              <w:top w:val="nil"/>
              <w:left w:val="single" w:sz="18" w:space="0" w:color="5F2987"/>
              <w:bottom w:val="single" w:sz="18" w:space="0" w:color="5F2987"/>
            </w:tcBorders>
            <w:shd w:val="clear" w:color="auto" w:fill="E2EFD9" w:themeFill="accent6" w:themeFillTint="33"/>
            <w:vAlign w:val="center"/>
          </w:tcPr>
          <w:p w14:paraId="5E8C21C2" w14:textId="77777777" w:rsidR="00F070EA" w:rsidRPr="00874129" w:rsidRDefault="00F070EA" w:rsidP="00F070EA">
            <w:pPr>
              <w:keepNext/>
              <w:spacing w:after="0"/>
              <w:jc w:val="center"/>
              <w:rPr>
                <w:i/>
                <w:iCs/>
                <w:color w:val="5F2987"/>
                <w:sz w:val="18"/>
                <w:szCs w:val="18"/>
              </w:rPr>
            </w:pPr>
            <w:r w:rsidRPr="00874129">
              <w:rPr>
                <w:i/>
                <w:iCs/>
                <w:color w:val="5F2987"/>
                <w:sz w:val="18"/>
                <w:szCs w:val="18"/>
              </w:rPr>
              <w:t>Tratado de Preferencia Comercial</w:t>
            </w:r>
          </w:p>
        </w:tc>
        <w:tc>
          <w:tcPr>
            <w:tcW w:w="1134" w:type="dxa"/>
            <w:tcBorders>
              <w:top w:val="nil"/>
              <w:bottom w:val="single" w:sz="18" w:space="0" w:color="5F2987"/>
            </w:tcBorders>
            <w:shd w:val="clear" w:color="auto" w:fill="E2EFD9" w:themeFill="accent6" w:themeFillTint="33"/>
            <w:vAlign w:val="center"/>
          </w:tcPr>
          <w:p w14:paraId="40F7E92A" w14:textId="77777777" w:rsidR="00F070EA" w:rsidRPr="00874129" w:rsidRDefault="00F070EA" w:rsidP="00F070EA">
            <w:pPr>
              <w:keepNext/>
              <w:spacing w:after="0"/>
              <w:jc w:val="center"/>
              <w:rPr>
                <w:i/>
                <w:iCs/>
                <w:color w:val="5F2987"/>
                <w:sz w:val="18"/>
                <w:szCs w:val="18"/>
              </w:rPr>
            </w:pPr>
            <w:r w:rsidRPr="00874129">
              <w:rPr>
                <w:i/>
                <w:iCs/>
                <w:color w:val="5F2987"/>
                <w:sz w:val="18"/>
                <w:szCs w:val="18"/>
              </w:rPr>
              <w:t>Tratado de Libre Comercio</w:t>
            </w:r>
          </w:p>
        </w:tc>
        <w:tc>
          <w:tcPr>
            <w:tcW w:w="1134" w:type="dxa"/>
            <w:tcBorders>
              <w:top w:val="nil"/>
              <w:bottom w:val="single" w:sz="18" w:space="0" w:color="5F2987"/>
            </w:tcBorders>
            <w:shd w:val="clear" w:color="auto" w:fill="E2EFD9" w:themeFill="accent6" w:themeFillTint="33"/>
            <w:vAlign w:val="center"/>
          </w:tcPr>
          <w:p w14:paraId="01B8DA5C" w14:textId="77777777" w:rsidR="00F070EA" w:rsidRPr="00874129" w:rsidRDefault="00F070EA" w:rsidP="00F070EA">
            <w:pPr>
              <w:keepNext/>
              <w:spacing w:after="0"/>
              <w:jc w:val="center"/>
              <w:rPr>
                <w:i/>
                <w:iCs/>
                <w:color w:val="5F2987"/>
                <w:sz w:val="18"/>
                <w:szCs w:val="18"/>
              </w:rPr>
            </w:pPr>
            <w:r w:rsidRPr="00874129">
              <w:rPr>
                <w:i/>
                <w:iCs/>
                <w:color w:val="5F2987"/>
                <w:sz w:val="18"/>
                <w:szCs w:val="18"/>
              </w:rPr>
              <w:t>Unión Aduanera</w:t>
            </w:r>
          </w:p>
        </w:tc>
        <w:tc>
          <w:tcPr>
            <w:tcW w:w="1134" w:type="dxa"/>
            <w:tcBorders>
              <w:top w:val="nil"/>
              <w:bottom w:val="single" w:sz="18" w:space="0" w:color="5F2987"/>
            </w:tcBorders>
            <w:shd w:val="clear" w:color="auto" w:fill="E2EFD9" w:themeFill="accent6" w:themeFillTint="33"/>
            <w:vAlign w:val="center"/>
          </w:tcPr>
          <w:p w14:paraId="2B9DB6B1" w14:textId="77777777" w:rsidR="00F070EA" w:rsidRPr="00874129" w:rsidRDefault="00F070EA" w:rsidP="00F070EA">
            <w:pPr>
              <w:keepNext/>
              <w:spacing w:after="0"/>
              <w:jc w:val="center"/>
              <w:rPr>
                <w:i/>
                <w:iCs/>
                <w:color w:val="5F2987"/>
                <w:sz w:val="18"/>
                <w:szCs w:val="18"/>
              </w:rPr>
            </w:pPr>
            <w:r w:rsidRPr="00874129">
              <w:rPr>
                <w:i/>
                <w:iCs/>
                <w:color w:val="5F2987"/>
                <w:sz w:val="18"/>
                <w:szCs w:val="18"/>
              </w:rPr>
              <w:t>Mercado Común</w:t>
            </w:r>
          </w:p>
        </w:tc>
        <w:tc>
          <w:tcPr>
            <w:tcW w:w="1134" w:type="dxa"/>
            <w:tcBorders>
              <w:top w:val="nil"/>
              <w:bottom w:val="single" w:sz="18" w:space="0" w:color="5F2987"/>
            </w:tcBorders>
            <w:shd w:val="clear" w:color="auto" w:fill="E2EFD9" w:themeFill="accent6" w:themeFillTint="33"/>
            <w:vAlign w:val="center"/>
          </w:tcPr>
          <w:p w14:paraId="5C7671C7" w14:textId="77777777" w:rsidR="00F070EA" w:rsidRPr="00874129" w:rsidRDefault="00F070EA" w:rsidP="00F070EA">
            <w:pPr>
              <w:keepNext/>
              <w:spacing w:after="0"/>
              <w:jc w:val="center"/>
              <w:rPr>
                <w:i/>
                <w:iCs/>
                <w:color w:val="5F2987"/>
                <w:sz w:val="18"/>
                <w:szCs w:val="18"/>
              </w:rPr>
            </w:pPr>
            <w:r w:rsidRPr="00874129">
              <w:rPr>
                <w:i/>
                <w:iCs/>
                <w:color w:val="5F2987"/>
                <w:sz w:val="18"/>
                <w:szCs w:val="18"/>
              </w:rPr>
              <w:t>Unión Económica</w:t>
            </w:r>
          </w:p>
        </w:tc>
        <w:tc>
          <w:tcPr>
            <w:tcW w:w="1134" w:type="dxa"/>
            <w:tcBorders>
              <w:top w:val="nil"/>
              <w:bottom w:val="single" w:sz="18" w:space="0" w:color="5F2987"/>
            </w:tcBorders>
            <w:shd w:val="clear" w:color="auto" w:fill="E2EFD9" w:themeFill="accent6" w:themeFillTint="33"/>
            <w:vAlign w:val="center"/>
          </w:tcPr>
          <w:p w14:paraId="46F7C917" w14:textId="09774BAD" w:rsidR="00F070EA" w:rsidRPr="00874129" w:rsidRDefault="00F070EA" w:rsidP="00F070EA">
            <w:pPr>
              <w:keepNext/>
              <w:spacing w:after="0"/>
              <w:jc w:val="center"/>
              <w:rPr>
                <w:i/>
                <w:iCs/>
                <w:color w:val="5F2987"/>
                <w:sz w:val="18"/>
                <w:szCs w:val="18"/>
              </w:rPr>
            </w:pPr>
            <w:r w:rsidRPr="00874129">
              <w:rPr>
                <w:i/>
                <w:iCs/>
                <w:color w:val="5F2987"/>
                <w:sz w:val="18"/>
                <w:szCs w:val="18"/>
              </w:rPr>
              <w:t xml:space="preserve">Unión </w:t>
            </w:r>
            <w:r w:rsidR="006D7ADC">
              <w:rPr>
                <w:i/>
                <w:iCs/>
                <w:color w:val="5F2987"/>
                <w:sz w:val="18"/>
                <w:szCs w:val="18"/>
              </w:rPr>
              <w:t>Económic</w:t>
            </w:r>
            <w:r w:rsidRPr="00874129">
              <w:rPr>
                <w:i/>
                <w:iCs/>
                <w:color w:val="5F2987"/>
                <w:sz w:val="18"/>
                <w:szCs w:val="18"/>
              </w:rPr>
              <w:t xml:space="preserve">a y </w:t>
            </w:r>
            <w:r w:rsidR="006D7ADC">
              <w:rPr>
                <w:i/>
                <w:iCs/>
                <w:color w:val="5F2987"/>
                <w:sz w:val="18"/>
                <w:szCs w:val="18"/>
              </w:rPr>
              <w:t>Monetari</w:t>
            </w:r>
            <w:r w:rsidRPr="00874129">
              <w:rPr>
                <w:i/>
                <w:iCs/>
                <w:color w:val="5F2987"/>
                <w:sz w:val="18"/>
                <w:szCs w:val="18"/>
              </w:rPr>
              <w:t>a</w:t>
            </w:r>
          </w:p>
        </w:tc>
        <w:tc>
          <w:tcPr>
            <w:tcW w:w="1134" w:type="dxa"/>
            <w:tcBorders>
              <w:top w:val="nil"/>
              <w:bottom w:val="single" w:sz="18" w:space="0" w:color="5F2987"/>
              <w:right w:val="nil"/>
            </w:tcBorders>
            <w:shd w:val="clear" w:color="auto" w:fill="E2EFD9" w:themeFill="accent6" w:themeFillTint="33"/>
            <w:vAlign w:val="center"/>
          </w:tcPr>
          <w:p w14:paraId="2AEA637B" w14:textId="77777777" w:rsidR="00F070EA" w:rsidRPr="00874129" w:rsidRDefault="00F070EA" w:rsidP="00F070EA">
            <w:pPr>
              <w:keepNext/>
              <w:spacing w:after="0"/>
              <w:jc w:val="center"/>
              <w:rPr>
                <w:i/>
                <w:iCs/>
                <w:color w:val="5F2987"/>
                <w:sz w:val="18"/>
                <w:szCs w:val="18"/>
              </w:rPr>
            </w:pPr>
            <w:r w:rsidRPr="00874129">
              <w:rPr>
                <w:i/>
                <w:iCs/>
                <w:color w:val="5F2987"/>
                <w:sz w:val="18"/>
                <w:szCs w:val="18"/>
              </w:rPr>
              <w:t>Unión Económica y Política</w:t>
            </w:r>
          </w:p>
        </w:tc>
      </w:tr>
      <w:tr w:rsidR="00F070EA" w14:paraId="041A312D" w14:textId="77777777" w:rsidTr="008A5C1A">
        <w:trPr>
          <w:trHeight w:val="567"/>
          <w:jc w:val="center"/>
        </w:trPr>
        <w:tc>
          <w:tcPr>
            <w:tcW w:w="2381" w:type="dxa"/>
            <w:tcBorders>
              <w:top w:val="single" w:sz="18" w:space="0" w:color="5F2987"/>
              <w:left w:val="nil"/>
              <w:right w:val="single" w:sz="18" w:space="0" w:color="5F2987"/>
            </w:tcBorders>
            <w:shd w:val="clear" w:color="auto" w:fill="E2EFD9" w:themeFill="accent6" w:themeFillTint="33"/>
            <w:vAlign w:val="center"/>
          </w:tcPr>
          <w:p w14:paraId="2F2B2474" w14:textId="77777777" w:rsidR="00F070EA" w:rsidRPr="00874129" w:rsidRDefault="00F070EA" w:rsidP="00F070EA">
            <w:pPr>
              <w:keepNext/>
              <w:spacing w:after="0"/>
              <w:jc w:val="right"/>
              <w:rPr>
                <w:spacing w:val="-4"/>
                <w:sz w:val="17"/>
                <w:szCs w:val="17"/>
              </w:rPr>
            </w:pPr>
            <w:r w:rsidRPr="00874129">
              <w:rPr>
                <w:spacing w:val="-4"/>
                <w:sz w:val="17"/>
                <w:szCs w:val="17"/>
              </w:rPr>
              <w:t>Eliminación de aranceles</w:t>
            </w:r>
          </w:p>
        </w:tc>
        <w:tc>
          <w:tcPr>
            <w:tcW w:w="1134" w:type="dxa"/>
            <w:tcBorders>
              <w:top w:val="single" w:sz="18" w:space="0" w:color="5F2987"/>
              <w:left w:val="single" w:sz="18" w:space="0" w:color="5F2987"/>
            </w:tcBorders>
            <w:vAlign w:val="center"/>
          </w:tcPr>
          <w:p w14:paraId="25225321" w14:textId="77777777" w:rsidR="00F070EA" w:rsidRPr="00AB22B5" w:rsidRDefault="00F070EA" w:rsidP="00F070EA">
            <w:pPr>
              <w:keepNext/>
              <w:spacing w:after="0"/>
              <w:jc w:val="center"/>
              <w:rPr>
                <w:color w:val="FF0000"/>
              </w:rPr>
            </w:pPr>
            <w:r w:rsidRPr="00AB22B5">
              <w:rPr>
                <w:rFonts w:ascii="Segoe UI Symbol" w:eastAsia="Times New Roman" w:hAnsi="Segoe UI Symbol"/>
                <w:color w:val="FF0000"/>
              </w:rPr>
              <w:t>❌</w:t>
            </w:r>
          </w:p>
        </w:tc>
        <w:tc>
          <w:tcPr>
            <w:tcW w:w="1134" w:type="dxa"/>
            <w:tcBorders>
              <w:top w:val="single" w:sz="18" w:space="0" w:color="5F2987"/>
            </w:tcBorders>
            <w:vAlign w:val="center"/>
          </w:tcPr>
          <w:p w14:paraId="30DBDC6D"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7DA4075A"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18BB0C05"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5AC8ED43"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69430E2F"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right w:val="nil"/>
            </w:tcBorders>
            <w:vAlign w:val="center"/>
          </w:tcPr>
          <w:p w14:paraId="4C842206" w14:textId="77777777" w:rsidR="00F070EA" w:rsidRPr="00AB22B5" w:rsidRDefault="00F070EA" w:rsidP="00F070EA">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F070EA" w14:paraId="7AC56A9A" w14:textId="77777777" w:rsidTr="008A5C1A">
        <w:trPr>
          <w:trHeight w:val="567"/>
          <w:jc w:val="center"/>
        </w:trPr>
        <w:tc>
          <w:tcPr>
            <w:tcW w:w="2381" w:type="dxa"/>
            <w:tcBorders>
              <w:left w:val="nil"/>
              <w:right w:val="single" w:sz="18" w:space="0" w:color="5F2987"/>
            </w:tcBorders>
            <w:shd w:val="clear" w:color="auto" w:fill="E2EFD9" w:themeFill="accent6" w:themeFillTint="33"/>
            <w:vAlign w:val="center"/>
          </w:tcPr>
          <w:p w14:paraId="7BDD3B86" w14:textId="77777777" w:rsidR="00F070EA" w:rsidRPr="00874129" w:rsidRDefault="00F070EA" w:rsidP="00F070EA">
            <w:pPr>
              <w:keepNext/>
              <w:spacing w:after="0"/>
              <w:jc w:val="right"/>
              <w:rPr>
                <w:spacing w:val="-4"/>
                <w:sz w:val="17"/>
                <w:szCs w:val="17"/>
              </w:rPr>
            </w:pPr>
            <w:r w:rsidRPr="00874129">
              <w:rPr>
                <w:spacing w:val="-4"/>
                <w:sz w:val="17"/>
                <w:szCs w:val="17"/>
              </w:rPr>
              <w:t>Arancel exterior común</w:t>
            </w:r>
          </w:p>
        </w:tc>
        <w:tc>
          <w:tcPr>
            <w:tcW w:w="1134" w:type="dxa"/>
            <w:tcBorders>
              <w:left w:val="single" w:sz="18" w:space="0" w:color="5F2987"/>
            </w:tcBorders>
            <w:vAlign w:val="center"/>
          </w:tcPr>
          <w:p w14:paraId="71417C03" w14:textId="77777777" w:rsidR="00F070EA" w:rsidRPr="00AB22B5" w:rsidRDefault="00F070EA" w:rsidP="00F070EA">
            <w:pPr>
              <w:keepNext/>
              <w:spacing w:after="0"/>
              <w:jc w:val="center"/>
              <w:rPr>
                <w:color w:val="FF0000"/>
              </w:rPr>
            </w:pPr>
            <w:r w:rsidRPr="00AB22B5">
              <w:rPr>
                <w:rFonts w:ascii="Segoe UI Symbol" w:eastAsia="Times New Roman" w:hAnsi="Segoe UI Symbol"/>
                <w:color w:val="FF0000"/>
              </w:rPr>
              <w:t>❌</w:t>
            </w:r>
          </w:p>
        </w:tc>
        <w:tc>
          <w:tcPr>
            <w:tcW w:w="1134" w:type="dxa"/>
            <w:vAlign w:val="center"/>
          </w:tcPr>
          <w:p w14:paraId="783F7480"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3565449E"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09062D74"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4D0A7CA1"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265BFCE3"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3201667C" w14:textId="77777777" w:rsidR="00F070EA" w:rsidRPr="00AB22B5" w:rsidRDefault="00F070EA" w:rsidP="00F070EA">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F070EA" w14:paraId="72AF5F3F" w14:textId="77777777" w:rsidTr="008A5C1A">
        <w:trPr>
          <w:trHeight w:val="567"/>
          <w:jc w:val="center"/>
        </w:trPr>
        <w:tc>
          <w:tcPr>
            <w:tcW w:w="2381" w:type="dxa"/>
            <w:tcBorders>
              <w:left w:val="nil"/>
              <w:right w:val="single" w:sz="18" w:space="0" w:color="5F2987"/>
            </w:tcBorders>
            <w:shd w:val="clear" w:color="auto" w:fill="E2EFD9" w:themeFill="accent6" w:themeFillTint="33"/>
            <w:vAlign w:val="center"/>
          </w:tcPr>
          <w:p w14:paraId="029781B2" w14:textId="77777777" w:rsidR="00F070EA" w:rsidRPr="00874129" w:rsidRDefault="00F070EA" w:rsidP="00F070EA">
            <w:pPr>
              <w:keepNext/>
              <w:spacing w:after="0"/>
              <w:jc w:val="right"/>
              <w:rPr>
                <w:spacing w:val="-4"/>
                <w:sz w:val="17"/>
                <w:szCs w:val="17"/>
              </w:rPr>
            </w:pPr>
            <w:r w:rsidRPr="00874129">
              <w:rPr>
                <w:spacing w:val="-4"/>
                <w:sz w:val="17"/>
                <w:szCs w:val="17"/>
              </w:rPr>
              <w:t>Libre circulación de factores</w:t>
            </w:r>
          </w:p>
        </w:tc>
        <w:tc>
          <w:tcPr>
            <w:tcW w:w="1134" w:type="dxa"/>
            <w:tcBorders>
              <w:left w:val="single" w:sz="18" w:space="0" w:color="5F2987"/>
            </w:tcBorders>
            <w:vAlign w:val="center"/>
          </w:tcPr>
          <w:p w14:paraId="095744F0" w14:textId="77777777" w:rsidR="00F070EA" w:rsidRPr="00AB22B5" w:rsidRDefault="00F070EA" w:rsidP="00F070EA">
            <w:pPr>
              <w:keepNext/>
              <w:spacing w:after="0"/>
              <w:jc w:val="center"/>
              <w:rPr>
                <w:color w:val="FF0000"/>
              </w:rPr>
            </w:pPr>
            <w:r w:rsidRPr="00AB22B5">
              <w:rPr>
                <w:rFonts w:ascii="Segoe UI Symbol" w:eastAsia="Times New Roman" w:hAnsi="Segoe UI Symbol"/>
                <w:color w:val="FF0000"/>
              </w:rPr>
              <w:t>❌</w:t>
            </w:r>
          </w:p>
        </w:tc>
        <w:tc>
          <w:tcPr>
            <w:tcW w:w="1134" w:type="dxa"/>
            <w:vAlign w:val="center"/>
          </w:tcPr>
          <w:p w14:paraId="73FC524D"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31EE3DC3"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1BC43ED4"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52AB0E73"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07563DE7"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12917E85" w14:textId="77777777" w:rsidR="00F070EA" w:rsidRPr="00AB22B5" w:rsidRDefault="00F070EA" w:rsidP="00F070EA">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F070EA" w14:paraId="2EC4EB66" w14:textId="77777777" w:rsidTr="008A5C1A">
        <w:trPr>
          <w:trHeight w:val="567"/>
          <w:jc w:val="center"/>
        </w:trPr>
        <w:tc>
          <w:tcPr>
            <w:tcW w:w="2381" w:type="dxa"/>
            <w:tcBorders>
              <w:left w:val="nil"/>
              <w:right w:val="single" w:sz="18" w:space="0" w:color="5F2987"/>
            </w:tcBorders>
            <w:shd w:val="clear" w:color="auto" w:fill="E2EFD9" w:themeFill="accent6" w:themeFillTint="33"/>
            <w:vAlign w:val="center"/>
          </w:tcPr>
          <w:p w14:paraId="4CE5F729" w14:textId="77777777" w:rsidR="00F070EA" w:rsidRDefault="00F070EA" w:rsidP="00F070EA">
            <w:pPr>
              <w:keepNext/>
              <w:spacing w:after="0"/>
              <w:jc w:val="right"/>
              <w:rPr>
                <w:spacing w:val="-4"/>
                <w:sz w:val="17"/>
                <w:szCs w:val="17"/>
              </w:rPr>
            </w:pPr>
            <w:r w:rsidRPr="00874129">
              <w:rPr>
                <w:spacing w:val="-4"/>
                <w:sz w:val="17"/>
                <w:szCs w:val="17"/>
              </w:rPr>
              <w:t>Armonización de políticas</w:t>
            </w:r>
          </w:p>
          <w:p w14:paraId="2D47C2BA" w14:textId="77777777" w:rsidR="00F070EA" w:rsidRPr="00874129" w:rsidRDefault="00F070EA" w:rsidP="00F070EA">
            <w:pPr>
              <w:keepNext/>
              <w:spacing w:after="0"/>
              <w:jc w:val="right"/>
              <w:rPr>
                <w:spacing w:val="-4"/>
                <w:sz w:val="17"/>
                <w:szCs w:val="17"/>
              </w:rPr>
            </w:pPr>
            <w:r w:rsidRPr="00874129">
              <w:rPr>
                <w:spacing w:val="-4"/>
                <w:sz w:val="17"/>
                <w:szCs w:val="17"/>
              </w:rPr>
              <w:t>y del ciclo</w:t>
            </w:r>
          </w:p>
        </w:tc>
        <w:tc>
          <w:tcPr>
            <w:tcW w:w="1134" w:type="dxa"/>
            <w:tcBorders>
              <w:left w:val="single" w:sz="18" w:space="0" w:color="5F2987"/>
            </w:tcBorders>
            <w:vAlign w:val="center"/>
          </w:tcPr>
          <w:p w14:paraId="35062373" w14:textId="77777777" w:rsidR="00F070EA" w:rsidRPr="00AB22B5" w:rsidRDefault="00F070EA" w:rsidP="00F070EA">
            <w:pPr>
              <w:keepNext/>
              <w:spacing w:after="0"/>
              <w:jc w:val="center"/>
              <w:rPr>
                <w:color w:val="FF0000"/>
              </w:rPr>
            </w:pPr>
            <w:r w:rsidRPr="00AB22B5">
              <w:rPr>
                <w:rFonts w:ascii="Segoe UI Symbol" w:eastAsia="Times New Roman" w:hAnsi="Segoe UI Symbol"/>
                <w:color w:val="FF0000"/>
              </w:rPr>
              <w:t>❌</w:t>
            </w:r>
          </w:p>
        </w:tc>
        <w:tc>
          <w:tcPr>
            <w:tcW w:w="1134" w:type="dxa"/>
            <w:vAlign w:val="center"/>
          </w:tcPr>
          <w:p w14:paraId="478AD05D"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3368549B"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44828976"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5EE054D3"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5F22FE23"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5C7C7C99" w14:textId="77777777" w:rsidR="00F070EA" w:rsidRPr="00AB22B5" w:rsidRDefault="00F070EA" w:rsidP="00F070EA">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F070EA" w14:paraId="6DC61FE8" w14:textId="77777777" w:rsidTr="008A5C1A">
        <w:trPr>
          <w:trHeight w:val="567"/>
          <w:jc w:val="center"/>
        </w:trPr>
        <w:tc>
          <w:tcPr>
            <w:tcW w:w="2381" w:type="dxa"/>
            <w:tcBorders>
              <w:left w:val="nil"/>
              <w:right w:val="single" w:sz="18" w:space="0" w:color="5F2987"/>
            </w:tcBorders>
            <w:shd w:val="clear" w:color="auto" w:fill="E2EFD9" w:themeFill="accent6" w:themeFillTint="33"/>
            <w:vAlign w:val="center"/>
          </w:tcPr>
          <w:p w14:paraId="53877E85" w14:textId="77777777" w:rsidR="00F070EA" w:rsidRPr="00874129" w:rsidRDefault="00F070EA" w:rsidP="00F070EA">
            <w:pPr>
              <w:keepNext/>
              <w:spacing w:after="0"/>
              <w:jc w:val="right"/>
              <w:rPr>
                <w:spacing w:val="-4"/>
                <w:sz w:val="17"/>
                <w:szCs w:val="17"/>
              </w:rPr>
            </w:pPr>
            <w:r w:rsidRPr="00874129">
              <w:rPr>
                <w:spacing w:val="-4"/>
                <w:sz w:val="17"/>
                <w:szCs w:val="17"/>
              </w:rPr>
              <w:t>Política monetaria única</w:t>
            </w:r>
          </w:p>
        </w:tc>
        <w:tc>
          <w:tcPr>
            <w:tcW w:w="1134" w:type="dxa"/>
            <w:tcBorders>
              <w:left w:val="single" w:sz="18" w:space="0" w:color="5F2987"/>
            </w:tcBorders>
            <w:vAlign w:val="center"/>
          </w:tcPr>
          <w:p w14:paraId="100DA5B0"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7699FD97"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0CA293F4"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5412A220"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69E27F16" w14:textId="77777777" w:rsidR="00F070EA" w:rsidRPr="00596634" w:rsidRDefault="00F070EA" w:rsidP="00F070EA">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31326A8D" w14:textId="77777777" w:rsidR="00F070EA" w:rsidRPr="00596634" w:rsidRDefault="00F070EA" w:rsidP="00F070EA">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762E6ADA" w14:textId="77777777" w:rsidR="00F070EA" w:rsidRPr="00AB22B5" w:rsidRDefault="00F070EA" w:rsidP="00F070EA">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F070EA" w14:paraId="5599DCA0" w14:textId="77777777" w:rsidTr="008A5C1A">
        <w:trPr>
          <w:trHeight w:val="567"/>
          <w:jc w:val="center"/>
        </w:trPr>
        <w:tc>
          <w:tcPr>
            <w:tcW w:w="2381" w:type="dxa"/>
            <w:tcBorders>
              <w:left w:val="nil"/>
              <w:right w:val="single" w:sz="18" w:space="0" w:color="5F2987"/>
            </w:tcBorders>
            <w:shd w:val="clear" w:color="auto" w:fill="E2EFD9" w:themeFill="accent6" w:themeFillTint="33"/>
            <w:vAlign w:val="center"/>
          </w:tcPr>
          <w:p w14:paraId="64C30B14" w14:textId="77777777" w:rsidR="00F070EA" w:rsidRPr="00874129" w:rsidRDefault="00F070EA" w:rsidP="00C90D3E">
            <w:pPr>
              <w:spacing w:after="0"/>
              <w:jc w:val="right"/>
              <w:rPr>
                <w:spacing w:val="-4"/>
                <w:sz w:val="17"/>
                <w:szCs w:val="17"/>
              </w:rPr>
            </w:pPr>
            <w:r w:rsidRPr="00874129">
              <w:rPr>
                <w:spacing w:val="-4"/>
                <w:sz w:val="17"/>
                <w:szCs w:val="17"/>
              </w:rPr>
              <w:t>Coordinación e instituciones políticas comunes</w:t>
            </w:r>
          </w:p>
        </w:tc>
        <w:tc>
          <w:tcPr>
            <w:tcW w:w="1134" w:type="dxa"/>
            <w:tcBorders>
              <w:left w:val="single" w:sz="18" w:space="0" w:color="5F2987"/>
            </w:tcBorders>
            <w:vAlign w:val="center"/>
          </w:tcPr>
          <w:p w14:paraId="298CEB96" w14:textId="77777777" w:rsidR="00F070EA" w:rsidRPr="00596634" w:rsidRDefault="00F070EA" w:rsidP="00C90D3E">
            <w:pPr>
              <w:spacing w:after="0"/>
              <w:jc w:val="center"/>
              <w:rPr>
                <w:color w:val="FF0000"/>
              </w:rPr>
            </w:pPr>
            <w:r w:rsidRPr="00596634">
              <w:rPr>
                <w:rFonts w:ascii="Segoe UI Symbol" w:eastAsia="Times New Roman" w:hAnsi="Segoe UI Symbol"/>
                <w:color w:val="FF0000"/>
              </w:rPr>
              <w:t>❌</w:t>
            </w:r>
          </w:p>
        </w:tc>
        <w:tc>
          <w:tcPr>
            <w:tcW w:w="1134" w:type="dxa"/>
            <w:vAlign w:val="center"/>
          </w:tcPr>
          <w:p w14:paraId="1E36B3DC" w14:textId="77777777" w:rsidR="00F070EA" w:rsidRPr="00596634" w:rsidRDefault="00F070EA" w:rsidP="00C90D3E">
            <w:pPr>
              <w:spacing w:after="0"/>
              <w:jc w:val="center"/>
              <w:rPr>
                <w:color w:val="FF0000"/>
              </w:rPr>
            </w:pPr>
            <w:r w:rsidRPr="00596634">
              <w:rPr>
                <w:rFonts w:ascii="Segoe UI Symbol" w:eastAsia="Times New Roman" w:hAnsi="Segoe UI Symbol"/>
                <w:color w:val="FF0000"/>
              </w:rPr>
              <w:t>❌</w:t>
            </w:r>
          </w:p>
        </w:tc>
        <w:tc>
          <w:tcPr>
            <w:tcW w:w="1134" w:type="dxa"/>
            <w:vAlign w:val="center"/>
          </w:tcPr>
          <w:p w14:paraId="339EB4A6" w14:textId="77777777" w:rsidR="00F070EA" w:rsidRPr="00596634" w:rsidRDefault="00F070EA" w:rsidP="00C90D3E">
            <w:pPr>
              <w:spacing w:after="0"/>
              <w:jc w:val="center"/>
              <w:rPr>
                <w:color w:val="FF0000"/>
              </w:rPr>
            </w:pPr>
            <w:r w:rsidRPr="00596634">
              <w:rPr>
                <w:rFonts w:ascii="Segoe UI Symbol" w:eastAsia="Times New Roman" w:hAnsi="Segoe UI Symbol"/>
                <w:color w:val="FF0000"/>
              </w:rPr>
              <w:t>❌</w:t>
            </w:r>
          </w:p>
        </w:tc>
        <w:tc>
          <w:tcPr>
            <w:tcW w:w="1134" w:type="dxa"/>
            <w:vAlign w:val="center"/>
          </w:tcPr>
          <w:p w14:paraId="6A8500D8" w14:textId="77777777" w:rsidR="00F070EA" w:rsidRPr="00596634" w:rsidRDefault="00F070EA" w:rsidP="00C90D3E">
            <w:pPr>
              <w:spacing w:after="0"/>
              <w:jc w:val="center"/>
              <w:rPr>
                <w:color w:val="FF0000"/>
              </w:rPr>
            </w:pPr>
            <w:r w:rsidRPr="00596634">
              <w:rPr>
                <w:rFonts w:ascii="Segoe UI Symbol" w:eastAsia="Times New Roman" w:hAnsi="Segoe UI Symbol"/>
                <w:color w:val="FF0000"/>
              </w:rPr>
              <w:t>❌</w:t>
            </w:r>
          </w:p>
        </w:tc>
        <w:tc>
          <w:tcPr>
            <w:tcW w:w="1134" w:type="dxa"/>
            <w:vAlign w:val="center"/>
          </w:tcPr>
          <w:p w14:paraId="0B7E55AF" w14:textId="77777777" w:rsidR="00F070EA" w:rsidRPr="00596634" w:rsidRDefault="00F070EA" w:rsidP="00C90D3E">
            <w:pPr>
              <w:spacing w:after="0"/>
              <w:jc w:val="center"/>
              <w:rPr>
                <w:color w:val="FF0000"/>
              </w:rPr>
            </w:pPr>
            <w:r w:rsidRPr="00596634">
              <w:rPr>
                <w:rFonts w:ascii="Segoe UI Symbol" w:eastAsia="Times New Roman" w:hAnsi="Segoe UI Symbol"/>
                <w:color w:val="FF0000"/>
              </w:rPr>
              <w:t>❌</w:t>
            </w:r>
          </w:p>
        </w:tc>
        <w:tc>
          <w:tcPr>
            <w:tcW w:w="1134" w:type="dxa"/>
            <w:vAlign w:val="center"/>
          </w:tcPr>
          <w:p w14:paraId="08A9CDAE" w14:textId="77777777" w:rsidR="00F070EA" w:rsidRPr="00596634" w:rsidRDefault="00F070EA" w:rsidP="00C90D3E">
            <w:pPr>
              <w:spacing w:after="0"/>
              <w:jc w:val="center"/>
              <w:rPr>
                <w:color w:val="FF0000"/>
              </w:rPr>
            </w:pPr>
            <w:r w:rsidRPr="00596634">
              <w:rPr>
                <w:rFonts w:ascii="Segoe UI Symbol" w:eastAsia="Times New Roman" w:hAnsi="Segoe UI Symbol"/>
                <w:color w:val="FF0000"/>
              </w:rPr>
              <w:t>❌</w:t>
            </w:r>
          </w:p>
        </w:tc>
        <w:tc>
          <w:tcPr>
            <w:tcW w:w="1134" w:type="dxa"/>
            <w:tcBorders>
              <w:right w:val="nil"/>
            </w:tcBorders>
            <w:vAlign w:val="center"/>
          </w:tcPr>
          <w:p w14:paraId="75443B0A" w14:textId="77777777" w:rsidR="00F070EA" w:rsidRPr="00AB22B5" w:rsidRDefault="00F070EA" w:rsidP="00C90D3E">
            <w:pPr>
              <w:spacing w:after="0"/>
              <w:jc w:val="center"/>
              <w:rPr>
                <w:color w:val="538135" w:themeColor="accent6" w:themeShade="BF"/>
              </w:rPr>
            </w:pPr>
            <w:r w:rsidRPr="00AB22B5">
              <w:rPr>
                <w:rFonts w:ascii="Segoe UI Symbol" w:eastAsia="Times New Roman" w:hAnsi="Segoe UI Symbol"/>
                <w:color w:val="538135" w:themeColor="accent6" w:themeShade="BF"/>
              </w:rPr>
              <w:t>✔</w:t>
            </w:r>
          </w:p>
        </w:tc>
      </w:tr>
    </w:tbl>
    <w:p w14:paraId="2353356B" w14:textId="591E094E" w:rsidR="002E0C48" w:rsidRDefault="00E6198A" w:rsidP="00DA723A">
      <w:pPr>
        <w:pStyle w:val="Ttulo1"/>
      </w:pPr>
      <w:bookmarkStart w:id="16" w:name="_Toc55381922"/>
      <w:bookmarkStart w:id="17" w:name="_Toc55382057"/>
      <w:bookmarkStart w:id="18" w:name="_Toc55382092"/>
      <w:bookmarkStart w:id="19" w:name="_Toc55381923"/>
      <w:bookmarkStart w:id="20" w:name="_Toc55382058"/>
      <w:bookmarkStart w:id="21" w:name="_Toc55382093"/>
      <w:bookmarkStart w:id="22" w:name="_Toc55382521"/>
      <w:bookmarkStart w:id="23" w:name="_Toc55381924"/>
      <w:bookmarkStart w:id="24" w:name="_Toc55382059"/>
      <w:bookmarkStart w:id="25" w:name="_Toc55382094"/>
      <w:bookmarkStart w:id="26" w:name="_Toc55382522"/>
      <w:bookmarkStart w:id="27" w:name="_Toc172225479"/>
      <w:bookmarkEnd w:id="12"/>
      <w:bookmarkEnd w:id="15"/>
      <w:bookmarkEnd w:id="16"/>
      <w:bookmarkEnd w:id="17"/>
      <w:bookmarkEnd w:id="18"/>
      <w:bookmarkEnd w:id="19"/>
      <w:bookmarkEnd w:id="20"/>
      <w:bookmarkEnd w:id="21"/>
      <w:bookmarkEnd w:id="22"/>
      <w:bookmarkEnd w:id="23"/>
      <w:bookmarkEnd w:id="24"/>
      <w:bookmarkEnd w:id="25"/>
      <w:bookmarkEnd w:id="26"/>
      <w:r>
        <w:t>EFECTOS DE LA INTEGRACIÓN ECONÓMICA</w:t>
      </w:r>
      <w:bookmarkEnd w:id="27"/>
    </w:p>
    <w:p w14:paraId="3ABE5551" w14:textId="05F5630A" w:rsidR="00952142" w:rsidRDefault="0098566E" w:rsidP="0098566E">
      <w:pPr>
        <w:pStyle w:val="Ttulo2"/>
      </w:pPr>
      <w:bookmarkStart w:id="28" w:name="_Toc172225480"/>
      <w:r>
        <w:t>Idea</w:t>
      </w:r>
      <w:bookmarkEnd w:id="28"/>
    </w:p>
    <w:p w14:paraId="6F142A68" w14:textId="58CED429" w:rsidR="00C9162F" w:rsidRDefault="00CA6123" w:rsidP="00AA79B2">
      <w:pPr>
        <w:pStyle w:val="Nivel1SM"/>
        <w:keepNext/>
        <w:spacing w:before="0" w:after="0"/>
      </w:pPr>
      <w:r>
        <w:t>Toda integración económica conlleva una serie de costes y beneficios de acuerdo a las características de los países que inte</w:t>
      </w:r>
      <w:r w:rsidR="000C65CD">
        <w:t>r</w:t>
      </w:r>
      <w:r>
        <w:t xml:space="preserve">vengan. Este análisis coste-beneficio es </w:t>
      </w:r>
      <w:r w:rsidR="006D7ADC">
        <w:t>difícil</w:t>
      </w:r>
      <w:r>
        <w:t xml:space="preserve"> de</w:t>
      </w:r>
      <w:r w:rsidR="000C65CD">
        <w:t xml:space="preserve"> </w:t>
      </w:r>
      <w:r>
        <w:t>realizar pues pueden intervenir muchos factores, mayoritariamente políticos</w:t>
      </w:r>
      <w:r w:rsidR="000C65CD">
        <w:t>, que pueden limitar la integración.</w:t>
      </w:r>
    </w:p>
    <w:p w14:paraId="5C8709F1" w14:textId="02DEA7B2" w:rsidR="00AB22B5" w:rsidRDefault="00C9162F" w:rsidP="00AA79B2">
      <w:pPr>
        <w:pStyle w:val="Nivel2SM"/>
        <w:keepNext/>
        <w:spacing w:after="0"/>
      </w:pPr>
      <w:r>
        <w:t xml:space="preserve">Con todo, la teoría de la integración se ha conformado de acuerdo a </w:t>
      </w:r>
      <w:r w:rsidR="00076178">
        <w:t>2 </w:t>
      </w:r>
      <w:r>
        <w:t>grandes literaturas:</w:t>
      </w:r>
    </w:p>
    <w:p w14:paraId="22B68B3B" w14:textId="77777777" w:rsidR="00AB22B5" w:rsidRDefault="00AB22B5">
      <w:pPr>
        <w:pStyle w:val="Prrafodelista"/>
        <w:numPr>
          <w:ilvl w:val="0"/>
          <w:numId w:val="24"/>
        </w:numPr>
        <w:spacing w:after="0"/>
        <w:ind w:left="1135" w:hanging="284"/>
      </w:pPr>
      <w:r>
        <w:t>L</w:t>
      </w:r>
      <w:r w:rsidR="00C9162F">
        <w:t xml:space="preserve">a </w:t>
      </w:r>
      <w:r w:rsidR="00C9162F" w:rsidRPr="00076178">
        <w:rPr>
          <w:b/>
          <w:bCs/>
        </w:rPr>
        <w:t>teoría tradicional</w:t>
      </w:r>
      <w:r w:rsidR="00C9162F">
        <w:t xml:space="preserve"> que únicamente considera efectos estáticos del comercio, y </w:t>
      </w:r>
    </w:p>
    <w:p w14:paraId="008CBC39" w14:textId="77777777" w:rsidR="00AB22B5" w:rsidRPr="00AA79B2" w:rsidRDefault="00AB22B5">
      <w:pPr>
        <w:pStyle w:val="Prrafodelista"/>
        <w:numPr>
          <w:ilvl w:val="0"/>
          <w:numId w:val="24"/>
        </w:numPr>
        <w:spacing w:after="0"/>
        <w:ind w:left="1135" w:hanging="284"/>
        <w:rPr>
          <w:spacing w:val="-1"/>
        </w:rPr>
      </w:pPr>
      <w:r w:rsidRPr="00AA79B2">
        <w:rPr>
          <w:spacing w:val="-1"/>
        </w:rPr>
        <w:t>L</w:t>
      </w:r>
      <w:r w:rsidR="00C9162F" w:rsidRPr="00AA79B2">
        <w:rPr>
          <w:spacing w:val="-1"/>
        </w:rPr>
        <w:t xml:space="preserve">a </w:t>
      </w:r>
      <w:r w:rsidR="00C9162F" w:rsidRPr="00AA79B2">
        <w:rPr>
          <w:b/>
          <w:bCs/>
          <w:spacing w:val="-1"/>
        </w:rPr>
        <w:t>nueva teoría de la integración</w:t>
      </w:r>
      <w:r w:rsidR="00C9162F" w:rsidRPr="00AA79B2">
        <w:rPr>
          <w:spacing w:val="-1"/>
        </w:rPr>
        <w:t xml:space="preserve"> que considera efectos dinámicos, la integración de flujos de inversión extranjera directa y los posibles penalizadores geográficos al comercio.</w:t>
      </w:r>
    </w:p>
    <w:p w14:paraId="008016DF" w14:textId="4894C7AC" w:rsidR="00C9162F" w:rsidRDefault="00C9162F" w:rsidP="00AA79B2">
      <w:pPr>
        <w:pStyle w:val="Nivel2SM"/>
        <w:keepNext/>
        <w:spacing w:after="0"/>
      </w:pPr>
      <w:r>
        <w:t>Este apartado pretende desarrollar ambos enfoques, todo ello desde el punto de vista de la teoría económica y sin entrar en los efectos cuantitativos observados o determinantes políticos que pudieran estar afectando el proceso integrador, los cu</w:t>
      </w:r>
      <w:r w:rsidR="00A4391B">
        <w:t>a</w:t>
      </w:r>
      <w:r>
        <w:t>les serán analizados con posterioridad.</w:t>
      </w:r>
    </w:p>
    <w:p w14:paraId="26CB6AD5" w14:textId="4CE38D80" w:rsidR="00D875B4" w:rsidRDefault="00D875B4" w:rsidP="00AA79B2">
      <w:pPr>
        <w:pStyle w:val="Nivel3SM"/>
      </w:pPr>
      <w:r>
        <w:t xml:space="preserve">En concreto, nos centraremos en la </w:t>
      </w:r>
      <w:r w:rsidRPr="00274A2F">
        <w:rPr>
          <w:i/>
          <w:iCs/>
        </w:rPr>
        <w:t>teoría de las uniones aduaneras</w:t>
      </w:r>
      <w:r>
        <w:t>, pero la mayoría de los análisis pueden ser aplicados a otras formas de cooperación comercial.</w:t>
      </w:r>
    </w:p>
    <w:p w14:paraId="4C352094" w14:textId="38415982" w:rsidR="00893EA1" w:rsidRDefault="00D72764" w:rsidP="00893EA1">
      <w:pPr>
        <w:pStyle w:val="Ttulo2"/>
      </w:pPr>
      <w:bookmarkStart w:id="29" w:name="_Toc172225481"/>
      <w:r>
        <w:t>Efectos de las uniones aduaneras sobre el bienestar</w:t>
      </w:r>
      <w:r w:rsidR="00CC3749">
        <w:br/>
      </w:r>
      <w:r w:rsidRPr="00CC3749">
        <w:rPr>
          <w:sz w:val="19"/>
          <w:szCs w:val="19"/>
        </w:rPr>
        <w:t xml:space="preserve">en un contexto de </w:t>
      </w:r>
      <w:r w:rsidR="006071C5" w:rsidRPr="00CC3749">
        <w:rPr>
          <w:sz w:val="19"/>
          <w:szCs w:val="19"/>
        </w:rPr>
        <w:t>país pequeño,</w:t>
      </w:r>
      <w:r w:rsidR="00D875B4" w:rsidRPr="00CC3749">
        <w:rPr>
          <w:sz w:val="19"/>
          <w:szCs w:val="19"/>
        </w:rPr>
        <w:t xml:space="preserve"> </w:t>
      </w:r>
      <w:r w:rsidRPr="00CC3749">
        <w:rPr>
          <w:sz w:val="19"/>
          <w:szCs w:val="19"/>
        </w:rPr>
        <w:t>competencia perfecta</w:t>
      </w:r>
      <w:r w:rsidR="006B6420">
        <w:rPr>
          <w:sz w:val="19"/>
          <w:szCs w:val="19"/>
        </w:rPr>
        <w:t xml:space="preserve"> y </w:t>
      </w:r>
      <w:r w:rsidR="006B6420" w:rsidRPr="00CC3749">
        <w:rPr>
          <w:sz w:val="19"/>
          <w:szCs w:val="19"/>
        </w:rPr>
        <w:t>análisis estático</w:t>
      </w:r>
      <w:bookmarkEnd w:id="29"/>
    </w:p>
    <w:p w14:paraId="71B03908" w14:textId="43495EBF" w:rsidR="00971C08" w:rsidRDefault="008F7E4B" w:rsidP="003E4ED2">
      <w:pPr>
        <w:pStyle w:val="Ttulo3"/>
        <w:spacing w:before="0"/>
      </w:pPr>
      <w:bookmarkStart w:id="30" w:name="_Toc172225482"/>
      <w:r>
        <w:t>Aportación</w:t>
      </w:r>
      <w:r w:rsidR="00DC5462">
        <w:t xml:space="preserve"> de </w:t>
      </w:r>
      <w:r w:rsidR="00DC5462">
        <w:rPr>
          <w:smallCaps/>
        </w:rPr>
        <w:t>Viner</w:t>
      </w:r>
      <w:r w:rsidR="00DC5462">
        <w:t xml:space="preserve"> (1950)</w:t>
      </w:r>
      <w:bookmarkEnd w:id="30"/>
    </w:p>
    <w:p w14:paraId="1C41C190" w14:textId="0E7B691C" w:rsidR="008F7E4B" w:rsidRPr="008F7E4B" w:rsidRDefault="008F7E4B" w:rsidP="008F608F">
      <w:pPr>
        <w:pStyle w:val="Ttulo6"/>
        <w:spacing w:before="0"/>
      </w:pPr>
      <w:bookmarkStart w:id="31" w:name="_Toc172225483"/>
      <w:r>
        <w:t>Idea</w:t>
      </w:r>
      <w:bookmarkEnd w:id="31"/>
    </w:p>
    <w:p w14:paraId="39829C02" w14:textId="77777777" w:rsidR="00637FAA" w:rsidRDefault="00637FAA" w:rsidP="008F608F">
      <w:pPr>
        <w:pStyle w:val="Nivel1SM"/>
        <w:keepNext/>
        <w:spacing w:before="0" w:after="0"/>
      </w:pPr>
      <w:r>
        <w:t xml:space="preserve">Las uniones aduaneras combinan </w:t>
      </w:r>
      <w:r w:rsidRPr="00F26B46">
        <w:rPr>
          <w:i/>
          <w:iCs/>
          <w:u w:val="single"/>
        </w:rPr>
        <w:t>proteccionismo</w:t>
      </w:r>
      <w:r>
        <w:t xml:space="preserve"> (</w:t>
      </w:r>
      <w:r>
        <w:rPr>
          <w:i/>
          <w:iCs/>
        </w:rPr>
        <w:t>erga ex</w:t>
      </w:r>
      <w:r w:rsidRPr="00F26B46">
        <w:rPr>
          <w:i/>
          <w:iCs/>
        </w:rPr>
        <w:t>tra</w:t>
      </w:r>
      <w:r>
        <w:t xml:space="preserve">, i.e. respecto al resto del mundo) y </w:t>
      </w:r>
      <w:r w:rsidRPr="00F26B46">
        <w:rPr>
          <w:i/>
          <w:iCs/>
          <w:u w:val="single"/>
        </w:rPr>
        <w:t>libre comercio</w:t>
      </w:r>
      <w:r>
        <w:t xml:space="preserve"> (</w:t>
      </w:r>
      <w:r>
        <w:rPr>
          <w:i/>
          <w:iCs/>
        </w:rPr>
        <w:t xml:space="preserve">erga </w:t>
      </w:r>
      <w:r w:rsidRPr="00F26B46">
        <w:rPr>
          <w:i/>
          <w:iCs/>
        </w:rPr>
        <w:t>intra</w:t>
      </w:r>
      <w:r>
        <w:t xml:space="preserve">, i.e. </w:t>
      </w:r>
      <w:r w:rsidRPr="00F26B46">
        <w:t>en</w:t>
      </w:r>
      <w:r>
        <w:t xml:space="preserve"> su interior).</w:t>
      </w:r>
    </w:p>
    <w:p w14:paraId="62A7C933" w14:textId="77777777" w:rsidR="00637FAA" w:rsidRDefault="00637FAA" w:rsidP="00637FAA">
      <w:pPr>
        <w:pStyle w:val="Nivel2SM"/>
      </w:pPr>
      <w:r>
        <w:t xml:space="preserve">Hasta la década de 1950, solía pensarse que las uniones aduaneras tenían un efecto inequívocamente </w:t>
      </w:r>
      <w:r>
        <w:rPr>
          <w:i/>
          <w:iCs/>
        </w:rPr>
        <w:t>positivo</w:t>
      </w:r>
      <w:r>
        <w:t xml:space="preserve"> sobre el bienestar en comparación con la estructura tradicional arancelaria, dado que estaban más cerca del libre comercio. El primer autor en rebatir esta idea fue </w:t>
      </w:r>
      <w:r>
        <w:rPr>
          <w:smallCaps/>
        </w:rPr>
        <w:t>Viner</w:t>
      </w:r>
      <w:r>
        <w:t xml:space="preserve"> (y de hecho lo hizo antes de la aparición de la teoría del </w:t>
      </w:r>
      <w:proofErr w:type="spellStart"/>
      <w:r>
        <w:rPr>
          <w:i/>
          <w:iCs/>
        </w:rPr>
        <w:t>second</w:t>
      </w:r>
      <w:proofErr w:type="spellEnd"/>
      <w:r>
        <w:rPr>
          <w:i/>
          <w:iCs/>
        </w:rPr>
        <w:t xml:space="preserve"> </w:t>
      </w:r>
      <w:proofErr w:type="spellStart"/>
      <w:r>
        <w:rPr>
          <w:i/>
          <w:iCs/>
        </w:rPr>
        <w:t>best</w:t>
      </w:r>
      <w:proofErr w:type="spellEnd"/>
      <w:r>
        <w:t>).</w:t>
      </w:r>
    </w:p>
    <w:p w14:paraId="5F60CB3E" w14:textId="1FA6C5D2" w:rsidR="00C61632" w:rsidRDefault="00C61632" w:rsidP="00614459">
      <w:pPr>
        <w:pStyle w:val="Nivel1SM"/>
        <w:keepNext/>
        <w:spacing w:after="0"/>
      </w:pPr>
      <w:r>
        <w:lastRenderedPageBreak/>
        <w:t xml:space="preserve">Como se ha indicado, los efectos estáticos se engloban dentro de las teorías tradicionales del comercio basadas en los trabajos originarios de </w:t>
      </w:r>
      <w:r w:rsidRPr="000C65CD">
        <w:rPr>
          <w:iCs/>
          <w:smallCaps/>
        </w:rPr>
        <w:t>Viner</w:t>
      </w:r>
      <w:r w:rsidR="007A0162">
        <w:rPr>
          <w:iCs/>
        </w:rPr>
        <w:t xml:space="preserve"> (1950)</w:t>
      </w:r>
      <w:r>
        <w:t>. De acuerdo a este enfoque, todo proceso integrador</w:t>
      </w:r>
      <w:r w:rsidR="000C65CD">
        <w:t xml:space="preserve"> vía comercio conlleva </w:t>
      </w:r>
      <w:r w:rsidR="00614459">
        <w:t>2 </w:t>
      </w:r>
      <w:r w:rsidR="000C65CD">
        <w:t>efectos contrapuestos:</w:t>
      </w:r>
    </w:p>
    <w:p w14:paraId="1E903EFE" w14:textId="18531139" w:rsidR="000C65CD" w:rsidRPr="00C1675C" w:rsidRDefault="000C65CD" w:rsidP="00614459">
      <w:pPr>
        <w:pStyle w:val="Nmeroromano"/>
        <w:spacing w:after="0"/>
        <w:rPr>
          <w:spacing w:val="-1"/>
        </w:rPr>
      </w:pPr>
      <w:r w:rsidRPr="00C1675C">
        <w:rPr>
          <w:i/>
          <w:iCs/>
          <w:spacing w:val="-1"/>
          <w:u w:val="single"/>
        </w:rPr>
        <w:t>Creación de comercio</w:t>
      </w:r>
      <w:r w:rsidRPr="00C1675C">
        <w:rPr>
          <w:spacing w:val="-1"/>
        </w:rPr>
        <w:t xml:space="preserve">: Implicaría que, cuando dos países se abren a través de un tratado de libre comercio, </w:t>
      </w:r>
      <w:r w:rsidR="008D19BE" w:rsidRPr="00C1675C">
        <w:rPr>
          <w:spacing w:val="-1"/>
        </w:rPr>
        <w:t>debido a la supresión del arancel, sea más barato importar del nuevo socio comercial que producirlo internamente</w:t>
      </w:r>
      <w:r w:rsidRPr="00C1675C">
        <w:rPr>
          <w:spacing w:val="-1"/>
        </w:rPr>
        <w:t xml:space="preserve">. Con ello, podríamos observar </w:t>
      </w:r>
      <w:r w:rsidR="008D19BE" w:rsidRPr="00C1675C">
        <w:rPr>
          <w:spacing w:val="-1"/>
        </w:rPr>
        <w:t>la creación de</w:t>
      </w:r>
      <w:r w:rsidRPr="00C1675C">
        <w:rPr>
          <w:spacing w:val="-1"/>
        </w:rPr>
        <w:t xml:space="preserve"> comercio</w:t>
      </w:r>
      <w:r w:rsidR="008D19BE" w:rsidRPr="00C1675C">
        <w:rPr>
          <w:spacing w:val="-1"/>
        </w:rPr>
        <w:t>, ya que el país dejara de producir</w:t>
      </w:r>
      <w:r w:rsidRPr="00C1675C">
        <w:rPr>
          <w:spacing w:val="-1"/>
        </w:rPr>
        <w:t xml:space="preserve"> </w:t>
      </w:r>
      <w:r w:rsidR="008D19BE" w:rsidRPr="00C1675C">
        <w:rPr>
          <w:spacing w:val="-1"/>
        </w:rPr>
        <w:t xml:space="preserve">un determinado bien </w:t>
      </w:r>
      <w:r w:rsidRPr="00C1675C">
        <w:rPr>
          <w:spacing w:val="-1"/>
        </w:rPr>
        <w:t xml:space="preserve">con altos costes de producción </w:t>
      </w:r>
      <w:r w:rsidR="008D19BE" w:rsidRPr="00C1675C">
        <w:rPr>
          <w:spacing w:val="-1"/>
        </w:rPr>
        <w:t>y pasara a importarlo d</w:t>
      </w:r>
      <w:r w:rsidRPr="00C1675C">
        <w:rPr>
          <w:spacing w:val="-1"/>
        </w:rPr>
        <w:t>el nuevo país socio</w:t>
      </w:r>
      <w:r w:rsidR="00EE771E" w:rsidRPr="00C1675C">
        <w:rPr>
          <w:spacing w:val="-1"/>
        </w:rPr>
        <w:t>. Gracias a ello se estaría creando comercio entre dos países que anteriormente no comerciaban de la misma manera, pudiendo aumentar su comercio bilateral.</w:t>
      </w:r>
    </w:p>
    <w:p w14:paraId="75B19667" w14:textId="2A78C03B" w:rsidR="000C65CD" w:rsidRDefault="000C65CD" w:rsidP="000301CB">
      <w:pPr>
        <w:pStyle w:val="Nmeroromano"/>
        <w:spacing w:after="120"/>
      </w:pPr>
      <w:r w:rsidRPr="00DC5462">
        <w:rPr>
          <w:i/>
          <w:iCs/>
          <w:u w:val="single"/>
        </w:rPr>
        <w:t>Desviación de comercio</w:t>
      </w:r>
      <w:r>
        <w:t>:</w:t>
      </w:r>
      <w:r w:rsidR="00EE771E">
        <w:t xml:space="preserve"> Consiste en que la firma de un tratado de libre comercio podría implicar que un país dejase de comerciar con un país tercero con bajos costes de producción y reorientase su comercio hacia el nuevo país socio, el cual podría presentar mayores costes de producción. Este efecto podría ser aún mayor dentro de una unión aduanera si la tarifa común arancelaria protegiese de la competencia exterior frente al productor (ineficiente) con mayores costes de producción.</w:t>
      </w:r>
    </w:p>
    <w:p w14:paraId="4577AB0E" w14:textId="509201E9" w:rsidR="008F7E4B" w:rsidRPr="008F7E4B" w:rsidRDefault="008F7E4B" w:rsidP="000558A2">
      <w:pPr>
        <w:pStyle w:val="Ttulo6"/>
      </w:pPr>
      <w:bookmarkStart w:id="32" w:name="_Toc172225484"/>
      <w:r>
        <w:t xml:space="preserve">Modelo de equilibrio parcial de </w:t>
      </w:r>
      <w:r>
        <w:rPr>
          <w:smallCaps/>
        </w:rPr>
        <w:t>Viner</w:t>
      </w:r>
      <w:r w:rsidR="000558A2">
        <w:t xml:space="preserve"> </w:t>
      </w:r>
      <w:r>
        <w:t>(1950)</w:t>
      </w:r>
      <w:bookmarkEnd w:id="32"/>
    </w:p>
    <w:p w14:paraId="05D16449" w14:textId="2F7C0FD2" w:rsidR="00971C08" w:rsidRDefault="00971C08" w:rsidP="00614459">
      <w:pPr>
        <w:pStyle w:val="Ttulo7"/>
        <w:spacing w:before="0"/>
      </w:pPr>
      <w:r>
        <w:t>Supuestos</w:t>
      </w:r>
    </w:p>
    <w:p w14:paraId="6A8D3CCB" w14:textId="2986F47B" w:rsidR="0079058C" w:rsidRDefault="00C9162F" w:rsidP="00614459">
      <w:pPr>
        <w:pStyle w:val="Nivel1SM"/>
        <w:keepNext/>
        <w:spacing w:before="0" w:after="0"/>
      </w:pPr>
      <w:r>
        <w:t>Podemos ilustrar estos efectos con un ejemplo numérico</w:t>
      </w:r>
      <w:r w:rsidR="00C5086A">
        <w:t>. Supondremos</w:t>
      </w:r>
      <w:r w:rsidR="0079058C">
        <w:t>:</w:t>
      </w:r>
    </w:p>
    <w:p w14:paraId="0FB305FC" w14:textId="5669E114" w:rsidR="00971C08" w:rsidRDefault="00971C08" w:rsidP="00935706">
      <w:pPr>
        <w:pStyle w:val="Nivel2SM"/>
        <w:keepNext/>
        <w:spacing w:after="0"/>
      </w:pPr>
      <w:r>
        <w:rPr>
          <w:i/>
          <w:iCs/>
          <w:u w:val="single"/>
        </w:rPr>
        <w:t>3</w:t>
      </w:r>
      <w:r w:rsidR="008F608F">
        <w:rPr>
          <w:i/>
          <w:iCs/>
          <w:u w:val="single"/>
        </w:rPr>
        <w:t> </w:t>
      </w:r>
      <w:r w:rsidRPr="00A61AA0">
        <w:rPr>
          <w:i/>
          <w:iCs/>
          <w:u w:val="single"/>
        </w:rPr>
        <w:t>países</w:t>
      </w:r>
      <w:r>
        <w:t xml:space="preserve"> </w:t>
      </w:r>
      <w:r w:rsidRPr="00B54613">
        <w:t>(</w:t>
      </w:r>
      <w:r w:rsidRPr="00597F84">
        <w:rPr>
          <w:i/>
          <w:iCs/>
        </w:rPr>
        <w:t>A</w:t>
      </w:r>
      <w:r>
        <w:t xml:space="preserve">, </w:t>
      </w:r>
      <w:r w:rsidRPr="00597F84">
        <w:rPr>
          <w:i/>
          <w:iCs/>
        </w:rPr>
        <w:t>B</w:t>
      </w:r>
      <w:r>
        <w:t xml:space="preserve"> y </w:t>
      </w:r>
      <w:r>
        <w:rPr>
          <w:i/>
          <w:iCs/>
        </w:rPr>
        <w:t>R</w:t>
      </w:r>
      <w:r w:rsidRPr="00B54613">
        <w:t>)</w:t>
      </w:r>
      <w:r>
        <w:t xml:space="preserve"> y </w:t>
      </w:r>
      <w:r>
        <w:rPr>
          <w:i/>
          <w:iCs/>
          <w:u w:val="single"/>
        </w:rPr>
        <w:t>1</w:t>
      </w:r>
      <w:r w:rsidR="008F608F">
        <w:rPr>
          <w:i/>
          <w:iCs/>
          <w:u w:val="single"/>
        </w:rPr>
        <w:t> </w:t>
      </w:r>
      <w:r>
        <w:rPr>
          <w:i/>
          <w:iCs/>
          <w:u w:val="single"/>
        </w:rPr>
        <w:t xml:space="preserve">único </w:t>
      </w:r>
      <w:r w:rsidRPr="00A61AA0">
        <w:rPr>
          <w:i/>
          <w:iCs/>
          <w:u w:val="single"/>
        </w:rPr>
        <w:t>bien</w:t>
      </w:r>
      <w:r>
        <w:t>.</w:t>
      </w:r>
    </w:p>
    <w:p w14:paraId="61F952A9" w14:textId="0DB7B6ED" w:rsidR="00971C08" w:rsidRDefault="00971C08" w:rsidP="00935706">
      <w:pPr>
        <w:pStyle w:val="Nivel3SM"/>
      </w:pPr>
      <w:r>
        <w:t xml:space="preserve">Los países </w:t>
      </w:r>
      <w:r w:rsidRPr="00CC4102">
        <w:rPr>
          <w:i/>
          <w:iCs/>
        </w:rPr>
        <w:t>A</w:t>
      </w:r>
      <w:r>
        <w:t xml:space="preserve"> y </w:t>
      </w:r>
      <w:r w:rsidRPr="00CC4102">
        <w:rPr>
          <w:i/>
          <w:iCs/>
        </w:rPr>
        <w:t>B</w:t>
      </w:r>
      <w:r>
        <w:t xml:space="preserve"> serán los que formen la unión aduanera, mientras que </w:t>
      </w:r>
      <w:r>
        <w:rPr>
          <w:i/>
          <w:iCs/>
        </w:rPr>
        <w:t>R</w:t>
      </w:r>
      <w:r>
        <w:t xml:space="preserve"> será el resto del mundo.</w:t>
      </w:r>
      <w:r w:rsidR="00C5086A" w:rsidRPr="00C5086A">
        <w:t xml:space="preserve"> </w:t>
      </w:r>
      <w:r w:rsidR="00C5086A" w:rsidRPr="00971C08">
        <w:t xml:space="preserve">Tras la instauración de la unión, </w:t>
      </w:r>
      <w:r w:rsidR="00C5086A" w:rsidRPr="00971C08">
        <w:rPr>
          <w:i/>
          <w:iCs/>
        </w:rPr>
        <w:t>A</w:t>
      </w:r>
      <w:r w:rsidR="00C5086A" w:rsidRPr="00971C08">
        <w:t xml:space="preserve"> y </w:t>
      </w:r>
      <w:r w:rsidR="00C5086A" w:rsidRPr="00971C08">
        <w:rPr>
          <w:i/>
          <w:iCs/>
        </w:rPr>
        <w:t>B</w:t>
      </w:r>
      <w:r w:rsidR="00C5086A" w:rsidRPr="00971C08">
        <w:t xml:space="preserve"> retiran los aranceles (y todas las barreras comerciales) entre sí, pero los mantienen frente a </w:t>
      </w:r>
      <w:r w:rsidR="00C5086A" w:rsidRPr="00971C08">
        <w:rPr>
          <w:i/>
          <w:iCs/>
        </w:rPr>
        <w:t>R</w:t>
      </w:r>
      <w:r w:rsidR="00C5086A" w:rsidRPr="00971C08">
        <w:t>.</w:t>
      </w:r>
    </w:p>
    <w:p w14:paraId="5243440F" w14:textId="702BDD93" w:rsidR="00971C08" w:rsidRDefault="00971C08" w:rsidP="00935706">
      <w:pPr>
        <w:pStyle w:val="Nivel2SM"/>
      </w:pPr>
      <w:r>
        <w:t xml:space="preserve">Las </w:t>
      </w:r>
      <w:r w:rsidRPr="00935706">
        <w:rPr>
          <w:i/>
          <w:iCs/>
          <w:u w:val="single"/>
        </w:rPr>
        <w:t>preferencias sociales</w:t>
      </w:r>
      <w:r w:rsidRPr="00935706">
        <w:rPr>
          <w:i/>
          <w:iCs/>
        </w:rPr>
        <w:t xml:space="preserve"> son </w:t>
      </w:r>
      <w:r w:rsidR="00C5086A" w:rsidRPr="00935706">
        <w:rPr>
          <w:i/>
          <w:iCs/>
        </w:rPr>
        <w:t>perfectamente inelásticas</w:t>
      </w:r>
      <w:r w:rsidR="00C5086A">
        <w:t>.</w:t>
      </w:r>
    </w:p>
    <w:p w14:paraId="635041F6" w14:textId="53C03FEF" w:rsidR="00C5086A" w:rsidRDefault="00C5086A" w:rsidP="00935706">
      <w:pPr>
        <w:pStyle w:val="Nivel2SM"/>
      </w:pPr>
      <w:r w:rsidRPr="00935706">
        <w:rPr>
          <w:i/>
          <w:iCs/>
          <w:u w:val="single"/>
        </w:rPr>
        <w:t>Competencia perfecta</w:t>
      </w:r>
      <w:r>
        <w:t xml:space="preserve"> en los mercados de bienes (</w:t>
      </w:r>
      <m:oMath>
        <m:r>
          <m:rPr>
            <m:nor/>
          </m:rPr>
          <w:rPr>
            <w:i/>
            <w:iCs/>
          </w:rPr>
          <m:t>P</m:t>
        </m:r>
        <m:r>
          <w:rPr>
            <w:rFonts w:ascii="Cambria Math" w:hAnsi="Cambria Math"/>
          </w:rPr>
          <m:t>=</m:t>
        </m:r>
        <m:r>
          <m:rPr>
            <m:nor/>
          </m:rPr>
          <w:rPr>
            <w:i/>
            <w:iCs/>
          </w:rPr>
          <m:t>CMg</m:t>
        </m:r>
      </m:oMath>
      <w:r>
        <w:t>) y de factores.</w:t>
      </w:r>
    </w:p>
    <w:p w14:paraId="794CC098" w14:textId="4B92E14F" w:rsidR="00971C08" w:rsidRDefault="00971C08" w:rsidP="000558A2">
      <w:pPr>
        <w:pStyle w:val="Ttulo7"/>
      </w:pPr>
      <w:r>
        <w:t>Desarrollo</w:t>
      </w:r>
    </w:p>
    <w:p w14:paraId="42C9C0A2" w14:textId="2D9D979A" w:rsidR="0079058C" w:rsidRDefault="0079058C" w:rsidP="00B1384D">
      <w:pPr>
        <w:pStyle w:val="Nivel1SM"/>
        <w:keepNext/>
        <w:spacing w:before="0" w:after="0"/>
      </w:pPr>
      <w:r>
        <w:t>De este modo, se pueden dar 3</w:t>
      </w:r>
      <w:r w:rsidR="008F608F">
        <w:t> </w:t>
      </w:r>
      <w:r>
        <w:t>situaciones reflejadas en la siguiente tabla:</w:t>
      </w:r>
    </w:p>
    <w:tbl>
      <w:tblPr>
        <w:tblStyle w:val="Tablaconcuadrcula"/>
        <w:tblW w:w="9742" w:type="dxa"/>
        <w:tblLook w:val="04A0" w:firstRow="1" w:lastRow="0" w:firstColumn="1" w:lastColumn="0" w:noHBand="0" w:noVBand="1"/>
      </w:tblPr>
      <w:tblGrid>
        <w:gridCol w:w="1120"/>
        <w:gridCol w:w="2844"/>
        <w:gridCol w:w="1161"/>
        <w:gridCol w:w="262"/>
        <w:gridCol w:w="305"/>
        <w:gridCol w:w="1161"/>
        <w:gridCol w:w="235"/>
        <w:gridCol w:w="332"/>
        <w:gridCol w:w="1161"/>
        <w:gridCol w:w="1161"/>
      </w:tblGrid>
      <w:tr w:rsidR="00AE5E85" w14:paraId="02120BEB" w14:textId="77777777" w:rsidTr="00935706">
        <w:trPr>
          <w:tblHeader/>
        </w:trPr>
        <w:tc>
          <w:tcPr>
            <w:tcW w:w="1120" w:type="dxa"/>
            <w:tcBorders>
              <w:top w:val="single" w:sz="18" w:space="0" w:color="5F2983"/>
              <w:left w:val="nil"/>
              <w:bottom w:val="single" w:sz="12" w:space="0" w:color="5F2987"/>
              <w:right w:val="single" w:sz="2" w:space="0" w:color="5F2987"/>
            </w:tcBorders>
            <w:vAlign w:val="center"/>
          </w:tcPr>
          <w:p w14:paraId="32CAA4F1" w14:textId="2C8A2510" w:rsidR="00AE5E85" w:rsidRDefault="00AE5E85" w:rsidP="00287286">
            <w:pPr>
              <w:keepNext/>
              <w:spacing w:after="0"/>
              <w:jc w:val="center"/>
            </w:pPr>
            <w:r>
              <w:t>Situación</w:t>
            </w:r>
          </w:p>
        </w:tc>
        <w:tc>
          <w:tcPr>
            <w:tcW w:w="2844" w:type="dxa"/>
            <w:tcBorders>
              <w:top w:val="single" w:sz="18" w:space="0" w:color="5F2983"/>
              <w:left w:val="single" w:sz="2" w:space="0" w:color="5F2987"/>
              <w:bottom w:val="single" w:sz="12" w:space="0" w:color="5F2987"/>
              <w:right w:val="single" w:sz="2" w:space="0" w:color="5F2987"/>
            </w:tcBorders>
            <w:vAlign w:val="center"/>
          </w:tcPr>
          <w:p w14:paraId="23266FBE" w14:textId="33764ACF" w:rsidR="00AE5E85" w:rsidRDefault="00AE5E85" w:rsidP="00287286">
            <w:pPr>
              <w:keepNext/>
              <w:spacing w:after="0"/>
              <w:jc w:val="center"/>
            </w:pPr>
            <w:r>
              <w:t>Coste</w:t>
            </w:r>
          </w:p>
        </w:tc>
        <w:tc>
          <w:tcPr>
            <w:tcW w:w="1423" w:type="dxa"/>
            <w:gridSpan w:val="2"/>
            <w:tcBorders>
              <w:top w:val="single" w:sz="18" w:space="0" w:color="5F2983"/>
              <w:left w:val="single" w:sz="2" w:space="0" w:color="5F2987"/>
              <w:bottom w:val="single" w:sz="12" w:space="0" w:color="5F2987"/>
              <w:right w:val="single" w:sz="2" w:space="0" w:color="5F2987"/>
            </w:tcBorders>
            <w:vAlign w:val="center"/>
          </w:tcPr>
          <w:p w14:paraId="060B325D" w14:textId="2CB305C8" w:rsidR="00AE5E85" w:rsidRDefault="00AE5E85" w:rsidP="00287286">
            <w:pPr>
              <w:keepNext/>
              <w:spacing w:after="0"/>
              <w:jc w:val="center"/>
              <w:rPr>
                <w:i/>
                <w:iCs/>
              </w:rPr>
            </w:pPr>
            <w:r>
              <w:t>País</w:t>
            </w:r>
            <w:r w:rsidR="00EC6648">
              <w:t> </w:t>
            </w:r>
            <w:r w:rsidRPr="000D1ACD">
              <w:rPr>
                <w:i/>
                <w:iCs/>
              </w:rPr>
              <w:t>B</w:t>
            </w:r>
          </w:p>
          <w:p w14:paraId="641E30BC" w14:textId="7697D221" w:rsidR="00AE5E85" w:rsidRDefault="00AE5E85" w:rsidP="00287286">
            <w:pPr>
              <w:keepNext/>
              <w:spacing w:after="0"/>
              <w:jc w:val="center"/>
            </w:pPr>
            <w:r w:rsidRPr="000D1ACD">
              <w:rPr>
                <w:sz w:val="14"/>
                <w:szCs w:val="14"/>
              </w:rPr>
              <w:t>(País con el que nos integramos)</w:t>
            </w:r>
          </w:p>
        </w:tc>
        <w:tc>
          <w:tcPr>
            <w:tcW w:w="1701" w:type="dxa"/>
            <w:gridSpan w:val="3"/>
            <w:tcBorders>
              <w:top w:val="single" w:sz="18" w:space="0" w:color="5F2983"/>
              <w:left w:val="single" w:sz="2" w:space="0" w:color="5F2987"/>
              <w:bottom w:val="single" w:sz="12" w:space="0" w:color="5F2987"/>
              <w:right w:val="single" w:sz="2" w:space="0" w:color="5F2987"/>
            </w:tcBorders>
            <w:vAlign w:val="center"/>
          </w:tcPr>
          <w:p w14:paraId="117E061D" w14:textId="12847F4C" w:rsidR="00AE5E85" w:rsidRDefault="00AE5E85" w:rsidP="00287286">
            <w:pPr>
              <w:keepNext/>
              <w:spacing w:after="0"/>
              <w:jc w:val="center"/>
              <w:rPr>
                <w:i/>
                <w:iCs/>
              </w:rPr>
            </w:pPr>
            <w:r>
              <w:t>País</w:t>
            </w:r>
            <w:r w:rsidR="00EC6648">
              <w:t> </w:t>
            </w:r>
            <w:r w:rsidRPr="000D1ACD">
              <w:rPr>
                <w:i/>
                <w:iCs/>
              </w:rPr>
              <w:t>A</w:t>
            </w:r>
          </w:p>
          <w:p w14:paraId="754079BB" w14:textId="2ABD39B6" w:rsidR="00AE5E85" w:rsidRDefault="00AE5E85" w:rsidP="00287286">
            <w:pPr>
              <w:keepNext/>
              <w:spacing w:after="0"/>
              <w:jc w:val="center"/>
            </w:pPr>
            <w:r w:rsidRPr="000D1ACD">
              <w:rPr>
                <w:sz w:val="14"/>
                <w:szCs w:val="14"/>
              </w:rPr>
              <w:t>(Nuestro país)</w:t>
            </w:r>
          </w:p>
        </w:tc>
        <w:tc>
          <w:tcPr>
            <w:tcW w:w="1493" w:type="dxa"/>
            <w:gridSpan w:val="2"/>
            <w:tcBorders>
              <w:top w:val="single" w:sz="18" w:space="0" w:color="5F2983"/>
              <w:left w:val="single" w:sz="2" w:space="0" w:color="5F2987"/>
              <w:bottom w:val="single" w:sz="12" w:space="0" w:color="5F2987"/>
              <w:right w:val="single" w:sz="2" w:space="0" w:color="5F2987"/>
            </w:tcBorders>
            <w:vAlign w:val="center"/>
          </w:tcPr>
          <w:p w14:paraId="109E290A" w14:textId="53ACAA36" w:rsidR="00AE5E85" w:rsidRDefault="00AE5E85" w:rsidP="00287286">
            <w:pPr>
              <w:keepNext/>
              <w:spacing w:after="0"/>
              <w:jc w:val="center"/>
              <w:rPr>
                <w:i/>
                <w:iCs/>
              </w:rPr>
            </w:pPr>
            <w:r>
              <w:t>País</w:t>
            </w:r>
            <w:r w:rsidR="00EC6648">
              <w:t> </w:t>
            </w:r>
            <w:r>
              <w:rPr>
                <w:i/>
                <w:iCs/>
              </w:rPr>
              <w:t>R</w:t>
            </w:r>
          </w:p>
          <w:p w14:paraId="7CFA0041" w14:textId="1E9910FE" w:rsidR="00AE5E85" w:rsidRDefault="00AE5E85" w:rsidP="00287286">
            <w:pPr>
              <w:keepNext/>
              <w:spacing w:after="0"/>
              <w:jc w:val="center"/>
            </w:pPr>
            <w:r w:rsidRPr="000D1ACD">
              <w:rPr>
                <w:sz w:val="14"/>
                <w:szCs w:val="14"/>
              </w:rPr>
              <w:t>(Resto del mundo)</w:t>
            </w:r>
          </w:p>
        </w:tc>
        <w:tc>
          <w:tcPr>
            <w:tcW w:w="1161" w:type="dxa"/>
            <w:tcBorders>
              <w:top w:val="single" w:sz="18" w:space="0" w:color="5F2983"/>
              <w:left w:val="single" w:sz="2" w:space="0" w:color="5F2987"/>
              <w:bottom w:val="single" w:sz="12" w:space="0" w:color="5F2987"/>
              <w:right w:val="nil"/>
            </w:tcBorders>
            <w:vAlign w:val="center"/>
          </w:tcPr>
          <w:p w14:paraId="1DE8ABC3" w14:textId="301F8DA3" w:rsidR="00AE5E85" w:rsidRDefault="00AE5E85" w:rsidP="000D1ACD">
            <w:pPr>
              <w:spacing w:after="0"/>
              <w:jc w:val="center"/>
            </w:pPr>
            <w:r>
              <w:t>Efectos</w:t>
            </w:r>
          </w:p>
        </w:tc>
      </w:tr>
      <w:tr w:rsidR="00EC693D" w14:paraId="5B65258A" w14:textId="77777777" w:rsidTr="00AE5E85">
        <w:tc>
          <w:tcPr>
            <w:tcW w:w="1120" w:type="dxa"/>
            <w:vMerge w:val="restart"/>
            <w:tcBorders>
              <w:top w:val="single" w:sz="12" w:space="0" w:color="5F2987"/>
              <w:left w:val="nil"/>
              <w:right w:val="single" w:sz="2" w:space="0" w:color="5F2987"/>
            </w:tcBorders>
            <w:vAlign w:val="center"/>
          </w:tcPr>
          <w:p w14:paraId="095FF311" w14:textId="4ABC91B5" w:rsidR="00EC693D" w:rsidRDefault="00EC693D" w:rsidP="00287286">
            <w:pPr>
              <w:keepNext/>
              <w:spacing w:after="0"/>
              <w:jc w:val="right"/>
            </w:pPr>
            <w:r>
              <w:t>1</w:t>
            </w:r>
          </w:p>
        </w:tc>
        <w:tc>
          <w:tcPr>
            <w:tcW w:w="2844" w:type="dxa"/>
            <w:tcBorders>
              <w:top w:val="single" w:sz="12" w:space="0" w:color="5F2987"/>
              <w:left w:val="single" w:sz="2" w:space="0" w:color="5F2987"/>
              <w:bottom w:val="single" w:sz="2" w:space="0" w:color="5F2987"/>
              <w:right w:val="single" w:sz="2" w:space="0" w:color="5F2987"/>
            </w:tcBorders>
            <w:vAlign w:val="center"/>
          </w:tcPr>
          <w:p w14:paraId="40FC8B99" w14:textId="4C8120CA" w:rsidR="00EC693D" w:rsidRPr="000D1ACD" w:rsidRDefault="00EC693D" w:rsidP="00287286">
            <w:pPr>
              <w:keepNext/>
              <w:spacing w:after="0"/>
              <w:jc w:val="right"/>
              <w:rPr>
                <w:sz w:val="17"/>
                <w:szCs w:val="17"/>
              </w:rPr>
            </w:pPr>
            <w:r w:rsidRPr="000D1ACD">
              <w:rPr>
                <w:sz w:val="17"/>
                <w:szCs w:val="17"/>
              </w:rPr>
              <w:t>Coste</w:t>
            </w:r>
          </w:p>
        </w:tc>
        <w:tc>
          <w:tcPr>
            <w:tcW w:w="1161" w:type="dxa"/>
            <w:tcBorders>
              <w:top w:val="single" w:sz="12" w:space="0" w:color="5F2987"/>
              <w:left w:val="single" w:sz="2" w:space="0" w:color="5F2987"/>
              <w:bottom w:val="single" w:sz="2" w:space="0" w:color="5F2987"/>
              <w:right w:val="dashed" w:sz="4" w:space="0" w:color="5F2987"/>
            </w:tcBorders>
            <w:vAlign w:val="center"/>
          </w:tcPr>
          <w:p w14:paraId="338454CD" w14:textId="43266C07" w:rsidR="00EC693D" w:rsidRDefault="00EC693D" w:rsidP="00287286">
            <w:pPr>
              <w:keepNext/>
              <w:spacing w:after="0"/>
              <w:jc w:val="center"/>
            </w:pPr>
            <w:r w:rsidRPr="00EC693D">
              <w:rPr>
                <w:sz w:val="19"/>
                <w:szCs w:val="19"/>
              </w:rPr>
              <w:t>1</w:t>
            </w:r>
            <w:r w:rsidR="0088508A">
              <w:rPr>
                <w:sz w:val="19"/>
                <w:szCs w:val="19"/>
              </w:rPr>
              <w:t>6</w:t>
            </w:r>
          </w:p>
        </w:tc>
        <w:tc>
          <w:tcPr>
            <w:tcW w:w="567" w:type="dxa"/>
            <w:gridSpan w:val="2"/>
            <w:tcBorders>
              <w:top w:val="single" w:sz="12" w:space="0" w:color="5F2987"/>
              <w:left w:val="dashed" w:sz="4" w:space="0" w:color="5F2987"/>
              <w:bottom w:val="single" w:sz="2" w:space="0" w:color="5F2987"/>
              <w:right w:val="dashed" w:sz="4" w:space="0" w:color="5F2987"/>
            </w:tcBorders>
            <w:vAlign w:val="center"/>
          </w:tcPr>
          <w:p w14:paraId="76B5FA10" w14:textId="6C5B58B7" w:rsidR="00EC693D" w:rsidRPr="0088508A" w:rsidRDefault="007620CE" w:rsidP="00287286">
            <w:pPr>
              <w:keepNext/>
              <w:spacing w:after="0"/>
              <w:jc w:val="center"/>
              <w:rPr>
                <w:sz w:val="14"/>
                <w:szCs w:val="14"/>
              </w:rPr>
            </w:pPr>
            <m:oMathPara>
              <m:oMath>
                <m:r>
                  <w:rPr>
                    <w:rFonts w:ascii="Cambria Math" w:eastAsiaTheme="minorEastAsia" w:hAnsi="Cambria Math"/>
                    <w:sz w:val="20"/>
                    <w:szCs w:val="20"/>
                  </w:rPr>
                  <m:t>&gt;</m:t>
                </m:r>
              </m:oMath>
            </m:oMathPara>
          </w:p>
        </w:tc>
        <w:tc>
          <w:tcPr>
            <w:tcW w:w="1161" w:type="dxa"/>
            <w:tcBorders>
              <w:top w:val="single" w:sz="12" w:space="0" w:color="5F2987"/>
              <w:left w:val="dashed" w:sz="4" w:space="0" w:color="5F2987"/>
              <w:bottom w:val="single" w:sz="2" w:space="0" w:color="5F2987"/>
              <w:right w:val="dashed" w:sz="4" w:space="0" w:color="5F2987"/>
            </w:tcBorders>
            <w:shd w:val="clear" w:color="auto" w:fill="auto"/>
            <w:vAlign w:val="center"/>
          </w:tcPr>
          <w:p w14:paraId="3E471D7E" w14:textId="354D1E3F" w:rsidR="00EC693D" w:rsidRPr="00EC693D" w:rsidRDefault="00EC693D" w:rsidP="00287286">
            <w:pPr>
              <w:keepNext/>
              <w:spacing w:after="0"/>
              <w:jc w:val="center"/>
              <w:rPr>
                <w:sz w:val="19"/>
                <w:szCs w:val="19"/>
              </w:rPr>
            </w:pPr>
            <w:r w:rsidRPr="00EC693D">
              <w:rPr>
                <w:sz w:val="19"/>
                <w:szCs w:val="19"/>
              </w:rPr>
              <w:t>10</w:t>
            </w:r>
          </w:p>
        </w:tc>
        <w:tc>
          <w:tcPr>
            <w:tcW w:w="567" w:type="dxa"/>
            <w:gridSpan w:val="2"/>
            <w:tcBorders>
              <w:top w:val="single" w:sz="12" w:space="0" w:color="5F2987"/>
              <w:left w:val="dashed" w:sz="4" w:space="0" w:color="5F2987"/>
              <w:bottom w:val="single" w:sz="2" w:space="0" w:color="5F2987"/>
              <w:right w:val="dashed" w:sz="4" w:space="0" w:color="5F2987"/>
            </w:tcBorders>
            <w:vAlign w:val="center"/>
          </w:tcPr>
          <w:p w14:paraId="494330FB" w14:textId="70D5D801" w:rsidR="00EC693D" w:rsidRPr="0088508A" w:rsidRDefault="007620CE" w:rsidP="00287286">
            <w:pPr>
              <w:keepNext/>
              <w:spacing w:after="0"/>
              <w:jc w:val="center"/>
              <w:rPr>
                <w:sz w:val="14"/>
                <w:szCs w:val="14"/>
              </w:rPr>
            </w:pPr>
            <m:oMathPara>
              <m:oMath>
                <m:r>
                  <w:rPr>
                    <w:rFonts w:ascii="Cambria Math" w:eastAsiaTheme="minorEastAsia" w:hAnsi="Cambria Math"/>
                    <w:sz w:val="20"/>
                    <w:szCs w:val="20"/>
                  </w:rPr>
                  <m:t>&lt;</m:t>
                </m:r>
              </m:oMath>
            </m:oMathPara>
          </w:p>
        </w:tc>
        <w:tc>
          <w:tcPr>
            <w:tcW w:w="1161" w:type="dxa"/>
            <w:tcBorders>
              <w:top w:val="single" w:sz="12" w:space="0" w:color="5F2987"/>
              <w:left w:val="dashed" w:sz="4" w:space="0" w:color="5F2987"/>
              <w:bottom w:val="single" w:sz="2" w:space="0" w:color="5F2987"/>
              <w:right w:val="single" w:sz="2" w:space="0" w:color="5F2987"/>
            </w:tcBorders>
            <w:vAlign w:val="center"/>
          </w:tcPr>
          <w:p w14:paraId="31BAEE97" w14:textId="5C8BC2C9" w:rsidR="00EC693D" w:rsidRDefault="00EC693D" w:rsidP="00287286">
            <w:pPr>
              <w:keepNext/>
              <w:spacing w:after="0"/>
              <w:jc w:val="center"/>
            </w:pPr>
            <w:r w:rsidRPr="00EC693D">
              <w:rPr>
                <w:sz w:val="19"/>
                <w:szCs w:val="19"/>
              </w:rPr>
              <w:t>1</w:t>
            </w:r>
            <w:r w:rsidR="00EC1BF3">
              <w:rPr>
                <w:sz w:val="19"/>
                <w:szCs w:val="19"/>
              </w:rPr>
              <w:t>2</w:t>
            </w:r>
          </w:p>
        </w:tc>
        <w:tc>
          <w:tcPr>
            <w:tcW w:w="1161" w:type="dxa"/>
            <w:vMerge w:val="restart"/>
            <w:tcBorders>
              <w:top w:val="single" w:sz="12" w:space="0" w:color="5F2987"/>
              <w:left w:val="single" w:sz="2" w:space="0" w:color="5F2987"/>
              <w:right w:val="nil"/>
            </w:tcBorders>
            <w:vAlign w:val="center"/>
          </w:tcPr>
          <w:p w14:paraId="6B5FF5CA" w14:textId="42B4177B" w:rsidR="00EC693D" w:rsidRPr="00EC693D" w:rsidRDefault="00EC693D" w:rsidP="00EC693D">
            <w:pPr>
              <w:spacing w:after="0"/>
              <w:jc w:val="center"/>
              <w:rPr>
                <w:sz w:val="16"/>
                <w:szCs w:val="16"/>
              </w:rPr>
            </w:pPr>
            <w:r w:rsidRPr="00EC693D">
              <w:rPr>
                <w:sz w:val="16"/>
                <w:szCs w:val="16"/>
              </w:rPr>
              <w:t>No hay ningún efecto</w:t>
            </w:r>
          </w:p>
        </w:tc>
      </w:tr>
      <w:tr w:rsidR="00EC693D" w14:paraId="02E9ACC5" w14:textId="77777777" w:rsidTr="00AE5E85">
        <w:tc>
          <w:tcPr>
            <w:tcW w:w="1120" w:type="dxa"/>
            <w:vMerge/>
            <w:tcBorders>
              <w:left w:val="nil"/>
              <w:right w:val="single" w:sz="2" w:space="0" w:color="5F2987"/>
            </w:tcBorders>
            <w:vAlign w:val="center"/>
          </w:tcPr>
          <w:p w14:paraId="525E1359" w14:textId="77777777" w:rsidR="00EC693D" w:rsidRDefault="00EC693D" w:rsidP="00287286">
            <w:pPr>
              <w:keepNext/>
              <w:spacing w:after="0"/>
              <w:jc w:val="right"/>
            </w:pPr>
          </w:p>
        </w:tc>
        <w:tc>
          <w:tcPr>
            <w:tcW w:w="2844" w:type="dxa"/>
            <w:tcBorders>
              <w:top w:val="single" w:sz="2" w:space="0" w:color="5F2987"/>
              <w:left w:val="single" w:sz="2" w:space="0" w:color="5F2987"/>
              <w:bottom w:val="single" w:sz="2" w:space="0" w:color="5F2987"/>
              <w:right w:val="single" w:sz="2" w:space="0" w:color="5F2987"/>
            </w:tcBorders>
            <w:vAlign w:val="center"/>
          </w:tcPr>
          <w:p w14:paraId="7E190C9A" w14:textId="4BACB669" w:rsidR="00EC693D" w:rsidRPr="000D1ACD" w:rsidRDefault="00EC693D" w:rsidP="00287286">
            <w:pPr>
              <w:keepNext/>
              <w:spacing w:after="0"/>
              <w:jc w:val="right"/>
              <w:rPr>
                <w:sz w:val="17"/>
                <w:szCs w:val="17"/>
              </w:rPr>
            </w:pPr>
            <w:r w:rsidRPr="000D1ACD">
              <w:rPr>
                <w:sz w:val="17"/>
                <w:szCs w:val="17"/>
              </w:rPr>
              <w:t>Coste + Arancel (antes de la unión)</w:t>
            </w:r>
          </w:p>
        </w:tc>
        <w:tc>
          <w:tcPr>
            <w:tcW w:w="1161" w:type="dxa"/>
            <w:tcBorders>
              <w:top w:val="single" w:sz="2" w:space="0" w:color="5F2987"/>
              <w:left w:val="single" w:sz="2" w:space="0" w:color="5F2987"/>
              <w:bottom w:val="single" w:sz="2" w:space="0" w:color="5F2987"/>
              <w:right w:val="dashed" w:sz="4" w:space="0" w:color="5F2987"/>
            </w:tcBorders>
            <w:vAlign w:val="center"/>
          </w:tcPr>
          <w:p w14:paraId="220576E5" w14:textId="56B8D589" w:rsidR="00EC693D" w:rsidRDefault="0088508A" w:rsidP="00287286">
            <w:pPr>
              <w:keepNext/>
              <w:spacing w:after="0"/>
              <w:jc w:val="center"/>
            </w:pPr>
            <w:r>
              <w:rPr>
                <w:sz w:val="19"/>
                <w:szCs w:val="19"/>
              </w:rPr>
              <w:t>24</w:t>
            </w:r>
          </w:p>
        </w:tc>
        <w:tc>
          <w:tcPr>
            <w:tcW w:w="567" w:type="dxa"/>
            <w:gridSpan w:val="2"/>
            <w:tcBorders>
              <w:top w:val="single" w:sz="2" w:space="0" w:color="5F2987"/>
              <w:left w:val="dashed" w:sz="4" w:space="0" w:color="5F2987"/>
              <w:bottom w:val="single" w:sz="2" w:space="0" w:color="5F2987"/>
              <w:right w:val="dashed" w:sz="4" w:space="0" w:color="5F2987"/>
            </w:tcBorders>
            <w:vAlign w:val="center"/>
          </w:tcPr>
          <w:p w14:paraId="46AEE7E9" w14:textId="77777777" w:rsidR="00EC693D" w:rsidRDefault="00EC693D" w:rsidP="00287286">
            <w:pPr>
              <w:keepNext/>
              <w:spacing w:after="0"/>
              <w:jc w:val="center"/>
            </w:pPr>
          </w:p>
        </w:tc>
        <w:tc>
          <w:tcPr>
            <w:tcW w:w="1161" w:type="dxa"/>
            <w:tcBorders>
              <w:top w:val="single" w:sz="2" w:space="0" w:color="5F2987"/>
              <w:left w:val="dashed" w:sz="4" w:space="0" w:color="5F2987"/>
              <w:bottom w:val="single" w:sz="2" w:space="0" w:color="5F2987"/>
              <w:right w:val="dashed" w:sz="4" w:space="0" w:color="5F2987"/>
            </w:tcBorders>
            <w:shd w:val="clear" w:color="auto" w:fill="E2EFD9" w:themeFill="accent6" w:themeFillTint="33"/>
            <w:vAlign w:val="center"/>
          </w:tcPr>
          <w:p w14:paraId="3F03C2BE" w14:textId="09F7B832" w:rsidR="00EC693D" w:rsidRDefault="00EC693D" w:rsidP="00287286">
            <w:pPr>
              <w:keepNext/>
              <w:spacing w:after="0"/>
              <w:jc w:val="center"/>
            </w:pPr>
            <w:r w:rsidRPr="00EC693D">
              <w:rPr>
                <w:sz w:val="19"/>
                <w:szCs w:val="19"/>
              </w:rPr>
              <w:t>10</w:t>
            </w:r>
          </w:p>
        </w:tc>
        <w:tc>
          <w:tcPr>
            <w:tcW w:w="567" w:type="dxa"/>
            <w:gridSpan w:val="2"/>
            <w:tcBorders>
              <w:top w:val="single" w:sz="2" w:space="0" w:color="5F2987"/>
              <w:left w:val="dashed" w:sz="4" w:space="0" w:color="5F2987"/>
              <w:bottom w:val="single" w:sz="2" w:space="0" w:color="5F2987"/>
              <w:right w:val="dashed" w:sz="4" w:space="0" w:color="5F2987"/>
            </w:tcBorders>
            <w:vAlign w:val="center"/>
          </w:tcPr>
          <w:p w14:paraId="0E52B87C" w14:textId="77777777" w:rsidR="00EC693D" w:rsidRDefault="00EC693D" w:rsidP="00287286">
            <w:pPr>
              <w:keepNext/>
              <w:spacing w:after="0"/>
              <w:jc w:val="center"/>
            </w:pPr>
          </w:p>
        </w:tc>
        <w:tc>
          <w:tcPr>
            <w:tcW w:w="1161" w:type="dxa"/>
            <w:tcBorders>
              <w:top w:val="single" w:sz="2" w:space="0" w:color="5F2987"/>
              <w:left w:val="dashed" w:sz="4" w:space="0" w:color="5F2987"/>
              <w:bottom w:val="single" w:sz="2" w:space="0" w:color="5F2987"/>
              <w:right w:val="single" w:sz="2" w:space="0" w:color="5F2987"/>
            </w:tcBorders>
            <w:vAlign w:val="center"/>
          </w:tcPr>
          <w:p w14:paraId="167C2F23" w14:textId="403EB355" w:rsidR="00EC693D" w:rsidRDefault="00EC1BF3" w:rsidP="00287286">
            <w:pPr>
              <w:keepNext/>
              <w:spacing w:after="0"/>
              <w:jc w:val="center"/>
            </w:pPr>
            <w:r>
              <w:rPr>
                <w:sz w:val="19"/>
                <w:szCs w:val="19"/>
              </w:rPr>
              <w:t>18</w:t>
            </w:r>
          </w:p>
        </w:tc>
        <w:tc>
          <w:tcPr>
            <w:tcW w:w="1161" w:type="dxa"/>
            <w:vMerge/>
            <w:tcBorders>
              <w:left w:val="single" w:sz="2" w:space="0" w:color="5F2987"/>
              <w:right w:val="nil"/>
            </w:tcBorders>
          </w:tcPr>
          <w:p w14:paraId="35290D22" w14:textId="77777777" w:rsidR="00EC693D" w:rsidRDefault="00EC693D" w:rsidP="000D1ACD">
            <w:pPr>
              <w:spacing w:after="0"/>
            </w:pPr>
          </w:p>
        </w:tc>
      </w:tr>
      <w:tr w:rsidR="00EC693D" w14:paraId="0BA13902" w14:textId="77777777" w:rsidTr="00AE5E85">
        <w:tc>
          <w:tcPr>
            <w:tcW w:w="1120" w:type="dxa"/>
            <w:vMerge/>
            <w:tcBorders>
              <w:left w:val="nil"/>
              <w:bottom w:val="single" w:sz="12" w:space="0" w:color="5F2987"/>
              <w:right w:val="single" w:sz="2" w:space="0" w:color="5F2987"/>
            </w:tcBorders>
            <w:vAlign w:val="center"/>
          </w:tcPr>
          <w:p w14:paraId="5995A5C1" w14:textId="77777777" w:rsidR="00EC693D" w:rsidRDefault="00EC693D" w:rsidP="00287286">
            <w:pPr>
              <w:keepNext/>
              <w:spacing w:after="0"/>
              <w:jc w:val="right"/>
            </w:pPr>
          </w:p>
        </w:tc>
        <w:tc>
          <w:tcPr>
            <w:tcW w:w="2844" w:type="dxa"/>
            <w:tcBorders>
              <w:top w:val="single" w:sz="2" w:space="0" w:color="5F2987"/>
              <w:left w:val="single" w:sz="2" w:space="0" w:color="5F2987"/>
              <w:bottom w:val="single" w:sz="12" w:space="0" w:color="5F2987"/>
              <w:right w:val="single" w:sz="2" w:space="0" w:color="5F2987"/>
            </w:tcBorders>
            <w:vAlign w:val="center"/>
          </w:tcPr>
          <w:p w14:paraId="5D04D30D" w14:textId="550FD812" w:rsidR="00EC693D" w:rsidRPr="000D1ACD" w:rsidRDefault="00EC693D" w:rsidP="00287286">
            <w:pPr>
              <w:keepNext/>
              <w:spacing w:after="0"/>
              <w:jc w:val="right"/>
              <w:rPr>
                <w:sz w:val="17"/>
                <w:szCs w:val="17"/>
              </w:rPr>
            </w:pPr>
            <w:r w:rsidRPr="000D1ACD">
              <w:rPr>
                <w:sz w:val="17"/>
                <w:szCs w:val="17"/>
              </w:rPr>
              <w:t>Coste + Arancel (tras la unión)</w:t>
            </w:r>
          </w:p>
        </w:tc>
        <w:tc>
          <w:tcPr>
            <w:tcW w:w="1161" w:type="dxa"/>
            <w:tcBorders>
              <w:top w:val="single" w:sz="2" w:space="0" w:color="5F2987"/>
              <w:left w:val="single" w:sz="2" w:space="0" w:color="5F2987"/>
              <w:bottom w:val="single" w:sz="12" w:space="0" w:color="5F2987"/>
              <w:right w:val="dashed" w:sz="4" w:space="0" w:color="5F2987"/>
            </w:tcBorders>
            <w:vAlign w:val="center"/>
          </w:tcPr>
          <w:p w14:paraId="1D2186D2" w14:textId="5BF1DEE9" w:rsidR="00EC693D" w:rsidRDefault="0088508A" w:rsidP="00287286">
            <w:pPr>
              <w:keepNext/>
              <w:spacing w:after="0"/>
              <w:jc w:val="center"/>
            </w:pPr>
            <w:r>
              <w:rPr>
                <w:sz w:val="19"/>
                <w:szCs w:val="19"/>
              </w:rPr>
              <w:t>16</w:t>
            </w:r>
          </w:p>
        </w:tc>
        <w:tc>
          <w:tcPr>
            <w:tcW w:w="567" w:type="dxa"/>
            <w:gridSpan w:val="2"/>
            <w:tcBorders>
              <w:top w:val="single" w:sz="2" w:space="0" w:color="5F2987"/>
              <w:left w:val="dashed" w:sz="4" w:space="0" w:color="5F2987"/>
              <w:bottom w:val="single" w:sz="12" w:space="0" w:color="5F2987"/>
              <w:right w:val="dashed" w:sz="4" w:space="0" w:color="5F2987"/>
            </w:tcBorders>
            <w:vAlign w:val="center"/>
          </w:tcPr>
          <w:p w14:paraId="2A3DEBC0" w14:textId="77777777" w:rsidR="00EC693D" w:rsidRDefault="00EC693D" w:rsidP="00287286">
            <w:pPr>
              <w:keepNext/>
              <w:spacing w:after="0"/>
              <w:jc w:val="center"/>
            </w:pPr>
          </w:p>
        </w:tc>
        <w:tc>
          <w:tcPr>
            <w:tcW w:w="1161" w:type="dxa"/>
            <w:tcBorders>
              <w:top w:val="single" w:sz="2" w:space="0" w:color="5F2987"/>
              <w:left w:val="dashed" w:sz="4" w:space="0" w:color="5F2987"/>
              <w:bottom w:val="single" w:sz="12" w:space="0" w:color="5F2987"/>
              <w:right w:val="dashed" w:sz="4" w:space="0" w:color="5F2987"/>
            </w:tcBorders>
            <w:shd w:val="clear" w:color="auto" w:fill="E2EFD9" w:themeFill="accent6" w:themeFillTint="33"/>
            <w:vAlign w:val="center"/>
          </w:tcPr>
          <w:p w14:paraId="2489E6D7" w14:textId="397E3C0C" w:rsidR="00EC693D" w:rsidRDefault="00EC693D" w:rsidP="00287286">
            <w:pPr>
              <w:keepNext/>
              <w:spacing w:after="0"/>
              <w:jc w:val="center"/>
            </w:pPr>
            <w:r w:rsidRPr="00EC693D">
              <w:rPr>
                <w:sz w:val="19"/>
                <w:szCs w:val="19"/>
              </w:rPr>
              <w:t>10</w:t>
            </w:r>
          </w:p>
        </w:tc>
        <w:tc>
          <w:tcPr>
            <w:tcW w:w="567" w:type="dxa"/>
            <w:gridSpan w:val="2"/>
            <w:tcBorders>
              <w:top w:val="single" w:sz="2" w:space="0" w:color="5F2987"/>
              <w:left w:val="dashed" w:sz="4" w:space="0" w:color="5F2987"/>
              <w:bottom w:val="single" w:sz="12" w:space="0" w:color="5F2987"/>
              <w:right w:val="dashed" w:sz="4" w:space="0" w:color="5F2987"/>
            </w:tcBorders>
            <w:vAlign w:val="center"/>
          </w:tcPr>
          <w:p w14:paraId="59698186" w14:textId="77777777" w:rsidR="00EC693D" w:rsidRDefault="00EC693D" w:rsidP="00287286">
            <w:pPr>
              <w:keepNext/>
              <w:spacing w:after="0"/>
              <w:jc w:val="center"/>
            </w:pPr>
          </w:p>
        </w:tc>
        <w:tc>
          <w:tcPr>
            <w:tcW w:w="1161" w:type="dxa"/>
            <w:tcBorders>
              <w:top w:val="single" w:sz="2" w:space="0" w:color="5F2987"/>
              <w:left w:val="dashed" w:sz="4" w:space="0" w:color="5F2987"/>
              <w:bottom w:val="single" w:sz="12" w:space="0" w:color="5F2987"/>
              <w:right w:val="single" w:sz="2" w:space="0" w:color="5F2987"/>
            </w:tcBorders>
            <w:vAlign w:val="center"/>
          </w:tcPr>
          <w:p w14:paraId="3F9ACD18" w14:textId="726ED8A5" w:rsidR="00EC693D" w:rsidRDefault="00EC1BF3" w:rsidP="00287286">
            <w:pPr>
              <w:keepNext/>
              <w:spacing w:after="0"/>
              <w:jc w:val="center"/>
            </w:pPr>
            <w:r>
              <w:rPr>
                <w:sz w:val="19"/>
                <w:szCs w:val="19"/>
              </w:rPr>
              <w:t>18</w:t>
            </w:r>
          </w:p>
        </w:tc>
        <w:tc>
          <w:tcPr>
            <w:tcW w:w="1161" w:type="dxa"/>
            <w:vMerge/>
            <w:tcBorders>
              <w:left w:val="single" w:sz="2" w:space="0" w:color="5F2987"/>
              <w:bottom w:val="single" w:sz="12" w:space="0" w:color="5F2987"/>
              <w:right w:val="nil"/>
            </w:tcBorders>
          </w:tcPr>
          <w:p w14:paraId="30BADC46" w14:textId="77777777" w:rsidR="00EC693D" w:rsidRDefault="00EC693D" w:rsidP="000D1ACD">
            <w:pPr>
              <w:spacing w:after="0"/>
            </w:pPr>
          </w:p>
        </w:tc>
      </w:tr>
      <w:tr w:rsidR="00EC693D" w14:paraId="3071B741" w14:textId="77777777" w:rsidTr="00AE5E85">
        <w:tc>
          <w:tcPr>
            <w:tcW w:w="1120" w:type="dxa"/>
            <w:vMerge w:val="restart"/>
            <w:tcBorders>
              <w:top w:val="single" w:sz="12" w:space="0" w:color="5F2987"/>
              <w:left w:val="nil"/>
              <w:right w:val="single" w:sz="2" w:space="0" w:color="5F2987"/>
            </w:tcBorders>
            <w:vAlign w:val="center"/>
          </w:tcPr>
          <w:p w14:paraId="4314B175" w14:textId="3F2E9DC0" w:rsidR="00EC693D" w:rsidRDefault="00EC693D" w:rsidP="00287286">
            <w:pPr>
              <w:keepNext/>
              <w:spacing w:after="0"/>
              <w:jc w:val="right"/>
            </w:pPr>
            <w:r>
              <w:t>2</w:t>
            </w:r>
          </w:p>
        </w:tc>
        <w:tc>
          <w:tcPr>
            <w:tcW w:w="2844" w:type="dxa"/>
            <w:tcBorders>
              <w:top w:val="single" w:sz="12" w:space="0" w:color="5F2987"/>
              <w:left w:val="single" w:sz="2" w:space="0" w:color="5F2987"/>
              <w:bottom w:val="single" w:sz="2" w:space="0" w:color="5F2987"/>
              <w:right w:val="single" w:sz="2" w:space="0" w:color="5F2987"/>
            </w:tcBorders>
            <w:vAlign w:val="center"/>
          </w:tcPr>
          <w:p w14:paraId="0BE8A408" w14:textId="29416827" w:rsidR="00EC693D" w:rsidRPr="000D1ACD" w:rsidRDefault="00EC693D" w:rsidP="00287286">
            <w:pPr>
              <w:keepNext/>
              <w:spacing w:after="0"/>
              <w:jc w:val="right"/>
              <w:rPr>
                <w:sz w:val="17"/>
                <w:szCs w:val="17"/>
              </w:rPr>
            </w:pPr>
            <w:r w:rsidRPr="000D1ACD">
              <w:rPr>
                <w:sz w:val="17"/>
                <w:szCs w:val="17"/>
              </w:rPr>
              <w:t>Coste</w:t>
            </w:r>
          </w:p>
        </w:tc>
        <w:tc>
          <w:tcPr>
            <w:tcW w:w="1161" w:type="dxa"/>
            <w:tcBorders>
              <w:top w:val="single" w:sz="12" w:space="0" w:color="5F2987"/>
              <w:left w:val="single" w:sz="2" w:space="0" w:color="5F2987"/>
              <w:bottom w:val="single" w:sz="2" w:space="0" w:color="5F2987"/>
              <w:right w:val="dashed" w:sz="4" w:space="0" w:color="5F2987"/>
            </w:tcBorders>
            <w:vAlign w:val="center"/>
          </w:tcPr>
          <w:p w14:paraId="76E9882A" w14:textId="2A172999" w:rsidR="00EC693D" w:rsidRDefault="00EC1BF3" w:rsidP="00287286">
            <w:pPr>
              <w:keepNext/>
              <w:spacing w:after="0"/>
              <w:jc w:val="center"/>
            </w:pPr>
            <w:r>
              <w:rPr>
                <w:sz w:val="19"/>
                <w:szCs w:val="19"/>
              </w:rPr>
              <w:t>8</w:t>
            </w:r>
          </w:p>
        </w:tc>
        <w:tc>
          <w:tcPr>
            <w:tcW w:w="567" w:type="dxa"/>
            <w:gridSpan w:val="2"/>
            <w:tcBorders>
              <w:top w:val="single" w:sz="12" w:space="0" w:color="5F2987"/>
              <w:left w:val="dashed" w:sz="4" w:space="0" w:color="5F2987"/>
              <w:bottom w:val="single" w:sz="2" w:space="0" w:color="5F2987"/>
              <w:right w:val="dashed" w:sz="4" w:space="0" w:color="5F2987"/>
            </w:tcBorders>
            <w:vAlign w:val="center"/>
          </w:tcPr>
          <w:p w14:paraId="7819BB79" w14:textId="6B0DF792" w:rsidR="00EC693D" w:rsidRDefault="007620CE" w:rsidP="00287286">
            <w:pPr>
              <w:keepNext/>
              <w:spacing w:after="0"/>
              <w:jc w:val="center"/>
            </w:pPr>
            <m:oMathPara>
              <m:oMath>
                <m:r>
                  <w:rPr>
                    <w:rFonts w:ascii="Cambria Math" w:eastAsiaTheme="minorEastAsia" w:hAnsi="Cambria Math"/>
                    <w:sz w:val="20"/>
                    <w:szCs w:val="20"/>
                  </w:rPr>
                  <m:t>&lt;</m:t>
                </m:r>
              </m:oMath>
            </m:oMathPara>
          </w:p>
        </w:tc>
        <w:tc>
          <w:tcPr>
            <w:tcW w:w="1161" w:type="dxa"/>
            <w:tcBorders>
              <w:top w:val="single" w:sz="12" w:space="0" w:color="5F2987"/>
              <w:left w:val="dashed" w:sz="4" w:space="0" w:color="5F2987"/>
              <w:bottom w:val="single" w:sz="2" w:space="0" w:color="5F2987"/>
              <w:right w:val="dashed" w:sz="4" w:space="0" w:color="5F2987"/>
            </w:tcBorders>
            <w:vAlign w:val="center"/>
          </w:tcPr>
          <w:p w14:paraId="0E3A19DB" w14:textId="43A0B8AB" w:rsidR="00EC693D" w:rsidRDefault="00EC693D" w:rsidP="00287286">
            <w:pPr>
              <w:keepNext/>
              <w:spacing w:after="0"/>
              <w:jc w:val="center"/>
            </w:pPr>
            <w:r w:rsidRPr="00EC693D">
              <w:rPr>
                <w:sz w:val="19"/>
                <w:szCs w:val="19"/>
              </w:rPr>
              <w:t>10</w:t>
            </w:r>
          </w:p>
        </w:tc>
        <w:tc>
          <w:tcPr>
            <w:tcW w:w="567" w:type="dxa"/>
            <w:gridSpan w:val="2"/>
            <w:tcBorders>
              <w:top w:val="single" w:sz="12" w:space="0" w:color="5F2987"/>
              <w:left w:val="dashed" w:sz="4" w:space="0" w:color="5F2987"/>
              <w:bottom w:val="single" w:sz="2" w:space="0" w:color="5F2987"/>
              <w:right w:val="dashed" w:sz="4" w:space="0" w:color="5F2987"/>
            </w:tcBorders>
            <w:vAlign w:val="center"/>
          </w:tcPr>
          <w:p w14:paraId="65FE94A3" w14:textId="163A90CA" w:rsidR="00EC693D" w:rsidRDefault="007620CE" w:rsidP="00287286">
            <w:pPr>
              <w:keepNext/>
              <w:spacing w:after="0"/>
              <w:jc w:val="center"/>
            </w:pPr>
            <m:oMathPara>
              <m:oMath>
                <m:r>
                  <w:rPr>
                    <w:rFonts w:ascii="Cambria Math" w:eastAsiaTheme="minorEastAsia" w:hAnsi="Cambria Math"/>
                    <w:sz w:val="20"/>
                    <w:szCs w:val="20"/>
                  </w:rPr>
                  <m:t>&lt;</m:t>
                </m:r>
              </m:oMath>
            </m:oMathPara>
          </w:p>
        </w:tc>
        <w:tc>
          <w:tcPr>
            <w:tcW w:w="1161" w:type="dxa"/>
            <w:tcBorders>
              <w:top w:val="single" w:sz="12" w:space="0" w:color="5F2987"/>
              <w:left w:val="dashed" w:sz="4" w:space="0" w:color="5F2987"/>
              <w:bottom w:val="single" w:sz="2" w:space="0" w:color="5F2987"/>
              <w:right w:val="single" w:sz="2" w:space="0" w:color="5F2987"/>
            </w:tcBorders>
            <w:vAlign w:val="center"/>
          </w:tcPr>
          <w:p w14:paraId="72992640" w14:textId="5C765101" w:rsidR="00EC693D" w:rsidRDefault="00EC693D" w:rsidP="00287286">
            <w:pPr>
              <w:keepNext/>
              <w:spacing w:after="0"/>
              <w:jc w:val="center"/>
            </w:pPr>
            <w:r w:rsidRPr="00EC693D">
              <w:rPr>
                <w:sz w:val="19"/>
                <w:szCs w:val="19"/>
              </w:rPr>
              <w:t>1</w:t>
            </w:r>
            <w:r>
              <w:rPr>
                <w:sz w:val="19"/>
                <w:szCs w:val="19"/>
              </w:rPr>
              <w:t>2</w:t>
            </w:r>
          </w:p>
        </w:tc>
        <w:tc>
          <w:tcPr>
            <w:tcW w:w="1161" w:type="dxa"/>
            <w:vMerge w:val="restart"/>
            <w:tcBorders>
              <w:top w:val="single" w:sz="12" w:space="0" w:color="5F2987"/>
              <w:left w:val="single" w:sz="2" w:space="0" w:color="5F2987"/>
              <w:right w:val="nil"/>
            </w:tcBorders>
            <w:vAlign w:val="center"/>
          </w:tcPr>
          <w:p w14:paraId="785D5ACF" w14:textId="1702623D" w:rsidR="00EC693D" w:rsidRDefault="00EC693D" w:rsidP="00EC693D">
            <w:pPr>
              <w:spacing w:after="0"/>
              <w:jc w:val="center"/>
            </w:pPr>
            <w:r>
              <w:rPr>
                <w:sz w:val="16"/>
                <w:szCs w:val="16"/>
              </w:rPr>
              <w:t>E</w:t>
            </w:r>
            <w:r w:rsidRPr="00EC693D">
              <w:rPr>
                <w:sz w:val="16"/>
                <w:szCs w:val="16"/>
              </w:rPr>
              <w:t>fecto</w:t>
            </w:r>
            <w:r>
              <w:rPr>
                <w:sz w:val="16"/>
                <w:szCs w:val="16"/>
              </w:rPr>
              <w:t xml:space="preserve"> creación de comercio</w:t>
            </w:r>
          </w:p>
        </w:tc>
      </w:tr>
      <w:tr w:rsidR="00EC693D" w14:paraId="08DF36B1" w14:textId="77777777" w:rsidTr="00AE5E85">
        <w:tc>
          <w:tcPr>
            <w:tcW w:w="1120" w:type="dxa"/>
            <w:vMerge/>
            <w:tcBorders>
              <w:left w:val="nil"/>
              <w:right w:val="single" w:sz="2" w:space="0" w:color="5F2987"/>
            </w:tcBorders>
            <w:vAlign w:val="center"/>
          </w:tcPr>
          <w:p w14:paraId="158FFC6D" w14:textId="77777777" w:rsidR="00EC693D" w:rsidRDefault="00EC693D" w:rsidP="00287286">
            <w:pPr>
              <w:keepNext/>
              <w:spacing w:after="0"/>
              <w:jc w:val="right"/>
            </w:pPr>
          </w:p>
        </w:tc>
        <w:tc>
          <w:tcPr>
            <w:tcW w:w="2844" w:type="dxa"/>
            <w:tcBorders>
              <w:top w:val="single" w:sz="2" w:space="0" w:color="5F2987"/>
              <w:left w:val="single" w:sz="2" w:space="0" w:color="5F2987"/>
              <w:bottom w:val="single" w:sz="2" w:space="0" w:color="5F2987"/>
              <w:right w:val="single" w:sz="2" w:space="0" w:color="5F2987"/>
            </w:tcBorders>
            <w:vAlign w:val="center"/>
          </w:tcPr>
          <w:p w14:paraId="4FD3A3D5" w14:textId="4D456F71" w:rsidR="00EC693D" w:rsidRPr="000D1ACD" w:rsidRDefault="00EC693D" w:rsidP="00287286">
            <w:pPr>
              <w:keepNext/>
              <w:spacing w:after="0"/>
              <w:jc w:val="right"/>
              <w:rPr>
                <w:sz w:val="17"/>
                <w:szCs w:val="17"/>
              </w:rPr>
            </w:pPr>
            <w:r w:rsidRPr="000D1ACD">
              <w:rPr>
                <w:sz w:val="17"/>
                <w:szCs w:val="17"/>
              </w:rPr>
              <w:t>Coste + Arancel (antes de la unión)</w:t>
            </w:r>
          </w:p>
        </w:tc>
        <w:tc>
          <w:tcPr>
            <w:tcW w:w="1161" w:type="dxa"/>
            <w:tcBorders>
              <w:top w:val="single" w:sz="2" w:space="0" w:color="5F2987"/>
              <w:left w:val="single" w:sz="2" w:space="0" w:color="5F2987"/>
              <w:bottom w:val="single" w:sz="2" w:space="0" w:color="5F2987"/>
              <w:right w:val="dashed" w:sz="4" w:space="0" w:color="5F2987"/>
            </w:tcBorders>
            <w:vAlign w:val="center"/>
          </w:tcPr>
          <w:p w14:paraId="0541121A" w14:textId="771662D0" w:rsidR="00EC693D" w:rsidRDefault="00EC693D" w:rsidP="00287286">
            <w:pPr>
              <w:keepNext/>
              <w:spacing w:after="0"/>
              <w:jc w:val="center"/>
            </w:pPr>
            <w:r w:rsidRPr="00EC693D">
              <w:rPr>
                <w:sz w:val="19"/>
                <w:szCs w:val="19"/>
              </w:rPr>
              <w:t>1</w:t>
            </w:r>
            <w:r>
              <w:rPr>
                <w:sz w:val="19"/>
                <w:szCs w:val="19"/>
              </w:rPr>
              <w:t>2</w:t>
            </w:r>
          </w:p>
        </w:tc>
        <w:tc>
          <w:tcPr>
            <w:tcW w:w="567" w:type="dxa"/>
            <w:gridSpan w:val="2"/>
            <w:tcBorders>
              <w:top w:val="single" w:sz="2" w:space="0" w:color="5F2987"/>
              <w:left w:val="dashed" w:sz="4" w:space="0" w:color="5F2987"/>
              <w:bottom w:val="single" w:sz="2" w:space="0" w:color="5F2987"/>
              <w:right w:val="dashed" w:sz="4" w:space="0" w:color="5F2987"/>
            </w:tcBorders>
            <w:vAlign w:val="center"/>
          </w:tcPr>
          <w:p w14:paraId="2C601C41" w14:textId="77777777" w:rsidR="00EC693D" w:rsidRDefault="00EC693D" w:rsidP="00287286">
            <w:pPr>
              <w:keepNext/>
              <w:spacing w:after="0"/>
              <w:jc w:val="center"/>
            </w:pPr>
          </w:p>
        </w:tc>
        <w:tc>
          <w:tcPr>
            <w:tcW w:w="1161" w:type="dxa"/>
            <w:tcBorders>
              <w:top w:val="single" w:sz="2" w:space="0" w:color="5F2987"/>
              <w:left w:val="dashed" w:sz="4" w:space="0" w:color="5F2987"/>
              <w:bottom w:val="single" w:sz="2" w:space="0" w:color="5F2987"/>
              <w:right w:val="dashed" w:sz="4" w:space="0" w:color="5F2987"/>
            </w:tcBorders>
            <w:shd w:val="clear" w:color="auto" w:fill="E2EFD9" w:themeFill="accent6" w:themeFillTint="33"/>
            <w:vAlign w:val="center"/>
          </w:tcPr>
          <w:p w14:paraId="7E28B4EA" w14:textId="02E3ADBC" w:rsidR="00EC693D" w:rsidRDefault="00EC693D" w:rsidP="00287286">
            <w:pPr>
              <w:keepNext/>
              <w:spacing w:after="0"/>
              <w:jc w:val="center"/>
            </w:pPr>
            <w:r w:rsidRPr="00EC693D">
              <w:rPr>
                <w:sz w:val="19"/>
                <w:szCs w:val="19"/>
              </w:rPr>
              <w:t>10</w:t>
            </w:r>
          </w:p>
        </w:tc>
        <w:tc>
          <w:tcPr>
            <w:tcW w:w="567" w:type="dxa"/>
            <w:gridSpan w:val="2"/>
            <w:tcBorders>
              <w:top w:val="single" w:sz="2" w:space="0" w:color="5F2987"/>
              <w:left w:val="dashed" w:sz="4" w:space="0" w:color="5F2987"/>
              <w:bottom w:val="single" w:sz="2" w:space="0" w:color="5F2987"/>
              <w:right w:val="dashed" w:sz="4" w:space="0" w:color="5F2987"/>
            </w:tcBorders>
            <w:vAlign w:val="center"/>
          </w:tcPr>
          <w:p w14:paraId="7AB163E6" w14:textId="77777777" w:rsidR="00EC693D" w:rsidRDefault="00EC693D" w:rsidP="00287286">
            <w:pPr>
              <w:keepNext/>
              <w:spacing w:after="0"/>
              <w:jc w:val="center"/>
            </w:pPr>
          </w:p>
        </w:tc>
        <w:tc>
          <w:tcPr>
            <w:tcW w:w="1161" w:type="dxa"/>
            <w:tcBorders>
              <w:top w:val="single" w:sz="2" w:space="0" w:color="5F2987"/>
              <w:left w:val="dashed" w:sz="4" w:space="0" w:color="5F2987"/>
              <w:bottom w:val="single" w:sz="2" w:space="0" w:color="5F2987"/>
              <w:right w:val="single" w:sz="2" w:space="0" w:color="5F2987"/>
            </w:tcBorders>
            <w:vAlign w:val="center"/>
          </w:tcPr>
          <w:p w14:paraId="0252682B" w14:textId="5147AB86" w:rsidR="00EC693D" w:rsidRDefault="0088508A" w:rsidP="00287286">
            <w:pPr>
              <w:keepNext/>
              <w:spacing w:after="0"/>
              <w:jc w:val="center"/>
            </w:pPr>
            <w:r>
              <w:rPr>
                <w:sz w:val="19"/>
                <w:szCs w:val="19"/>
              </w:rPr>
              <w:t>18</w:t>
            </w:r>
          </w:p>
        </w:tc>
        <w:tc>
          <w:tcPr>
            <w:tcW w:w="1161" w:type="dxa"/>
            <w:vMerge/>
            <w:tcBorders>
              <w:left w:val="single" w:sz="2" w:space="0" w:color="5F2987"/>
              <w:right w:val="nil"/>
            </w:tcBorders>
          </w:tcPr>
          <w:p w14:paraId="2E72E59B" w14:textId="77777777" w:rsidR="00EC693D" w:rsidRDefault="00EC693D" w:rsidP="000D1ACD">
            <w:pPr>
              <w:spacing w:after="0"/>
            </w:pPr>
          </w:p>
        </w:tc>
      </w:tr>
      <w:tr w:rsidR="00EC693D" w14:paraId="07EF3D66" w14:textId="77777777" w:rsidTr="00AE5E85">
        <w:tc>
          <w:tcPr>
            <w:tcW w:w="1120" w:type="dxa"/>
            <w:vMerge/>
            <w:tcBorders>
              <w:left w:val="nil"/>
              <w:bottom w:val="single" w:sz="12" w:space="0" w:color="5F2987"/>
              <w:right w:val="single" w:sz="2" w:space="0" w:color="5F2987"/>
            </w:tcBorders>
            <w:vAlign w:val="center"/>
          </w:tcPr>
          <w:p w14:paraId="7641E470" w14:textId="77777777" w:rsidR="00EC693D" w:rsidRDefault="00EC693D" w:rsidP="00287286">
            <w:pPr>
              <w:keepNext/>
              <w:spacing w:after="0"/>
              <w:jc w:val="right"/>
            </w:pPr>
          </w:p>
        </w:tc>
        <w:tc>
          <w:tcPr>
            <w:tcW w:w="2844" w:type="dxa"/>
            <w:tcBorders>
              <w:top w:val="single" w:sz="2" w:space="0" w:color="5F2987"/>
              <w:left w:val="single" w:sz="2" w:space="0" w:color="5F2987"/>
              <w:bottom w:val="single" w:sz="12" w:space="0" w:color="5F2987"/>
              <w:right w:val="single" w:sz="2" w:space="0" w:color="5F2987"/>
            </w:tcBorders>
            <w:vAlign w:val="center"/>
          </w:tcPr>
          <w:p w14:paraId="58E5891C" w14:textId="7BD122A1" w:rsidR="00EC693D" w:rsidRPr="000D1ACD" w:rsidRDefault="00EC693D" w:rsidP="00287286">
            <w:pPr>
              <w:keepNext/>
              <w:spacing w:after="0"/>
              <w:jc w:val="right"/>
              <w:rPr>
                <w:sz w:val="17"/>
                <w:szCs w:val="17"/>
              </w:rPr>
            </w:pPr>
            <w:r w:rsidRPr="000D1ACD">
              <w:rPr>
                <w:sz w:val="17"/>
                <w:szCs w:val="17"/>
              </w:rPr>
              <w:t>Coste + Arancel (tras la unión)</w:t>
            </w:r>
          </w:p>
        </w:tc>
        <w:tc>
          <w:tcPr>
            <w:tcW w:w="1161" w:type="dxa"/>
            <w:tcBorders>
              <w:top w:val="single" w:sz="2" w:space="0" w:color="5F2987"/>
              <w:left w:val="single" w:sz="2" w:space="0" w:color="5F2987"/>
              <w:bottom w:val="single" w:sz="12" w:space="0" w:color="5F2987"/>
              <w:right w:val="dashed" w:sz="4" w:space="0" w:color="5F2987"/>
            </w:tcBorders>
            <w:shd w:val="clear" w:color="auto" w:fill="E2EFD9" w:themeFill="accent6" w:themeFillTint="33"/>
            <w:vAlign w:val="center"/>
          </w:tcPr>
          <w:p w14:paraId="78C9CAB7" w14:textId="00433DA1" w:rsidR="00EC693D" w:rsidRDefault="00EC1BF3" w:rsidP="00287286">
            <w:pPr>
              <w:keepNext/>
              <w:spacing w:after="0"/>
              <w:jc w:val="center"/>
            </w:pPr>
            <w:r>
              <w:rPr>
                <w:sz w:val="19"/>
                <w:szCs w:val="19"/>
              </w:rPr>
              <w:t>8</w:t>
            </w:r>
          </w:p>
        </w:tc>
        <w:tc>
          <w:tcPr>
            <w:tcW w:w="567" w:type="dxa"/>
            <w:gridSpan w:val="2"/>
            <w:tcBorders>
              <w:top w:val="single" w:sz="2" w:space="0" w:color="5F2987"/>
              <w:left w:val="dashed" w:sz="4" w:space="0" w:color="5F2987"/>
              <w:bottom w:val="single" w:sz="12" w:space="0" w:color="5F2987"/>
              <w:right w:val="dashed" w:sz="4" w:space="0" w:color="5F2987"/>
            </w:tcBorders>
            <w:vAlign w:val="center"/>
          </w:tcPr>
          <w:p w14:paraId="7072BC9F" w14:textId="3AB75102" w:rsidR="00EC693D" w:rsidRDefault="00EC693D" w:rsidP="00287286">
            <w:pPr>
              <w:keepNext/>
              <w:spacing w:after="0"/>
              <w:jc w:val="center"/>
            </w:pPr>
            <w:r>
              <w:rPr>
                <w:noProof/>
              </w:rPr>
              <mc:AlternateContent>
                <mc:Choice Requires="wps">
                  <w:drawing>
                    <wp:inline distT="0" distB="0" distL="0" distR="0" wp14:anchorId="25AB84CF" wp14:editId="4012ACD3">
                      <wp:extent cx="180000" cy="0"/>
                      <wp:effectExtent l="0" t="76200" r="10795" b="95250"/>
                      <wp:docPr id="5" name="Conector recto de flecha 5"/>
                      <wp:cNvGraphicFramePr/>
                      <a:graphic xmlns:a="http://schemas.openxmlformats.org/drawingml/2006/main">
                        <a:graphicData uri="http://schemas.microsoft.com/office/word/2010/wordprocessingShape">
                          <wps:wsp>
                            <wps:cNvCnPr/>
                            <wps:spPr>
                              <a:xfrm>
                                <a:off x="0" y="0"/>
                                <a:ext cx="18000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type w14:anchorId="70E43EE3" id="_x0000_t32" coordsize="21600,21600" o:spt="32" o:oned="t" path="m,l21600,21600e" filled="f">
                      <v:path arrowok="t" fillok="f" o:connecttype="none"/>
                      <o:lock v:ext="edit" shapetype="t"/>
                    </v:shapetype>
                    <v:shape id="Conector recto de flecha 5" o:spid="_x0000_s1026" type="#_x0000_t32" style="width:14.1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" strokecolor="#5f2987 [3204]" strokeweight=".5pt">
                      <v:stroke endarrow="classic" joinstyle="miter"/>
                      <w10:anchorlock/>
                    </v:shape>
                  </w:pict>
                </mc:Fallback>
              </mc:AlternateContent>
            </w:r>
          </w:p>
        </w:tc>
        <w:tc>
          <w:tcPr>
            <w:tcW w:w="1161" w:type="dxa"/>
            <w:tcBorders>
              <w:top w:val="single" w:sz="2" w:space="0" w:color="5F2987"/>
              <w:left w:val="dashed" w:sz="4" w:space="0" w:color="5F2987"/>
              <w:bottom w:val="single" w:sz="12" w:space="0" w:color="5F2987"/>
              <w:right w:val="dashed" w:sz="4" w:space="0" w:color="5F2987"/>
            </w:tcBorders>
            <w:vAlign w:val="center"/>
          </w:tcPr>
          <w:p w14:paraId="7CBB208F" w14:textId="6EE5CBDF" w:rsidR="00EC693D" w:rsidRDefault="00EC693D" w:rsidP="00287286">
            <w:pPr>
              <w:keepNext/>
              <w:spacing w:after="0"/>
              <w:jc w:val="center"/>
            </w:pPr>
            <w:r w:rsidRPr="00EC693D">
              <w:rPr>
                <w:sz w:val="19"/>
                <w:szCs w:val="19"/>
              </w:rPr>
              <w:t>10</w:t>
            </w:r>
          </w:p>
        </w:tc>
        <w:tc>
          <w:tcPr>
            <w:tcW w:w="567" w:type="dxa"/>
            <w:gridSpan w:val="2"/>
            <w:tcBorders>
              <w:top w:val="single" w:sz="2" w:space="0" w:color="5F2987"/>
              <w:left w:val="dashed" w:sz="4" w:space="0" w:color="5F2987"/>
              <w:bottom w:val="single" w:sz="12" w:space="0" w:color="5F2987"/>
              <w:right w:val="dashed" w:sz="4" w:space="0" w:color="5F2987"/>
            </w:tcBorders>
            <w:vAlign w:val="center"/>
          </w:tcPr>
          <w:p w14:paraId="31DD1772" w14:textId="77777777" w:rsidR="00EC693D" w:rsidRDefault="00EC693D" w:rsidP="00287286">
            <w:pPr>
              <w:keepNext/>
              <w:spacing w:after="0"/>
              <w:jc w:val="center"/>
            </w:pPr>
          </w:p>
        </w:tc>
        <w:tc>
          <w:tcPr>
            <w:tcW w:w="1161" w:type="dxa"/>
            <w:tcBorders>
              <w:top w:val="single" w:sz="2" w:space="0" w:color="5F2987"/>
              <w:left w:val="dashed" w:sz="4" w:space="0" w:color="5F2987"/>
              <w:bottom w:val="single" w:sz="12" w:space="0" w:color="5F2987"/>
              <w:right w:val="single" w:sz="2" w:space="0" w:color="5F2987"/>
            </w:tcBorders>
            <w:vAlign w:val="center"/>
          </w:tcPr>
          <w:p w14:paraId="09D92FE2" w14:textId="276E4A52" w:rsidR="00EC693D" w:rsidRDefault="00EC693D" w:rsidP="00287286">
            <w:pPr>
              <w:keepNext/>
              <w:spacing w:after="0"/>
              <w:jc w:val="center"/>
            </w:pPr>
            <w:r w:rsidRPr="00EC693D">
              <w:rPr>
                <w:sz w:val="19"/>
                <w:szCs w:val="19"/>
              </w:rPr>
              <w:t>1</w:t>
            </w:r>
            <w:r w:rsidR="0088508A">
              <w:rPr>
                <w:sz w:val="19"/>
                <w:szCs w:val="19"/>
              </w:rPr>
              <w:t>8</w:t>
            </w:r>
          </w:p>
        </w:tc>
        <w:tc>
          <w:tcPr>
            <w:tcW w:w="1161" w:type="dxa"/>
            <w:vMerge/>
            <w:tcBorders>
              <w:left w:val="single" w:sz="2" w:space="0" w:color="5F2987"/>
              <w:bottom w:val="single" w:sz="12" w:space="0" w:color="5F2987"/>
              <w:right w:val="nil"/>
            </w:tcBorders>
          </w:tcPr>
          <w:p w14:paraId="6C0E9ECE" w14:textId="77777777" w:rsidR="00EC693D" w:rsidRDefault="00EC693D" w:rsidP="000D1ACD">
            <w:pPr>
              <w:spacing w:after="0"/>
            </w:pPr>
          </w:p>
        </w:tc>
      </w:tr>
      <w:tr w:rsidR="00EC693D" w14:paraId="27C23BBF" w14:textId="77777777" w:rsidTr="00AE5E85">
        <w:tc>
          <w:tcPr>
            <w:tcW w:w="1120" w:type="dxa"/>
            <w:vMerge w:val="restart"/>
            <w:tcBorders>
              <w:top w:val="single" w:sz="12" w:space="0" w:color="5F2987"/>
              <w:left w:val="nil"/>
              <w:right w:val="single" w:sz="2" w:space="0" w:color="5F2987"/>
            </w:tcBorders>
            <w:vAlign w:val="center"/>
          </w:tcPr>
          <w:p w14:paraId="00132F93" w14:textId="7A66B626" w:rsidR="00EC693D" w:rsidRDefault="00EC693D" w:rsidP="005D7D9D">
            <w:pPr>
              <w:keepNext/>
              <w:keepLines/>
              <w:spacing w:after="0"/>
              <w:jc w:val="right"/>
            </w:pPr>
            <w:r>
              <w:t>3</w:t>
            </w:r>
          </w:p>
        </w:tc>
        <w:tc>
          <w:tcPr>
            <w:tcW w:w="2844" w:type="dxa"/>
            <w:tcBorders>
              <w:top w:val="single" w:sz="12" w:space="0" w:color="5F2987"/>
              <w:left w:val="single" w:sz="2" w:space="0" w:color="5F2987"/>
              <w:bottom w:val="single" w:sz="2" w:space="0" w:color="5F2987"/>
              <w:right w:val="single" w:sz="2" w:space="0" w:color="5F2987"/>
            </w:tcBorders>
            <w:vAlign w:val="center"/>
          </w:tcPr>
          <w:p w14:paraId="7B14D2BF" w14:textId="5B5F7C7A" w:rsidR="00EC693D" w:rsidRPr="000D1ACD" w:rsidRDefault="00EC693D" w:rsidP="005D7D9D">
            <w:pPr>
              <w:keepNext/>
              <w:spacing w:after="0"/>
              <w:jc w:val="right"/>
              <w:rPr>
                <w:sz w:val="17"/>
                <w:szCs w:val="17"/>
              </w:rPr>
            </w:pPr>
            <w:r w:rsidRPr="000D1ACD">
              <w:rPr>
                <w:sz w:val="17"/>
                <w:szCs w:val="17"/>
              </w:rPr>
              <w:t>Coste</w:t>
            </w:r>
          </w:p>
        </w:tc>
        <w:tc>
          <w:tcPr>
            <w:tcW w:w="1161" w:type="dxa"/>
            <w:tcBorders>
              <w:top w:val="single" w:sz="12" w:space="0" w:color="5F2987"/>
              <w:left w:val="single" w:sz="2" w:space="0" w:color="5F2987"/>
              <w:bottom w:val="single" w:sz="2" w:space="0" w:color="5F2987"/>
              <w:right w:val="dashed" w:sz="4" w:space="0" w:color="5F2987"/>
            </w:tcBorders>
            <w:vAlign w:val="center"/>
          </w:tcPr>
          <w:p w14:paraId="68E5DA01" w14:textId="2A1E3B3E" w:rsidR="00EC693D" w:rsidRDefault="00EC1BF3" w:rsidP="005D7D9D">
            <w:pPr>
              <w:keepNext/>
              <w:spacing w:after="0"/>
              <w:jc w:val="center"/>
            </w:pPr>
            <w:r>
              <w:rPr>
                <w:sz w:val="19"/>
                <w:szCs w:val="19"/>
              </w:rPr>
              <w:t>8</w:t>
            </w:r>
          </w:p>
        </w:tc>
        <w:tc>
          <w:tcPr>
            <w:tcW w:w="567" w:type="dxa"/>
            <w:gridSpan w:val="2"/>
            <w:tcBorders>
              <w:top w:val="single" w:sz="12" w:space="0" w:color="5F2987"/>
              <w:left w:val="dashed" w:sz="4" w:space="0" w:color="5F2987"/>
              <w:bottom w:val="single" w:sz="2" w:space="0" w:color="5F2987"/>
              <w:right w:val="dashed" w:sz="4" w:space="0" w:color="5F2987"/>
            </w:tcBorders>
            <w:vAlign w:val="center"/>
          </w:tcPr>
          <w:p w14:paraId="54E94023" w14:textId="41C6CA1C" w:rsidR="00EC693D" w:rsidRPr="007620CE" w:rsidRDefault="007620CE" w:rsidP="005D7D9D">
            <w:pPr>
              <w:keepNext/>
              <w:spacing w:after="0"/>
              <w:jc w:val="center"/>
              <w:rPr>
                <w:sz w:val="20"/>
                <w:szCs w:val="20"/>
              </w:rPr>
            </w:pPr>
            <m:oMathPara>
              <m:oMath>
                <m:r>
                  <w:rPr>
                    <w:rFonts w:ascii="Cambria Math" w:eastAsiaTheme="minorEastAsia" w:hAnsi="Cambria Math"/>
                    <w:sz w:val="20"/>
                    <w:szCs w:val="20"/>
                  </w:rPr>
                  <m:t>&lt;</m:t>
                </m:r>
              </m:oMath>
            </m:oMathPara>
          </w:p>
        </w:tc>
        <w:tc>
          <w:tcPr>
            <w:tcW w:w="1161" w:type="dxa"/>
            <w:tcBorders>
              <w:top w:val="single" w:sz="12" w:space="0" w:color="5F2987"/>
              <w:left w:val="dashed" w:sz="4" w:space="0" w:color="5F2987"/>
              <w:bottom w:val="single" w:sz="2" w:space="0" w:color="5F2987"/>
              <w:right w:val="dashed" w:sz="4" w:space="0" w:color="5F2987"/>
            </w:tcBorders>
            <w:vAlign w:val="center"/>
          </w:tcPr>
          <w:p w14:paraId="134E6E83" w14:textId="0056F52B" w:rsidR="00EC693D" w:rsidRDefault="00EC693D" w:rsidP="005D7D9D">
            <w:pPr>
              <w:keepNext/>
              <w:spacing w:after="0"/>
              <w:jc w:val="center"/>
            </w:pPr>
            <w:r w:rsidRPr="00EC693D">
              <w:rPr>
                <w:sz w:val="19"/>
                <w:szCs w:val="19"/>
              </w:rPr>
              <w:t>10</w:t>
            </w:r>
          </w:p>
        </w:tc>
        <w:tc>
          <w:tcPr>
            <w:tcW w:w="567" w:type="dxa"/>
            <w:gridSpan w:val="2"/>
            <w:tcBorders>
              <w:top w:val="single" w:sz="12" w:space="0" w:color="5F2987"/>
              <w:left w:val="dashed" w:sz="4" w:space="0" w:color="5F2987"/>
              <w:bottom w:val="single" w:sz="2" w:space="0" w:color="5F2987"/>
              <w:right w:val="dashed" w:sz="4" w:space="0" w:color="5F2987"/>
            </w:tcBorders>
            <w:vAlign w:val="center"/>
          </w:tcPr>
          <w:p w14:paraId="42F24B5E" w14:textId="53C0B170" w:rsidR="00EC693D" w:rsidRDefault="007620CE" w:rsidP="005D7D9D">
            <w:pPr>
              <w:keepNext/>
              <w:spacing w:after="0"/>
              <w:jc w:val="center"/>
            </w:pPr>
            <m:oMathPara>
              <m:oMath>
                <m:r>
                  <w:rPr>
                    <w:rFonts w:ascii="Cambria Math" w:eastAsiaTheme="minorEastAsia" w:hAnsi="Cambria Math"/>
                    <w:sz w:val="20"/>
                    <w:szCs w:val="20"/>
                  </w:rPr>
                  <m:t>&gt;</m:t>
                </m:r>
              </m:oMath>
            </m:oMathPara>
          </w:p>
        </w:tc>
        <w:tc>
          <w:tcPr>
            <w:tcW w:w="1161" w:type="dxa"/>
            <w:tcBorders>
              <w:top w:val="single" w:sz="12" w:space="0" w:color="5F2987"/>
              <w:left w:val="dashed" w:sz="4" w:space="0" w:color="5F2987"/>
              <w:bottom w:val="single" w:sz="2" w:space="0" w:color="5F2987"/>
              <w:right w:val="single" w:sz="2" w:space="0" w:color="5F2987"/>
            </w:tcBorders>
            <w:vAlign w:val="center"/>
          </w:tcPr>
          <w:p w14:paraId="64421C54" w14:textId="05851944" w:rsidR="00EC693D" w:rsidRDefault="00EC1BF3" w:rsidP="005D7D9D">
            <w:pPr>
              <w:keepNext/>
              <w:spacing w:after="0"/>
              <w:jc w:val="center"/>
            </w:pPr>
            <w:r>
              <w:rPr>
                <w:sz w:val="19"/>
                <w:szCs w:val="19"/>
              </w:rPr>
              <w:t>6</w:t>
            </w:r>
          </w:p>
        </w:tc>
        <w:tc>
          <w:tcPr>
            <w:tcW w:w="1161" w:type="dxa"/>
            <w:vMerge w:val="restart"/>
            <w:tcBorders>
              <w:top w:val="single" w:sz="12" w:space="0" w:color="5F2987"/>
              <w:left w:val="single" w:sz="2" w:space="0" w:color="5F2987"/>
              <w:right w:val="nil"/>
            </w:tcBorders>
            <w:vAlign w:val="center"/>
          </w:tcPr>
          <w:p w14:paraId="5745B1C8" w14:textId="517F7B3A" w:rsidR="00EC693D" w:rsidRDefault="00EC693D" w:rsidP="00EC693D">
            <w:pPr>
              <w:spacing w:after="0"/>
              <w:jc w:val="center"/>
            </w:pPr>
            <w:r>
              <w:rPr>
                <w:sz w:val="16"/>
                <w:szCs w:val="16"/>
              </w:rPr>
              <w:t>E</w:t>
            </w:r>
            <w:r w:rsidRPr="00EC693D">
              <w:rPr>
                <w:sz w:val="16"/>
                <w:szCs w:val="16"/>
              </w:rPr>
              <w:t>fecto</w:t>
            </w:r>
            <w:r>
              <w:rPr>
                <w:sz w:val="16"/>
                <w:szCs w:val="16"/>
              </w:rPr>
              <w:t xml:space="preserve"> desviación de comercio</w:t>
            </w:r>
          </w:p>
        </w:tc>
      </w:tr>
      <w:tr w:rsidR="00EC693D" w14:paraId="7FC0CEC0" w14:textId="77777777" w:rsidTr="00AE5E85">
        <w:tc>
          <w:tcPr>
            <w:tcW w:w="1120" w:type="dxa"/>
            <w:vMerge/>
            <w:tcBorders>
              <w:left w:val="nil"/>
              <w:right w:val="single" w:sz="2" w:space="0" w:color="5F2987"/>
            </w:tcBorders>
          </w:tcPr>
          <w:p w14:paraId="6BB97910" w14:textId="77777777" w:rsidR="00EC693D" w:rsidRDefault="00EC693D" w:rsidP="00287286">
            <w:pPr>
              <w:keepNext/>
              <w:spacing w:after="0"/>
            </w:pPr>
          </w:p>
        </w:tc>
        <w:tc>
          <w:tcPr>
            <w:tcW w:w="2844" w:type="dxa"/>
            <w:tcBorders>
              <w:top w:val="single" w:sz="2" w:space="0" w:color="5F2987"/>
              <w:left w:val="single" w:sz="2" w:space="0" w:color="5F2987"/>
              <w:bottom w:val="single" w:sz="2" w:space="0" w:color="5F2987"/>
              <w:right w:val="single" w:sz="2" w:space="0" w:color="5F2987"/>
            </w:tcBorders>
            <w:vAlign w:val="center"/>
          </w:tcPr>
          <w:p w14:paraId="45665492" w14:textId="79374323" w:rsidR="00EC693D" w:rsidRPr="000D1ACD" w:rsidRDefault="00EC693D" w:rsidP="005D7D9D">
            <w:pPr>
              <w:keepNext/>
              <w:spacing w:after="0"/>
              <w:jc w:val="right"/>
              <w:rPr>
                <w:sz w:val="17"/>
                <w:szCs w:val="17"/>
              </w:rPr>
            </w:pPr>
            <w:r w:rsidRPr="000D1ACD">
              <w:rPr>
                <w:sz w:val="17"/>
                <w:szCs w:val="17"/>
              </w:rPr>
              <w:t>Coste + Arancel (antes de la unión)</w:t>
            </w:r>
          </w:p>
        </w:tc>
        <w:tc>
          <w:tcPr>
            <w:tcW w:w="1161" w:type="dxa"/>
            <w:tcBorders>
              <w:top w:val="single" w:sz="2" w:space="0" w:color="5F2987"/>
              <w:left w:val="single" w:sz="2" w:space="0" w:color="5F2987"/>
              <w:bottom w:val="single" w:sz="2" w:space="0" w:color="5F2987"/>
              <w:right w:val="dashed" w:sz="4" w:space="0" w:color="5F2987"/>
            </w:tcBorders>
            <w:vAlign w:val="center"/>
          </w:tcPr>
          <w:p w14:paraId="01C74553" w14:textId="6BAFC274" w:rsidR="00EC693D" w:rsidRDefault="00EC693D" w:rsidP="005D7D9D">
            <w:pPr>
              <w:keepNext/>
              <w:spacing w:after="0"/>
              <w:jc w:val="center"/>
            </w:pPr>
            <w:r w:rsidRPr="00EC693D">
              <w:rPr>
                <w:sz w:val="19"/>
                <w:szCs w:val="19"/>
              </w:rPr>
              <w:t>1</w:t>
            </w:r>
            <w:r>
              <w:rPr>
                <w:sz w:val="19"/>
                <w:szCs w:val="19"/>
              </w:rPr>
              <w:t>2</w:t>
            </w:r>
          </w:p>
        </w:tc>
        <w:tc>
          <w:tcPr>
            <w:tcW w:w="567" w:type="dxa"/>
            <w:gridSpan w:val="2"/>
            <w:tcBorders>
              <w:top w:val="single" w:sz="2" w:space="0" w:color="5F2987"/>
              <w:left w:val="dashed" w:sz="4" w:space="0" w:color="5F2987"/>
              <w:bottom w:val="single" w:sz="2" w:space="0" w:color="5F2987"/>
              <w:right w:val="dashed" w:sz="4" w:space="0" w:color="5F2987"/>
            </w:tcBorders>
            <w:vAlign w:val="center"/>
          </w:tcPr>
          <w:p w14:paraId="54BB444A" w14:textId="77777777" w:rsidR="00EC693D" w:rsidRDefault="00EC693D" w:rsidP="005D7D9D">
            <w:pPr>
              <w:keepNext/>
              <w:spacing w:after="0"/>
              <w:jc w:val="center"/>
            </w:pPr>
          </w:p>
        </w:tc>
        <w:tc>
          <w:tcPr>
            <w:tcW w:w="1161" w:type="dxa"/>
            <w:tcBorders>
              <w:top w:val="single" w:sz="2" w:space="0" w:color="5F2987"/>
              <w:left w:val="dashed" w:sz="4" w:space="0" w:color="5F2987"/>
              <w:bottom w:val="single" w:sz="2" w:space="0" w:color="5F2987"/>
              <w:right w:val="dashed" w:sz="4" w:space="0" w:color="5F2987"/>
            </w:tcBorders>
            <w:vAlign w:val="center"/>
          </w:tcPr>
          <w:p w14:paraId="2F379B22" w14:textId="07ADA454" w:rsidR="00EC693D" w:rsidRDefault="00EC693D" w:rsidP="005D7D9D">
            <w:pPr>
              <w:keepNext/>
              <w:spacing w:after="0"/>
              <w:jc w:val="center"/>
            </w:pPr>
            <w:r w:rsidRPr="00EC693D">
              <w:rPr>
                <w:sz w:val="19"/>
                <w:szCs w:val="19"/>
              </w:rPr>
              <w:t>10</w:t>
            </w:r>
          </w:p>
        </w:tc>
        <w:tc>
          <w:tcPr>
            <w:tcW w:w="567" w:type="dxa"/>
            <w:gridSpan w:val="2"/>
            <w:tcBorders>
              <w:top w:val="single" w:sz="2" w:space="0" w:color="5F2987"/>
              <w:left w:val="dashed" w:sz="4" w:space="0" w:color="5F2987"/>
              <w:bottom w:val="single" w:sz="2" w:space="0" w:color="5F2987"/>
              <w:right w:val="dashed" w:sz="4" w:space="0" w:color="5F2987"/>
            </w:tcBorders>
            <w:vAlign w:val="center"/>
          </w:tcPr>
          <w:p w14:paraId="03474671" w14:textId="15EF6D23" w:rsidR="00EC693D" w:rsidRDefault="00EC693D" w:rsidP="005D7D9D">
            <w:pPr>
              <w:keepNext/>
              <w:spacing w:after="0"/>
              <w:jc w:val="center"/>
            </w:pPr>
            <w:r>
              <w:rPr>
                <w:noProof/>
              </w:rPr>
              <mc:AlternateContent>
                <mc:Choice Requires="wps">
                  <w:drawing>
                    <wp:inline distT="0" distB="0" distL="0" distR="0" wp14:anchorId="1D3A8C3E" wp14:editId="5D0D2C6C">
                      <wp:extent cx="180000" cy="0"/>
                      <wp:effectExtent l="38100" t="76200" r="0" b="95250"/>
                      <wp:docPr id="7" name="Conector recto de flecha 7"/>
                      <wp:cNvGraphicFramePr/>
                      <a:graphic xmlns:a="http://schemas.openxmlformats.org/drawingml/2006/main">
                        <a:graphicData uri="http://schemas.microsoft.com/office/word/2010/wordprocessingShape">
                          <wps:wsp>
                            <wps:cNvCnPr/>
                            <wps:spPr>
                              <a:xfrm>
                                <a:off x="0" y="0"/>
                                <a:ext cx="180000" cy="0"/>
                              </a:xfrm>
                              <a:prstGeom prst="straightConnector1">
                                <a:avLst/>
                              </a:prstGeom>
                              <a:ln>
                                <a:headEnd type="stealth"/>
                                <a:tailEnd type="none"/>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w14:anchorId="7BCB5A99" id="Conector recto de flecha 7" o:spid="_x0000_s1026" type="#_x0000_t32" style="width:14.1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" strokecolor="#5f2987 [3204]" strokeweight=".5pt">
                      <v:stroke startarrow="classic" joinstyle="miter"/>
                      <w10:anchorlock/>
                    </v:shape>
                  </w:pict>
                </mc:Fallback>
              </mc:AlternateContent>
            </w:r>
          </w:p>
        </w:tc>
        <w:tc>
          <w:tcPr>
            <w:tcW w:w="1161" w:type="dxa"/>
            <w:tcBorders>
              <w:top w:val="single" w:sz="2" w:space="0" w:color="5F2987"/>
              <w:left w:val="dashed" w:sz="4" w:space="0" w:color="5F2987"/>
              <w:bottom w:val="single" w:sz="2" w:space="0" w:color="5F2987"/>
              <w:right w:val="single" w:sz="2" w:space="0" w:color="5F2987"/>
            </w:tcBorders>
            <w:shd w:val="clear" w:color="auto" w:fill="E2EFD9" w:themeFill="accent6" w:themeFillTint="33"/>
            <w:vAlign w:val="center"/>
          </w:tcPr>
          <w:p w14:paraId="6065FD6B" w14:textId="17C2106E" w:rsidR="00EC693D" w:rsidRDefault="00EC1BF3" w:rsidP="005D7D9D">
            <w:pPr>
              <w:keepNext/>
              <w:spacing w:after="0"/>
              <w:jc w:val="center"/>
            </w:pPr>
            <w:r>
              <w:rPr>
                <w:sz w:val="19"/>
                <w:szCs w:val="19"/>
              </w:rPr>
              <w:t>9</w:t>
            </w:r>
          </w:p>
        </w:tc>
        <w:tc>
          <w:tcPr>
            <w:tcW w:w="1161" w:type="dxa"/>
            <w:vMerge/>
            <w:tcBorders>
              <w:left w:val="single" w:sz="2" w:space="0" w:color="5F2987"/>
              <w:right w:val="nil"/>
            </w:tcBorders>
          </w:tcPr>
          <w:p w14:paraId="43B7DDB2" w14:textId="77777777" w:rsidR="00EC693D" w:rsidRDefault="00EC693D" w:rsidP="000D1ACD">
            <w:pPr>
              <w:spacing w:after="0"/>
            </w:pPr>
          </w:p>
        </w:tc>
      </w:tr>
      <w:tr w:rsidR="00EC693D" w14:paraId="2F533A6D" w14:textId="77777777" w:rsidTr="00AE5E85">
        <w:tc>
          <w:tcPr>
            <w:tcW w:w="1120" w:type="dxa"/>
            <w:vMerge/>
            <w:tcBorders>
              <w:left w:val="nil"/>
              <w:bottom w:val="single" w:sz="18" w:space="0" w:color="5F2987"/>
              <w:right w:val="single" w:sz="2" w:space="0" w:color="5F2987"/>
            </w:tcBorders>
          </w:tcPr>
          <w:p w14:paraId="682D41E8" w14:textId="77777777" w:rsidR="00EC693D" w:rsidRDefault="00EC693D" w:rsidP="000D1ACD">
            <w:pPr>
              <w:spacing w:after="0"/>
            </w:pPr>
          </w:p>
        </w:tc>
        <w:tc>
          <w:tcPr>
            <w:tcW w:w="2844" w:type="dxa"/>
            <w:tcBorders>
              <w:top w:val="single" w:sz="2" w:space="0" w:color="5F2987"/>
              <w:left w:val="single" w:sz="2" w:space="0" w:color="5F2987"/>
              <w:bottom w:val="single" w:sz="18" w:space="0" w:color="5F2987"/>
              <w:right w:val="single" w:sz="2" w:space="0" w:color="5F2987"/>
            </w:tcBorders>
            <w:vAlign w:val="center"/>
          </w:tcPr>
          <w:p w14:paraId="2B465FB0" w14:textId="5817885B" w:rsidR="00EC693D" w:rsidRPr="000D1ACD" w:rsidRDefault="00EC693D" w:rsidP="000D1ACD">
            <w:pPr>
              <w:spacing w:after="0"/>
              <w:jc w:val="right"/>
              <w:rPr>
                <w:sz w:val="17"/>
                <w:szCs w:val="17"/>
              </w:rPr>
            </w:pPr>
            <w:r w:rsidRPr="000D1ACD">
              <w:rPr>
                <w:sz w:val="17"/>
                <w:szCs w:val="17"/>
              </w:rPr>
              <w:t>Coste + Arancel (tras la unión)</w:t>
            </w:r>
          </w:p>
        </w:tc>
        <w:tc>
          <w:tcPr>
            <w:tcW w:w="1161" w:type="dxa"/>
            <w:tcBorders>
              <w:top w:val="single" w:sz="2" w:space="0" w:color="5F2987"/>
              <w:left w:val="single" w:sz="2" w:space="0" w:color="5F2987"/>
              <w:bottom w:val="single" w:sz="18" w:space="0" w:color="5F2987"/>
              <w:right w:val="dashed" w:sz="4" w:space="0" w:color="5F2987"/>
            </w:tcBorders>
            <w:shd w:val="clear" w:color="auto" w:fill="E2EFD9" w:themeFill="accent6" w:themeFillTint="33"/>
            <w:vAlign w:val="center"/>
          </w:tcPr>
          <w:p w14:paraId="45D1A6D3" w14:textId="1FA4782E" w:rsidR="00EC693D" w:rsidRDefault="00EC1BF3" w:rsidP="00EC693D">
            <w:pPr>
              <w:spacing w:after="0"/>
              <w:jc w:val="center"/>
            </w:pPr>
            <w:r>
              <w:rPr>
                <w:sz w:val="19"/>
                <w:szCs w:val="19"/>
              </w:rPr>
              <w:t>8</w:t>
            </w:r>
          </w:p>
        </w:tc>
        <w:tc>
          <w:tcPr>
            <w:tcW w:w="567" w:type="dxa"/>
            <w:gridSpan w:val="2"/>
            <w:tcBorders>
              <w:top w:val="single" w:sz="2" w:space="0" w:color="5F2987"/>
              <w:left w:val="dashed" w:sz="4" w:space="0" w:color="5F2987"/>
              <w:bottom w:val="single" w:sz="18" w:space="0" w:color="5F2987"/>
              <w:right w:val="dashed" w:sz="4" w:space="0" w:color="5F2987"/>
            </w:tcBorders>
            <w:vAlign w:val="center"/>
          </w:tcPr>
          <w:p w14:paraId="16F9B5DC" w14:textId="619DA7E1" w:rsidR="00EC693D" w:rsidRDefault="00EC693D" w:rsidP="00EC693D">
            <w:pPr>
              <w:spacing w:after="0"/>
              <w:jc w:val="center"/>
            </w:pPr>
            <w:r>
              <w:rPr>
                <w:noProof/>
              </w:rPr>
              <mc:AlternateContent>
                <mc:Choice Requires="wps">
                  <w:drawing>
                    <wp:inline distT="0" distB="0" distL="0" distR="0" wp14:anchorId="783E4E2F" wp14:editId="094A4D0D">
                      <wp:extent cx="180000" cy="0"/>
                      <wp:effectExtent l="0" t="76200" r="10795" b="95250"/>
                      <wp:docPr id="3" name="Conector recto de flecha 3"/>
                      <wp:cNvGraphicFramePr/>
                      <a:graphic xmlns:a="http://schemas.openxmlformats.org/drawingml/2006/main">
                        <a:graphicData uri="http://schemas.microsoft.com/office/word/2010/wordprocessingShape">
                          <wps:wsp>
                            <wps:cNvCnPr/>
                            <wps:spPr>
                              <a:xfrm>
                                <a:off x="0" y="0"/>
                                <a:ext cx="18000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w14:anchorId="5E52A3C8" id="Conector recto de flecha 3" o:spid="_x0000_s1026" type="#_x0000_t32" style="width:14.1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" strokecolor="#5f2987 [3204]" strokeweight=".5pt">
                      <v:stroke endarrow="classic" joinstyle="miter"/>
                      <w10:anchorlock/>
                    </v:shape>
                  </w:pict>
                </mc:Fallback>
              </mc:AlternateContent>
            </w:r>
          </w:p>
        </w:tc>
        <w:tc>
          <w:tcPr>
            <w:tcW w:w="1161" w:type="dxa"/>
            <w:tcBorders>
              <w:top w:val="single" w:sz="2" w:space="0" w:color="5F2987"/>
              <w:left w:val="dashed" w:sz="4" w:space="0" w:color="5F2987"/>
              <w:bottom w:val="single" w:sz="18" w:space="0" w:color="5F2987"/>
              <w:right w:val="dashed" w:sz="4" w:space="0" w:color="5F2987"/>
            </w:tcBorders>
            <w:vAlign w:val="center"/>
          </w:tcPr>
          <w:p w14:paraId="04C27E29" w14:textId="57A05568" w:rsidR="00EC693D" w:rsidRDefault="00EC693D" w:rsidP="00EC693D">
            <w:pPr>
              <w:spacing w:after="0"/>
              <w:jc w:val="center"/>
            </w:pPr>
            <w:r w:rsidRPr="00EC693D">
              <w:rPr>
                <w:sz w:val="19"/>
                <w:szCs w:val="19"/>
              </w:rPr>
              <w:t>10</w:t>
            </w:r>
          </w:p>
        </w:tc>
        <w:tc>
          <w:tcPr>
            <w:tcW w:w="567" w:type="dxa"/>
            <w:gridSpan w:val="2"/>
            <w:tcBorders>
              <w:top w:val="single" w:sz="2" w:space="0" w:color="5F2987"/>
              <w:left w:val="dashed" w:sz="4" w:space="0" w:color="5F2987"/>
              <w:bottom w:val="single" w:sz="18" w:space="0" w:color="5F2987"/>
              <w:right w:val="dashed" w:sz="4" w:space="0" w:color="5F2987"/>
            </w:tcBorders>
            <w:vAlign w:val="center"/>
          </w:tcPr>
          <w:p w14:paraId="346E9814" w14:textId="77777777" w:rsidR="00EC693D" w:rsidRDefault="00EC693D" w:rsidP="00EC693D">
            <w:pPr>
              <w:spacing w:after="0"/>
              <w:jc w:val="center"/>
            </w:pPr>
          </w:p>
        </w:tc>
        <w:tc>
          <w:tcPr>
            <w:tcW w:w="1161" w:type="dxa"/>
            <w:tcBorders>
              <w:top w:val="single" w:sz="2" w:space="0" w:color="5F2987"/>
              <w:left w:val="dashed" w:sz="4" w:space="0" w:color="5F2987"/>
              <w:bottom w:val="single" w:sz="18" w:space="0" w:color="5F2987"/>
              <w:right w:val="single" w:sz="2" w:space="0" w:color="5F2987"/>
            </w:tcBorders>
            <w:vAlign w:val="center"/>
          </w:tcPr>
          <w:p w14:paraId="11CCFF0D" w14:textId="27E5D198" w:rsidR="00EC693D" w:rsidRDefault="00EC1BF3" w:rsidP="00EC693D">
            <w:pPr>
              <w:spacing w:after="0"/>
              <w:jc w:val="center"/>
            </w:pPr>
            <w:r>
              <w:rPr>
                <w:sz w:val="19"/>
                <w:szCs w:val="19"/>
              </w:rPr>
              <w:t>9</w:t>
            </w:r>
          </w:p>
        </w:tc>
        <w:tc>
          <w:tcPr>
            <w:tcW w:w="1161" w:type="dxa"/>
            <w:vMerge/>
            <w:tcBorders>
              <w:left w:val="single" w:sz="2" w:space="0" w:color="5F2987"/>
              <w:bottom w:val="single" w:sz="18" w:space="0" w:color="5F2987"/>
              <w:right w:val="nil"/>
            </w:tcBorders>
          </w:tcPr>
          <w:p w14:paraId="006149A7" w14:textId="77777777" w:rsidR="00EC693D" w:rsidRDefault="00EC693D" w:rsidP="000D1ACD">
            <w:pPr>
              <w:spacing w:after="0"/>
            </w:pPr>
          </w:p>
        </w:tc>
      </w:tr>
    </w:tbl>
    <w:p w14:paraId="3105CB7C" w14:textId="382BDDC6" w:rsidR="00354E49" w:rsidRDefault="00354E49" w:rsidP="004356DF">
      <w:pPr>
        <w:pStyle w:val="Nivel1SM"/>
        <w:keepNext/>
        <w:spacing w:after="0"/>
      </w:pPr>
      <w:r>
        <w:t>En este ejemplo, el país</w:t>
      </w:r>
      <w:r w:rsidR="008F608F">
        <w:t> </w:t>
      </w:r>
      <w:r>
        <w:rPr>
          <w:i/>
          <w:iCs/>
        </w:rPr>
        <w:t>A</w:t>
      </w:r>
      <w:r>
        <w:t xml:space="preserve"> aplicaba un arancel del 50</w:t>
      </w:r>
      <w:r w:rsidR="00637FAA">
        <w:t> </w:t>
      </w:r>
      <w:r>
        <w:t xml:space="preserve">% a todos los bienes. Tras la integración con </w:t>
      </w:r>
      <w:r>
        <w:rPr>
          <w:i/>
          <w:iCs/>
        </w:rPr>
        <w:t>B</w:t>
      </w:r>
      <w:r>
        <w:t xml:space="preserve"> deja de aplicar estos aranceles a </w:t>
      </w:r>
      <w:r>
        <w:rPr>
          <w:i/>
          <w:iCs/>
        </w:rPr>
        <w:t>B</w:t>
      </w:r>
      <w:r w:rsidRPr="00F7127F">
        <w:t>,</w:t>
      </w:r>
      <w:r>
        <w:t xml:space="preserve"> pero los mantiene con </w:t>
      </w:r>
      <w:r>
        <w:rPr>
          <w:i/>
          <w:iCs/>
        </w:rPr>
        <w:t>R</w:t>
      </w:r>
      <w:r>
        <w:t>.</w:t>
      </w:r>
    </w:p>
    <w:tbl>
      <w:tblPr>
        <w:tblStyle w:val="Tablaconcuadrcula"/>
        <w:tblW w:w="9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7"/>
        <w:gridCol w:w="3107"/>
      </w:tblGrid>
      <w:tr w:rsidR="00354E49" w14:paraId="032E6268" w14:textId="77777777" w:rsidTr="00912B01">
        <w:tc>
          <w:tcPr>
            <w:tcW w:w="6804" w:type="dxa"/>
            <w:vAlign w:val="center"/>
          </w:tcPr>
          <w:p w14:paraId="052F3242" w14:textId="36EE9E1F" w:rsidR="00354E49" w:rsidRPr="00354E49" w:rsidRDefault="00354E49" w:rsidP="00FE28D5">
            <w:pPr>
              <w:pStyle w:val="Nivel2"/>
              <w:ind w:left="567"/>
            </w:pPr>
            <w:r>
              <w:t>En la situación</w:t>
            </w:r>
            <w:r w:rsidR="008F608F">
              <w:t> </w:t>
            </w:r>
            <w:r>
              <w:t>1, el país</w:t>
            </w:r>
            <w:r w:rsidR="008F608F">
              <w:t> </w:t>
            </w:r>
            <w:r>
              <w:rPr>
                <w:i/>
                <w:iCs/>
              </w:rPr>
              <w:t>A</w:t>
            </w:r>
            <w:r>
              <w:t xml:space="preserve"> no cambia su comportamiento, ya que la rebaja de los aranceles a </w:t>
            </w:r>
            <w:r>
              <w:rPr>
                <w:i/>
                <w:iCs/>
              </w:rPr>
              <w:t>B</w:t>
            </w:r>
            <w:r>
              <w:t xml:space="preserve"> no cambia la decisión de producción/importación</w:t>
            </w:r>
            <w:r>
              <w:rPr>
                <w:rStyle w:val="Refdenotaalpie"/>
              </w:rPr>
              <w:footnoteReference w:id="6"/>
            </w:r>
            <w:r>
              <w:t>.</w:t>
            </w:r>
          </w:p>
        </w:tc>
        <w:tc>
          <w:tcPr>
            <w:tcW w:w="3050" w:type="dxa"/>
            <w:vAlign w:val="center"/>
          </w:tcPr>
          <w:p w14:paraId="7EA7B742" w14:textId="77777777" w:rsidR="00354E49" w:rsidRDefault="00354E49" w:rsidP="00354E49">
            <w:pPr>
              <w:pStyle w:val="Nivel2"/>
              <w:numPr>
                <w:ilvl w:val="0"/>
                <w:numId w:val="0"/>
              </w:numPr>
              <w:jc w:val="right"/>
            </w:pPr>
            <w:r w:rsidRPr="00354E49">
              <w:rPr>
                <w:noProof/>
              </w:rPr>
              <w:drawing>
                <wp:inline distT="0" distB="0" distL="0" distR="0" wp14:anchorId="3AFC820A" wp14:editId="6CFE00EE">
                  <wp:extent cx="1836000" cy="1328810"/>
                  <wp:effectExtent l="0" t="0" r="0" b="508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4" cstate="print">
                            <a:extLst>
                              <a:ext uri="{28A0092B-C50C-407E-A947-70E740481C1C}">
                                <a14:useLocalDpi xmlns:a14="http://schemas.microsoft.com/office/drawing/2010/main" val="0"/>
                              </a:ext>
                            </a:extLst>
                          </a:blip>
                          <a:srcRect t="1796" b="1796"/>
                          <a:stretch>
                            <a:fillRect/>
                          </a:stretch>
                        </pic:blipFill>
                        <pic:spPr bwMode="auto">
                          <a:xfrm>
                            <a:off x="0" y="0"/>
                            <a:ext cx="1836000" cy="1328810"/>
                          </a:xfrm>
                          <a:prstGeom prst="rect">
                            <a:avLst/>
                          </a:prstGeom>
                          <a:ln>
                            <a:noFill/>
                          </a:ln>
                          <a:extLst>
                            <a:ext uri="{53640926-AAD7-44D8-BBD7-CCE9431645EC}">
                              <a14:shadowObscured xmlns:a14="http://schemas.microsoft.com/office/drawing/2010/main"/>
                            </a:ext>
                          </a:extLst>
                        </pic:spPr>
                      </pic:pic>
                    </a:graphicData>
                  </a:graphic>
                </wp:inline>
              </w:drawing>
            </w:r>
          </w:p>
        </w:tc>
      </w:tr>
      <w:tr w:rsidR="00354E49" w14:paraId="554ACAD2" w14:textId="77777777" w:rsidTr="00912B01">
        <w:tc>
          <w:tcPr>
            <w:tcW w:w="6804" w:type="dxa"/>
            <w:vAlign w:val="center"/>
          </w:tcPr>
          <w:p w14:paraId="00ADC70A" w14:textId="0A011651" w:rsidR="00354E49" w:rsidRPr="00354E49" w:rsidRDefault="00354E49" w:rsidP="00D351E9">
            <w:pPr>
              <w:pStyle w:val="Nivel2"/>
              <w:ind w:left="567"/>
            </w:pPr>
            <w:r>
              <w:lastRenderedPageBreak/>
              <w:t>En la situación</w:t>
            </w:r>
            <w:r w:rsidR="008F608F">
              <w:t> </w:t>
            </w:r>
            <w:r>
              <w:t>2, el país</w:t>
            </w:r>
            <w:r w:rsidR="008F608F">
              <w:t> </w:t>
            </w:r>
            <w:r>
              <w:rPr>
                <w:i/>
                <w:iCs/>
              </w:rPr>
              <w:t>A</w:t>
            </w:r>
            <w:r>
              <w:t xml:space="preserve"> deja de producir el bien y pasa a importarlo de </w:t>
            </w:r>
            <w:r>
              <w:rPr>
                <w:i/>
                <w:iCs/>
              </w:rPr>
              <w:t>B</w:t>
            </w:r>
            <w:r>
              <w:t xml:space="preserve"> que lo produce de forma más eficiente, generando así un </w:t>
            </w:r>
            <w:r w:rsidRPr="00646104">
              <w:rPr>
                <w:i/>
                <w:iCs/>
              </w:rPr>
              <w:t>efecto creación de comercio</w:t>
            </w:r>
            <w:r>
              <w:t>.</w:t>
            </w:r>
          </w:p>
        </w:tc>
        <w:tc>
          <w:tcPr>
            <w:tcW w:w="3050" w:type="dxa"/>
            <w:vAlign w:val="center"/>
          </w:tcPr>
          <w:p w14:paraId="25B96B01" w14:textId="77777777" w:rsidR="00354E49" w:rsidRDefault="00354E49" w:rsidP="00354E49">
            <w:pPr>
              <w:pStyle w:val="Nivel2"/>
              <w:numPr>
                <w:ilvl w:val="0"/>
                <w:numId w:val="0"/>
              </w:numPr>
              <w:jc w:val="right"/>
            </w:pPr>
            <w:r w:rsidRPr="00354E49">
              <w:rPr>
                <w:noProof/>
              </w:rPr>
              <w:drawing>
                <wp:inline distT="0" distB="0" distL="0" distR="0" wp14:anchorId="49BC06A8" wp14:editId="51BB6E73">
                  <wp:extent cx="1764000" cy="1360280"/>
                  <wp:effectExtent l="0" t="0" r="8255" b="0"/>
                  <wp:docPr id="16" name="Imagen 16"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10;&#10;Descripción generada automáticamente con confianza media"/>
                          <pic:cNvPicPr/>
                        </pic:nvPicPr>
                        <pic:blipFill>
                          <a:blip r:embed="rId15"/>
                          <a:stretch>
                            <a:fillRect/>
                          </a:stretch>
                        </pic:blipFill>
                        <pic:spPr>
                          <a:xfrm>
                            <a:off x="0" y="0"/>
                            <a:ext cx="1764000" cy="1360280"/>
                          </a:xfrm>
                          <a:prstGeom prst="rect">
                            <a:avLst/>
                          </a:prstGeom>
                        </pic:spPr>
                      </pic:pic>
                    </a:graphicData>
                  </a:graphic>
                </wp:inline>
              </w:drawing>
            </w:r>
          </w:p>
        </w:tc>
      </w:tr>
      <w:tr w:rsidR="00354E49" w14:paraId="05020EC0" w14:textId="77777777" w:rsidTr="00912B01">
        <w:tc>
          <w:tcPr>
            <w:tcW w:w="6804" w:type="dxa"/>
            <w:vAlign w:val="center"/>
          </w:tcPr>
          <w:p w14:paraId="474A7933" w14:textId="3DCCAEFF" w:rsidR="00354E49" w:rsidRDefault="00354E49" w:rsidP="00D351E9">
            <w:pPr>
              <w:pStyle w:val="Nivel2"/>
              <w:spacing w:line="259" w:lineRule="auto"/>
              <w:ind w:left="567"/>
            </w:pPr>
            <w:r>
              <w:t>En la situación</w:t>
            </w:r>
            <w:r w:rsidR="008F608F">
              <w:t> </w:t>
            </w:r>
            <w:r>
              <w:t>3, el país</w:t>
            </w:r>
            <w:r w:rsidR="008F608F">
              <w:t> </w:t>
            </w:r>
            <w:r>
              <w:rPr>
                <w:i/>
                <w:iCs/>
              </w:rPr>
              <w:t>A</w:t>
            </w:r>
            <w:r>
              <w:t xml:space="preserve"> deja de importar el bien de </w:t>
            </w:r>
            <w:r>
              <w:rPr>
                <w:i/>
                <w:iCs/>
              </w:rPr>
              <w:t>R</w:t>
            </w:r>
            <w:r>
              <w:t xml:space="preserve"> (que es el país más eficiente en la producción) y empieza a importar de </w:t>
            </w:r>
            <w:r>
              <w:rPr>
                <w:i/>
                <w:iCs/>
              </w:rPr>
              <w:t>B</w:t>
            </w:r>
            <w:r>
              <w:t xml:space="preserve">, generando así un </w:t>
            </w:r>
            <w:r>
              <w:rPr>
                <w:i/>
                <w:iCs/>
              </w:rPr>
              <w:t>efecto desviación del comercio</w:t>
            </w:r>
            <w:r>
              <w:t>.</w:t>
            </w:r>
          </w:p>
          <w:p w14:paraId="3153CE3E" w14:textId="617E3A97" w:rsidR="00D351E9" w:rsidRPr="00354E49" w:rsidRDefault="00D351E9" w:rsidP="00D351E9">
            <w:pPr>
              <w:pStyle w:val="Nivel2"/>
              <w:numPr>
                <w:ilvl w:val="0"/>
                <w:numId w:val="0"/>
              </w:numPr>
              <w:spacing w:line="259" w:lineRule="auto"/>
              <w:ind w:left="567"/>
            </w:pPr>
            <w:r>
              <w:t>Nótese que el excedente del consumidor aumenta, pero la pérdida en la recaudación es mayor, por lo que el efecto neto sería negativo.</w:t>
            </w:r>
          </w:p>
        </w:tc>
        <w:tc>
          <w:tcPr>
            <w:tcW w:w="3050" w:type="dxa"/>
            <w:vAlign w:val="center"/>
          </w:tcPr>
          <w:p w14:paraId="771BEA8D" w14:textId="77777777" w:rsidR="00354E49" w:rsidRDefault="00354E49" w:rsidP="00354E49">
            <w:pPr>
              <w:pStyle w:val="Nivel2"/>
              <w:numPr>
                <w:ilvl w:val="0"/>
                <w:numId w:val="0"/>
              </w:numPr>
              <w:jc w:val="right"/>
            </w:pPr>
            <w:r w:rsidRPr="00354E49">
              <w:rPr>
                <w:noProof/>
              </w:rPr>
              <w:drawing>
                <wp:inline distT="0" distB="0" distL="0" distR="0" wp14:anchorId="4BD1821B" wp14:editId="392A3344">
                  <wp:extent cx="1836000" cy="1380321"/>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6000" cy="1380321"/>
                          </a:xfrm>
                          <a:prstGeom prst="rect">
                            <a:avLst/>
                          </a:prstGeom>
                        </pic:spPr>
                      </pic:pic>
                    </a:graphicData>
                  </a:graphic>
                </wp:inline>
              </w:drawing>
            </w:r>
          </w:p>
        </w:tc>
      </w:tr>
    </w:tbl>
    <w:p w14:paraId="57698285" w14:textId="03DAA054" w:rsidR="008F7E4B" w:rsidRPr="008F7E4B" w:rsidRDefault="008F7E4B" w:rsidP="000558A2">
      <w:pPr>
        <w:pStyle w:val="Ttulo7"/>
      </w:pPr>
      <w:r>
        <w:t>Implicaciones</w:t>
      </w:r>
    </w:p>
    <w:p w14:paraId="092D0BC9" w14:textId="399B72EC" w:rsidR="001D3BB6" w:rsidRDefault="00360542" w:rsidP="008F608F">
      <w:pPr>
        <w:pStyle w:val="Nivel1SM"/>
        <w:keepNext/>
        <w:spacing w:before="0" w:after="0"/>
      </w:pPr>
      <w:r>
        <w:rPr>
          <w:smallCaps/>
        </w:rPr>
        <w:t xml:space="preserve">Jacob </w:t>
      </w:r>
      <w:r w:rsidR="004A58B0" w:rsidRPr="00360542">
        <w:rPr>
          <w:smallCaps/>
        </w:rPr>
        <w:t>Viner</w:t>
      </w:r>
      <w:r w:rsidR="004A58B0">
        <w:t xml:space="preserve"> (1950) consideraba que, si la integración económica llevaba a que los efectos desviación de comercio fuesen superiores a los de creación de comercio, la integración generaría pérdidas y no ganancias de bienestar.</w:t>
      </w:r>
    </w:p>
    <w:p w14:paraId="1B9493F0" w14:textId="551F67ED" w:rsidR="00CD2C1E" w:rsidRDefault="00CD2C1E" w:rsidP="00CD2C1E">
      <w:pPr>
        <w:pStyle w:val="Nivel2SM"/>
      </w:pPr>
      <w:r>
        <w:t xml:space="preserve">Al ser </w:t>
      </w:r>
      <w:r>
        <w:rPr>
          <w:i/>
          <w:iCs/>
        </w:rPr>
        <w:t>A</w:t>
      </w:r>
      <w:r>
        <w:t xml:space="preserve"> un país pequeño, sus cambios en el comercio no afectan al bienestar en </w:t>
      </w:r>
      <w:r>
        <w:rPr>
          <w:i/>
          <w:iCs/>
        </w:rPr>
        <w:t>B</w:t>
      </w:r>
      <w:r>
        <w:t xml:space="preserve"> ni en </w:t>
      </w:r>
      <w:r>
        <w:rPr>
          <w:i/>
          <w:iCs/>
        </w:rPr>
        <w:t>R</w:t>
      </w:r>
      <w:r w:rsidR="008F3898">
        <w:t>.</w:t>
      </w:r>
      <w:r>
        <w:t xml:space="preserve"> </w:t>
      </w:r>
      <w:r w:rsidR="008F3898">
        <w:t>P</w:t>
      </w:r>
      <w:r>
        <w:t xml:space="preserve">or lo </w:t>
      </w:r>
      <w:r w:rsidR="008F3898">
        <w:t xml:space="preserve">tanto, </w:t>
      </w:r>
      <w:r>
        <w:t xml:space="preserve">si el bienestar de </w:t>
      </w:r>
      <w:r>
        <w:rPr>
          <w:i/>
          <w:iCs/>
        </w:rPr>
        <w:t>A</w:t>
      </w:r>
      <w:r>
        <w:t xml:space="preserve"> aumenta el bienestar global aumentará, y viceversa.</w:t>
      </w:r>
    </w:p>
    <w:p w14:paraId="58D0B51B" w14:textId="7B30180A" w:rsidR="00FC3724" w:rsidRDefault="00FC3724" w:rsidP="000558A2">
      <w:pPr>
        <w:pStyle w:val="Ttulo6"/>
      </w:pPr>
      <w:bookmarkStart w:id="33" w:name="_Toc172225485"/>
      <w:r>
        <w:t>Valoración</w:t>
      </w:r>
      <w:bookmarkEnd w:id="33"/>
    </w:p>
    <w:p w14:paraId="30E2D992" w14:textId="2E10E292" w:rsidR="00FB54EF" w:rsidRDefault="00FB54EF" w:rsidP="008F608F">
      <w:pPr>
        <w:pStyle w:val="Nivel1SM"/>
        <w:spacing w:before="0"/>
      </w:pPr>
      <w:r>
        <w:t xml:space="preserve">La teoría de </w:t>
      </w:r>
      <w:r>
        <w:rPr>
          <w:smallCaps/>
        </w:rPr>
        <w:t>Viner</w:t>
      </w:r>
      <w:r>
        <w:t xml:space="preserve"> es de gran relevancia debido a su carácter pionero a la hora de cuestionar la deseabilidad de la formación de una unión aduanera.</w:t>
      </w:r>
    </w:p>
    <w:p w14:paraId="5B5189CE" w14:textId="24089345" w:rsidR="0004465A" w:rsidRDefault="00796A29" w:rsidP="0004465A">
      <w:pPr>
        <w:pStyle w:val="Nivel1SM"/>
        <w:keepNext/>
        <w:spacing w:after="0"/>
      </w:pPr>
      <w:r>
        <w:t xml:space="preserve">Sin embargo, </w:t>
      </w:r>
      <w:r w:rsidR="00FB54EF">
        <w:t xml:space="preserve">el análisis de </w:t>
      </w:r>
      <w:r w:rsidR="00FB54EF">
        <w:rPr>
          <w:smallCaps/>
        </w:rPr>
        <w:t>Viner</w:t>
      </w:r>
      <w:r w:rsidR="00FB54EF" w:rsidRPr="00FB54EF">
        <w:t xml:space="preserve"> </w:t>
      </w:r>
      <w:r w:rsidR="00FB54EF">
        <w:t xml:space="preserve">parte de unos supuestos muy restrictivos. </w:t>
      </w:r>
      <w:r w:rsidR="0004465A">
        <w:t>E</w:t>
      </w:r>
      <w:r w:rsidR="00FB54EF">
        <w:t>n particular, e</w:t>
      </w:r>
      <w:r w:rsidR="0004465A">
        <w:t xml:space="preserve">l análisis de </w:t>
      </w:r>
      <w:r w:rsidR="0004465A">
        <w:rPr>
          <w:smallCaps/>
        </w:rPr>
        <w:t>Viner</w:t>
      </w:r>
      <w:r w:rsidR="0004465A">
        <w:t xml:space="preserve"> no tiene en cuenta la demanda</w:t>
      </w:r>
      <w:r w:rsidR="00FB54EF">
        <w:t>, al suponer que la demanda nacional de productos es invariable y totalmente inelástica</w:t>
      </w:r>
      <w:r w:rsidR="0004465A">
        <w:t>.</w:t>
      </w:r>
    </w:p>
    <w:p w14:paraId="6423AFA2" w14:textId="537B24C4" w:rsidR="0004465A" w:rsidRDefault="0004465A" w:rsidP="00E962E8">
      <w:pPr>
        <w:pStyle w:val="Nivel2SM"/>
      </w:pPr>
      <w:r>
        <w:t xml:space="preserve">Aportaciones posteriores, como las de </w:t>
      </w:r>
      <w:r>
        <w:rPr>
          <w:smallCaps/>
        </w:rPr>
        <w:t>Meade</w:t>
      </w:r>
      <w:r>
        <w:t xml:space="preserve"> (1955) y </w:t>
      </w:r>
      <w:proofErr w:type="spellStart"/>
      <w:r>
        <w:rPr>
          <w:smallCaps/>
        </w:rPr>
        <w:t>Lipsey</w:t>
      </w:r>
      <w:proofErr w:type="spellEnd"/>
      <w:r w:rsidR="00BC4A0E">
        <w:t xml:space="preserve"> </w:t>
      </w:r>
      <w:r>
        <w:t xml:space="preserve">(1957) relajan estos supuestos y consideran además de los efectos sobre la producción, los efectos sobre el consumo resultantes de la formación de una </w:t>
      </w:r>
      <w:r w:rsidR="00E962E8">
        <w:t>u</w:t>
      </w:r>
      <w:r>
        <w:t xml:space="preserve">nión </w:t>
      </w:r>
      <w:r w:rsidR="00E962E8">
        <w:t>a</w:t>
      </w:r>
      <w:r>
        <w:t>duanera.</w:t>
      </w:r>
    </w:p>
    <w:p w14:paraId="08D3D16C" w14:textId="6AE3F96E" w:rsidR="00052305" w:rsidRPr="00052305" w:rsidRDefault="000D6DBA" w:rsidP="000558A2">
      <w:pPr>
        <w:pStyle w:val="Ttulo3"/>
      </w:pPr>
      <w:bookmarkStart w:id="34" w:name="_Toc172225486"/>
      <w:r w:rsidRPr="000D6DBA">
        <w:t>Aportaci</w:t>
      </w:r>
      <w:r w:rsidR="00321EE2">
        <w:t>ones</w:t>
      </w:r>
      <w:r w:rsidRPr="000D6DBA">
        <w:t xml:space="preserve"> de</w:t>
      </w:r>
      <w:r>
        <w:rPr>
          <w:smallCaps/>
        </w:rPr>
        <w:t xml:space="preserve"> </w:t>
      </w:r>
      <w:r w:rsidR="00052305">
        <w:rPr>
          <w:smallCaps/>
        </w:rPr>
        <w:t>Meade</w:t>
      </w:r>
      <w:r w:rsidR="00052305">
        <w:t xml:space="preserve"> (1955)</w:t>
      </w:r>
      <w:r w:rsidR="00321EE2">
        <w:t xml:space="preserve">: Efecto expansión del comercio y teoría del </w:t>
      </w:r>
      <w:proofErr w:type="spellStart"/>
      <w:r w:rsidR="00321EE2">
        <w:t>second</w:t>
      </w:r>
      <w:proofErr w:type="spellEnd"/>
      <w:r w:rsidR="00321EE2">
        <w:t xml:space="preserve"> </w:t>
      </w:r>
      <w:proofErr w:type="spellStart"/>
      <w:r w:rsidR="00321EE2">
        <w:t>best</w:t>
      </w:r>
      <w:bookmarkEnd w:id="34"/>
      <w:proofErr w:type="spellEnd"/>
    </w:p>
    <w:p w14:paraId="654E385A" w14:textId="4462B155" w:rsidR="00C60723" w:rsidRDefault="00C60723" w:rsidP="008F608F">
      <w:pPr>
        <w:pStyle w:val="Nivel1SM"/>
        <w:keepNext/>
        <w:spacing w:before="0" w:after="0"/>
      </w:pPr>
      <w:r>
        <w:t xml:space="preserve">La aportación de </w:t>
      </w:r>
      <w:r>
        <w:rPr>
          <w:smallCaps/>
        </w:rPr>
        <w:t>Meade</w:t>
      </w:r>
      <w:r>
        <w:t xml:space="preserve"> (1955) es pionera en </w:t>
      </w:r>
      <w:r w:rsidR="00422AC6">
        <w:t>2 </w:t>
      </w:r>
      <w:r>
        <w:t>sentidos:</w:t>
      </w:r>
    </w:p>
    <w:p w14:paraId="5B407941" w14:textId="72DD302A" w:rsidR="00321EE2" w:rsidRDefault="00321EE2" w:rsidP="00321EE2">
      <w:pPr>
        <w:pStyle w:val="Nivel2SM"/>
        <w:keepNext/>
        <w:spacing w:after="0"/>
      </w:pPr>
      <w:r>
        <w:t xml:space="preserve">En primer lugar, </w:t>
      </w:r>
      <w:r w:rsidRPr="003805D0">
        <w:rPr>
          <w:smallCaps/>
        </w:rPr>
        <w:t>Meade</w:t>
      </w:r>
      <w:r>
        <w:t xml:space="preserve"> </w:t>
      </w:r>
      <w:r w:rsidRPr="00EE5911">
        <w:rPr>
          <w:b/>
          <w:bCs/>
        </w:rPr>
        <w:t>incorpora en su análisis el lado de la demanda</w:t>
      </w:r>
      <w:r>
        <w:t>, al considerar que la formación de la unión aduanera generaría cambios en los precios relativos de los distintos bienes y con ello cambios en la demanda.</w:t>
      </w:r>
    </w:p>
    <w:p w14:paraId="5378A1A8" w14:textId="77777777" w:rsidR="00321EE2" w:rsidRDefault="00321EE2" w:rsidP="00321EE2">
      <w:pPr>
        <w:pStyle w:val="Nivel3SM"/>
      </w:pPr>
      <w:r>
        <w:t>Si se obtienen ciertos bienes a un menor coste, podemos esperar que la demanda nacional de productos extranjeros responda incrementándose.</w:t>
      </w:r>
    </w:p>
    <w:p w14:paraId="55DE8B36" w14:textId="77777777" w:rsidR="00321EE2" w:rsidRDefault="00321EE2" w:rsidP="00321EE2">
      <w:pPr>
        <w:pStyle w:val="Nivel3SM"/>
      </w:pPr>
      <w:r>
        <w:t xml:space="preserve">Este efecto es el conocido como </w:t>
      </w:r>
      <w:r w:rsidRPr="00EE5911">
        <w:rPr>
          <w:i/>
          <w:iCs/>
          <w:u w:val="single"/>
        </w:rPr>
        <w:t>expansión de comercio</w:t>
      </w:r>
      <w:r>
        <w:t>, que genera una fuente de ganancias para los consumidores, ya que pueden comprar más bienes que antes y pagar menos (aumentando, por tanto, el excedente del consumidor).</w:t>
      </w:r>
    </w:p>
    <w:p w14:paraId="55F7CCBC" w14:textId="6B1AE23A" w:rsidR="00C60723" w:rsidRDefault="00C60723" w:rsidP="00052305">
      <w:pPr>
        <w:pStyle w:val="Nivel2SM"/>
        <w:keepNext/>
        <w:spacing w:after="0"/>
      </w:pPr>
      <w:r>
        <w:t xml:space="preserve">En </w:t>
      </w:r>
      <w:r w:rsidR="00321EE2">
        <w:t>segundo</w:t>
      </w:r>
      <w:r>
        <w:t xml:space="preserve"> lugar, enuncia la </w:t>
      </w:r>
      <w:r w:rsidRPr="00EE5911">
        <w:rPr>
          <w:b/>
          <w:bCs/>
        </w:rPr>
        <w:t xml:space="preserve">teoría del </w:t>
      </w:r>
      <w:proofErr w:type="spellStart"/>
      <w:r w:rsidRPr="00EE5911">
        <w:rPr>
          <w:b/>
          <w:bCs/>
          <w:i/>
          <w:iCs/>
        </w:rPr>
        <w:t>second</w:t>
      </w:r>
      <w:proofErr w:type="spellEnd"/>
      <w:r w:rsidRPr="00EE5911">
        <w:rPr>
          <w:b/>
          <w:bCs/>
          <w:i/>
          <w:iCs/>
        </w:rPr>
        <w:t xml:space="preserve"> </w:t>
      </w:r>
      <w:proofErr w:type="spellStart"/>
      <w:r w:rsidRPr="00EE5911">
        <w:rPr>
          <w:b/>
          <w:bCs/>
          <w:i/>
          <w:iCs/>
        </w:rPr>
        <w:t>best</w:t>
      </w:r>
      <w:proofErr w:type="spellEnd"/>
      <w:r>
        <w:t xml:space="preserve"> posteriormente desarrollada por </w:t>
      </w:r>
      <w:proofErr w:type="spellStart"/>
      <w:r>
        <w:rPr>
          <w:smallCaps/>
        </w:rPr>
        <w:t>Lipsey</w:t>
      </w:r>
      <w:proofErr w:type="spellEnd"/>
      <w:r>
        <w:t xml:space="preserve"> y </w:t>
      </w:r>
      <w:r>
        <w:rPr>
          <w:smallCaps/>
        </w:rPr>
        <w:t>Lancaster</w:t>
      </w:r>
      <w:r>
        <w:t xml:space="preserve"> (1956) </w:t>
      </w:r>
      <w:r w:rsidRPr="00C60723">
        <w:rPr>
          <w:color w:val="767171" w:themeColor="background2" w:themeShade="80"/>
          <w:sz w:val="19"/>
          <w:szCs w:val="19"/>
        </w:rPr>
        <w:t>[ver tema 3.A.22]</w:t>
      </w:r>
      <w:r>
        <w:t>. Est</w:t>
      </w:r>
      <w:r w:rsidR="00052305">
        <w:t>a</w:t>
      </w:r>
      <w:r>
        <w:t xml:space="preserve"> teoría nos dice que </w:t>
      </w:r>
      <w:r w:rsidR="00052305">
        <w:t xml:space="preserve">cuando </w:t>
      </w:r>
      <w:r w:rsidR="00052305" w:rsidRPr="00F16A72">
        <w:t>no</w:t>
      </w:r>
      <w:r w:rsidR="00052305">
        <w:t xml:space="preserve"> se cumple alguna de las condiciones de óptimo, entonces las otras condiciones de Pareto, aunque se puedan cumplir o </w:t>
      </w:r>
      <w:r w:rsidR="00052305">
        <w:lastRenderedPageBreak/>
        <w:t xml:space="preserve">alcanzar, </w:t>
      </w:r>
      <w:r w:rsidR="00052305" w:rsidRPr="00F16A72">
        <w:t>no</w:t>
      </w:r>
      <w:r w:rsidR="00052305">
        <w:t xml:space="preserve"> son necesariamente deseables. Por lo tanto, las condiciones de Pareto son deseables sólo si se cumplen </w:t>
      </w:r>
      <w:r w:rsidR="00052305" w:rsidRPr="004B522B">
        <w:rPr>
          <w:i/>
        </w:rPr>
        <w:t>todas</w:t>
      </w:r>
      <w:r w:rsidR="00052305">
        <w:t xml:space="preserve"> de manera simultánea.</w:t>
      </w:r>
    </w:p>
    <w:p w14:paraId="33B5E010" w14:textId="2B5EF34E" w:rsidR="00052305" w:rsidRDefault="00052305" w:rsidP="00052305">
      <w:pPr>
        <w:pStyle w:val="Nivel3SM"/>
      </w:pPr>
      <w:r>
        <w:rPr>
          <w:smallCaps/>
        </w:rPr>
        <w:t>Meade</w:t>
      </w:r>
      <w:r>
        <w:t xml:space="preserve"> emplea la </w:t>
      </w:r>
      <w:r w:rsidRPr="00EE5911">
        <w:rPr>
          <w:i/>
          <w:iCs/>
          <w:u w:val="single"/>
        </w:rPr>
        <w:t xml:space="preserve">teoría del </w:t>
      </w:r>
      <w:proofErr w:type="spellStart"/>
      <w:r w:rsidRPr="00EE5911">
        <w:rPr>
          <w:i/>
          <w:iCs/>
          <w:u w:val="single"/>
        </w:rPr>
        <w:t>second</w:t>
      </w:r>
      <w:proofErr w:type="spellEnd"/>
      <w:r w:rsidRPr="00EE5911">
        <w:rPr>
          <w:i/>
          <w:iCs/>
          <w:u w:val="single"/>
        </w:rPr>
        <w:t xml:space="preserve"> </w:t>
      </w:r>
      <w:proofErr w:type="spellStart"/>
      <w:r w:rsidRPr="00EE5911">
        <w:rPr>
          <w:i/>
          <w:iCs/>
          <w:u w:val="single"/>
        </w:rPr>
        <w:t>best</w:t>
      </w:r>
      <w:proofErr w:type="spellEnd"/>
      <w:r>
        <w:t xml:space="preserve"> para generalizar el resultado de </w:t>
      </w:r>
      <w:r>
        <w:rPr>
          <w:smallCaps/>
        </w:rPr>
        <w:t>Viner</w:t>
      </w:r>
      <w:r>
        <w:t>: la formación de una unión aduanera, que supone un acercamiento al ideal de libre comercio, no tiene por</w:t>
      </w:r>
      <w:r w:rsidR="008F608F">
        <w:t xml:space="preserve"> </w:t>
      </w:r>
      <w:r>
        <w:t>qu</w:t>
      </w:r>
      <w:r w:rsidR="008F608F">
        <w:t>é</w:t>
      </w:r>
      <w:r>
        <w:t xml:space="preserve"> ser mejor en términos de bienestar que quedarse en una situación con menor integración.</w:t>
      </w:r>
    </w:p>
    <w:p w14:paraId="7C5A5D14" w14:textId="77777777" w:rsidR="00321EE2" w:rsidRDefault="00321EE2" w:rsidP="00321EE2">
      <w:pPr>
        <w:pStyle w:val="Nivel1SM"/>
        <w:keepNext/>
        <w:spacing w:after="0"/>
      </w:pPr>
      <w:r>
        <w:t xml:space="preserve">En general, podría parecer que una unión aduanera representa un paso hacia la situación ideal de libre comercio y por lo tanto mejoraría el bienestar social. Sin embargo, esto no es así debido a la teoría del </w:t>
      </w:r>
      <w:proofErr w:type="spellStart"/>
      <w:r>
        <w:rPr>
          <w:i/>
          <w:iCs/>
        </w:rPr>
        <w:t>second</w:t>
      </w:r>
      <w:proofErr w:type="spellEnd"/>
      <w:r>
        <w:rPr>
          <w:i/>
          <w:iCs/>
        </w:rPr>
        <w:t xml:space="preserve"> </w:t>
      </w:r>
      <w:proofErr w:type="spellStart"/>
      <w:r>
        <w:rPr>
          <w:i/>
          <w:iCs/>
        </w:rPr>
        <w:t>best</w:t>
      </w:r>
      <w:proofErr w:type="spellEnd"/>
      <w:r>
        <w:t xml:space="preserve"> </w:t>
      </w:r>
      <w:r w:rsidRPr="00A67F5C">
        <w:rPr>
          <w:color w:val="767171" w:themeColor="background2" w:themeShade="80"/>
          <w:sz w:val="19"/>
          <w:szCs w:val="19"/>
        </w:rPr>
        <w:t>[</w:t>
      </w:r>
      <w:r>
        <w:rPr>
          <w:color w:val="767171" w:themeColor="background2" w:themeShade="80"/>
          <w:sz w:val="19"/>
          <w:szCs w:val="19"/>
        </w:rPr>
        <w:t>ver tema 3.A.22</w:t>
      </w:r>
      <w:r w:rsidRPr="00A67F5C">
        <w:rPr>
          <w:color w:val="767171" w:themeColor="background2" w:themeShade="80"/>
          <w:sz w:val="19"/>
          <w:szCs w:val="19"/>
        </w:rPr>
        <w:t>]</w:t>
      </w:r>
      <w:r>
        <w:t>.</w:t>
      </w:r>
    </w:p>
    <w:p w14:paraId="31B1D13C" w14:textId="77777777" w:rsidR="00321EE2" w:rsidRDefault="00321EE2" w:rsidP="00321EE2">
      <w:pPr>
        <w:pStyle w:val="Nivel2SM"/>
        <w:keepNext/>
        <w:spacing w:after="0"/>
      </w:pPr>
      <w:r>
        <w:t xml:space="preserve">Las uniones aduaneras combinan </w:t>
      </w:r>
      <w:r w:rsidRPr="00F26B46">
        <w:rPr>
          <w:i/>
          <w:iCs/>
          <w:u w:val="single"/>
        </w:rPr>
        <w:t>proteccionismo</w:t>
      </w:r>
      <w:r>
        <w:t xml:space="preserve"> (</w:t>
      </w:r>
      <w:r>
        <w:rPr>
          <w:i/>
          <w:iCs/>
        </w:rPr>
        <w:t>erga ex</w:t>
      </w:r>
      <w:r w:rsidRPr="00F26B46">
        <w:rPr>
          <w:i/>
          <w:iCs/>
        </w:rPr>
        <w:t>tra</w:t>
      </w:r>
      <w:r>
        <w:t xml:space="preserve">, i.e. respecto al resto del mundo) y </w:t>
      </w:r>
      <w:r w:rsidRPr="00F26B46">
        <w:rPr>
          <w:i/>
          <w:iCs/>
          <w:u w:val="single"/>
        </w:rPr>
        <w:t>libre comercio</w:t>
      </w:r>
      <w:r>
        <w:t xml:space="preserve"> (</w:t>
      </w:r>
      <w:r>
        <w:rPr>
          <w:i/>
          <w:iCs/>
        </w:rPr>
        <w:t xml:space="preserve">erga </w:t>
      </w:r>
      <w:r w:rsidRPr="00F26B46">
        <w:rPr>
          <w:i/>
          <w:iCs/>
        </w:rPr>
        <w:t>intra</w:t>
      </w:r>
      <w:r>
        <w:t xml:space="preserve">, i.e. </w:t>
      </w:r>
      <w:r w:rsidRPr="00F26B46">
        <w:t>en</w:t>
      </w:r>
      <w:r>
        <w:t xml:space="preserve"> su interior), de lo que se deduce:</w:t>
      </w:r>
    </w:p>
    <w:p w14:paraId="0DB4C623" w14:textId="77777777" w:rsidR="00321EE2" w:rsidRPr="000301CB" w:rsidRDefault="00321EE2" w:rsidP="00321EE2">
      <w:pPr>
        <w:pStyle w:val="Nivel3SM"/>
      </w:pPr>
      <w:r w:rsidRPr="00AB22B5">
        <w:rPr>
          <w:i/>
          <w:iCs/>
        </w:rPr>
        <w:t>La unión aduanera conduce a un nivel de bienestar menor que el libre comercio</w:t>
      </w:r>
      <w:r w:rsidRPr="000301CB">
        <w:t xml:space="preserve">. En efecto, para que se dé una asignación óptima en el sentido de Pareto a nivel mundial, es necesario que se cumpla la siguiente condición: </w:t>
      </w:r>
      <m:oMath>
        <m:sSubSup>
          <m:sSubSupPr>
            <m:ctrlPr>
              <w:rPr>
                <w:rFonts w:ascii="Cambria Math" w:hAnsi="Cambria Math"/>
                <w:i/>
              </w:rPr>
            </m:ctrlPr>
          </m:sSubSupPr>
          <m:e>
            <m:r>
              <m:rPr>
                <m:nor/>
              </m:rPr>
              <w:rPr>
                <w:i/>
              </w:rPr>
              <m:t>RMS</m:t>
            </m:r>
          </m:e>
          <m:sub>
            <m:r>
              <m:rPr>
                <m:nor/>
              </m:rPr>
              <w:rPr>
                <w:i/>
              </w:rPr>
              <m:t>X</m:t>
            </m:r>
          </m:sub>
          <m:sup>
            <m:r>
              <m:rPr>
                <m:nor/>
              </m:rPr>
              <w:rPr>
                <w:i/>
              </w:rPr>
              <m:t>Y</m:t>
            </m:r>
          </m:sup>
        </m:sSubSup>
        <m:r>
          <w:rPr>
            <w:rFonts w:ascii="Cambria Math" w:hAnsi="Cambria Math"/>
          </w:rPr>
          <m:t>=</m:t>
        </m:r>
        <m:sSubSup>
          <m:sSubSupPr>
            <m:ctrlPr>
              <w:rPr>
                <w:rFonts w:ascii="Cambria Math" w:hAnsi="Cambria Math"/>
                <w:i/>
              </w:rPr>
            </m:ctrlPr>
          </m:sSubSupPr>
          <m:e>
            <m:r>
              <m:rPr>
                <m:nor/>
              </m:rPr>
              <w:rPr>
                <w:i/>
              </w:rPr>
              <m:t>RMT</m:t>
            </m:r>
          </m:e>
          <m:sub>
            <m:r>
              <m:rPr>
                <m:nor/>
              </m:rPr>
              <w:rPr>
                <w:i/>
              </w:rPr>
              <m:t>X</m:t>
            </m:r>
          </m:sub>
          <m:sup>
            <m:r>
              <m:rPr>
                <m:nor/>
              </m:rPr>
              <w:rPr>
                <w:i/>
              </w:rPr>
              <m:t>Y</m:t>
            </m:r>
          </m:sup>
        </m:sSubSup>
        <m:r>
          <w:rPr>
            <w:rFonts w:ascii="Cambria Math" w:hAnsi="Cambria Math"/>
          </w:rPr>
          <m:t>=</m:t>
        </m:r>
        <m:r>
          <m:rPr>
            <m:nor/>
          </m:rPr>
          <w:rPr>
            <w:i/>
          </w:rPr>
          <m:t>RRI</m:t>
        </m:r>
      </m:oMath>
      <w:r w:rsidRPr="000301CB">
        <w:t>. Con libre comercio esta condición se cumple, por lo que el libre comercio es óptimo en el sentido de Pareto. Con una unión aduanera, sin embargo, se mantienen aranceles con el exterior, por lo que se abre una brecha entre el nivel de precios doméstico y la RRI, de forma que ya no se alcanza un óptimo de Pareto.</w:t>
      </w:r>
    </w:p>
    <w:p w14:paraId="6B21F04C" w14:textId="77777777" w:rsidR="00321EE2" w:rsidRDefault="00321EE2" w:rsidP="00422AC6">
      <w:pPr>
        <w:pStyle w:val="Nivel3SM"/>
      </w:pPr>
      <w:r w:rsidRPr="00AB22B5">
        <w:rPr>
          <w:i/>
          <w:iCs/>
        </w:rPr>
        <w:t>La unión aduanera no es necesariamente mejor que una estructura arancelaria no discriminatoria</w:t>
      </w:r>
      <w:r>
        <w:t xml:space="preserve">. Aunque hallamos eliminado los aranceles (y por ende estemos más cerca de una situación de libre comercio), no estamos necesariamente mejor que con aranceles. Esto se justifica porque, al comparar las dos situaciones, nos estamos moviendo en la teoría del </w:t>
      </w:r>
      <w:proofErr w:type="spellStart"/>
      <w:r>
        <w:rPr>
          <w:i/>
          <w:iCs/>
        </w:rPr>
        <w:t>second</w:t>
      </w:r>
      <w:proofErr w:type="spellEnd"/>
      <w:r>
        <w:rPr>
          <w:i/>
          <w:iCs/>
        </w:rPr>
        <w:t xml:space="preserve"> </w:t>
      </w:r>
      <w:proofErr w:type="spellStart"/>
      <w:r>
        <w:rPr>
          <w:i/>
          <w:iCs/>
        </w:rPr>
        <w:t>best</w:t>
      </w:r>
      <w:proofErr w:type="spellEnd"/>
      <w:r>
        <w:rPr>
          <w:rStyle w:val="Refdenotaalpie"/>
          <w:i/>
          <w:iCs/>
        </w:rPr>
        <w:footnoteReference w:id="7"/>
      </w:r>
      <w:r>
        <w:t xml:space="preserve"> </w:t>
      </w:r>
      <w:r w:rsidRPr="00BD4D6B">
        <w:rPr>
          <w:color w:val="767171" w:themeColor="background2" w:themeShade="80"/>
          <w:sz w:val="19"/>
          <w:szCs w:val="19"/>
        </w:rPr>
        <w:t>[tema 3.A.22]</w:t>
      </w:r>
      <w:r>
        <w:t>, puesto que la formación de una unión aduanera elimina una distorsión (los aranceles entre sus países miembros), pero mantiene otras (los aranceles a terceros países).</w:t>
      </w:r>
    </w:p>
    <w:p w14:paraId="09D424B6" w14:textId="4DC5EAE2" w:rsidR="00052305" w:rsidRDefault="000D6DBA" w:rsidP="000558A2">
      <w:pPr>
        <w:pStyle w:val="Ttulo3"/>
      </w:pPr>
      <w:bookmarkStart w:id="35" w:name="_Toc172225487"/>
      <w:r w:rsidRPr="000D6DBA">
        <w:lastRenderedPageBreak/>
        <w:t>Aportación de</w:t>
      </w:r>
      <w:r>
        <w:rPr>
          <w:smallCaps/>
        </w:rPr>
        <w:t xml:space="preserve"> </w:t>
      </w:r>
      <w:proofErr w:type="spellStart"/>
      <w:r w:rsidR="00052305">
        <w:rPr>
          <w:smallCaps/>
        </w:rPr>
        <w:t>Lipsey</w:t>
      </w:r>
      <w:proofErr w:type="spellEnd"/>
      <w:r w:rsidR="00052305">
        <w:t xml:space="preserve"> (1957)</w:t>
      </w:r>
      <w:bookmarkEnd w:id="35"/>
    </w:p>
    <w:p w14:paraId="3CD0CB06" w14:textId="65FC7A66" w:rsidR="0039453F" w:rsidRPr="0039453F" w:rsidRDefault="0039453F" w:rsidP="0039453F">
      <w:pPr>
        <w:pStyle w:val="Ttulo6"/>
        <w:spacing w:before="0"/>
      </w:pPr>
      <w:bookmarkStart w:id="36" w:name="_Toc172225488"/>
      <w:r>
        <w:t>Idea</w:t>
      </w:r>
      <w:bookmarkEnd w:id="36"/>
    </w:p>
    <w:p w14:paraId="6F1AC99D" w14:textId="21CC9AD7" w:rsidR="00322094" w:rsidRDefault="003B294B" w:rsidP="008F608F">
      <w:pPr>
        <w:pStyle w:val="Nivel1SM"/>
        <w:keepLines/>
        <w:spacing w:before="0"/>
      </w:pPr>
      <w:r>
        <w:t xml:space="preserve">Posteriormente, </w:t>
      </w:r>
      <w:proofErr w:type="spellStart"/>
      <w:r w:rsidRPr="006B66DE">
        <w:rPr>
          <w:smallCaps/>
        </w:rPr>
        <w:t>Lipsey</w:t>
      </w:r>
      <w:proofErr w:type="spellEnd"/>
      <w:r>
        <w:t xml:space="preserve"> (1957) va a estudiar precisamente el lado de la producción y el lado del consumo en equilibrio general.</w:t>
      </w:r>
      <w:r w:rsidR="006B66DE">
        <w:t xml:space="preserve"> </w:t>
      </w:r>
      <w:r>
        <w:t xml:space="preserve">En </w:t>
      </w:r>
      <w:r w:rsidR="006B66DE">
        <w:t xml:space="preserve">cualquier caso, </w:t>
      </w:r>
      <w:r w:rsidR="00322094">
        <w:t xml:space="preserve">de momento </w:t>
      </w:r>
      <w:r>
        <w:t xml:space="preserve">vamos a </w:t>
      </w:r>
      <w:r w:rsidR="006B66DE">
        <w:t xml:space="preserve">considerar la aportación de </w:t>
      </w:r>
      <w:proofErr w:type="spellStart"/>
      <w:r w:rsidR="006B66DE">
        <w:rPr>
          <w:smallCaps/>
        </w:rPr>
        <w:t>Lipsey</w:t>
      </w:r>
      <w:proofErr w:type="spellEnd"/>
      <w:r w:rsidR="006B66DE">
        <w:t xml:space="preserve"> (1957)</w:t>
      </w:r>
      <w:r>
        <w:t xml:space="preserve"> </w:t>
      </w:r>
      <w:r w:rsidR="00322094">
        <w:t xml:space="preserve">en </w:t>
      </w:r>
      <w:r>
        <w:t xml:space="preserve">un </w:t>
      </w:r>
      <w:r w:rsidR="00322094">
        <w:t>contexto</w:t>
      </w:r>
      <w:r>
        <w:t xml:space="preserve"> de equilibrio parcial</w:t>
      </w:r>
      <w:r w:rsidR="00322094">
        <w:t>.</w:t>
      </w:r>
    </w:p>
    <w:p w14:paraId="22AA8EEF" w14:textId="54FF565B" w:rsidR="0039453F" w:rsidRDefault="0039453F" w:rsidP="0039453F">
      <w:pPr>
        <w:pStyle w:val="Ttulo6"/>
      </w:pPr>
      <w:bookmarkStart w:id="37" w:name="_Toc172225489"/>
      <w:r>
        <w:t>Modelo</w:t>
      </w:r>
      <w:r w:rsidR="00C02FB6">
        <w:t xml:space="preserve"> de equilibrio parcial</w:t>
      </w:r>
      <w:bookmarkEnd w:id="37"/>
    </w:p>
    <w:p w14:paraId="2B246B8D" w14:textId="30444F65" w:rsidR="0039453F" w:rsidRPr="0039453F" w:rsidRDefault="0039453F" w:rsidP="0039453F">
      <w:pPr>
        <w:pStyle w:val="Ttulo7"/>
        <w:spacing w:before="0"/>
      </w:pPr>
      <w:r>
        <w:t>Supuestos</w:t>
      </w:r>
    </w:p>
    <w:p w14:paraId="36E43A99" w14:textId="0B62EF27" w:rsidR="003B294B" w:rsidRDefault="00322094" w:rsidP="0039453F">
      <w:pPr>
        <w:pStyle w:val="Nivel1SM"/>
        <w:keepNext/>
        <w:keepLines/>
        <w:spacing w:before="0" w:after="0"/>
      </w:pPr>
      <w:r>
        <w:t>P</w:t>
      </w:r>
      <w:r w:rsidR="006B66DE">
        <w:t xml:space="preserve">artiendo del análisis de </w:t>
      </w:r>
      <w:r w:rsidR="006B66DE" w:rsidRPr="006B66DE">
        <w:rPr>
          <w:smallCaps/>
        </w:rPr>
        <w:t>Viner</w:t>
      </w:r>
      <w:r>
        <w:t>,</w:t>
      </w:r>
      <w:r w:rsidR="006B66DE">
        <w:t xml:space="preserve"> relaja</w:t>
      </w:r>
      <w:r>
        <w:t>mos</w:t>
      </w:r>
      <w:r w:rsidR="006B66DE">
        <w:t xml:space="preserve"> </w:t>
      </w:r>
      <w:r w:rsidR="008F608F">
        <w:t>2 </w:t>
      </w:r>
      <w:r w:rsidR="006B66DE">
        <w:t>supuestos:</w:t>
      </w:r>
    </w:p>
    <w:p w14:paraId="4BAD9D07" w14:textId="69D3C35E" w:rsidR="00287286" w:rsidRPr="00C5299E" w:rsidRDefault="006B66DE" w:rsidP="003B294B">
      <w:pPr>
        <w:pStyle w:val="Nivel2SM"/>
        <w:keepNext/>
        <w:spacing w:after="0"/>
      </w:pPr>
      <w:r w:rsidRPr="006B66DE">
        <w:t>En</w:t>
      </w:r>
      <w:r>
        <w:t xml:space="preserve"> primer lugar,</w:t>
      </w:r>
      <w:r w:rsidR="00287286">
        <w:t xml:space="preserve"> relaja</w:t>
      </w:r>
      <w:r>
        <w:t>remos</w:t>
      </w:r>
      <w:r w:rsidR="00287286">
        <w:t xml:space="preserve"> el supuesto de demanda ve</w:t>
      </w:r>
      <w:r w:rsidR="00287286" w:rsidRPr="00C5299E">
        <w:t>rtical, entendiendo que</w:t>
      </w:r>
      <w:r w:rsidR="00621392">
        <w:t xml:space="preserve"> la demanda</w:t>
      </w:r>
      <w:r w:rsidR="00287286" w:rsidRPr="00C5299E">
        <w:t xml:space="preserve"> tiene </w:t>
      </w:r>
      <w:r w:rsidR="00287286" w:rsidRPr="00C5299E">
        <w:rPr>
          <w:b/>
          <w:bCs/>
        </w:rPr>
        <w:t>pendiente negativa</w:t>
      </w:r>
      <w:r w:rsidR="00287286" w:rsidRPr="00C5299E">
        <w:t>.</w:t>
      </w:r>
    </w:p>
    <w:p w14:paraId="2620F6D6" w14:textId="3F17E93A" w:rsidR="00C5299E" w:rsidRDefault="00C5299E" w:rsidP="003B294B">
      <w:pPr>
        <w:pStyle w:val="Nivel3SM"/>
      </w:pPr>
      <w:r w:rsidRPr="00C5299E">
        <w:t xml:space="preserve">De este modo, la formación de una unión aduanera tendrá un efecto adicional: la </w:t>
      </w:r>
      <w:r w:rsidRPr="004D4DA7">
        <w:rPr>
          <w:i/>
          <w:iCs/>
          <w:u w:val="single"/>
        </w:rPr>
        <w:t>creación de consumo</w:t>
      </w:r>
      <w:r>
        <w:t>, que es el aumento de la demanda producido por la caída del precio, de manera que aumentará el excedente del consumidore.</w:t>
      </w:r>
    </w:p>
    <w:p w14:paraId="135B3A41" w14:textId="6B72F94E" w:rsidR="00C5299E" w:rsidRDefault="00621392" w:rsidP="00621392">
      <w:pPr>
        <w:pStyle w:val="Nivel2SM"/>
      </w:pPr>
      <w:r>
        <w:t xml:space="preserve">En segundo lugar, </w:t>
      </w:r>
      <w:proofErr w:type="spellStart"/>
      <w:r w:rsidR="00C5299E">
        <w:rPr>
          <w:smallCaps/>
        </w:rPr>
        <w:t>Lipsey</w:t>
      </w:r>
      <w:proofErr w:type="spellEnd"/>
      <w:r w:rsidR="00C5299E" w:rsidRPr="00C5299E">
        <w:t xml:space="preserve"> considera</w:t>
      </w:r>
      <w:r w:rsidR="00C5299E">
        <w:t>,</w:t>
      </w:r>
      <w:r w:rsidR="00C5299E" w:rsidRPr="00C5299E">
        <w:t xml:space="preserve"> además</w:t>
      </w:r>
      <w:r w:rsidR="00C5299E">
        <w:t xml:space="preserve">, que </w:t>
      </w:r>
      <w:r w:rsidR="00C5299E" w:rsidRPr="004D4DA7">
        <w:rPr>
          <w:b/>
          <w:bCs/>
        </w:rPr>
        <w:t>el coste marginal (i.e. curva de oferta) no es constante sino creciente</w:t>
      </w:r>
      <w:r w:rsidR="00C5299E">
        <w:t>.</w:t>
      </w:r>
    </w:p>
    <w:p w14:paraId="34D31607" w14:textId="64568E6C" w:rsidR="0039453F" w:rsidRDefault="0039453F" w:rsidP="0039453F">
      <w:pPr>
        <w:pStyle w:val="Ttulo7"/>
      </w:pPr>
      <w:r>
        <w:t>Desarrollo</w:t>
      </w:r>
    </w:p>
    <w:p w14:paraId="1456FD22" w14:textId="22DDFEAE" w:rsidR="00C5299E" w:rsidRPr="00422AC6" w:rsidRDefault="00C5299E" w:rsidP="0039453F">
      <w:pPr>
        <w:pStyle w:val="Nivel1SM"/>
        <w:spacing w:before="0"/>
        <w:rPr>
          <w:rFonts w:eastAsiaTheme="minorEastAsia"/>
          <w:spacing w:val="-2"/>
        </w:rPr>
      </w:pPr>
      <w:r w:rsidRPr="00422AC6">
        <w:rPr>
          <w:spacing w:val="-2"/>
        </w:rPr>
        <w:t>Gráficamente, antes de que se forme una unión aduanera existe una estructura arancelaria no</w:t>
      </w:r>
      <w:r w:rsidR="00422AC6" w:rsidRPr="00422AC6">
        <w:rPr>
          <w:spacing w:val="-2"/>
        </w:rPr>
        <w:t> </w:t>
      </w:r>
      <w:r w:rsidRPr="00422AC6">
        <w:rPr>
          <w:spacing w:val="-2"/>
        </w:rPr>
        <w:t>discrimina</w:t>
      </w:r>
      <w:r w:rsidR="00422AC6">
        <w:rPr>
          <w:spacing w:val="-2"/>
        </w:rPr>
        <w:t>t</w:t>
      </w:r>
      <w:r w:rsidRPr="00422AC6">
        <w:rPr>
          <w:spacing w:val="-2"/>
        </w:rPr>
        <w:t>or</w:t>
      </w:r>
      <w:r w:rsidR="00422AC6">
        <w:rPr>
          <w:spacing w:val="-2"/>
        </w:rPr>
        <w:t>i</w:t>
      </w:r>
      <w:r w:rsidRPr="00422AC6">
        <w:rPr>
          <w:spacing w:val="-2"/>
        </w:rPr>
        <w:t xml:space="preserve">a, y las importaciones provienen de </w:t>
      </w:r>
      <w:r w:rsidRPr="00422AC6">
        <w:rPr>
          <w:i/>
          <w:iCs/>
          <w:spacing w:val="-2"/>
        </w:rPr>
        <w:t>R</w:t>
      </w:r>
      <w:r w:rsidRPr="00422AC6">
        <w:rPr>
          <w:spacing w:val="-2"/>
        </w:rPr>
        <w:t xml:space="preserve"> a un precio </w:t>
      </w:r>
      <m:oMath>
        <m:d>
          <m:dPr>
            <m:ctrlPr>
              <w:rPr>
                <w:rFonts w:ascii="Cambria Math" w:hAnsi="Cambria Math"/>
                <w:i/>
                <w:spacing w:val="-2"/>
              </w:rPr>
            </m:ctrlPr>
          </m:dPr>
          <m:e>
            <m:sSub>
              <m:sSubPr>
                <m:ctrlPr>
                  <w:rPr>
                    <w:rFonts w:ascii="Cambria Math" w:hAnsi="Cambria Math"/>
                    <w:i/>
                    <w:spacing w:val="-2"/>
                  </w:rPr>
                </m:ctrlPr>
              </m:sSubPr>
              <m:e>
                <m:r>
                  <m:rPr>
                    <m:nor/>
                  </m:rPr>
                  <w:rPr>
                    <w:i/>
                    <w:spacing w:val="-2"/>
                  </w:rPr>
                  <m:t>P</m:t>
                </m:r>
              </m:e>
              <m:sub>
                <m:r>
                  <m:rPr>
                    <m:nor/>
                  </m:rPr>
                  <w:rPr>
                    <w:i/>
                    <w:spacing w:val="-2"/>
                  </w:rPr>
                  <m:t>R</m:t>
                </m:r>
              </m:sub>
            </m:sSub>
            <m:r>
              <w:rPr>
                <w:rFonts w:ascii="Cambria Math" w:hAnsi="Cambria Math"/>
                <w:spacing w:val="-2"/>
              </w:rPr>
              <m:t>+</m:t>
            </m:r>
            <m:r>
              <m:rPr>
                <m:nor/>
              </m:rPr>
              <w:rPr>
                <w:i/>
                <w:spacing w:val="-2"/>
              </w:rPr>
              <m:t>t</m:t>
            </m:r>
          </m:e>
        </m:d>
      </m:oMath>
      <w:r w:rsidRPr="00422AC6">
        <w:rPr>
          <w:rFonts w:eastAsiaTheme="minorEastAsia"/>
          <w:spacing w:val="-2"/>
        </w:rPr>
        <w:t xml:space="preserve">, que es menor que </w:t>
      </w:r>
      <m:oMath>
        <m:d>
          <m:dPr>
            <m:ctrlPr>
              <w:rPr>
                <w:rFonts w:ascii="Cambria Math" w:hAnsi="Cambria Math"/>
                <w:i/>
                <w:spacing w:val="-2"/>
              </w:rPr>
            </m:ctrlPr>
          </m:dPr>
          <m:e>
            <m:sSub>
              <m:sSubPr>
                <m:ctrlPr>
                  <w:rPr>
                    <w:rFonts w:ascii="Cambria Math" w:hAnsi="Cambria Math"/>
                    <w:i/>
                    <w:spacing w:val="-2"/>
                  </w:rPr>
                </m:ctrlPr>
              </m:sSubPr>
              <m:e>
                <m:r>
                  <m:rPr>
                    <m:nor/>
                  </m:rPr>
                  <w:rPr>
                    <w:i/>
                    <w:spacing w:val="-2"/>
                  </w:rPr>
                  <m:t>P</m:t>
                </m:r>
              </m:e>
              <m:sub>
                <m:r>
                  <m:rPr>
                    <m:nor/>
                  </m:rPr>
                  <w:rPr>
                    <w:i/>
                    <w:spacing w:val="-2"/>
                  </w:rPr>
                  <m:t>B</m:t>
                </m:r>
              </m:sub>
            </m:sSub>
            <m:r>
              <w:rPr>
                <w:rFonts w:ascii="Cambria Math" w:hAnsi="Cambria Math"/>
                <w:spacing w:val="-2"/>
              </w:rPr>
              <m:t>+</m:t>
            </m:r>
            <m:r>
              <m:rPr>
                <m:nor/>
              </m:rPr>
              <w:rPr>
                <w:i/>
                <w:spacing w:val="-2"/>
              </w:rPr>
              <m:t>t</m:t>
            </m:r>
          </m:e>
        </m:d>
      </m:oMath>
      <w:r w:rsidRPr="00422AC6">
        <w:rPr>
          <w:rFonts w:eastAsiaTheme="minorEastAsia"/>
          <w:spacing w:val="-2"/>
        </w:rPr>
        <w:t xml:space="preserve"> pero mayor que </w:t>
      </w:r>
      <m:oMath>
        <m:sSub>
          <m:sSubPr>
            <m:ctrlPr>
              <w:rPr>
                <w:rFonts w:ascii="Cambria Math" w:hAnsi="Cambria Math"/>
                <w:i/>
                <w:spacing w:val="-2"/>
              </w:rPr>
            </m:ctrlPr>
          </m:sSubPr>
          <m:e>
            <m:r>
              <m:rPr>
                <m:nor/>
              </m:rPr>
              <w:rPr>
                <w:i/>
                <w:spacing w:val="-2"/>
              </w:rPr>
              <m:t>P</m:t>
            </m:r>
          </m:e>
          <m:sub>
            <m:r>
              <m:rPr>
                <m:nor/>
              </m:rPr>
              <w:rPr>
                <w:i/>
                <w:spacing w:val="-2"/>
              </w:rPr>
              <m:t>B</m:t>
            </m:r>
          </m:sub>
        </m:sSub>
      </m:oMath>
      <w:r w:rsidRPr="00422AC6">
        <w:rPr>
          <w:rFonts w:eastAsiaTheme="minorEastAsia"/>
          <w:spacing w:val="-2"/>
        </w:rPr>
        <w:t xml:space="preserve">. Tras la creación de la unión aduanera entre </w:t>
      </w:r>
      <w:r w:rsidRPr="00422AC6">
        <w:rPr>
          <w:rFonts w:eastAsiaTheme="minorEastAsia"/>
          <w:i/>
          <w:iCs/>
          <w:spacing w:val="-2"/>
        </w:rPr>
        <w:t>A</w:t>
      </w:r>
      <w:r w:rsidRPr="00422AC6">
        <w:rPr>
          <w:rFonts w:eastAsiaTheme="minorEastAsia"/>
          <w:spacing w:val="-2"/>
        </w:rPr>
        <w:t xml:space="preserve"> y </w:t>
      </w:r>
      <w:r w:rsidRPr="00422AC6">
        <w:rPr>
          <w:rFonts w:eastAsiaTheme="minorEastAsia"/>
          <w:i/>
          <w:iCs/>
          <w:spacing w:val="-2"/>
        </w:rPr>
        <w:t>B</w:t>
      </w:r>
      <w:r w:rsidRPr="00422AC6">
        <w:rPr>
          <w:rFonts w:eastAsiaTheme="minorEastAsia"/>
          <w:spacing w:val="-2"/>
        </w:rPr>
        <w:t>, el país</w:t>
      </w:r>
      <w:r w:rsidR="00422AC6" w:rsidRPr="00422AC6">
        <w:rPr>
          <w:rFonts w:eastAsiaTheme="minorEastAsia"/>
          <w:spacing w:val="-2"/>
        </w:rPr>
        <w:t> </w:t>
      </w:r>
      <w:r w:rsidRPr="00422AC6">
        <w:rPr>
          <w:rFonts w:eastAsiaTheme="minorEastAsia"/>
          <w:i/>
          <w:iCs/>
          <w:spacing w:val="-2"/>
        </w:rPr>
        <w:t>A</w:t>
      </w:r>
      <w:r w:rsidRPr="00422AC6">
        <w:rPr>
          <w:rFonts w:eastAsiaTheme="minorEastAsia"/>
          <w:spacing w:val="-2"/>
        </w:rPr>
        <w:t xml:space="preserve"> para a importar de </w:t>
      </w:r>
      <w:r w:rsidRPr="00422AC6">
        <w:rPr>
          <w:rFonts w:eastAsiaTheme="minorEastAsia"/>
          <w:i/>
          <w:iCs/>
          <w:spacing w:val="-2"/>
        </w:rPr>
        <w:t>B</w:t>
      </w:r>
      <w:r w:rsidRPr="00422AC6">
        <w:rPr>
          <w:rFonts w:eastAsiaTheme="minorEastAsia"/>
          <w:spacing w:val="-2"/>
        </w:rPr>
        <w:t xml:space="preserve">, ya que ahora su precio de importación, </w:t>
      </w:r>
      <m:oMath>
        <m:sSub>
          <m:sSubPr>
            <m:ctrlPr>
              <w:rPr>
                <w:rFonts w:ascii="Cambria Math" w:hAnsi="Cambria Math"/>
                <w:i/>
                <w:spacing w:val="-2"/>
              </w:rPr>
            </m:ctrlPr>
          </m:sSubPr>
          <m:e>
            <m:r>
              <m:rPr>
                <m:nor/>
              </m:rPr>
              <w:rPr>
                <w:i/>
                <w:spacing w:val="-2"/>
              </w:rPr>
              <m:t>P</m:t>
            </m:r>
          </m:e>
          <m:sub>
            <m:r>
              <m:rPr>
                <m:nor/>
              </m:rPr>
              <w:rPr>
                <w:i/>
                <w:spacing w:val="-2"/>
              </w:rPr>
              <m:t>B</m:t>
            </m:r>
          </m:sub>
        </m:sSub>
      </m:oMath>
      <w:r w:rsidRPr="00422AC6">
        <w:rPr>
          <w:rFonts w:eastAsiaTheme="minorEastAsia"/>
          <w:spacing w:val="-2"/>
        </w:rPr>
        <w:t xml:space="preserve">, es menor que el del resto del mundo, </w:t>
      </w:r>
      <m:oMath>
        <m:d>
          <m:dPr>
            <m:ctrlPr>
              <w:rPr>
                <w:rFonts w:ascii="Cambria Math" w:hAnsi="Cambria Math"/>
                <w:i/>
                <w:spacing w:val="-2"/>
              </w:rPr>
            </m:ctrlPr>
          </m:dPr>
          <m:e>
            <m:sSub>
              <m:sSubPr>
                <m:ctrlPr>
                  <w:rPr>
                    <w:rFonts w:ascii="Cambria Math" w:hAnsi="Cambria Math"/>
                    <w:i/>
                    <w:spacing w:val="-2"/>
                  </w:rPr>
                </m:ctrlPr>
              </m:sSubPr>
              <m:e>
                <m:r>
                  <m:rPr>
                    <m:nor/>
                  </m:rPr>
                  <w:rPr>
                    <w:i/>
                    <w:spacing w:val="-2"/>
                  </w:rPr>
                  <m:t>P</m:t>
                </m:r>
              </m:e>
              <m:sub>
                <m:r>
                  <m:rPr>
                    <m:nor/>
                  </m:rPr>
                  <w:rPr>
                    <w:i/>
                    <w:spacing w:val="-2"/>
                  </w:rPr>
                  <m:t>R</m:t>
                </m:r>
              </m:sub>
            </m:sSub>
            <m:r>
              <w:rPr>
                <w:rFonts w:ascii="Cambria Math" w:hAnsi="Cambria Math"/>
                <w:spacing w:val="-2"/>
              </w:rPr>
              <m:t>+</m:t>
            </m:r>
            <m:r>
              <m:rPr>
                <m:nor/>
              </m:rPr>
              <w:rPr>
                <w:i/>
                <w:spacing w:val="-2"/>
              </w:rPr>
              <m:t>t</m:t>
            </m:r>
          </m:e>
        </m:d>
      </m:oMath>
      <w:r w:rsidRPr="00422AC6">
        <w:rPr>
          <w:rFonts w:eastAsiaTheme="minorEastAsia"/>
          <w:spacing w:val="-2"/>
        </w:rPr>
        <w:t>.</w:t>
      </w:r>
    </w:p>
    <w:p w14:paraId="5F50FCE0" w14:textId="45AA5260" w:rsidR="00CB14FE" w:rsidRPr="00CB14FE" w:rsidRDefault="00CB14FE" w:rsidP="00CB14FE">
      <w:pPr>
        <w:pStyle w:val="Ttuloimagen"/>
        <w:rPr>
          <w:smallCaps w:val="0"/>
        </w:rPr>
      </w:pPr>
      <w:r>
        <w:t>Imagen</w:t>
      </w:r>
      <w:r w:rsidR="00933302">
        <w:t> </w:t>
      </w:r>
      <w:r>
        <w:fldChar w:fldCharType="begin"/>
      </w:r>
      <w:r>
        <w:instrText xml:space="preserve"> SEQ Ilustración \* ARABIC </w:instrText>
      </w:r>
      <w:r>
        <w:fldChar w:fldCharType="separate"/>
      </w:r>
      <w:r w:rsidR="006C02E9">
        <w:t>3</w:t>
      </w:r>
      <w:r>
        <w:fldChar w:fldCharType="end"/>
      </w:r>
      <w:r>
        <w:rPr>
          <w:smallCaps w:val="0"/>
        </w:rPr>
        <w:t xml:space="preserve">.– </w:t>
      </w:r>
      <w:r>
        <w:rPr>
          <w:i/>
          <w:iCs/>
          <w:smallCaps w:val="0"/>
        </w:rPr>
        <w:t xml:space="preserve">Análisis de </w:t>
      </w:r>
      <w:r>
        <w:rPr>
          <w:i/>
          <w:iCs/>
        </w:rPr>
        <w:t>Lipsey</w:t>
      </w:r>
      <w:r>
        <w:rPr>
          <w:i/>
          <w:iCs/>
          <w:smallCaps w:val="0"/>
        </w:rPr>
        <w:t xml:space="preserve"> (1957)</w:t>
      </w:r>
    </w:p>
    <w:p w14:paraId="51214D49" w14:textId="03541973" w:rsidR="00040EEE" w:rsidRDefault="00CE3518" w:rsidP="00CB14FE">
      <w:pPr>
        <w:pStyle w:val="Imagen"/>
      </w:pPr>
      <w:r>
        <w:drawing>
          <wp:inline distT="0" distB="0" distL="0" distR="0" wp14:anchorId="2C3FD803" wp14:editId="4C60FB30">
            <wp:extent cx="3840266" cy="2160000"/>
            <wp:effectExtent l="0" t="0" r="8255" b="0"/>
            <wp:docPr id="13" name="Imagen 1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líneas&#10;&#10;Descripción generada automáticamente"/>
                    <pic:cNvPicPr/>
                  </pic:nvPicPr>
                  <pic:blipFill>
                    <a:blip r:embed="rId17"/>
                    <a:stretch>
                      <a:fillRect/>
                    </a:stretch>
                  </pic:blipFill>
                  <pic:spPr>
                    <a:xfrm>
                      <a:off x="0" y="0"/>
                      <a:ext cx="3840266" cy="2160000"/>
                    </a:xfrm>
                    <a:prstGeom prst="rect">
                      <a:avLst/>
                    </a:prstGeom>
                  </pic:spPr>
                </pic:pic>
              </a:graphicData>
            </a:graphic>
          </wp:inline>
        </w:drawing>
      </w:r>
    </w:p>
    <w:p w14:paraId="7EE4DBFE" w14:textId="2D82007C" w:rsidR="00CB14FE" w:rsidRPr="00CB14FE" w:rsidRDefault="00CB14FE" w:rsidP="00CB14FE">
      <w:pPr>
        <w:pStyle w:val="PiedeImagen"/>
        <w:rPr>
          <w:i w:val="0"/>
          <w:iCs/>
        </w:rPr>
      </w:pPr>
      <w:r>
        <w:t>Fuente</w:t>
      </w:r>
      <w:r>
        <w:rPr>
          <w:i w:val="0"/>
          <w:iCs/>
        </w:rPr>
        <w:t>: Elaboración propia</w:t>
      </w:r>
    </w:p>
    <w:p w14:paraId="1E060C2F" w14:textId="288F193B" w:rsidR="0039453F" w:rsidRPr="0039453F" w:rsidRDefault="0039453F" w:rsidP="0039453F">
      <w:pPr>
        <w:pStyle w:val="Ttulo7"/>
      </w:pPr>
      <w:r>
        <w:t>Implicaciones</w:t>
      </w:r>
    </w:p>
    <w:p w14:paraId="779455E0" w14:textId="5D653E93" w:rsidR="00C5299E" w:rsidRDefault="00C5299E" w:rsidP="0039453F">
      <w:pPr>
        <w:pStyle w:val="Nivel1SM"/>
        <w:spacing w:before="0"/>
      </w:pPr>
      <w:r>
        <w:t>Como consecuencia, la demanda aumenta (por la pendiente negativa de la curva de demanda) y la oferta doméstica disminuye (por la pendiente positiva de la curva de costes). Así, la importaciones aumentan</w:t>
      </w:r>
      <w:r w:rsidRPr="00C5299E">
        <w:t>.</w:t>
      </w:r>
    </w:p>
    <w:p w14:paraId="70D53326" w14:textId="7B94EB08" w:rsidR="00795969" w:rsidRDefault="00795969" w:rsidP="0039453F">
      <w:pPr>
        <w:pStyle w:val="Nivel1SM"/>
        <w:keepNext/>
        <w:spacing w:after="0"/>
      </w:pPr>
      <w:r>
        <w:t xml:space="preserve">Los </w:t>
      </w:r>
      <w:r w:rsidRPr="0039453F">
        <w:rPr>
          <w:b/>
          <w:bCs/>
        </w:rPr>
        <w:t>efectos redistributivos</w:t>
      </w:r>
      <w:r>
        <w:t xml:space="preserve"> son:</w:t>
      </w:r>
    </w:p>
    <w:p w14:paraId="1B09963B" w14:textId="15D348B6" w:rsidR="00795969" w:rsidRPr="00795969" w:rsidRDefault="00795969" w:rsidP="0039453F">
      <w:pPr>
        <w:pStyle w:val="Nivel2SM"/>
      </w:pPr>
      <w:r w:rsidRPr="0039453F">
        <w:rPr>
          <w:i/>
          <w:iCs/>
          <w:u w:val="single"/>
        </w:rPr>
        <w:t>Excedente del consumidor</w:t>
      </w:r>
      <w:r w:rsidRPr="00795969">
        <w:t>:</w:t>
      </w:r>
      <w:r>
        <w:t xml:space="preserve"> </w:t>
      </w:r>
      <w:r w:rsidR="0039453F">
        <w:t>A</w:t>
      </w:r>
      <w:r>
        <w:t xml:space="preserve">umenta en </w:t>
      </w:r>
      <m:oMath>
        <m:d>
          <m:dPr>
            <m:ctrlPr>
              <w:rPr>
                <w:rFonts w:ascii="Cambria Math" w:hAnsi="Cambria Math"/>
                <w:i/>
                <w:iCs/>
              </w:rPr>
            </m:ctrlPr>
          </m:dPr>
          <m:e>
            <m:r>
              <m:rPr>
                <m:nor/>
              </m:rPr>
              <w:rPr>
                <w:i/>
                <w:iCs/>
              </w:rPr>
              <m:t>a</m:t>
            </m:r>
            <m:r>
              <w:rPr>
                <w:rFonts w:ascii="Cambria Math" w:hAnsi="Cambria Math"/>
              </w:rPr>
              <m:t>+</m:t>
            </m:r>
            <m:r>
              <m:rPr>
                <m:nor/>
              </m:rPr>
              <w:rPr>
                <w:i/>
                <w:iCs/>
              </w:rPr>
              <m:t>b</m:t>
            </m:r>
            <m:r>
              <w:rPr>
                <w:rFonts w:ascii="Cambria Math" w:hAnsi="Cambria Math"/>
              </w:rPr>
              <m:t>+</m:t>
            </m:r>
            <m:r>
              <m:rPr>
                <m:nor/>
              </m:rPr>
              <w:rPr>
                <w:i/>
                <w:iCs/>
              </w:rPr>
              <m:t>c</m:t>
            </m:r>
            <m:r>
              <w:rPr>
                <w:rFonts w:ascii="Cambria Math" w:hAnsi="Cambria Math"/>
              </w:rPr>
              <m:t>+</m:t>
            </m:r>
            <m:r>
              <m:rPr>
                <m:nor/>
              </m:rPr>
              <w:rPr>
                <w:i/>
                <w:iCs/>
              </w:rPr>
              <m:t>d</m:t>
            </m:r>
          </m:e>
        </m:d>
      </m:oMath>
      <w:r>
        <w:t>.</w:t>
      </w:r>
    </w:p>
    <w:p w14:paraId="0DBA3A40" w14:textId="420BCEF7" w:rsidR="00795969" w:rsidRDefault="00795969" w:rsidP="0039453F">
      <w:pPr>
        <w:pStyle w:val="Nivel2SM"/>
      </w:pPr>
      <w:r w:rsidRPr="0039453F">
        <w:rPr>
          <w:i/>
          <w:iCs/>
          <w:u w:val="single"/>
        </w:rPr>
        <w:t>Excedente del productor</w:t>
      </w:r>
      <w:r>
        <w:t xml:space="preserve">: </w:t>
      </w:r>
      <w:r w:rsidR="0039453F">
        <w:t>D</w:t>
      </w:r>
      <w:r>
        <w:t>isminuye en</w:t>
      </w:r>
      <w:r w:rsidRPr="00795969">
        <w:t xml:space="preserve"> </w:t>
      </w:r>
      <m:oMath>
        <m:r>
          <m:rPr>
            <m:nor/>
          </m:rPr>
          <w:rPr>
            <w:i/>
            <w:iCs/>
          </w:rPr>
          <m:t>a</m:t>
        </m:r>
      </m:oMath>
      <w:r>
        <w:t>.</w:t>
      </w:r>
    </w:p>
    <w:p w14:paraId="3FECFBB8" w14:textId="256BF09B" w:rsidR="00795969" w:rsidRDefault="00795969" w:rsidP="0039453F">
      <w:pPr>
        <w:pStyle w:val="Nivel2SM"/>
        <w:keepNext/>
        <w:spacing w:after="0"/>
      </w:pPr>
      <w:r w:rsidRPr="0039453F">
        <w:rPr>
          <w:i/>
          <w:iCs/>
          <w:u w:val="single"/>
        </w:rPr>
        <w:t>Recaudación del gobierno</w:t>
      </w:r>
      <w:r w:rsidR="004D4DA7" w:rsidRPr="004D4DA7">
        <w:rPr>
          <w:rStyle w:val="Refdenotaalpie"/>
          <w:iCs/>
        </w:rPr>
        <w:footnoteReference w:id="8"/>
      </w:r>
      <w:r>
        <w:t xml:space="preserve">: </w:t>
      </w:r>
      <w:r w:rsidR="0039453F">
        <w:t>D</w:t>
      </w:r>
      <w:r>
        <w:t xml:space="preserve">isminuye en </w:t>
      </w:r>
      <m:oMath>
        <m:d>
          <m:dPr>
            <m:ctrlPr>
              <w:rPr>
                <w:rFonts w:ascii="Cambria Math" w:hAnsi="Cambria Math"/>
                <w:i/>
                <w:iCs/>
              </w:rPr>
            </m:ctrlPr>
          </m:dPr>
          <m:e>
            <m:r>
              <m:rPr>
                <m:nor/>
              </m:rPr>
              <w:rPr>
                <w:i/>
                <w:iCs/>
              </w:rPr>
              <m:t>c</m:t>
            </m:r>
            <m:r>
              <w:rPr>
                <w:rFonts w:ascii="Cambria Math" w:hAnsi="Cambria Math"/>
              </w:rPr>
              <m:t>+</m:t>
            </m:r>
            <m:r>
              <m:rPr>
                <m:nor/>
              </m:rPr>
              <w:rPr>
                <w:i/>
                <w:iCs/>
              </w:rPr>
              <m:t>e</m:t>
            </m:r>
          </m:e>
        </m:d>
      </m:oMath>
      <w:r w:rsidRPr="007D717E">
        <w:rPr>
          <w:spacing w:val="-2"/>
          <w:sz w:val="20"/>
          <w:szCs w:val="20"/>
        </w:rPr>
        <w:t xml:space="preserve"> –es decir, es nula–</w:t>
      </w:r>
      <w:r>
        <w:t>.</w:t>
      </w:r>
    </w:p>
    <w:p w14:paraId="3B6C9172" w14:textId="44D13146" w:rsidR="00795969" w:rsidRPr="0039453F" w:rsidRDefault="00795969" w:rsidP="0039453F">
      <w:pPr>
        <w:pStyle w:val="Nivel3SM"/>
        <w:keepNext/>
        <w:rPr>
          <w:i/>
          <w:iCs/>
        </w:rPr>
      </w:pPr>
      <w:r w:rsidRPr="0039453F">
        <w:rPr>
          <w:i/>
          <w:iCs/>
          <w:u w:val="single"/>
        </w:rPr>
        <w:t>Efecto neto</w:t>
      </w:r>
      <w:r w:rsidRPr="0039453F">
        <w:rPr>
          <w:i/>
          <w:iCs/>
        </w:rPr>
        <w:t xml:space="preserve">: </w:t>
      </w:r>
      <m:oMath>
        <m:d>
          <m:dPr>
            <m:ctrlPr>
              <w:rPr>
                <w:rFonts w:ascii="Cambria Math" w:hAnsi="Cambria Math"/>
                <w:i/>
                <w:iCs/>
              </w:rPr>
            </m:ctrlPr>
          </m:dPr>
          <m:e>
            <m:r>
              <m:rPr>
                <m:nor/>
              </m:rPr>
              <w:rPr>
                <w:i/>
                <w:iCs/>
              </w:rPr>
              <m:t>b</m:t>
            </m:r>
            <m:r>
              <w:rPr>
                <w:rFonts w:ascii="Cambria Math" w:hAnsi="Cambria Math"/>
              </w:rPr>
              <m:t>+</m:t>
            </m:r>
            <m:r>
              <m:rPr>
                <m:nor/>
              </m:rPr>
              <w:rPr>
                <w:i/>
                <w:iCs/>
              </w:rPr>
              <m:t>d</m:t>
            </m:r>
          </m:e>
        </m:d>
        <m:r>
          <w:rPr>
            <w:rFonts w:ascii="Cambria Math" w:hAnsi="Cambria Math"/>
          </w:rPr>
          <m:t>-</m:t>
        </m:r>
        <m:r>
          <m:rPr>
            <m:nor/>
          </m:rPr>
          <w:rPr>
            <w:i/>
            <w:iCs/>
          </w:rPr>
          <m:t>e</m:t>
        </m:r>
      </m:oMath>
    </w:p>
    <w:p w14:paraId="37FA7B1D" w14:textId="02DEC67A" w:rsidR="00795969" w:rsidRPr="007D717E" w:rsidRDefault="00795969">
      <w:pPr>
        <w:pStyle w:val="Prrafodelista"/>
        <w:numPr>
          <w:ilvl w:val="2"/>
          <w:numId w:val="11"/>
        </w:numPr>
        <w:spacing w:after="0"/>
        <w:ind w:left="1418" w:hanging="284"/>
        <w:rPr>
          <w:rFonts w:eastAsiaTheme="minorEastAsia"/>
          <w:sz w:val="18"/>
          <w:szCs w:val="18"/>
        </w:rPr>
      </w:pPr>
      <w:r w:rsidRPr="00795969">
        <w:rPr>
          <w:rFonts w:eastAsiaTheme="minorEastAsia"/>
          <w:i/>
          <w:iCs/>
        </w:rPr>
        <w:t>Efecto creación de comercio</w:t>
      </w:r>
      <w:r w:rsidR="00D373C7">
        <w:rPr>
          <w:rFonts w:eastAsiaTheme="minorEastAsia"/>
        </w:rPr>
        <w:t xml:space="preserve"> (</w:t>
      </w:r>
      <m:oMath>
        <m:r>
          <m:rPr>
            <m:nor/>
          </m:rPr>
          <w:rPr>
            <w:rFonts w:eastAsiaTheme="minorEastAsia"/>
            <w:i/>
            <w:iCs/>
          </w:rPr>
          <m:t>b</m:t>
        </m:r>
      </m:oMath>
      <w:r w:rsidR="00D373C7">
        <w:rPr>
          <w:rFonts w:eastAsiaTheme="minorEastAsia"/>
        </w:rPr>
        <w:t>)</w:t>
      </w:r>
      <w:r>
        <w:rPr>
          <w:rFonts w:eastAsiaTheme="minorEastAsia"/>
        </w:rPr>
        <w:t>:</w:t>
      </w:r>
      <w:r w:rsidR="00D17DA2">
        <w:rPr>
          <w:rFonts w:eastAsiaTheme="minorEastAsia"/>
        </w:rPr>
        <w:t xml:space="preserve"> </w:t>
      </w:r>
      <w:r w:rsidR="00D17DA2" w:rsidRPr="007D717E">
        <w:rPr>
          <w:rFonts w:eastAsiaTheme="minorEastAsia"/>
          <w:sz w:val="18"/>
          <w:szCs w:val="18"/>
        </w:rPr>
        <w:t>Parte de la cantidad que se autoabastecía el país</w:t>
      </w:r>
      <w:r w:rsidR="00422AC6">
        <w:rPr>
          <w:rFonts w:eastAsiaTheme="minorEastAsia"/>
          <w:sz w:val="18"/>
          <w:szCs w:val="18"/>
        </w:rPr>
        <w:t> </w:t>
      </w:r>
      <w:r w:rsidR="00D17DA2" w:rsidRPr="007D717E">
        <w:rPr>
          <w:rFonts w:eastAsiaTheme="minorEastAsia"/>
          <w:i/>
          <w:iCs/>
          <w:sz w:val="18"/>
          <w:szCs w:val="18"/>
        </w:rPr>
        <w:t>A</w:t>
      </w:r>
      <w:r w:rsidR="00D17DA2" w:rsidRPr="007D717E">
        <w:rPr>
          <w:rFonts w:eastAsiaTheme="minorEastAsia"/>
          <w:sz w:val="18"/>
          <w:szCs w:val="18"/>
        </w:rPr>
        <w:t xml:space="preserve"> con producción nacional, pasa a ser producida por </w:t>
      </w:r>
      <w:r w:rsidR="00D17DA2" w:rsidRPr="007D717E">
        <w:rPr>
          <w:rFonts w:eastAsiaTheme="minorEastAsia"/>
          <w:i/>
          <w:iCs/>
          <w:sz w:val="18"/>
          <w:szCs w:val="18"/>
        </w:rPr>
        <w:t>B</w:t>
      </w:r>
      <w:r w:rsidR="00D17DA2" w:rsidRPr="007D717E">
        <w:rPr>
          <w:rFonts w:eastAsiaTheme="minorEastAsia"/>
          <w:sz w:val="18"/>
          <w:szCs w:val="18"/>
        </w:rPr>
        <w:t xml:space="preserve">, que es más eficiente que </w:t>
      </w:r>
      <w:r w:rsidR="00D17DA2" w:rsidRPr="007D717E">
        <w:rPr>
          <w:rFonts w:eastAsiaTheme="minorEastAsia"/>
          <w:i/>
          <w:iCs/>
          <w:sz w:val="18"/>
          <w:szCs w:val="18"/>
        </w:rPr>
        <w:t>A</w:t>
      </w:r>
      <w:r w:rsidR="00D17DA2" w:rsidRPr="007D717E">
        <w:rPr>
          <w:rFonts w:eastAsiaTheme="minorEastAsia"/>
          <w:sz w:val="18"/>
          <w:szCs w:val="18"/>
        </w:rPr>
        <w:t>.</w:t>
      </w:r>
    </w:p>
    <w:p w14:paraId="1F37A8CC" w14:textId="0DCFB741" w:rsidR="00795969" w:rsidRDefault="00795969">
      <w:pPr>
        <w:pStyle w:val="Prrafodelista"/>
        <w:numPr>
          <w:ilvl w:val="2"/>
          <w:numId w:val="11"/>
        </w:numPr>
        <w:spacing w:after="0"/>
        <w:ind w:left="1418" w:hanging="284"/>
        <w:rPr>
          <w:rFonts w:eastAsiaTheme="minorEastAsia"/>
        </w:rPr>
      </w:pPr>
      <w:r w:rsidRPr="00795969">
        <w:rPr>
          <w:rFonts w:eastAsiaTheme="minorEastAsia"/>
          <w:i/>
          <w:iCs/>
        </w:rPr>
        <w:lastRenderedPageBreak/>
        <w:t>Efecto creación de consumo</w:t>
      </w:r>
      <w:r w:rsidR="00D373C7">
        <w:rPr>
          <w:rFonts w:eastAsiaTheme="minorEastAsia"/>
          <w:i/>
          <w:iCs/>
        </w:rPr>
        <w:t xml:space="preserve"> </w:t>
      </w:r>
      <w:r w:rsidR="00D373C7">
        <w:rPr>
          <w:rFonts w:eastAsiaTheme="minorEastAsia"/>
        </w:rPr>
        <w:t>(</w:t>
      </w:r>
      <m:oMath>
        <m:r>
          <m:rPr>
            <m:nor/>
          </m:rPr>
          <w:rPr>
            <w:rFonts w:eastAsiaTheme="minorEastAsia"/>
            <w:i/>
            <w:iCs/>
          </w:rPr>
          <m:t>d</m:t>
        </m:r>
      </m:oMath>
      <w:r w:rsidR="00D373C7">
        <w:rPr>
          <w:rFonts w:eastAsiaTheme="minorEastAsia"/>
        </w:rPr>
        <w:t>)</w:t>
      </w:r>
      <w:r>
        <w:rPr>
          <w:rFonts w:eastAsiaTheme="minorEastAsia"/>
        </w:rPr>
        <w:t>:</w:t>
      </w:r>
      <w:r w:rsidR="007D717E">
        <w:rPr>
          <w:rFonts w:eastAsiaTheme="minorEastAsia"/>
          <w:sz w:val="18"/>
          <w:szCs w:val="18"/>
        </w:rPr>
        <w:t xml:space="preserve"> Algunos consumidores antes no consumían y ahora sí lo hacen con la caída del precio.</w:t>
      </w:r>
    </w:p>
    <w:p w14:paraId="4B57165F" w14:textId="4ABD94A6" w:rsidR="00796A29" w:rsidRPr="000D6DBA" w:rsidRDefault="00795969">
      <w:pPr>
        <w:pStyle w:val="Prrafodelista"/>
        <w:keepNext/>
        <w:numPr>
          <w:ilvl w:val="2"/>
          <w:numId w:val="11"/>
        </w:numPr>
        <w:spacing w:after="0"/>
        <w:ind w:left="1418" w:hanging="284"/>
        <w:rPr>
          <w:rFonts w:eastAsiaTheme="minorEastAsia"/>
        </w:rPr>
      </w:pPr>
      <w:r w:rsidRPr="00795969">
        <w:rPr>
          <w:rFonts w:eastAsiaTheme="minorEastAsia"/>
          <w:i/>
          <w:iCs/>
        </w:rPr>
        <w:t>Efecto desviación de comercio</w:t>
      </w:r>
      <w:r w:rsidR="00D373C7">
        <w:rPr>
          <w:rFonts w:eastAsiaTheme="minorEastAsia"/>
        </w:rPr>
        <w:t xml:space="preserve"> (</w:t>
      </w:r>
      <m:oMath>
        <m:r>
          <m:rPr>
            <m:nor/>
          </m:rPr>
          <w:rPr>
            <w:rFonts w:eastAsiaTheme="minorEastAsia"/>
            <w:i/>
            <w:iCs/>
          </w:rPr>
          <m:t>e</m:t>
        </m:r>
      </m:oMath>
      <w:r w:rsidR="00D373C7">
        <w:rPr>
          <w:rFonts w:eastAsiaTheme="minorEastAsia"/>
        </w:rPr>
        <w:t>)</w:t>
      </w:r>
      <w:r>
        <w:rPr>
          <w:rFonts w:eastAsiaTheme="minorEastAsia"/>
        </w:rPr>
        <w:t>:</w:t>
      </w:r>
      <w:r w:rsidR="007D717E">
        <w:rPr>
          <w:rFonts w:eastAsiaTheme="minorEastAsia"/>
          <w:sz w:val="18"/>
          <w:szCs w:val="18"/>
        </w:rPr>
        <w:t xml:space="preserve"> La cantidad que abastecía el resto del mundo a </w:t>
      </w:r>
      <w:proofErr w:type="spellStart"/>
      <w:r w:rsidR="007D717E">
        <w:rPr>
          <w:rFonts w:eastAsiaTheme="minorEastAsia"/>
          <w:i/>
          <w:iCs/>
          <w:sz w:val="18"/>
          <w:szCs w:val="18"/>
        </w:rPr>
        <w:t>A</w:t>
      </w:r>
      <w:proofErr w:type="spellEnd"/>
      <w:r w:rsidR="007D717E">
        <w:rPr>
          <w:rFonts w:eastAsiaTheme="minorEastAsia"/>
          <w:sz w:val="18"/>
          <w:szCs w:val="18"/>
        </w:rPr>
        <w:t xml:space="preserve"> pasa a ser producida por </w:t>
      </w:r>
      <w:r w:rsidR="007D717E">
        <w:rPr>
          <w:rFonts w:eastAsiaTheme="minorEastAsia"/>
          <w:i/>
          <w:iCs/>
          <w:sz w:val="18"/>
          <w:szCs w:val="18"/>
        </w:rPr>
        <w:t>B</w:t>
      </w:r>
      <w:r w:rsidR="007D717E">
        <w:rPr>
          <w:rFonts w:eastAsiaTheme="minorEastAsia"/>
          <w:sz w:val="18"/>
          <w:szCs w:val="18"/>
        </w:rPr>
        <w:t xml:space="preserve"> que es menos eficiente que el resto del mundo.</w:t>
      </w:r>
    </w:p>
    <w:p w14:paraId="65FC8363" w14:textId="0D1DC4C5" w:rsidR="000D6DBA" w:rsidRPr="002C111E" w:rsidRDefault="000D6DBA" w:rsidP="0039453F">
      <w:pPr>
        <w:pStyle w:val="Nivel4"/>
        <w:rPr>
          <w:rFonts w:eastAsiaTheme="minorEastAsia"/>
        </w:rPr>
      </w:pPr>
      <w:r w:rsidRPr="001D1C3C">
        <w:t xml:space="preserve">Por lo tanto, el </w:t>
      </w:r>
      <w:r w:rsidRPr="001D1C3C">
        <w:rPr>
          <w:b/>
          <w:bCs/>
        </w:rPr>
        <w:t>efecto</w:t>
      </w:r>
      <w:r w:rsidRPr="001D1C3C">
        <w:t xml:space="preserve"> de una unión aduanera frente a una estructura arancelaria no discriminatoria es </w:t>
      </w:r>
      <w:r w:rsidRPr="001D1C3C">
        <w:rPr>
          <w:b/>
          <w:bCs/>
        </w:rPr>
        <w:t>ambiguo</w:t>
      </w:r>
      <w:r w:rsidRPr="001D1C3C">
        <w:t xml:space="preserve"> (como defendía </w:t>
      </w:r>
      <w:r w:rsidRPr="001D1C3C">
        <w:rPr>
          <w:smallCaps/>
        </w:rPr>
        <w:t>Viner</w:t>
      </w:r>
      <w:r w:rsidRPr="001D1C3C">
        <w:t>)</w:t>
      </w:r>
      <w:r>
        <w:t>.</w:t>
      </w:r>
    </w:p>
    <w:p w14:paraId="0058621E" w14:textId="77777777" w:rsidR="00C02FB6" w:rsidRDefault="00C02FB6" w:rsidP="00C02FB6">
      <w:pPr>
        <w:pStyle w:val="Ttulo6"/>
      </w:pPr>
      <w:bookmarkStart w:id="38" w:name="_Toc172225490"/>
      <w:r>
        <w:t>Modelo de equilibrio general</w:t>
      </w:r>
      <w:bookmarkEnd w:id="38"/>
    </w:p>
    <w:p w14:paraId="293A2E88" w14:textId="77777777" w:rsidR="00C02FB6" w:rsidRPr="00C02FB6" w:rsidRDefault="00C02FB6" w:rsidP="00C02FB6">
      <w:pPr>
        <w:pStyle w:val="Nivel1SM"/>
        <w:spacing w:before="0"/>
        <w:rPr>
          <w:spacing w:val="-2"/>
        </w:rPr>
      </w:pPr>
      <w:r w:rsidRPr="00C02FB6">
        <w:rPr>
          <w:spacing w:val="-2"/>
        </w:rPr>
        <w:t xml:space="preserve">Como hemos dicho antes, el análisis de </w:t>
      </w:r>
      <w:proofErr w:type="spellStart"/>
      <w:r w:rsidRPr="00C02FB6">
        <w:rPr>
          <w:smallCaps/>
          <w:spacing w:val="-2"/>
        </w:rPr>
        <w:t>Lipsey</w:t>
      </w:r>
      <w:proofErr w:type="spellEnd"/>
      <w:r w:rsidRPr="00C02FB6">
        <w:rPr>
          <w:spacing w:val="-2"/>
        </w:rPr>
        <w:t xml:space="preserve"> (1957) fue en realidad un análisis de </w:t>
      </w:r>
      <w:r w:rsidRPr="00C02FB6">
        <w:rPr>
          <w:b/>
          <w:bCs/>
          <w:spacing w:val="-2"/>
        </w:rPr>
        <w:t>equilibrio general</w:t>
      </w:r>
      <w:r w:rsidRPr="00C02FB6">
        <w:rPr>
          <w:spacing w:val="-2"/>
        </w:rPr>
        <w:t xml:space="preserve">. Así, </w:t>
      </w:r>
      <w:proofErr w:type="spellStart"/>
      <w:r w:rsidRPr="00C02FB6">
        <w:rPr>
          <w:smallCaps/>
          <w:spacing w:val="-2"/>
        </w:rPr>
        <w:t>Lipsey</w:t>
      </w:r>
      <w:proofErr w:type="spellEnd"/>
      <w:r w:rsidRPr="00C02FB6">
        <w:rPr>
          <w:spacing w:val="-2"/>
        </w:rPr>
        <w:t xml:space="preserve"> fue pionero en estudiar las uniones aduaneras bajo una perspectiva de equilibrio general.</w:t>
      </w:r>
    </w:p>
    <w:p w14:paraId="59B8BCCA" w14:textId="77777777" w:rsidR="00C02FB6" w:rsidRDefault="00C02FB6" w:rsidP="00C02FB6">
      <w:pPr>
        <w:pStyle w:val="Ttulo7"/>
      </w:pPr>
      <w:r>
        <w:t>Supuestos</w:t>
      </w:r>
    </w:p>
    <w:p w14:paraId="1F2F6B73" w14:textId="77777777" w:rsidR="00C02FB6" w:rsidRDefault="00C02FB6" w:rsidP="00C02FB6">
      <w:pPr>
        <w:pStyle w:val="Nivel1SM"/>
        <w:keepNext/>
        <w:spacing w:before="0" w:after="0"/>
      </w:pPr>
      <w:r>
        <w:t>En nuestro análisis partiremos de los siguientes supuestos:</w:t>
      </w:r>
    </w:p>
    <w:p w14:paraId="7939E960" w14:textId="77777777" w:rsidR="00C02FB6" w:rsidRDefault="00C02FB6" w:rsidP="00C02FB6">
      <w:pPr>
        <w:pStyle w:val="Nivel2SM"/>
        <w:keepNext/>
        <w:spacing w:after="0"/>
      </w:pPr>
      <w:r>
        <w:t xml:space="preserve">Existen </w:t>
      </w:r>
      <w:r>
        <w:rPr>
          <w:i/>
          <w:iCs/>
          <w:u w:val="single"/>
        </w:rPr>
        <w:t>3 </w:t>
      </w:r>
      <w:r w:rsidRPr="00A61AA0">
        <w:rPr>
          <w:i/>
          <w:iCs/>
          <w:u w:val="single"/>
        </w:rPr>
        <w:t>países</w:t>
      </w:r>
      <w:r>
        <w:t xml:space="preserve"> </w:t>
      </w:r>
      <w:r w:rsidRPr="00B54613">
        <w:t>(</w:t>
      </w:r>
      <w:r w:rsidRPr="00597F84">
        <w:rPr>
          <w:i/>
          <w:iCs/>
        </w:rPr>
        <w:t>A</w:t>
      </w:r>
      <w:r>
        <w:t xml:space="preserve">, </w:t>
      </w:r>
      <w:r w:rsidRPr="00597F84">
        <w:rPr>
          <w:i/>
          <w:iCs/>
        </w:rPr>
        <w:t>B</w:t>
      </w:r>
      <w:r>
        <w:t xml:space="preserve"> y </w:t>
      </w:r>
      <w:r>
        <w:rPr>
          <w:i/>
          <w:iCs/>
        </w:rPr>
        <w:t>R</w:t>
      </w:r>
      <w:r w:rsidRPr="00B54613">
        <w:t>)</w:t>
      </w:r>
      <w:r>
        <w:t xml:space="preserve"> y </w:t>
      </w:r>
      <w:r>
        <w:rPr>
          <w:i/>
          <w:iCs/>
          <w:u w:val="single"/>
        </w:rPr>
        <w:t>2 </w:t>
      </w:r>
      <w:r w:rsidRPr="00A61AA0">
        <w:rPr>
          <w:i/>
          <w:iCs/>
          <w:u w:val="single"/>
        </w:rPr>
        <w:t>bien</w:t>
      </w:r>
      <w:r>
        <w:rPr>
          <w:i/>
          <w:iCs/>
          <w:u w:val="single"/>
        </w:rPr>
        <w:t>es</w:t>
      </w:r>
      <w:r>
        <w:t xml:space="preserve"> (</w:t>
      </w:r>
      <w:r>
        <w:rPr>
          <w:i/>
          <w:iCs/>
        </w:rPr>
        <w:t>X</w:t>
      </w:r>
      <w:r>
        <w:t xml:space="preserve"> e </w:t>
      </w:r>
      <w:r>
        <w:rPr>
          <w:i/>
          <w:iCs/>
        </w:rPr>
        <w:t>Y</w:t>
      </w:r>
      <w:r>
        <w:t>).</w:t>
      </w:r>
    </w:p>
    <w:p w14:paraId="3DBAF678" w14:textId="77777777" w:rsidR="00C02FB6" w:rsidRDefault="00C02FB6" w:rsidP="00C02FB6">
      <w:pPr>
        <w:pStyle w:val="Nivel3SM"/>
      </w:pPr>
      <w:r>
        <w:t xml:space="preserve">Los países </w:t>
      </w:r>
      <w:r w:rsidRPr="00CC4102">
        <w:rPr>
          <w:i/>
          <w:iCs/>
        </w:rPr>
        <w:t>A</w:t>
      </w:r>
      <w:r>
        <w:t xml:space="preserve"> y </w:t>
      </w:r>
      <w:r w:rsidRPr="00CC4102">
        <w:rPr>
          <w:i/>
          <w:iCs/>
        </w:rPr>
        <w:t>B</w:t>
      </w:r>
      <w:r>
        <w:t xml:space="preserve"> serán los que formen la unión aduanera, mientras que </w:t>
      </w:r>
      <w:r>
        <w:rPr>
          <w:i/>
          <w:iCs/>
        </w:rPr>
        <w:t>R</w:t>
      </w:r>
      <w:r>
        <w:t xml:space="preserve"> será el resto del mundo.</w:t>
      </w:r>
      <w:r w:rsidRPr="00C5086A">
        <w:t xml:space="preserve"> </w:t>
      </w:r>
      <w:r w:rsidRPr="00971C08">
        <w:t xml:space="preserve">Tras la instauración de la unión, </w:t>
      </w:r>
      <w:r w:rsidRPr="00971C08">
        <w:rPr>
          <w:i/>
          <w:iCs/>
        </w:rPr>
        <w:t>A</w:t>
      </w:r>
      <w:r w:rsidRPr="00971C08">
        <w:t xml:space="preserve"> y </w:t>
      </w:r>
      <w:r w:rsidRPr="00971C08">
        <w:rPr>
          <w:i/>
          <w:iCs/>
        </w:rPr>
        <w:t>B</w:t>
      </w:r>
      <w:r w:rsidRPr="00971C08">
        <w:t xml:space="preserve"> retiran los aranceles (y todas las barreras comerciales) entre sí, pero los mantienen frente a </w:t>
      </w:r>
      <w:r w:rsidRPr="00971C08">
        <w:rPr>
          <w:i/>
          <w:iCs/>
        </w:rPr>
        <w:t>R</w:t>
      </w:r>
      <w:r w:rsidRPr="00971C08">
        <w:t>.</w:t>
      </w:r>
    </w:p>
    <w:p w14:paraId="488E3754" w14:textId="77777777" w:rsidR="00C02FB6" w:rsidRDefault="00C02FB6" w:rsidP="00C02FB6">
      <w:pPr>
        <w:pStyle w:val="Nivel2SM"/>
      </w:pPr>
      <w:r>
        <w:t xml:space="preserve">Las </w:t>
      </w:r>
      <w:r w:rsidRPr="00935706">
        <w:rPr>
          <w:i/>
          <w:iCs/>
          <w:u w:val="single"/>
        </w:rPr>
        <w:t>preferencias sociales</w:t>
      </w:r>
      <w:r w:rsidRPr="00935706">
        <w:rPr>
          <w:i/>
          <w:iCs/>
        </w:rPr>
        <w:t xml:space="preserve"> son perfectamente inelásticas</w:t>
      </w:r>
      <w:r>
        <w:t>.</w:t>
      </w:r>
    </w:p>
    <w:p w14:paraId="12ED7446" w14:textId="77777777" w:rsidR="00C02FB6" w:rsidRDefault="00C02FB6" w:rsidP="00C02FB6">
      <w:pPr>
        <w:pStyle w:val="Nivel2SM"/>
        <w:keepNext/>
        <w:spacing w:after="0"/>
      </w:pPr>
      <w:r>
        <w:t xml:space="preserve">Los bienes se producen de acuerdo a una </w:t>
      </w:r>
      <w:r w:rsidRPr="00CA197F">
        <w:rPr>
          <w:i/>
          <w:iCs/>
          <w:u w:val="single"/>
        </w:rPr>
        <w:t>tecnología</w:t>
      </w:r>
      <w:r>
        <w:t xml:space="preserve"> neoclásica de buen comportamiento, representable mediante una función de producción continua y dos veces diferenciable, creciente y estrictamente </w:t>
      </w:r>
      <w:proofErr w:type="spellStart"/>
      <w:r>
        <w:t>cuasicóncava</w:t>
      </w:r>
      <w:proofErr w:type="spellEnd"/>
      <w:r>
        <w:t>, con rendimientos constantes a escala.</w:t>
      </w:r>
    </w:p>
    <w:p w14:paraId="3A926457" w14:textId="77777777" w:rsidR="00C02FB6" w:rsidRPr="00261D18" w:rsidRDefault="00C02FB6" w:rsidP="00C02FB6">
      <w:pPr>
        <w:pStyle w:val="Nivel3SM"/>
      </w:pPr>
      <w:r w:rsidRPr="00261D18">
        <w:t xml:space="preserve">Estos supuestos nos llevan a representar una </w:t>
      </w:r>
      <w:r w:rsidRPr="00261D18">
        <w:rPr>
          <w:i/>
          <w:iCs/>
        </w:rPr>
        <w:t>frontera de posibilidades de producción cóncava</w:t>
      </w:r>
      <w:r w:rsidRPr="00261D18">
        <w:rPr>
          <w:rStyle w:val="Refdenotaalpie"/>
        </w:rPr>
        <w:footnoteReference w:id="9"/>
      </w:r>
      <w:r w:rsidRPr="00261D18">
        <w:t>.</w:t>
      </w:r>
    </w:p>
    <w:p w14:paraId="1D203F50" w14:textId="77777777" w:rsidR="00C02FB6" w:rsidRDefault="00C02FB6" w:rsidP="00C02FB6">
      <w:pPr>
        <w:pStyle w:val="Nivel2SM"/>
      </w:pPr>
      <w:r w:rsidRPr="00935706">
        <w:rPr>
          <w:i/>
          <w:iCs/>
          <w:u w:val="single"/>
        </w:rPr>
        <w:t>Competencia perfecta</w:t>
      </w:r>
      <w:r>
        <w:t xml:space="preserve"> en los mercados de bienes (</w:t>
      </w:r>
      <m:oMath>
        <m:r>
          <m:rPr>
            <m:nor/>
          </m:rPr>
          <w:rPr>
            <w:i/>
            <w:iCs/>
          </w:rPr>
          <m:t>P</m:t>
        </m:r>
        <m:r>
          <w:rPr>
            <w:rFonts w:ascii="Cambria Math" w:hAnsi="Cambria Math"/>
          </w:rPr>
          <m:t>=</m:t>
        </m:r>
        <m:r>
          <m:rPr>
            <m:nor/>
          </m:rPr>
          <w:rPr>
            <w:i/>
            <w:iCs/>
          </w:rPr>
          <m:t>CMg</m:t>
        </m:r>
      </m:oMath>
      <w:r>
        <w:t>) y de factores.</w:t>
      </w:r>
    </w:p>
    <w:p w14:paraId="7929B481" w14:textId="77777777" w:rsidR="00C02FB6" w:rsidRDefault="00C02FB6" w:rsidP="00C02FB6">
      <w:pPr>
        <w:pStyle w:val="Ttulo7"/>
      </w:pPr>
      <w:r>
        <w:t>Desarrollo</w:t>
      </w:r>
    </w:p>
    <w:p w14:paraId="4FFEADE7" w14:textId="77777777" w:rsidR="00C02FB6" w:rsidRPr="00C173D5" w:rsidRDefault="00C02FB6" w:rsidP="00C02FB6">
      <w:pPr>
        <w:pStyle w:val="Nivel1SM"/>
        <w:keepNext/>
        <w:spacing w:before="0" w:after="0"/>
      </w:pPr>
      <w:r>
        <w:t>Partimos de una situación de libre comercio. Suponemos que el país </w:t>
      </w:r>
      <w:r>
        <w:rPr>
          <w:i/>
          <w:iCs/>
        </w:rPr>
        <w:t>A</w:t>
      </w:r>
      <w:r>
        <w:t xml:space="preserve"> se especializa en la producción del bien </w:t>
      </w:r>
      <w:r>
        <w:rPr>
          <w:i/>
          <w:iCs/>
        </w:rPr>
        <w:t>X</w:t>
      </w:r>
      <w:r>
        <w:t xml:space="preserve"> e importa el bien </w:t>
      </w:r>
      <w:r w:rsidRPr="000107BF">
        <w:rPr>
          <w:i/>
          <w:iCs/>
        </w:rPr>
        <w:t>Y</w:t>
      </w:r>
      <w:r>
        <w:t xml:space="preserve"> del país </w:t>
      </w:r>
      <w:r w:rsidRPr="000107BF">
        <w:rPr>
          <w:i/>
          <w:iCs/>
        </w:rPr>
        <w:t>R</w:t>
      </w:r>
      <w:r>
        <w:t xml:space="preserve">, ya que </w:t>
      </w:r>
      <m:oMath>
        <m:sSubSup>
          <m:sSubSupPr>
            <m:ctrlPr>
              <w:rPr>
                <w:rFonts w:ascii="Cambria Math" w:hAnsi="Cambria Math"/>
                <w:i/>
              </w:rPr>
            </m:ctrlPr>
          </m:sSubSupPr>
          <m:e>
            <m:r>
              <m:rPr>
                <m:nor/>
              </m:rPr>
              <w:rPr>
                <w:i/>
              </w:rPr>
              <m:t>P</m:t>
            </m:r>
          </m:e>
          <m:sub>
            <m:r>
              <m:rPr>
                <m:nor/>
              </m:rPr>
              <w:rPr>
                <w:i/>
              </w:rPr>
              <m:t>Y</m:t>
            </m:r>
          </m:sub>
          <m:sup>
            <m:r>
              <m:rPr>
                <m:nor/>
              </m:rPr>
              <w:rPr>
                <w:i/>
              </w:rPr>
              <m:t>R</m:t>
            </m:r>
          </m:sup>
        </m:sSubSup>
        <m:r>
          <w:rPr>
            <w:rFonts w:ascii="Cambria Math" w:hAnsi="Cambria Math"/>
          </w:rPr>
          <m:t>&lt;</m:t>
        </m:r>
        <m:sSubSup>
          <m:sSubSupPr>
            <m:ctrlPr>
              <w:rPr>
                <w:rFonts w:ascii="Cambria Math" w:hAnsi="Cambria Math"/>
                <w:i/>
              </w:rPr>
            </m:ctrlPr>
          </m:sSubSupPr>
          <m:e>
            <m:r>
              <m:rPr>
                <m:nor/>
              </m:rPr>
              <w:rPr>
                <w:i/>
              </w:rPr>
              <m:t>P</m:t>
            </m:r>
          </m:e>
          <m:sub>
            <m:r>
              <m:rPr>
                <m:nor/>
              </m:rPr>
              <w:rPr>
                <w:i/>
              </w:rPr>
              <m:t>Y</m:t>
            </m:r>
          </m:sub>
          <m:sup>
            <m:r>
              <m:rPr>
                <m:nor/>
              </m:rPr>
              <w:rPr>
                <w:i/>
              </w:rPr>
              <m:t>B</m:t>
            </m:r>
          </m:sup>
        </m:sSubSup>
        <m:r>
          <w:rPr>
            <w:rFonts w:ascii="Cambria Math" w:hAnsi="Cambria Math"/>
          </w:rPr>
          <m:t>&lt;</m:t>
        </m:r>
        <m:sSubSup>
          <m:sSubSupPr>
            <m:ctrlPr>
              <w:rPr>
                <w:rFonts w:ascii="Cambria Math" w:hAnsi="Cambria Math"/>
                <w:i/>
              </w:rPr>
            </m:ctrlPr>
          </m:sSubSupPr>
          <m:e>
            <m:r>
              <m:rPr>
                <m:nor/>
              </m:rPr>
              <w:rPr>
                <w:i/>
              </w:rPr>
              <m:t>P</m:t>
            </m:r>
          </m:e>
          <m:sub>
            <m:r>
              <m:rPr>
                <m:nor/>
              </m:rPr>
              <w:rPr>
                <w:i/>
              </w:rPr>
              <m:t>Y</m:t>
            </m:r>
          </m:sub>
          <m:sup>
            <m:r>
              <m:rPr>
                <m:nor/>
              </m:rPr>
              <w:rPr>
                <w:i/>
              </w:rPr>
              <m:t>A</m:t>
            </m:r>
          </m:sup>
        </m:sSubSup>
      </m:oMath>
      <w:r>
        <w:t xml:space="preserve">. De este modo, la relación real de intercambio viene dada por </w:t>
      </w:r>
      <m:oMath>
        <m:d>
          <m:dPr>
            <m:ctrlPr>
              <w:rPr>
                <w:rFonts w:ascii="Cambria Math" w:hAnsi="Cambria Math"/>
                <w:i/>
              </w:rPr>
            </m:ctrlPr>
          </m:dPr>
          <m:e>
            <m:f>
              <m:fPr>
                <m:type m:val="lin"/>
                <m:ctrlPr>
                  <w:rPr>
                    <w:rFonts w:ascii="Cambria Math" w:hAnsi="Cambria Math"/>
                    <w:i/>
                  </w:rPr>
                </m:ctrlPr>
              </m:fPr>
              <m:num>
                <m:sSubSup>
                  <m:sSubSupPr>
                    <m:ctrlPr>
                      <w:rPr>
                        <w:rFonts w:ascii="Cambria Math" w:hAnsi="Cambria Math"/>
                        <w:i/>
                      </w:rPr>
                    </m:ctrlPr>
                  </m:sSubSupPr>
                  <m:e>
                    <m:r>
                      <m:rPr>
                        <m:nor/>
                      </m:rPr>
                      <w:rPr>
                        <w:i/>
                      </w:rPr>
                      <m:t>P</m:t>
                    </m:r>
                  </m:e>
                  <m:sub>
                    <m:r>
                      <m:rPr>
                        <m:nor/>
                      </m:rPr>
                      <w:rPr>
                        <w:i/>
                      </w:rPr>
                      <m:t>X</m:t>
                    </m:r>
                  </m:sub>
                  <m:sup>
                    <m:r>
                      <m:rPr>
                        <m:nor/>
                      </m:rPr>
                      <w:rPr>
                        <w:i/>
                      </w:rPr>
                      <m:t>A</m:t>
                    </m:r>
                  </m:sup>
                </m:sSubSup>
              </m:num>
              <m:den>
                <m:sSubSup>
                  <m:sSubSupPr>
                    <m:ctrlPr>
                      <w:rPr>
                        <w:rFonts w:ascii="Cambria Math" w:hAnsi="Cambria Math"/>
                        <w:i/>
                      </w:rPr>
                    </m:ctrlPr>
                  </m:sSubSupPr>
                  <m:e>
                    <m:r>
                      <m:rPr>
                        <m:nor/>
                      </m:rPr>
                      <w:rPr>
                        <w:i/>
                      </w:rPr>
                      <m:t>P</m:t>
                    </m:r>
                  </m:e>
                  <m:sub>
                    <m:r>
                      <m:rPr>
                        <m:nor/>
                      </m:rPr>
                      <w:rPr>
                        <w:i/>
                      </w:rPr>
                      <m:t>Y</m:t>
                    </m:r>
                  </m:sub>
                  <m:sup>
                    <m:r>
                      <m:rPr>
                        <m:nor/>
                      </m:rPr>
                      <w:rPr>
                        <w:i/>
                      </w:rPr>
                      <m:t>R</m:t>
                    </m:r>
                  </m:sup>
                </m:sSubSup>
              </m:den>
            </m:f>
          </m:e>
        </m:d>
      </m:oMath>
      <w:r>
        <w:rPr>
          <w:rFonts w:eastAsiaTheme="minorEastAsia"/>
        </w:rPr>
        <w:t xml:space="preserve"> (línea amarilla) donde el país </w:t>
      </w:r>
      <w:r>
        <w:rPr>
          <w:rFonts w:eastAsiaTheme="minorEastAsia"/>
          <w:i/>
          <w:iCs/>
        </w:rPr>
        <w:t>R</w:t>
      </w:r>
      <w:r>
        <w:rPr>
          <w:rFonts w:eastAsiaTheme="minorEastAsia"/>
        </w:rPr>
        <w:t xml:space="preserve"> es el más eficiente en la producción del bien </w:t>
      </w:r>
      <w:r>
        <w:rPr>
          <w:rFonts w:eastAsiaTheme="minorEastAsia"/>
          <w:i/>
          <w:iCs/>
        </w:rPr>
        <w:t>Y</w:t>
      </w:r>
      <w:r>
        <w:rPr>
          <w:rFonts w:eastAsiaTheme="minorEastAsia"/>
        </w:rPr>
        <w:t>.</w:t>
      </w:r>
    </w:p>
    <w:p w14:paraId="78624644" w14:textId="77777777" w:rsidR="00C02FB6" w:rsidRDefault="00C02FB6" w:rsidP="00C02FB6">
      <w:pPr>
        <w:pStyle w:val="Nivel2SM"/>
      </w:pPr>
      <w:r>
        <w:t xml:space="preserve">En ese caso, el óptimo de producción en </w:t>
      </w:r>
      <w:r>
        <w:rPr>
          <w:i/>
          <w:iCs/>
        </w:rPr>
        <w:t>A</w:t>
      </w:r>
      <w:r>
        <w:t xml:space="preserve"> sería el punto </w:t>
      </w:r>
      <w:r>
        <w:rPr>
          <w:i/>
          <w:iCs/>
        </w:rPr>
        <w:t>P</w:t>
      </w:r>
      <w:r>
        <w:t xml:space="preserve"> y el óptimo de consumo sería el punto </w:t>
      </w:r>
      <w:r>
        <w:rPr>
          <w:i/>
          <w:iCs/>
        </w:rPr>
        <w:t>C</w:t>
      </w:r>
      <w:r>
        <w:t>. Es decir, el país </w:t>
      </w:r>
      <w:r>
        <w:rPr>
          <w:i/>
          <w:iCs/>
        </w:rPr>
        <w:t>A</w:t>
      </w:r>
      <w:r>
        <w:t xml:space="preserve"> exporta el bien </w:t>
      </w:r>
      <w:r>
        <w:rPr>
          <w:i/>
          <w:iCs/>
        </w:rPr>
        <w:t>X</w:t>
      </w:r>
      <w:r>
        <w:t xml:space="preserve"> e importa el bien </w:t>
      </w:r>
      <w:r>
        <w:rPr>
          <w:i/>
          <w:iCs/>
        </w:rPr>
        <w:t>Y</w:t>
      </w:r>
      <w:r w:rsidRPr="001E5881">
        <w:t>.</w:t>
      </w:r>
    </w:p>
    <w:p w14:paraId="6D2E8640" w14:textId="1A7127D5" w:rsidR="00C02FB6" w:rsidRPr="00670102" w:rsidRDefault="00C02FB6" w:rsidP="00C02FB6">
      <w:pPr>
        <w:pStyle w:val="Ttuloimagen"/>
      </w:pPr>
      <w:r>
        <w:t>Imagen </w:t>
      </w:r>
      <w:r w:rsidRPr="00670102">
        <w:rPr>
          <w:rStyle w:val="TtuloimagenCar"/>
        </w:rPr>
        <w:fldChar w:fldCharType="begin"/>
      </w:r>
      <w:r w:rsidRPr="00670102">
        <w:rPr>
          <w:rStyle w:val="TtuloimagenCar"/>
        </w:rPr>
        <w:instrText xml:space="preserve"> SEQ Ilustración \* ARABIC </w:instrText>
      </w:r>
      <w:r w:rsidRPr="00670102">
        <w:rPr>
          <w:rStyle w:val="TtuloimagenCar"/>
        </w:rPr>
        <w:fldChar w:fldCharType="separate"/>
      </w:r>
      <w:r w:rsidR="006C02E9">
        <w:rPr>
          <w:rStyle w:val="TtuloimagenCar"/>
        </w:rPr>
        <w:t>4</w:t>
      </w:r>
      <w:r w:rsidRPr="00670102">
        <w:rPr>
          <w:rStyle w:val="TtuloimagenCar"/>
        </w:rPr>
        <w:fldChar w:fldCharType="end"/>
      </w:r>
      <w:r w:rsidRPr="00670102">
        <w:rPr>
          <w:rStyle w:val="TtuloimagenCar"/>
        </w:rPr>
        <w:t>.–</w:t>
      </w:r>
      <w:r>
        <w:rPr>
          <w:rStyle w:val="TtuloimagenCar"/>
        </w:rPr>
        <w:t xml:space="preserve"> </w:t>
      </w:r>
      <w:r>
        <w:rPr>
          <w:rStyle w:val="TtuloimagenCar"/>
          <w:i/>
          <w:iCs/>
        </w:rPr>
        <w:t>Situación inicial con libre comercio en un modelo de equilibrio general</w:t>
      </w:r>
    </w:p>
    <w:p w14:paraId="2CE146A7" w14:textId="77777777" w:rsidR="00C02FB6" w:rsidRDefault="00C02FB6" w:rsidP="00C02FB6">
      <w:pPr>
        <w:pStyle w:val="Imagen"/>
      </w:pPr>
      <w:r>
        <w:drawing>
          <wp:inline distT="0" distB="0" distL="0" distR="0" wp14:anchorId="332E8B48" wp14:editId="1BA205A0">
            <wp:extent cx="4674319" cy="2520000"/>
            <wp:effectExtent l="0" t="0" r="0" b="0"/>
            <wp:docPr id="11"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rotWithShape="1">
                    <a:blip r:embed="rId18"/>
                    <a:srcRect b="4150"/>
                    <a:stretch/>
                  </pic:blipFill>
                  <pic:spPr bwMode="auto">
                    <a:xfrm>
                      <a:off x="0" y="0"/>
                      <a:ext cx="4674319" cy="2520000"/>
                    </a:xfrm>
                    <a:prstGeom prst="rect">
                      <a:avLst/>
                    </a:prstGeom>
                    <a:ln>
                      <a:noFill/>
                    </a:ln>
                    <a:extLst>
                      <a:ext uri="{53640926-AAD7-44D8-BBD7-CCE9431645EC}">
                        <a14:shadowObscured xmlns:a14="http://schemas.microsoft.com/office/drawing/2010/main"/>
                      </a:ext>
                    </a:extLst>
                  </pic:spPr>
                </pic:pic>
              </a:graphicData>
            </a:graphic>
          </wp:inline>
        </w:drawing>
      </w:r>
    </w:p>
    <w:p w14:paraId="596042D1" w14:textId="77777777" w:rsidR="00C02FB6" w:rsidRPr="00670102" w:rsidRDefault="00C02FB6" w:rsidP="00C02FB6">
      <w:pPr>
        <w:pStyle w:val="PiedeImagen"/>
        <w:rPr>
          <w:i w:val="0"/>
          <w:iCs/>
        </w:rPr>
      </w:pPr>
      <w:r>
        <w:t>Fuente</w:t>
      </w:r>
      <w:r>
        <w:rPr>
          <w:i w:val="0"/>
          <w:iCs/>
        </w:rPr>
        <w:t>: Elaboración propia</w:t>
      </w:r>
    </w:p>
    <w:p w14:paraId="5CF03712" w14:textId="0941BB16" w:rsidR="00C02FB6" w:rsidRDefault="00C02FB6" w:rsidP="00C02FB6">
      <w:pPr>
        <w:pStyle w:val="Nivel1SM"/>
        <w:keepNext/>
        <w:spacing w:after="0"/>
      </w:pPr>
      <w:r>
        <w:lastRenderedPageBreak/>
        <w:t>Supongamos que el país </w:t>
      </w:r>
      <w:r>
        <w:rPr>
          <w:i/>
          <w:iCs/>
        </w:rPr>
        <w:t>A</w:t>
      </w:r>
      <w:r>
        <w:t xml:space="preserve"> establece un arancel a las importaciones del bien </w:t>
      </w:r>
      <w:r>
        <w:rPr>
          <w:i/>
          <w:iCs/>
        </w:rPr>
        <w:t>Y</w:t>
      </w:r>
      <w:r>
        <w:t xml:space="preserve"> provenientes de </w:t>
      </w:r>
      <w:r>
        <w:rPr>
          <w:i/>
          <w:iCs/>
        </w:rPr>
        <w:t>R</w:t>
      </w:r>
      <w:r>
        <w:t xml:space="preserve">, que hace que los precios relativos domésticos pasen a estar definidos por </w:t>
      </w:r>
      <m:oMath>
        <m:d>
          <m:dPr>
            <m:ctrlPr>
              <w:rPr>
                <w:rFonts w:ascii="Cambria Math" w:hAnsi="Cambria Math"/>
                <w:i/>
              </w:rPr>
            </m:ctrlPr>
          </m:dPr>
          <m:e>
            <m:f>
              <m:fPr>
                <m:type m:val="lin"/>
                <m:ctrlPr>
                  <w:rPr>
                    <w:rFonts w:ascii="Cambria Math" w:hAnsi="Cambria Math"/>
                    <w:i/>
                  </w:rPr>
                </m:ctrlPr>
              </m:fPr>
              <m:num>
                <m:sSubSup>
                  <m:sSubSupPr>
                    <m:ctrlPr>
                      <w:rPr>
                        <w:rFonts w:ascii="Cambria Math" w:hAnsi="Cambria Math"/>
                        <w:i/>
                      </w:rPr>
                    </m:ctrlPr>
                  </m:sSubSupPr>
                  <m:e>
                    <m:r>
                      <m:rPr>
                        <m:nor/>
                      </m:rPr>
                      <w:rPr>
                        <w:i/>
                      </w:rPr>
                      <m:t>P</m:t>
                    </m:r>
                  </m:e>
                  <m:sub>
                    <m:r>
                      <m:rPr>
                        <m:nor/>
                      </m:rPr>
                      <w:rPr>
                        <w:i/>
                      </w:rPr>
                      <m:t>X</m:t>
                    </m:r>
                  </m:sub>
                  <m:sup>
                    <m:r>
                      <m:rPr>
                        <m:nor/>
                      </m:rPr>
                      <w:rPr>
                        <w:i/>
                      </w:rPr>
                      <m:t>A</m:t>
                    </m:r>
                  </m:sup>
                </m:sSubSup>
              </m:num>
              <m:den>
                <m:d>
                  <m:dPr>
                    <m:ctrlPr>
                      <w:rPr>
                        <w:rFonts w:ascii="Cambria Math" w:hAnsi="Cambria Math"/>
                        <w:i/>
                      </w:rPr>
                    </m:ctrlPr>
                  </m:dPr>
                  <m:e>
                    <m:sSubSup>
                      <m:sSubSupPr>
                        <m:ctrlPr>
                          <w:rPr>
                            <w:rFonts w:ascii="Cambria Math" w:hAnsi="Cambria Math"/>
                            <w:i/>
                          </w:rPr>
                        </m:ctrlPr>
                      </m:sSubSupPr>
                      <m:e>
                        <m:r>
                          <m:rPr>
                            <m:nor/>
                          </m:rPr>
                          <w:rPr>
                            <w:i/>
                          </w:rPr>
                          <m:t>P</m:t>
                        </m:r>
                      </m:e>
                      <m:sub>
                        <m:r>
                          <m:rPr>
                            <m:nor/>
                          </m:rPr>
                          <w:rPr>
                            <w:i/>
                          </w:rPr>
                          <m:t>Y</m:t>
                        </m:r>
                      </m:sub>
                      <m:sup>
                        <m:r>
                          <m:rPr>
                            <m:nor/>
                          </m:rPr>
                          <w:rPr>
                            <w:i/>
                          </w:rPr>
                          <m:t>R</m:t>
                        </m:r>
                      </m:sup>
                    </m:sSubSup>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t</m:t>
                        </m:r>
                      </m:e>
                    </m:d>
                  </m:e>
                </m:d>
              </m:den>
            </m:f>
          </m:e>
        </m:d>
      </m:oMath>
      <w:r>
        <w:t xml:space="preserve"> (línea verde en la </w:t>
      </w:r>
      <w:r>
        <w:fldChar w:fldCharType="begin"/>
      </w:r>
      <w:r>
        <w:instrText xml:space="preserve"> REF _Ref141210157 \h </w:instrText>
      </w:r>
      <w:r>
        <w:fldChar w:fldCharType="separate"/>
      </w:r>
      <w:r w:rsidR="006C02E9">
        <w:t>Imagen </w:t>
      </w:r>
      <w:r w:rsidR="006C02E9">
        <w:rPr>
          <w:rStyle w:val="TtuloimagenCar"/>
        </w:rPr>
        <w:t>5</w:t>
      </w:r>
      <w:r>
        <w:fldChar w:fldCharType="end"/>
      </w:r>
      <w:r>
        <w:t>).</w:t>
      </w:r>
    </w:p>
    <w:p w14:paraId="067DA401" w14:textId="77777777" w:rsidR="00C02FB6" w:rsidRDefault="00C02FB6" w:rsidP="00C02FB6">
      <w:pPr>
        <w:pStyle w:val="Nivel2SM"/>
        <w:keepNext/>
        <w:spacing w:after="0"/>
      </w:pPr>
      <w:r w:rsidRPr="006E2AC8">
        <w:t>Con el arancel, el nuevo precio relativo doméstico es</w:t>
      </w:r>
      <w:r>
        <w:t>:</w:t>
      </w:r>
    </w:p>
    <w:p w14:paraId="1D097483" w14:textId="77777777" w:rsidR="00C02FB6" w:rsidRPr="009D535A" w:rsidRDefault="00C02FB6" w:rsidP="00C02FB6">
      <w:pPr>
        <w:pStyle w:val="Nivel3SM"/>
        <w:keepNext/>
        <w:numPr>
          <w:ilvl w:val="0"/>
          <w:numId w:val="0"/>
        </w:numPr>
        <w:ind w:left="567" w:hanging="198"/>
      </w:pPr>
      <m:oMathPara>
        <m:oMath>
          <m:r>
            <m:rPr>
              <m:nor/>
            </m:rPr>
            <w:rPr>
              <w:rFonts w:ascii="Cambria Math"/>
              <w:iCs/>
            </w:rPr>
            <m:t xml:space="preserve"> </m:t>
          </m:r>
          <m:r>
            <m:rPr>
              <m:nor/>
            </m:rPr>
            <w:rPr>
              <w:i/>
            </w:rPr>
            <m:t>Precio relativo doméstico</m:t>
          </m:r>
          <m:r>
            <w:rPr>
              <w:rFonts w:ascii="Cambria Math" w:hAnsi="Cambria Math"/>
            </w:rPr>
            <m:t>=</m:t>
          </m:r>
          <m:f>
            <m:fPr>
              <m:ctrlPr>
                <w:rPr>
                  <w:rFonts w:ascii="Cambria Math" w:hAnsi="Cambria Math"/>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t</m:t>
                  </m:r>
                </m:e>
              </m:d>
            </m:den>
          </m:f>
          <m:r>
            <w:rPr>
              <w:rFonts w:ascii="Cambria Math" w:hAnsi="Cambria Math"/>
            </w:rPr>
            <m:t>&lt;</m:t>
          </m:r>
          <m:f>
            <m:fPr>
              <m:ctrlPr>
                <w:rPr>
                  <w:rFonts w:ascii="Cambria Math" w:hAnsi="Cambria Math"/>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hAnsi="Cambria Math"/>
            </w:rPr>
            <m:t>≡</m:t>
          </m:r>
          <m:r>
            <m:rPr>
              <m:nor/>
            </m:rPr>
            <w:rPr>
              <w:i/>
            </w:rPr>
            <m:t>RRI</m:t>
          </m:r>
        </m:oMath>
      </m:oMathPara>
    </w:p>
    <w:p w14:paraId="0EC77745" w14:textId="77777777" w:rsidR="00C02FB6" w:rsidRPr="006E2AC8" w:rsidRDefault="00C02FB6" w:rsidP="00C02FB6">
      <w:pPr>
        <w:pStyle w:val="Nivel3SM"/>
      </w:pPr>
      <w:r w:rsidRPr="006E2AC8">
        <w:t xml:space="preserve">Vemos como </w:t>
      </w:r>
      <w:r w:rsidRPr="00896921">
        <w:rPr>
          <w:b/>
          <w:bCs/>
        </w:rPr>
        <w:t>el precio relativo doméstico es menor que la relación real de intercambio</w:t>
      </w:r>
      <w:r w:rsidRPr="006E2AC8">
        <w:t>, es decir, el país hace frente a unos precios distintos a los precios mundiales a causa del arancel. La recta de precios se vuelve más plana (y disminuye la pendiente).</w:t>
      </w:r>
    </w:p>
    <w:p w14:paraId="153755F4" w14:textId="77777777" w:rsidR="00C02FB6" w:rsidRPr="006E2AC8" w:rsidRDefault="00C02FB6" w:rsidP="00C02FB6">
      <w:pPr>
        <w:pStyle w:val="Nivel2SM"/>
      </w:pPr>
      <w:r w:rsidRPr="006E2AC8">
        <w:t xml:space="preserve">Los </w:t>
      </w:r>
      <w:r w:rsidRPr="00DF5823">
        <w:rPr>
          <w:i/>
          <w:iCs/>
          <w:u w:val="single"/>
        </w:rPr>
        <w:t>productores</w:t>
      </w:r>
      <w:r w:rsidRPr="006E2AC8">
        <w:t xml:space="preserve"> domésticos de </w:t>
      </w:r>
      <w:r w:rsidRPr="006E2AC8">
        <w:rPr>
          <w:i/>
          <w:iCs/>
        </w:rPr>
        <w:t>Y</w:t>
      </w:r>
      <w:r w:rsidRPr="006E2AC8">
        <w:t xml:space="preserve"> se enfrentarán a una menor competencia en precio con el resto del mundo a causa del arancel, que encarece el precio relativo de </w:t>
      </w:r>
      <w:r w:rsidRPr="006E2AC8">
        <w:rPr>
          <w:i/>
          <w:iCs/>
        </w:rPr>
        <w:t>Y</w:t>
      </w:r>
      <w:r w:rsidRPr="006E2AC8">
        <w:t xml:space="preserve">. En consecuencia, disminuirán la producción de </w:t>
      </w:r>
      <w:r w:rsidRPr="006E2AC8">
        <w:rPr>
          <w:i/>
          <w:iCs/>
        </w:rPr>
        <w:t>X</w:t>
      </w:r>
      <w:r w:rsidRPr="006E2AC8">
        <w:t xml:space="preserve"> y aumentarán la de </w:t>
      </w:r>
      <w:r w:rsidRPr="006E2AC8">
        <w:rPr>
          <w:i/>
          <w:iCs/>
        </w:rPr>
        <w:t>Y</w:t>
      </w:r>
      <w:r w:rsidRPr="006E2AC8">
        <w:t xml:space="preserve"> (que ahora es más rentable)</w:t>
      </w:r>
      <w:r>
        <w:t xml:space="preserve"> hasta situar la producción en el punto </w:t>
      </w:r>
      <m:oMath>
        <m:r>
          <m:rPr>
            <m:nor/>
          </m:rPr>
          <w:rPr>
            <w:i/>
          </w:rPr>
          <m:t>P'</m:t>
        </m:r>
      </m:oMath>
      <w:r w:rsidRPr="006E2AC8">
        <w:t>.</w:t>
      </w:r>
    </w:p>
    <w:p w14:paraId="06E93AD9" w14:textId="77777777" w:rsidR="00C02FB6" w:rsidRPr="006E2AC8" w:rsidRDefault="00C02FB6" w:rsidP="00C02FB6">
      <w:pPr>
        <w:pStyle w:val="Nivel2SM"/>
        <w:keepNext/>
        <w:spacing w:after="0"/>
      </w:pPr>
      <w:r w:rsidRPr="006E2AC8">
        <w:t xml:space="preserve">Por su parte, los </w:t>
      </w:r>
      <w:r w:rsidRPr="00DF5823">
        <w:rPr>
          <w:i/>
          <w:iCs/>
          <w:u w:val="single"/>
        </w:rPr>
        <w:t>consumidores</w:t>
      </w:r>
      <w:r w:rsidRPr="006E2AC8">
        <w:t xml:space="preserve"> se enfrentarán a otros precios, por lo que se producirán </w:t>
      </w:r>
      <w:r>
        <w:t>2 </w:t>
      </w:r>
      <w:r w:rsidRPr="006E2AC8">
        <w:t>consecuencias:</w:t>
      </w:r>
    </w:p>
    <w:p w14:paraId="3C835C11" w14:textId="77777777" w:rsidR="00C02FB6" w:rsidRDefault="00C02FB6">
      <w:pPr>
        <w:pStyle w:val="Prrafodelista"/>
        <w:numPr>
          <w:ilvl w:val="0"/>
          <w:numId w:val="25"/>
        </w:numPr>
        <w:spacing w:after="0"/>
        <w:ind w:left="1134" w:hanging="113"/>
      </w:pPr>
      <w:r>
        <w:t>En primer lugar, ahora actuarán en respuesta a los precios modificados, por lo que la pendiente relevante (los precios domésticos) ya no coincide con la RRI y en el óptimo, se igualará la RMS al cociente de precios domésticos.</w:t>
      </w:r>
    </w:p>
    <w:p w14:paraId="166FCBB9" w14:textId="77777777" w:rsidR="00C02FB6" w:rsidRDefault="00C02FB6">
      <w:pPr>
        <w:pStyle w:val="Prrafodelista"/>
        <w:numPr>
          <w:ilvl w:val="0"/>
          <w:numId w:val="25"/>
        </w:numPr>
        <w:spacing w:after="0"/>
        <w:ind w:left="1134" w:hanging="113"/>
      </w:pPr>
      <w:r>
        <w:t xml:space="preserve">En segundo lugar, como suponemos que el gobierno reparte entre los consumidores la recaudación del arancel, la nueva recta de precios relativos con el arancel se desplaza paralelamente hacia arriba, marcando la Frontera de Posibilidades de Consumo. En la tangencia entre esta recta de precios relativos y la curva de indiferencia encontramos el nuevo punto de consumo, </w:t>
      </w:r>
      <m:oMath>
        <m:r>
          <m:rPr>
            <m:nor/>
          </m:rPr>
          <w:rPr>
            <w:i/>
          </w:rPr>
          <m:t>C'</m:t>
        </m:r>
      </m:oMath>
      <w:r>
        <w:t>. La tangencia se producirá sobre la paralela a la RRI que corte en el punto </w:t>
      </w:r>
      <m:oMath>
        <m:r>
          <m:rPr>
            <m:nor/>
          </m:rPr>
          <w:rPr>
            <w:i/>
          </w:rPr>
          <m:t>P'</m:t>
        </m:r>
      </m:oMath>
      <w:r>
        <w:rPr>
          <w:rFonts w:eastAsiaTheme="minorEastAsia"/>
        </w:rPr>
        <w:t xml:space="preserve"> ya que los términos de intercambio con el resto del mundo no han cambiado (al ser un país pequeño)</w:t>
      </w:r>
      <w:r>
        <w:rPr>
          <w:rStyle w:val="Refdenotaalpie"/>
          <w:rFonts w:eastAsiaTheme="minorEastAsia"/>
        </w:rPr>
        <w:footnoteReference w:id="10"/>
      </w:r>
      <w:r>
        <w:rPr>
          <w:rFonts w:eastAsiaTheme="minorEastAsia"/>
        </w:rPr>
        <w:t>.</w:t>
      </w:r>
    </w:p>
    <w:p w14:paraId="59E73FFD" w14:textId="26586F58" w:rsidR="00C02FB6" w:rsidRDefault="00C02FB6" w:rsidP="00C02FB6">
      <w:pPr>
        <w:pStyle w:val="Ttuloimagen"/>
      </w:pPr>
      <w:bookmarkStart w:id="39" w:name="_Ref141210157"/>
      <w:r>
        <w:t>Imagen </w:t>
      </w:r>
      <w:r w:rsidRPr="00670102">
        <w:rPr>
          <w:rStyle w:val="TtuloimagenCar"/>
        </w:rPr>
        <w:fldChar w:fldCharType="begin"/>
      </w:r>
      <w:r w:rsidRPr="00670102">
        <w:rPr>
          <w:rStyle w:val="TtuloimagenCar"/>
        </w:rPr>
        <w:instrText xml:space="preserve"> SEQ Ilustración \* ARABIC </w:instrText>
      </w:r>
      <w:r w:rsidRPr="00670102">
        <w:rPr>
          <w:rStyle w:val="TtuloimagenCar"/>
        </w:rPr>
        <w:fldChar w:fldCharType="separate"/>
      </w:r>
      <w:r w:rsidR="006C02E9">
        <w:rPr>
          <w:rStyle w:val="TtuloimagenCar"/>
        </w:rPr>
        <w:t>5</w:t>
      </w:r>
      <w:r w:rsidRPr="00670102">
        <w:rPr>
          <w:rStyle w:val="TtuloimagenCar"/>
        </w:rPr>
        <w:fldChar w:fldCharType="end"/>
      </w:r>
      <w:bookmarkEnd w:id="39"/>
      <w:r w:rsidRPr="00670102">
        <w:rPr>
          <w:rStyle w:val="TtuloimagenCar"/>
        </w:rPr>
        <w:t>.–</w:t>
      </w:r>
      <w:r>
        <w:rPr>
          <w:rStyle w:val="TtuloimagenCar"/>
        </w:rPr>
        <w:t xml:space="preserve"> </w:t>
      </w:r>
      <w:r>
        <w:rPr>
          <w:rStyle w:val="TtuloimagenCar"/>
          <w:i/>
          <w:iCs/>
        </w:rPr>
        <w:t>Introducción de un arancel en un modelo de equilibrio general</w:t>
      </w:r>
      <w:r>
        <w:drawing>
          <wp:inline distT="0" distB="0" distL="0" distR="0" wp14:anchorId="31BE9501" wp14:editId="776724F2">
            <wp:extent cx="4696009" cy="2520000"/>
            <wp:effectExtent l="0" t="0" r="0" b="0"/>
            <wp:docPr id="20" name="Imagen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10;&#10;Descripción generada automáticamente"/>
                    <pic:cNvPicPr/>
                  </pic:nvPicPr>
                  <pic:blipFill rotWithShape="1">
                    <a:blip r:embed="rId19"/>
                    <a:srcRect b="4593"/>
                    <a:stretch/>
                  </pic:blipFill>
                  <pic:spPr bwMode="auto">
                    <a:xfrm>
                      <a:off x="0" y="0"/>
                      <a:ext cx="4696009" cy="2520000"/>
                    </a:xfrm>
                    <a:prstGeom prst="rect">
                      <a:avLst/>
                    </a:prstGeom>
                    <a:ln>
                      <a:noFill/>
                    </a:ln>
                    <a:extLst>
                      <a:ext uri="{53640926-AAD7-44D8-BBD7-CCE9431645EC}">
                        <a14:shadowObscured xmlns:a14="http://schemas.microsoft.com/office/drawing/2010/main"/>
                      </a:ext>
                    </a:extLst>
                  </pic:spPr>
                </pic:pic>
              </a:graphicData>
            </a:graphic>
          </wp:inline>
        </w:drawing>
      </w:r>
    </w:p>
    <w:p w14:paraId="178EA734" w14:textId="77777777" w:rsidR="00C02FB6" w:rsidRPr="00670102" w:rsidRDefault="00C02FB6" w:rsidP="00C02FB6">
      <w:pPr>
        <w:pStyle w:val="PiedeImagen"/>
        <w:rPr>
          <w:i w:val="0"/>
          <w:iCs/>
        </w:rPr>
      </w:pPr>
      <w:r>
        <w:t>Fuente</w:t>
      </w:r>
      <w:r>
        <w:rPr>
          <w:i w:val="0"/>
          <w:iCs/>
        </w:rPr>
        <w:t>: Elaboración propia</w:t>
      </w:r>
    </w:p>
    <w:p w14:paraId="56B124A5" w14:textId="77777777" w:rsidR="00C02FB6" w:rsidRDefault="00C02FB6" w:rsidP="00C02FB6">
      <w:pPr>
        <w:pStyle w:val="Nivel1SM"/>
        <w:keepNext/>
        <w:spacing w:after="0"/>
      </w:pPr>
      <w:r>
        <w:lastRenderedPageBreak/>
        <w:t xml:space="preserve">Supongamos que ahora </w:t>
      </w:r>
      <w:r>
        <w:rPr>
          <w:i/>
          <w:iCs/>
        </w:rPr>
        <w:t>A</w:t>
      </w:r>
      <w:r>
        <w:t xml:space="preserve"> decide formar una unión aduanera con </w:t>
      </w:r>
      <w:r>
        <w:rPr>
          <w:i/>
          <w:iCs/>
        </w:rPr>
        <w:t>B</w:t>
      </w:r>
      <w:r>
        <w:t xml:space="preserve">, de forma que </w:t>
      </w:r>
      <m:oMath>
        <m:sSubSup>
          <m:sSubSupPr>
            <m:ctrlPr>
              <w:rPr>
                <w:rFonts w:ascii="Cambria Math" w:hAnsi="Cambria Math"/>
                <w:i/>
              </w:rPr>
            </m:ctrlPr>
          </m:sSubSupPr>
          <m:e>
            <m:r>
              <m:rPr>
                <m:nor/>
              </m:rPr>
              <w:rPr>
                <w:i/>
              </w:rPr>
              <m:t>P</m:t>
            </m:r>
          </m:e>
          <m:sub>
            <m:r>
              <m:rPr>
                <m:nor/>
              </m:rPr>
              <w:rPr>
                <w:i/>
              </w:rPr>
              <m:t>Y</m:t>
            </m:r>
          </m:sub>
          <m:sup>
            <m:r>
              <m:rPr>
                <m:nor/>
              </m:rPr>
              <w:rPr>
                <w:i/>
              </w:rPr>
              <m:t>B</m:t>
            </m:r>
          </m:sup>
        </m:sSubSup>
        <m:r>
          <w:rPr>
            <w:rFonts w:ascii="Cambria Math" w:hAnsi="Cambria Math"/>
          </w:rPr>
          <m:t>&lt;</m:t>
        </m:r>
        <m:sSubSup>
          <m:sSubSupPr>
            <m:ctrlPr>
              <w:rPr>
                <w:rFonts w:ascii="Cambria Math" w:hAnsi="Cambria Math"/>
                <w:i/>
              </w:rPr>
            </m:ctrlPr>
          </m:sSubSupPr>
          <m:e>
            <m:r>
              <m:rPr>
                <m:nor/>
              </m:rPr>
              <w:rPr>
                <w:i/>
              </w:rPr>
              <m:t>P</m:t>
            </m:r>
          </m:e>
          <m:sub>
            <m:r>
              <m:rPr>
                <m:nor/>
              </m:rPr>
              <w:rPr>
                <w:i/>
              </w:rPr>
              <m:t>Y</m:t>
            </m:r>
          </m:sub>
          <m:sup>
            <m:r>
              <m:rPr>
                <m:nor/>
              </m:rPr>
              <w:rPr>
                <w:i/>
              </w:rPr>
              <m:t>R</m:t>
            </m:r>
          </m:sup>
        </m:sSubSup>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t</m:t>
            </m:r>
          </m:e>
        </m:d>
        <m:r>
          <w:rPr>
            <w:rFonts w:ascii="Cambria Math" w:hAnsi="Cambria Math"/>
          </w:rPr>
          <m:t>&lt;</m:t>
        </m:r>
        <m:sSubSup>
          <m:sSubSupPr>
            <m:ctrlPr>
              <w:rPr>
                <w:rFonts w:ascii="Cambria Math" w:hAnsi="Cambria Math"/>
                <w:i/>
              </w:rPr>
            </m:ctrlPr>
          </m:sSubSupPr>
          <m:e>
            <m:r>
              <m:rPr>
                <m:nor/>
              </m:rPr>
              <w:rPr>
                <w:i/>
              </w:rPr>
              <m:t>P</m:t>
            </m:r>
          </m:e>
          <m:sub>
            <m:r>
              <m:rPr>
                <m:nor/>
              </m:rPr>
              <w:rPr>
                <w:i/>
              </w:rPr>
              <m:t>Y</m:t>
            </m:r>
          </m:sub>
          <m:sup>
            <m:r>
              <m:rPr>
                <m:nor/>
              </m:rPr>
              <w:rPr>
                <w:i/>
              </w:rPr>
              <m:t>A</m:t>
            </m:r>
          </m:sup>
        </m:sSubSup>
      </m:oMath>
      <w:r>
        <w:rPr>
          <w:rFonts w:eastAsiaTheme="minorEastAsia"/>
        </w:rPr>
        <w:t xml:space="preserve">, por lo que comienza a importar el bien de </w:t>
      </w:r>
      <w:r>
        <w:rPr>
          <w:rFonts w:eastAsiaTheme="minorEastAsia"/>
          <w:i/>
          <w:iCs/>
        </w:rPr>
        <w:t>B</w:t>
      </w:r>
      <w:r>
        <w:rPr>
          <w:rFonts w:eastAsiaTheme="minorEastAsia"/>
        </w:rPr>
        <w:t xml:space="preserve"> en lugar de importarlo de </w:t>
      </w:r>
      <w:r>
        <w:rPr>
          <w:rFonts w:eastAsiaTheme="minorEastAsia"/>
          <w:i/>
          <w:iCs/>
        </w:rPr>
        <w:t>R</w:t>
      </w:r>
      <w:r>
        <w:rPr>
          <w:rFonts w:eastAsiaTheme="minorEastAsia"/>
        </w:rPr>
        <w:t>.</w:t>
      </w:r>
    </w:p>
    <w:p w14:paraId="64D7B4F7" w14:textId="77777777" w:rsidR="00C02FB6" w:rsidRPr="00B57E55" w:rsidRDefault="00C02FB6" w:rsidP="00C02FB6">
      <w:pPr>
        <w:pStyle w:val="Nivel2SM"/>
        <w:keepNext/>
        <w:spacing w:after="0"/>
        <w:rPr>
          <w:spacing w:val="-3"/>
        </w:rPr>
      </w:pPr>
      <w:r w:rsidRPr="00B57E55">
        <w:rPr>
          <w:spacing w:val="-3"/>
        </w:rPr>
        <w:t xml:space="preserve">En este caso, los términos de intercambio vendrían dados por </w:t>
      </w:r>
      <m:oMath>
        <m:d>
          <m:dPr>
            <m:ctrlPr>
              <w:rPr>
                <w:rFonts w:ascii="Cambria Math" w:hAnsi="Cambria Math"/>
                <w:i/>
                <w:spacing w:val="-3"/>
              </w:rPr>
            </m:ctrlPr>
          </m:dPr>
          <m:e>
            <m:f>
              <m:fPr>
                <m:type m:val="lin"/>
                <m:ctrlPr>
                  <w:rPr>
                    <w:rFonts w:ascii="Cambria Math" w:hAnsi="Cambria Math"/>
                    <w:i/>
                    <w:spacing w:val="-3"/>
                  </w:rPr>
                </m:ctrlPr>
              </m:fPr>
              <m:num>
                <m:sSubSup>
                  <m:sSubSupPr>
                    <m:ctrlPr>
                      <w:rPr>
                        <w:rFonts w:ascii="Cambria Math" w:hAnsi="Cambria Math"/>
                        <w:i/>
                        <w:spacing w:val="-3"/>
                      </w:rPr>
                    </m:ctrlPr>
                  </m:sSubSupPr>
                  <m:e>
                    <m:r>
                      <m:rPr>
                        <m:nor/>
                      </m:rPr>
                      <w:rPr>
                        <w:i/>
                        <w:spacing w:val="-3"/>
                      </w:rPr>
                      <m:t>P</m:t>
                    </m:r>
                  </m:e>
                  <m:sub>
                    <m:r>
                      <m:rPr>
                        <m:nor/>
                      </m:rPr>
                      <w:rPr>
                        <w:i/>
                        <w:spacing w:val="-3"/>
                      </w:rPr>
                      <m:t>X</m:t>
                    </m:r>
                  </m:sub>
                  <m:sup>
                    <m:r>
                      <m:rPr>
                        <m:nor/>
                      </m:rPr>
                      <w:rPr>
                        <w:i/>
                        <w:spacing w:val="-3"/>
                      </w:rPr>
                      <m:t>A</m:t>
                    </m:r>
                  </m:sup>
                </m:sSubSup>
              </m:num>
              <m:den>
                <m:sSubSup>
                  <m:sSubSupPr>
                    <m:ctrlPr>
                      <w:rPr>
                        <w:rFonts w:ascii="Cambria Math" w:hAnsi="Cambria Math"/>
                        <w:i/>
                        <w:spacing w:val="-3"/>
                      </w:rPr>
                    </m:ctrlPr>
                  </m:sSubSupPr>
                  <m:e>
                    <m:r>
                      <m:rPr>
                        <m:nor/>
                      </m:rPr>
                      <w:rPr>
                        <w:i/>
                        <w:spacing w:val="-3"/>
                      </w:rPr>
                      <m:t>P</m:t>
                    </m:r>
                  </m:e>
                  <m:sub>
                    <m:r>
                      <m:rPr>
                        <m:nor/>
                      </m:rPr>
                      <w:rPr>
                        <w:i/>
                        <w:spacing w:val="-3"/>
                      </w:rPr>
                      <m:t>Y</m:t>
                    </m:r>
                  </m:sub>
                  <m:sup>
                    <m:r>
                      <m:rPr>
                        <m:nor/>
                      </m:rPr>
                      <w:rPr>
                        <w:i/>
                        <w:spacing w:val="-3"/>
                      </w:rPr>
                      <m:t>B</m:t>
                    </m:r>
                  </m:sup>
                </m:sSubSup>
              </m:den>
            </m:f>
          </m:e>
        </m:d>
      </m:oMath>
      <w:r w:rsidRPr="00B57E55">
        <w:rPr>
          <w:rFonts w:eastAsiaTheme="minorEastAsia"/>
          <w:spacing w:val="-3"/>
        </w:rPr>
        <w:t xml:space="preserve"> (línea roja), tal que el nivel de consumo podría situarse en un punto como </w:t>
      </w:r>
      <w:r w:rsidRPr="00B57E55">
        <w:rPr>
          <w:rFonts w:eastAsiaTheme="minorEastAsia"/>
          <w:i/>
          <w:iCs/>
          <w:spacing w:val="-3"/>
        </w:rPr>
        <w:t>C’’</w:t>
      </w:r>
      <w:r w:rsidRPr="00B57E55">
        <w:rPr>
          <w:rFonts w:eastAsiaTheme="minorEastAsia"/>
          <w:spacing w:val="-3"/>
        </w:rPr>
        <w:t>. Vemos cómo en esta situación nos llevaría a una situación de bienestar idéntico a la situación considerada del arancel no</w:t>
      </w:r>
      <w:r>
        <w:rPr>
          <w:rFonts w:eastAsiaTheme="minorEastAsia"/>
          <w:spacing w:val="-3"/>
        </w:rPr>
        <w:t> </w:t>
      </w:r>
      <w:r w:rsidRPr="00B57E55">
        <w:rPr>
          <w:rFonts w:eastAsiaTheme="minorEastAsia"/>
          <w:spacing w:val="-3"/>
        </w:rPr>
        <w:t>discriminatorio.</w:t>
      </w:r>
    </w:p>
    <w:p w14:paraId="42465E91" w14:textId="77777777" w:rsidR="00C02FB6" w:rsidRPr="00670102" w:rsidRDefault="00C02FB6" w:rsidP="00C02FB6">
      <w:pPr>
        <w:pStyle w:val="Nivel3SM"/>
      </w:pPr>
      <w:r>
        <w:t>Nótese que este resultado no tiene por qué darse. Lo hemos representado así para demostrar que existe la posibilidad de que la situación resulte en un bienestar idéntico pero no tiene por qué ser así (podría ser mayor o menor).</w:t>
      </w:r>
    </w:p>
    <w:p w14:paraId="20A6BDAA" w14:textId="143C6028" w:rsidR="00C02FB6" w:rsidRPr="00A01639" w:rsidRDefault="00C02FB6" w:rsidP="00C02FB6">
      <w:pPr>
        <w:pStyle w:val="Ttuloimagen"/>
      </w:pPr>
      <w:r>
        <w:t>Imagen </w:t>
      </w:r>
      <w:r w:rsidRPr="00670102">
        <w:rPr>
          <w:rStyle w:val="TtuloimagenCar"/>
        </w:rPr>
        <w:fldChar w:fldCharType="begin"/>
      </w:r>
      <w:r w:rsidRPr="00670102">
        <w:rPr>
          <w:rStyle w:val="TtuloimagenCar"/>
        </w:rPr>
        <w:instrText xml:space="preserve"> SEQ Ilustración \* ARABIC </w:instrText>
      </w:r>
      <w:r w:rsidRPr="00670102">
        <w:rPr>
          <w:rStyle w:val="TtuloimagenCar"/>
        </w:rPr>
        <w:fldChar w:fldCharType="separate"/>
      </w:r>
      <w:r w:rsidR="006C02E9">
        <w:rPr>
          <w:rStyle w:val="TtuloimagenCar"/>
        </w:rPr>
        <w:t>6</w:t>
      </w:r>
      <w:r w:rsidRPr="00670102">
        <w:rPr>
          <w:rStyle w:val="TtuloimagenCar"/>
        </w:rPr>
        <w:fldChar w:fldCharType="end"/>
      </w:r>
      <w:r w:rsidRPr="00670102">
        <w:rPr>
          <w:rStyle w:val="TtuloimagenCar"/>
        </w:rPr>
        <w:t>.–</w:t>
      </w:r>
      <w:r>
        <w:rPr>
          <w:rStyle w:val="TtuloimagenCar"/>
        </w:rPr>
        <w:t xml:space="preserve"> </w:t>
      </w:r>
      <w:r>
        <w:rPr>
          <w:rStyle w:val="TtuloimagenCar"/>
          <w:i/>
          <w:iCs/>
        </w:rPr>
        <w:t>Formación de una unión aduanera en un modelo de equilibrio general</w:t>
      </w:r>
      <w:r w:rsidRPr="00A01639">
        <w:t xml:space="preserve"> </w:t>
      </w:r>
      <w:r>
        <w:drawing>
          <wp:inline distT="0" distB="0" distL="0" distR="0" wp14:anchorId="4B015319" wp14:editId="0CDDB13D">
            <wp:extent cx="4740000" cy="2520000"/>
            <wp:effectExtent l="0" t="0" r="3810" b="0"/>
            <wp:docPr id="21" name="Imagen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Diagrama&#10;&#10;Descripción generada automáticamente"/>
                    <pic:cNvPicPr/>
                  </pic:nvPicPr>
                  <pic:blipFill rotWithShape="1">
                    <a:blip r:embed="rId20"/>
                    <a:srcRect b="5478"/>
                    <a:stretch/>
                  </pic:blipFill>
                  <pic:spPr bwMode="auto">
                    <a:xfrm>
                      <a:off x="0" y="0"/>
                      <a:ext cx="4740000" cy="2520000"/>
                    </a:xfrm>
                    <a:prstGeom prst="rect">
                      <a:avLst/>
                    </a:prstGeom>
                    <a:ln>
                      <a:noFill/>
                    </a:ln>
                    <a:extLst>
                      <a:ext uri="{53640926-AAD7-44D8-BBD7-CCE9431645EC}">
                        <a14:shadowObscured xmlns:a14="http://schemas.microsoft.com/office/drawing/2010/main"/>
                      </a:ext>
                    </a:extLst>
                  </pic:spPr>
                </pic:pic>
              </a:graphicData>
            </a:graphic>
          </wp:inline>
        </w:drawing>
      </w:r>
    </w:p>
    <w:p w14:paraId="37C6E632" w14:textId="77777777" w:rsidR="00C02FB6" w:rsidRPr="00670102" w:rsidRDefault="00C02FB6" w:rsidP="00C02FB6">
      <w:pPr>
        <w:pStyle w:val="PiedeImagen"/>
        <w:rPr>
          <w:i w:val="0"/>
          <w:iCs/>
        </w:rPr>
      </w:pPr>
      <w:r>
        <w:t>Fuente</w:t>
      </w:r>
      <w:r>
        <w:rPr>
          <w:i w:val="0"/>
          <w:iCs/>
        </w:rPr>
        <w:t>: Elaboración propia</w:t>
      </w:r>
    </w:p>
    <w:p w14:paraId="6479D1EC" w14:textId="77777777" w:rsidR="00C02FB6" w:rsidRDefault="00C02FB6" w:rsidP="00C02FB6">
      <w:pPr>
        <w:pStyle w:val="Ttulo7"/>
      </w:pPr>
      <w:r>
        <w:t>Implicaciones</w:t>
      </w:r>
    </w:p>
    <w:p w14:paraId="666105F6" w14:textId="5D0543FF" w:rsidR="00C02FB6" w:rsidRPr="00A01639" w:rsidRDefault="00C02FB6" w:rsidP="0080696D">
      <w:pPr>
        <w:pStyle w:val="Nivel1SM"/>
        <w:spacing w:before="0"/>
      </w:pPr>
      <w:r>
        <w:t xml:space="preserve">Por lo tanto, </w:t>
      </w:r>
      <w:r w:rsidR="0080696D" w:rsidRPr="0080696D">
        <w:t>d</w:t>
      </w:r>
      <w:r w:rsidRPr="0080696D">
        <w:t>e</w:t>
      </w:r>
      <w:r w:rsidRPr="00A01639">
        <w:t xml:space="preserve"> nuevo volvemos a la idea inicial. Ambos resultados son subóptimos, por lo que el mero hecho de acercarnos a la solución óptima de Pareto mediante eliminación de imperfecciones no garantiza que otra situación con mayores imperfecciones sea siempre peor (</w:t>
      </w:r>
      <w:r w:rsidRPr="00A01639">
        <w:rPr>
          <w:i/>
          <w:iCs/>
        </w:rPr>
        <w:t xml:space="preserve">teoría del </w:t>
      </w:r>
      <w:proofErr w:type="spellStart"/>
      <w:r w:rsidRPr="00A01639">
        <w:rPr>
          <w:i/>
          <w:iCs/>
        </w:rPr>
        <w:t>second</w:t>
      </w:r>
      <w:proofErr w:type="spellEnd"/>
      <w:r w:rsidRPr="00A01639">
        <w:rPr>
          <w:i/>
          <w:iCs/>
        </w:rPr>
        <w:t xml:space="preserve"> </w:t>
      </w:r>
      <w:proofErr w:type="spellStart"/>
      <w:r w:rsidRPr="00A01639">
        <w:rPr>
          <w:i/>
          <w:iCs/>
        </w:rPr>
        <w:t>best</w:t>
      </w:r>
      <w:proofErr w:type="spellEnd"/>
      <w:r w:rsidRPr="00A01639">
        <w:t>).</w:t>
      </w:r>
    </w:p>
    <w:p w14:paraId="50F8A131" w14:textId="22A3BFA6" w:rsidR="000D6DBA" w:rsidRDefault="000D6DBA" w:rsidP="000558A2">
      <w:pPr>
        <w:pStyle w:val="Ttulo3"/>
      </w:pPr>
      <w:bookmarkStart w:id="40" w:name="_Toc172225491"/>
      <w:r>
        <w:t>Factores determinantes de la deseabilidad de una unión aduanera (</w:t>
      </w:r>
      <w:proofErr w:type="spellStart"/>
      <w:r>
        <w:rPr>
          <w:smallCaps/>
        </w:rPr>
        <w:t>Bhagwati</w:t>
      </w:r>
      <w:proofErr w:type="spellEnd"/>
      <w:r>
        <w:t xml:space="preserve"> y </w:t>
      </w:r>
      <w:proofErr w:type="spellStart"/>
      <w:r>
        <w:rPr>
          <w:smallCaps/>
        </w:rPr>
        <w:t>Panagariya</w:t>
      </w:r>
      <w:proofErr w:type="spellEnd"/>
      <w:r>
        <w:t>)</w:t>
      </w:r>
      <w:bookmarkEnd w:id="40"/>
    </w:p>
    <w:p w14:paraId="514C3977" w14:textId="4ED84ED7" w:rsidR="002C111E" w:rsidRPr="001D1C3C" w:rsidRDefault="000D6DBA" w:rsidP="00701F49">
      <w:pPr>
        <w:pStyle w:val="Nivel1SM"/>
        <w:keepNext/>
        <w:spacing w:before="0" w:after="40"/>
      </w:pPr>
      <w:proofErr w:type="spellStart"/>
      <w:r>
        <w:rPr>
          <w:smallCaps/>
        </w:rPr>
        <w:t>Bhagwati</w:t>
      </w:r>
      <w:proofErr w:type="spellEnd"/>
      <w:r>
        <w:t xml:space="preserve"> y </w:t>
      </w:r>
      <w:proofErr w:type="spellStart"/>
      <w:r>
        <w:rPr>
          <w:smallCaps/>
        </w:rPr>
        <w:t>Panagariya</w:t>
      </w:r>
      <w:proofErr w:type="spellEnd"/>
      <w:r>
        <w:t xml:space="preserve"> analizan cuáles son los </w:t>
      </w:r>
      <w:r w:rsidRPr="000D6DBA">
        <w:rPr>
          <w:b/>
          <w:bCs/>
        </w:rPr>
        <w:t>factores</w:t>
      </w:r>
      <w:r>
        <w:t xml:space="preserve"> que deben confluir para que el impacto de la unión aduanera sea positivo. Así cabe señalar que el efecto neto depende de:</w:t>
      </w:r>
    </w:p>
    <w:p w14:paraId="395A8943" w14:textId="3F4A3356" w:rsidR="001D1C3C" w:rsidRDefault="001D1C3C">
      <w:pPr>
        <w:pStyle w:val="Prrafodelista"/>
        <w:numPr>
          <w:ilvl w:val="0"/>
          <w:numId w:val="23"/>
        </w:numPr>
        <w:spacing w:after="40"/>
        <w:ind w:left="567" w:hanging="170"/>
        <w:contextualSpacing w:val="0"/>
      </w:pPr>
      <w:r>
        <w:t xml:space="preserve">(+) </w:t>
      </w:r>
      <w:r w:rsidRPr="00322094">
        <w:rPr>
          <w:i/>
          <w:iCs/>
        </w:rPr>
        <w:t>Número de miembros que participan en la unión aduanera</w:t>
      </w:r>
      <w:r>
        <w:t>:</w:t>
      </w:r>
      <w:r w:rsidR="002E277D">
        <w:t xml:space="preserve"> </w:t>
      </w:r>
      <w:r w:rsidR="008A6619">
        <w:t>C</w:t>
      </w:r>
      <w:r w:rsidR="002E277D">
        <w:t>uanto mayor sea el número, mayor será la posibilidad de que en la unión aduanera participen los países más eficientes.</w:t>
      </w:r>
    </w:p>
    <w:p w14:paraId="0174EA52" w14:textId="59F611F7" w:rsidR="001D1C3C" w:rsidRDefault="001D1C3C">
      <w:pPr>
        <w:pStyle w:val="Prrafodelista"/>
        <w:numPr>
          <w:ilvl w:val="0"/>
          <w:numId w:val="23"/>
        </w:numPr>
        <w:spacing w:after="40"/>
        <w:ind w:left="567" w:hanging="170"/>
        <w:contextualSpacing w:val="0"/>
      </w:pPr>
      <w:r>
        <w:t xml:space="preserve">(+) </w:t>
      </w:r>
      <w:r w:rsidRPr="00322094">
        <w:rPr>
          <w:i/>
          <w:iCs/>
        </w:rPr>
        <w:t>Volumen de comercio entre los propios miembros</w:t>
      </w:r>
      <w:r>
        <w:t>:</w:t>
      </w:r>
      <w:r w:rsidR="002E277D">
        <w:t xml:space="preserve"> </w:t>
      </w:r>
      <w:r w:rsidR="008A6619">
        <w:t>C</w:t>
      </w:r>
      <w:r w:rsidR="002E277D">
        <w:t>uanto más comerciasen entre sí previamente los miembros de la unión aduanera, menor será el efecto desviación de comercio;</w:t>
      </w:r>
    </w:p>
    <w:p w14:paraId="441C7F94" w14:textId="4CD09ABF" w:rsidR="001D1C3C" w:rsidRDefault="001D1C3C">
      <w:pPr>
        <w:pStyle w:val="Prrafodelista"/>
        <w:numPr>
          <w:ilvl w:val="0"/>
          <w:numId w:val="23"/>
        </w:numPr>
        <w:spacing w:after="40"/>
        <w:ind w:left="567" w:hanging="170"/>
        <w:contextualSpacing w:val="0"/>
      </w:pPr>
      <w:r>
        <w:t>(</w:t>
      </w:r>
      <w:r w:rsidR="00322094" w:rsidRPr="00322094">
        <w:rPr>
          <w:rFonts w:cs="Times New Roman"/>
          <w:spacing w:val="-2"/>
        </w:rPr>
        <w:t>−</w:t>
      </w:r>
      <w:r>
        <w:t xml:space="preserve">) </w:t>
      </w:r>
      <w:r w:rsidRPr="00322094">
        <w:rPr>
          <w:i/>
          <w:iCs/>
        </w:rPr>
        <w:t>Volumen de comercio entre los miembros y el resto del mundo</w:t>
      </w:r>
      <w:r>
        <w:t>:</w:t>
      </w:r>
      <w:r w:rsidR="002E277D">
        <w:t xml:space="preserve"> </w:t>
      </w:r>
      <w:r w:rsidR="008A6619">
        <w:t>C</w:t>
      </w:r>
      <w:r w:rsidR="002E277D">
        <w:t xml:space="preserve">uanto más comerciasen previamente los miembros de la unión aduanera con el resto del mundo, mayor será el efecto desviación de comercio; </w:t>
      </w:r>
    </w:p>
    <w:p w14:paraId="63209581" w14:textId="5E21DC78" w:rsidR="001D1C3C" w:rsidRDefault="001D1C3C">
      <w:pPr>
        <w:pStyle w:val="Prrafodelista"/>
        <w:numPr>
          <w:ilvl w:val="0"/>
          <w:numId w:val="23"/>
        </w:numPr>
        <w:spacing w:after="40"/>
        <w:ind w:left="567" w:hanging="170"/>
        <w:contextualSpacing w:val="0"/>
      </w:pPr>
      <w:r>
        <w:t>(</w:t>
      </w:r>
      <w:r w:rsidR="00322094">
        <w:t>+</w:t>
      </w:r>
      <w:r>
        <w:t xml:space="preserve">) </w:t>
      </w:r>
      <w:r w:rsidRPr="00322094">
        <w:rPr>
          <w:i/>
          <w:iCs/>
        </w:rPr>
        <w:t>Magnitud de los aranceles previos</w:t>
      </w:r>
      <w:r>
        <w:t>:</w:t>
      </w:r>
      <w:r w:rsidR="002E277D">
        <w:t xml:space="preserve"> </w:t>
      </w:r>
      <w:r w:rsidR="008A6619">
        <w:t>C</w:t>
      </w:r>
      <w:r w:rsidR="002E277D">
        <w:t>uanto mayores fuesen los aranceles previos, mayor será el efecto de creación de comercio;</w:t>
      </w:r>
    </w:p>
    <w:p w14:paraId="3085B6B4" w14:textId="176EB44A" w:rsidR="001D1C3C" w:rsidRPr="00322094" w:rsidRDefault="001D1C3C">
      <w:pPr>
        <w:pStyle w:val="Prrafodelista"/>
        <w:numPr>
          <w:ilvl w:val="0"/>
          <w:numId w:val="23"/>
        </w:numPr>
        <w:spacing w:after="40"/>
        <w:ind w:left="567" w:hanging="170"/>
        <w:contextualSpacing w:val="0"/>
        <w:rPr>
          <w:spacing w:val="-2"/>
        </w:rPr>
      </w:pPr>
      <w:r w:rsidRPr="00322094">
        <w:rPr>
          <w:spacing w:val="-2"/>
        </w:rPr>
        <w:t>(</w:t>
      </w:r>
      <w:r w:rsidRPr="00322094">
        <w:rPr>
          <w:rFonts w:cs="Times New Roman"/>
          <w:spacing w:val="-2"/>
        </w:rPr>
        <w:t>−</w:t>
      </w:r>
      <w:r w:rsidRPr="00322094">
        <w:rPr>
          <w:spacing w:val="-2"/>
        </w:rPr>
        <w:t xml:space="preserve">) </w:t>
      </w:r>
      <w:r w:rsidRPr="00322094">
        <w:rPr>
          <w:i/>
          <w:iCs/>
          <w:spacing w:val="-2"/>
        </w:rPr>
        <w:t>Magnitud del arancel común posterior</w:t>
      </w:r>
      <w:r w:rsidRPr="00322094">
        <w:rPr>
          <w:spacing w:val="-2"/>
        </w:rPr>
        <w:t>:</w:t>
      </w:r>
      <w:r w:rsidR="002E277D" w:rsidRPr="00322094">
        <w:rPr>
          <w:spacing w:val="-2"/>
        </w:rPr>
        <w:t xml:space="preserve"> </w:t>
      </w:r>
      <w:r w:rsidR="008A6619">
        <w:rPr>
          <w:spacing w:val="-2"/>
        </w:rPr>
        <w:t>C</w:t>
      </w:r>
      <w:r w:rsidR="002E277D" w:rsidRPr="00322094">
        <w:rPr>
          <w:spacing w:val="-2"/>
        </w:rPr>
        <w:t>uanto mayor sea el arancel común posterior, mayor será el efecto desviación de comercio. El GATT, en su artículo</w:t>
      </w:r>
      <w:r w:rsidR="00701F49">
        <w:rPr>
          <w:spacing w:val="-2"/>
        </w:rPr>
        <w:t> </w:t>
      </w:r>
      <w:r w:rsidR="002E277D" w:rsidRPr="00322094">
        <w:rPr>
          <w:spacing w:val="-2"/>
        </w:rPr>
        <w:t>XXIV, prohíbe la creación de uniones aduaneras cuyo arancel exterior común sea mayor que la media de los aranceles previos;</w:t>
      </w:r>
    </w:p>
    <w:p w14:paraId="4EB1EE69" w14:textId="113283B9" w:rsidR="001D1C3C" w:rsidRPr="001D1C3C" w:rsidRDefault="001D1C3C">
      <w:pPr>
        <w:pStyle w:val="Prrafodelista"/>
        <w:numPr>
          <w:ilvl w:val="0"/>
          <w:numId w:val="23"/>
        </w:numPr>
        <w:spacing w:after="40"/>
        <w:ind w:left="567" w:hanging="170"/>
        <w:contextualSpacing w:val="0"/>
      </w:pPr>
      <w:r>
        <w:t xml:space="preserve">(+) </w:t>
      </w:r>
      <w:r w:rsidRPr="00322094">
        <w:rPr>
          <w:i/>
          <w:iCs/>
        </w:rPr>
        <w:t>Grado de sustituibilidad de los bienes de los países miembros</w:t>
      </w:r>
      <w:r w:rsidR="002E277D">
        <w:t xml:space="preserve"> (o grado de similitud ente las economías de los países miembros o grado de comercio </w:t>
      </w:r>
      <w:proofErr w:type="spellStart"/>
      <w:r w:rsidR="002E277D">
        <w:t>intra-industrial</w:t>
      </w:r>
      <w:proofErr w:type="spellEnd"/>
      <w:r w:rsidR="002E277D">
        <w:t xml:space="preserve"> de los países miembros)</w:t>
      </w:r>
      <w:r>
        <w:t>:</w:t>
      </w:r>
      <w:r w:rsidR="002E277D">
        <w:t xml:space="preserve"> </w:t>
      </w:r>
      <w:r w:rsidR="00D2293D">
        <w:t>C</w:t>
      </w:r>
      <w:r w:rsidR="002E277D">
        <w:t xml:space="preserve">uanto mayor sea el grado de sustituibilidad de los bienes de los países miembros, mayor será el efecto creación de comercio y menor será el efecto desviación de comercio. Supongamos el caso extremo en que los países </w:t>
      </w:r>
      <w:r w:rsidR="002E277D" w:rsidRPr="00322094">
        <w:rPr>
          <w:i/>
          <w:iCs/>
        </w:rPr>
        <w:t>A</w:t>
      </w:r>
      <w:r w:rsidR="002E277D">
        <w:t xml:space="preserve"> y </w:t>
      </w:r>
      <w:r w:rsidR="002E277D" w:rsidRPr="00322094">
        <w:rPr>
          <w:i/>
          <w:iCs/>
        </w:rPr>
        <w:t>B</w:t>
      </w:r>
      <w:r w:rsidR="002E277D">
        <w:t xml:space="preserve"> producen el mismo bien industrial. Con anterioridad a la unión aduanera, </w:t>
      </w:r>
      <w:r w:rsidR="002E277D" w:rsidRPr="00322094">
        <w:rPr>
          <w:i/>
          <w:iCs/>
        </w:rPr>
        <w:t>A</w:t>
      </w:r>
      <w:r w:rsidR="002E277D" w:rsidRPr="002E277D">
        <w:t xml:space="preserve"> </w:t>
      </w:r>
      <w:r w:rsidR="002E277D">
        <w:t xml:space="preserve">importaba bienes agrícolas de </w:t>
      </w:r>
      <w:r w:rsidR="002E277D" w:rsidRPr="00322094">
        <w:rPr>
          <w:i/>
          <w:iCs/>
        </w:rPr>
        <w:t>R</w:t>
      </w:r>
      <w:r w:rsidR="002E277D">
        <w:t xml:space="preserve">, y tras formarse la unión, </w:t>
      </w:r>
      <w:r w:rsidR="002E277D">
        <w:lastRenderedPageBreak/>
        <w:t xml:space="preserve">seguirá importándolos de </w:t>
      </w:r>
      <w:r w:rsidR="002E277D" w:rsidRPr="00322094">
        <w:rPr>
          <w:i/>
          <w:iCs/>
        </w:rPr>
        <w:t>R</w:t>
      </w:r>
      <w:r w:rsidR="002E277D">
        <w:t xml:space="preserve"> porque </w:t>
      </w:r>
      <w:r w:rsidR="002E277D" w:rsidRPr="00322094">
        <w:rPr>
          <w:i/>
          <w:iCs/>
        </w:rPr>
        <w:t>B</w:t>
      </w:r>
      <w:r w:rsidR="002E277D">
        <w:t xml:space="preserve"> no produce ese tipo de bien, por lo que no hay efecto desviación. En cambio, como ambos países producen bienes industriales, es muy probable que sí haya efecto creación de comercio;</w:t>
      </w:r>
    </w:p>
    <w:p w14:paraId="48226312" w14:textId="0B16C9BA" w:rsidR="00624AB0" w:rsidRDefault="001D1C3C">
      <w:pPr>
        <w:pStyle w:val="Prrafodelista"/>
        <w:numPr>
          <w:ilvl w:val="0"/>
          <w:numId w:val="23"/>
        </w:numPr>
        <w:spacing w:after="40"/>
        <w:ind w:left="567" w:hanging="170"/>
        <w:contextualSpacing w:val="0"/>
      </w:pPr>
      <w:r>
        <w:t xml:space="preserve">(+) </w:t>
      </w:r>
      <w:r w:rsidRPr="00322094">
        <w:rPr>
          <w:i/>
          <w:iCs/>
        </w:rPr>
        <w:t>Elasticidad-precio de la oferta y la demanda</w:t>
      </w:r>
      <w:r>
        <w:t>:</w:t>
      </w:r>
      <w:r w:rsidR="002E277D">
        <w:t xml:space="preserve"> Cuanto mayores sean las elasticidades-precio de la oferta y la demanda, mayor será la creación de comercio y de consumo, respectivamente, pues más disminuye la producción nacional y más aumenta la demanda</w:t>
      </w:r>
      <w:r w:rsidR="00624AB0">
        <w:rPr>
          <w:rStyle w:val="Refdenotaalpie"/>
        </w:rPr>
        <w:footnoteReference w:id="11"/>
      </w:r>
      <w:r w:rsidR="00624AB0">
        <w:t>.</w:t>
      </w:r>
    </w:p>
    <w:p w14:paraId="5B3EEF4C" w14:textId="7FF950DB" w:rsidR="001D1C3C" w:rsidRDefault="001D1C3C">
      <w:pPr>
        <w:pStyle w:val="Prrafodelista"/>
        <w:numPr>
          <w:ilvl w:val="0"/>
          <w:numId w:val="23"/>
        </w:numPr>
        <w:spacing w:after="40"/>
        <w:ind w:left="567" w:hanging="170"/>
        <w:contextualSpacing w:val="0"/>
      </w:pPr>
      <w:r>
        <w:t xml:space="preserve">(+) </w:t>
      </w:r>
      <w:r w:rsidRPr="00322094">
        <w:rPr>
          <w:i/>
          <w:iCs/>
        </w:rPr>
        <w:t>Número de bloques comerciales</w:t>
      </w:r>
      <w:r>
        <w:t xml:space="preserve">: </w:t>
      </w:r>
      <w:r w:rsidR="00D2293D">
        <w:t>C</w:t>
      </w:r>
      <w:r>
        <w:t>uanto mayor es el número de bloques comerciales menor es la desviación de comercio (</w:t>
      </w:r>
      <w:r w:rsidRPr="00322094">
        <w:rPr>
          <w:smallCaps/>
        </w:rPr>
        <w:t>Krugman</w:t>
      </w:r>
      <w:r>
        <w:t xml:space="preserve">, 1991). No obstante, la relación no es lineal: </w:t>
      </w:r>
      <w:r w:rsidRPr="00322094">
        <w:rPr>
          <w:smallCaps/>
        </w:rPr>
        <w:t>Krugman</w:t>
      </w:r>
      <w:r>
        <w:t xml:space="preserve"> señala que la existencia de un solo bloque sería equivalente a la situación de libre comercio mundial y maximizaría el bienestar global.</w:t>
      </w:r>
    </w:p>
    <w:p w14:paraId="4419E130" w14:textId="377E6662" w:rsidR="001D1C3C" w:rsidRDefault="001D1C3C">
      <w:pPr>
        <w:pStyle w:val="Prrafodelista"/>
        <w:numPr>
          <w:ilvl w:val="0"/>
          <w:numId w:val="23"/>
        </w:numPr>
        <w:spacing w:after="40"/>
        <w:ind w:left="567" w:hanging="170"/>
        <w:contextualSpacing w:val="0"/>
      </w:pPr>
      <w:r>
        <w:t xml:space="preserve">(+) </w:t>
      </w:r>
      <w:r w:rsidRPr="00322094">
        <w:rPr>
          <w:i/>
          <w:iCs/>
        </w:rPr>
        <w:t>Diferencial de precios (costes) de nuestro país (A) con el socio comercial (B)</w:t>
      </w:r>
      <w:r>
        <w:t>;</w:t>
      </w:r>
    </w:p>
    <w:p w14:paraId="7B87BD36" w14:textId="48F1B583" w:rsidR="001D1C3C" w:rsidRDefault="001D1C3C">
      <w:pPr>
        <w:pStyle w:val="Prrafodelista"/>
        <w:numPr>
          <w:ilvl w:val="0"/>
          <w:numId w:val="23"/>
        </w:numPr>
        <w:spacing w:after="0"/>
        <w:ind w:left="567" w:hanging="170"/>
        <w:contextualSpacing w:val="0"/>
      </w:pPr>
      <w:r>
        <w:t>(</w:t>
      </w:r>
      <w:r w:rsidR="00322094" w:rsidRPr="00322094">
        <w:rPr>
          <w:rFonts w:cs="Times New Roman"/>
          <w:spacing w:val="-2"/>
        </w:rPr>
        <w:t>−</w:t>
      </w:r>
      <w:r>
        <w:t xml:space="preserve">) </w:t>
      </w:r>
      <w:r w:rsidRPr="00322094">
        <w:rPr>
          <w:i/>
          <w:iCs/>
        </w:rPr>
        <w:t>Diferencial de precios (costes) del socio comercial (B) con el resto del mundo (R)</w:t>
      </w:r>
      <w:r>
        <w:t>.</w:t>
      </w:r>
    </w:p>
    <w:p w14:paraId="5BD765B5" w14:textId="7D336BBC" w:rsidR="00DC5462" w:rsidRDefault="00DC5462" w:rsidP="000558A2">
      <w:pPr>
        <w:pStyle w:val="Ttulo3"/>
      </w:pPr>
      <w:bookmarkStart w:id="41" w:name="_Toc172225492"/>
      <w:r>
        <w:t>Comparación de la unión aduanera con una reducción de aranceles no discriminatoria (</w:t>
      </w:r>
      <w:r>
        <w:rPr>
          <w:smallCaps/>
        </w:rPr>
        <w:t>Cooper</w:t>
      </w:r>
      <w:r>
        <w:t xml:space="preserve"> y </w:t>
      </w:r>
      <w:proofErr w:type="spellStart"/>
      <w:r>
        <w:rPr>
          <w:smallCaps/>
        </w:rPr>
        <w:t>Massell</w:t>
      </w:r>
      <w:proofErr w:type="spellEnd"/>
      <w:r>
        <w:t>, 1965)</w:t>
      </w:r>
      <w:bookmarkEnd w:id="41"/>
    </w:p>
    <w:p w14:paraId="38B9122B" w14:textId="0EAD7B4C" w:rsidR="009F3A73" w:rsidRPr="009F3A73" w:rsidRDefault="009F3A73" w:rsidP="00422AC6">
      <w:pPr>
        <w:pStyle w:val="Ttulo6"/>
        <w:spacing w:before="0"/>
      </w:pPr>
      <w:bookmarkStart w:id="42" w:name="_Toc172225493"/>
      <w:r>
        <w:t>Idea</w:t>
      </w:r>
      <w:bookmarkEnd w:id="42"/>
    </w:p>
    <w:p w14:paraId="29F81C90" w14:textId="019447CF" w:rsidR="00DC5462" w:rsidRDefault="005021B1" w:rsidP="00422AC6">
      <w:pPr>
        <w:pStyle w:val="Nivel1SM"/>
        <w:spacing w:before="0"/>
      </w:pPr>
      <w:r>
        <w:rPr>
          <w:smallCaps/>
        </w:rPr>
        <w:t>Cooper</w:t>
      </w:r>
      <w:r>
        <w:t xml:space="preserve"> y </w:t>
      </w:r>
      <w:proofErr w:type="spellStart"/>
      <w:r>
        <w:rPr>
          <w:smallCaps/>
        </w:rPr>
        <w:t>Massell</w:t>
      </w:r>
      <w:proofErr w:type="spellEnd"/>
      <w:r>
        <w:t xml:space="preserve"> (1965)</w:t>
      </w:r>
      <w:r w:rsidRPr="005021B1">
        <w:t xml:space="preserve"> argumentan que siempre existe una política de reducción de aranceles no</w:t>
      </w:r>
      <w:r w:rsidR="00AD1191">
        <w:t> </w:t>
      </w:r>
      <w:r w:rsidRPr="005021B1">
        <w:t>dis</w:t>
      </w:r>
      <w:r>
        <w:t>criminatoria que produce una ganancia inequívoca de bienestar.</w:t>
      </w:r>
    </w:p>
    <w:p w14:paraId="443FB82E" w14:textId="74370012" w:rsidR="009F3A73" w:rsidRDefault="009F3A73" w:rsidP="009F3A73">
      <w:pPr>
        <w:pStyle w:val="Ttulo6"/>
      </w:pPr>
      <w:bookmarkStart w:id="43" w:name="_Toc172225494"/>
      <w:r>
        <w:t>Modelo</w:t>
      </w:r>
      <w:bookmarkEnd w:id="43"/>
    </w:p>
    <w:p w14:paraId="7D0AB25D" w14:textId="1E028676" w:rsidR="009F3A73" w:rsidRPr="009F3A73" w:rsidRDefault="009F3A73" w:rsidP="00422AC6">
      <w:pPr>
        <w:pStyle w:val="Ttulo7"/>
        <w:spacing w:before="0"/>
      </w:pPr>
      <w:r>
        <w:t>Supuestos</w:t>
      </w:r>
    </w:p>
    <w:p w14:paraId="6349D2A8" w14:textId="0EEDFA6A" w:rsidR="00FA73CB" w:rsidRPr="00FA73CB" w:rsidRDefault="005C1A96" w:rsidP="00422AC6">
      <w:pPr>
        <w:pStyle w:val="Nivel1SM"/>
        <w:spacing w:before="0"/>
        <w:rPr>
          <w:rFonts w:eastAsiaTheme="minorEastAsia"/>
        </w:rPr>
      </w:pPr>
      <w:r>
        <w:rPr>
          <w:rFonts w:eastAsiaTheme="minorEastAsia"/>
        </w:rPr>
        <w:t>Partiremos de los mismos supuestos</w:t>
      </w:r>
      <w:r w:rsidR="00FA73CB">
        <w:rPr>
          <w:rFonts w:eastAsiaTheme="minorEastAsia"/>
        </w:rPr>
        <w:t xml:space="preserve"> que en el modelo de </w:t>
      </w:r>
      <w:proofErr w:type="spellStart"/>
      <w:r w:rsidR="00FA73CB">
        <w:rPr>
          <w:rFonts w:eastAsiaTheme="minorEastAsia"/>
          <w:smallCaps/>
        </w:rPr>
        <w:t>Lipsey</w:t>
      </w:r>
      <w:proofErr w:type="spellEnd"/>
      <w:r w:rsidR="00FA73CB">
        <w:rPr>
          <w:rFonts w:eastAsiaTheme="minorEastAsia"/>
        </w:rPr>
        <w:t xml:space="preserve"> bajo equilibrio parcial ya descrito.</w:t>
      </w:r>
    </w:p>
    <w:p w14:paraId="1BEC1743" w14:textId="16C4FEB6" w:rsidR="009F3A73" w:rsidRDefault="009F3A73" w:rsidP="009F3A73">
      <w:pPr>
        <w:pStyle w:val="Ttulo7"/>
        <w:rPr>
          <w:rFonts w:eastAsiaTheme="minorEastAsia"/>
        </w:rPr>
      </w:pPr>
      <w:r>
        <w:rPr>
          <w:rFonts w:eastAsiaTheme="minorEastAsia"/>
        </w:rPr>
        <w:t>Desarrollo</w:t>
      </w:r>
    </w:p>
    <w:p w14:paraId="3C45FF92" w14:textId="35C93AFA" w:rsidR="00FA73CB" w:rsidRDefault="00FA73CB" w:rsidP="00FA73CB">
      <w:pPr>
        <w:pStyle w:val="Nivel1SM"/>
        <w:spacing w:before="0"/>
        <w:rPr>
          <w:rFonts w:eastAsiaTheme="minorEastAsia"/>
        </w:rPr>
      </w:pPr>
      <w:r>
        <w:t>Supongamos que, en vez de formar una unión aduanera, el país</w:t>
      </w:r>
      <w:r w:rsidR="00AD1191">
        <w:t> </w:t>
      </w:r>
      <w:r>
        <w:rPr>
          <w:i/>
          <w:iCs/>
        </w:rPr>
        <w:t>A</w:t>
      </w:r>
      <w:r>
        <w:t xml:space="preserve"> reduce el arancel del resto del mundo para que </w:t>
      </w:r>
      <m:oMath>
        <m:d>
          <m:dPr>
            <m:ctrlPr>
              <w:rPr>
                <w:rFonts w:ascii="Cambria Math" w:hAnsi="Cambria Math"/>
                <w:i/>
              </w:rPr>
            </m:ctrlPr>
          </m:dPr>
          <m:e>
            <m:sSub>
              <m:sSubPr>
                <m:ctrlPr>
                  <w:rPr>
                    <w:rFonts w:ascii="Cambria Math" w:hAnsi="Cambria Math"/>
                    <w:i/>
                  </w:rPr>
                </m:ctrlPr>
              </m:sSubPr>
              <m:e>
                <m:r>
                  <m:rPr>
                    <m:nor/>
                  </m:rPr>
                  <w:rPr>
                    <w:i/>
                  </w:rPr>
                  <m:t>P</m:t>
                </m:r>
              </m:e>
              <m:sub>
                <m:r>
                  <m:rPr>
                    <m:nor/>
                  </m:rPr>
                  <w:rPr>
                    <w:i/>
                  </w:rPr>
                  <m:t>R</m:t>
                </m:r>
              </m:sub>
            </m:sSub>
            <m:r>
              <w:rPr>
                <w:rFonts w:ascii="Cambria Math" w:hAnsi="Cambria Math"/>
              </w:rPr>
              <m:t>+</m:t>
            </m:r>
            <m:r>
              <m:rPr>
                <m:nor/>
              </m:rPr>
              <w:rPr>
                <w:i/>
              </w:rPr>
              <m:t>t'</m:t>
            </m:r>
          </m:e>
        </m:d>
      </m:oMath>
      <w:r>
        <w:rPr>
          <w:rFonts w:eastAsiaTheme="minorEastAsia"/>
        </w:rPr>
        <w:t xml:space="preserve"> sea igual a </w:t>
      </w:r>
      <m:oMath>
        <m:sSub>
          <m:sSubPr>
            <m:ctrlPr>
              <w:rPr>
                <w:rFonts w:ascii="Cambria Math" w:hAnsi="Cambria Math"/>
                <w:i/>
              </w:rPr>
            </m:ctrlPr>
          </m:sSubPr>
          <m:e>
            <m:r>
              <m:rPr>
                <m:nor/>
              </m:rPr>
              <w:rPr>
                <w:i/>
              </w:rPr>
              <m:t>P</m:t>
            </m:r>
          </m:e>
          <m:sub>
            <m:r>
              <m:rPr>
                <m:nor/>
              </m:rPr>
              <w:rPr>
                <w:i/>
              </w:rPr>
              <m:t>B</m:t>
            </m:r>
          </m:sub>
        </m:sSub>
      </m:oMath>
      <w:r>
        <w:rPr>
          <w:rFonts w:eastAsiaTheme="minorEastAsia"/>
        </w:rPr>
        <w:t xml:space="preserve"> (donde, por tanto, </w:t>
      </w:r>
      <m:oMath>
        <m:r>
          <m:rPr>
            <m:nor/>
          </m:rPr>
          <w:rPr>
            <w:i/>
          </w:rPr>
          <m:t>t'</m:t>
        </m:r>
        <m:r>
          <w:rPr>
            <w:rFonts w:ascii="Cambria Math"/>
          </w:rPr>
          <m:t>=</m:t>
        </m:r>
        <m:sSub>
          <m:sSubPr>
            <m:ctrlPr>
              <w:rPr>
                <w:rFonts w:ascii="Cambria Math" w:hAnsi="Cambria Math"/>
                <w:i/>
              </w:rPr>
            </m:ctrlPr>
          </m:sSubPr>
          <m:e>
            <m:r>
              <m:rPr>
                <m:nor/>
              </m:rPr>
              <w:rPr>
                <w:i/>
              </w:rPr>
              <m:t>P</m:t>
            </m:r>
          </m:e>
          <m:sub>
            <m:r>
              <m:rPr>
                <m:nor/>
              </m:rPr>
              <w:rPr>
                <w:i/>
              </w:rPr>
              <m:t>B</m:t>
            </m:r>
          </m:sub>
        </m:sSub>
        <m:r>
          <w:rPr>
            <w:rFonts w:ascii="Cambria Math" w:hAnsi="Cambria Math"/>
          </w:rPr>
          <m:t>-</m:t>
        </m:r>
        <m:sSub>
          <m:sSubPr>
            <m:ctrlPr>
              <w:rPr>
                <w:rFonts w:ascii="Cambria Math" w:hAnsi="Cambria Math"/>
                <w:i/>
              </w:rPr>
            </m:ctrlPr>
          </m:sSubPr>
          <m:e>
            <m:r>
              <m:rPr>
                <m:nor/>
              </m:rPr>
              <w:rPr>
                <w:i/>
              </w:rPr>
              <m:t>P</m:t>
            </m:r>
          </m:e>
          <m:sub>
            <m:r>
              <m:rPr>
                <m:nor/>
              </m:rPr>
              <w:rPr>
                <w:i/>
              </w:rPr>
              <m:t>R</m:t>
            </m:r>
          </m:sub>
        </m:sSub>
      </m:oMath>
      <w:r>
        <w:rPr>
          <w:rFonts w:eastAsiaTheme="minorEastAsia"/>
        </w:rPr>
        <w:t xml:space="preserve">). Ahora, el precio será igual que con una unión aduanera, pero las importaciones no vendrán de </w:t>
      </w:r>
      <w:r>
        <w:rPr>
          <w:rFonts w:eastAsiaTheme="minorEastAsia"/>
          <w:i/>
          <w:iCs/>
        </w:rPr>
        <w:t>B</w:t>
      </w:r>
      <w:r>
        <w:rPr>
          <w:rFonts w:eastAsiaTheme="minorEastAsia"/>
        </w:rPr>
        <w:t xml:space="preserve"> sino del resto del mundo.</w:t>
      </w:r>
    </w:p>
    <w:p w14:paraId="646A4945" w14:textId="164EDDCA" w:rsidR="00FA73CB" w:rsidRPr="009972CF" w:rsidRDefault="00FA73CB" w:rsidP="00FA73CB">
      <w:pPr>
        <w:pStyle w:val="Ttuloimagen"/>
        <w:rPr>
          <w:spacing w:val="-4"/>
        </w:rPr>
      </w:pPr>
      <w:r w:rsidRPr="009972CF">
        <w:rPr>
          <w:spacing w:val="-4"/>
        </w:rPr>
        <w:t>Imagen</w:t>
      </w:r>
      <w:r>
        <w:rPr>
          <w:spacing w:val="-4"/>
        </w:rPr>
        <w:t> </w:t>
      </w:r>
      <w:r w:rsidRPr="009972CF">
        <w:rPr>
          <w:spacing w:val="-4"/>
        </w:rPr>
        <w:fldChar w:fldCharType="begin"/>
      </w:r>
      <w:r w:rsidRPr="009972CF">
        <w:rPr>
          <w:spacing w:val="-4"/>
        </w:rPr>
        <w:instrText xml:space="preserve"> SEQ Ilustración \* ARABIC </w:instrText>
      </w:r>
      <w:r w:rsidRPr="009972CF">
        <w:rPr>
          <w:spacing w:val="-4"/>
        </w:rPr>
        <w:fldChar w:fldCharType="separate"/>
      </w:r>
      <w:r w:rsidR="006C02E9">
        <w:rPr>
          <w:spacing w:val="-4"/>
        </w:rPr>
        <w:t>7</w:t>
      </w:r>
      <w:r w:rsidRPr="009972CF">
        <w:rPr>
          <w:spacing w:val="-4"/>
        </w:rPr>
        <w:fldChar w:fldCharType="end"/>
      </w:r>
      <w:r w:rsidRPr="009972CF">
        <w:rPr>
          <w:i/>
          <w:iCs/>
          <w:smallCaps w:val="0"/>
          <w:spacing w:val="-4"/>
        </w:rPr>
        <w:t xml:space="preserve">.– Comparación de la unión aduanera con una reducción de aranceles no discriminatoria </w:t>
      </w:r>
      <w:r w:rsidRPr="009972CF">
        <w:rPr>
          <w:i/>
          <w:iCs/>
          <w:spacing w:val="-4"/>
          <w:sz w:val="19"/>
          <w:szCs w:val="19"/>
        </w:rPr>
        <w:t>(Cooper</w:t>
      </w:r>
      <w:r w:rsidRPr="009972CF">
        <w:rPr>
          <w:i/>
          <w:iCs/>
          <w:smallCaps w:val="0"/>
          <w:spacing w:val="-4"/>
          <w:sz w:val="19"/>
          <w:szCs w:val="19"/>
        </w:rPr>
        <w:t xml:space="preserve"> y </w:t>
      </w:r>
      <w:r w:rsidRPr="009972CF">
        <w:rPr>
          <w:i/>
          <w:iCs/>
          <w:spacing w:val="-4"/>
          <w:sz w:val="19"/>
          <w:szCs w:val="19"/>
        </w:rPr>
        <w:t>Masse</w:t>
      </w:r>
      <w:r>
        <w:rPr>
          <w:i/>
          <w:iCs/>
          <w:spacing w:val="-4"/>
          <w:sz w:val="19"/>
          <w:szCs w:val="19"/>
        </w:rPr>
        <w:t>l</w:t>
      </w:r>
      <w:r w:rsidRPr="009972CF">
        <w:rPr>
          <w:i/>
          <w:iCs/>
          <w:spacing w:val="-4"/>
          <w:sz w:val="19"/>
          <w:szCs w:val="19"/>
        </w:rPr>
        <w:t>l</w:t>
      </w:r>
      <w:r w:rsidRPr="009972CF">
        <w:rPr>
          <w:i/>
          <w:iCs/>
          <w:smallCaps w:val="0"/>
          <w:spacing w:val="-4"/>
          <w:sz w:val="19"/>
          <w:szCs w:val="19"/>
        </w:rPr>
        <w:t>, 1965)</w:t>
      </w:r>
    </w:p>
    <w:p w14:paraId="5C89D5F9" w14:textId="77777777" w:rsidR="00FA73CB" w:rsidRDefault="00FA73CB" w:rsidP="00FA73CB">
      <w:pPr>
        <w:pStyle w:val="Imagen"/>
      </w:pPr>
      <w:r>
        <w:t xml:space="preserve"> </w:t>
      </w:r>
      <w:r>
        <w:drawing>
          <wp:inline distT="0" distB="0" distL="0" distR="0" wp14:anchorId="4711B13C" wp14:editId="0CC91FEB">
            <wp:extent cx="3840266" cy="2160000"/>
            <wp:effectExtent l="0" t="0" r="8255" b="0"/>
            <wp:docPr id="14" name="Imagen 1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Gráfico de líneas&#10;&#10;Descripción generada automáticamente"/>
                    <pic:cNvPicPr/>
                  </pic:nvPicPr>
                  <pic:blipFill>
                    <a:blip r:embed="rId21"/>
                    <a:stretch>
                      <a:fillRect/>
                    </a:stretch>
                  </pic:blipFill>
                  <pic:spPr>
                    <a:xfrm>
                      <a:off x="0" y="0"/>
                      <a:ext cx="3840266" cy="2160000"/>
                    </a:xfrm>
                    <a:prstGeom prst="rect">
                      <a:avLst/>
                    </a:prstGeom>
                  </pic:spPr>
                </pic:pic>
              </a:graphicData>
            </a:graphic>
          </wp:inline>
        </w:drawing>
      </w:r>
    </w:p>
    <w:p w14:paraId="1E6C5001" w14:textId="403F1559" w:rsidR="00FA73CB" w:rsidRPr="00FA73CB" w:rsidRDefault="00FA73CB" w:rsidP="00FA73CB">
      <w:pPr>
        <w:pStyle w:val="PiedeImagen"/>
        <w:rPr>
          <w:i w:val="0"/>
          <w:iCs/>
        </w:rPr>
      </w:pPr>
      <w:r>
        <w:t>Fuente</w:t>
      </w:r>
      <w:r>
        <w:rPr>
          <w:i w:val="0"/>
          <w:iCs/>
        </w:rPr>
        <w:t>: Elaboración propia</w:t>
      </w:r>
    </w:p>
    <w:p w14:paraId="0B78E27E" w14:textId="380EAD63" w:rsidR="005021B1" w:rsidRPr="00FA2A6D" w:rsidRDefault="005021B1" w:rsidP="009F3A73">
      <w:pPr>
        <w:pStyle w:val="Nivel1SM"/>
        <w:spacing w:before="0" w:after="0"/>
        <w:rPr>
          <w:rFonts w:eastAsiaTheme="minorEastAsia"/>
          <w:spacing w:val="-4"/>
        </w:rPr>
      </w:pPr>
      <w:r>
        <w:rPr>
          <w:rFonts w:eastAsiaTheme="minorEastAsia"/>
        </w:rPr>
        <w:lastRenderedPageBreak/>
        <w:t xml:space="preserve">Gráficamente, se tiene la misma situación que antes, pero ahora el gobierno de </w:t>
      </w:r>
      <w:r>
        <w:rPr>
          <w:rFonts w:eastAsiaTheme="minorEastAsia"/>
          <w:i/>
          <w:iCs/>
        </w:rPr>
        <w:t>A</w:t>
      </w:r>
      <w:r>
        <w:rPr>
          <w:rFonts w:eastAsiaTheme="minorEastAsia"/>
        </w:rPr>
        <w:t xml:space="preserve"> tiene unos ingresos arancelarios de </w:t>
      </w:r>
      <m:oMath>
        <m:d>
          <m:dPr>
            <m:ctrlPr>
              <w:rPr>
                <w:rFonts w:ascii="Cambria Math" w:eastAsiaTheme="minorEastAsia" w:hAnsi="Cambria Math"/>
                <w:i/>
              </w:rPr>
            </m:ctrlPr>
          </m:dPr>
          <m:e>
            <m:r>
              <m:rPr>
                <m:nor/>
              </m:rPr>
              <w:rPr>
                <w:rFonts w:eastAsiaTheme="minorEastAsia"/>
                <w:i/>
                <w:iCs/>
              </w:rPr>
              <m:t>e</m:t>
            </m:r>
            <m:r>
              <w:rPr>
                <w:rFonts w:ascii="Cambria Math" w:eastAsiaTheme="minorEastAsia" w:hAnsi="Cambria Math"/>
              </w:rPr>
              <m:t>+</m:t>
            </m:r>
            <m:r>
              <m:rPr>
                <m:nor/>
              </m:rPr>
              <w:rPr>
                <w:rFonts w:eastAsiaTheme="minorEastAsia"/>
                <w:i/>
                <w:iCs/>
              </w:rPr>
              <m:t>f</m:t>
            </m:r>
            <m:r>
              <w:rPr>
                <w:rFonts w:ascii="Cambria Math" w:eastAsiaTheme="minorEastAsia" w:hAnsi="Cambria Math"/>
              </w:rPr>
              <m:t>+</m:t>
            </m:r>
            <m:r>
              <m:rPr>
                <m:nor/>
              </m:rPr>
              <w:rPr>
                <w:rFonts w:eastAsiaTheme="minorEastAsia"/>
                <w:i/>
                <w:iCs/>
              </w:rPr>
              <m:t>g</m:t>
            </m:r>
          </m:e>
        </m:d>
      </m:oMath>
      <w:r>
        <w:rPr>
          <w:rFonts w:eastAsiaTheme="minorEastAsia"/>
        </w:rPr>
        <w:t xml:space="preserve"> y, por lo tanto, esta medida supone una </w:t>
      </w:r>
      <w:r>
        <w:rPr>
          <w:rFonts w:eastAsiaTheme="minorEastAsia"/>
          <w:i/>
          <w:iCs/>
        </w:rPr>
        <w:t>ganancia inequívoca de bienestar</w:t>
      </w:r>
      <w:r>
        <w:rPr>
          <w:rFonts w:eastAsiaTheme="minorEastAsia"/>
        </w:rPr>
        <w:t xml:space="preserve"> de </w:t>
      </w:r>
      <m:oMath>
        <m:d>
          <m:dPr>
            <m:ctrlPr>
              <w:rPr>
                <w:rFonts w:ascii="Cambria Math" w:eastAsiaTheme="minorEastAsia" w:hAnsi="Cambria Math"/>
                <w:i/>
              </w:rPr>
            </m:ctrlPr>
          </m:dPr>
          <m:e>
            <m:r>
              <m:rPr>
                <m:nor/>
              </m:rPr>
              <w:rPr>
                <w:rFonts w:eastAsiaTheme="minorEastAsia"/>
                <w:i/>
                <w:iCs/>
              </w:rPr>
              <m:t>b</m:t>
            </m:r>
            <m:r>
              <w:rPr>
                <w:rFonts w:ascii="Cambria Math" w:eastAsiaTheme="minorEastAsia" w:hAnsi="Cambria Math"/>
              </w:rPr>
              <m:t>+</m:t>
            </m:r>
            <m:r>
              <m:rPr>
                <m:nor/>
              </m:rPr>
              <w:rPr>
                <w:rFonts w:eastAsiaTheme="minorEastAsia"/>
                <w:i/>
                <w:iCs/>
              </w:rPr>
              <m:t>d</m:t>
            </m:r>
            <m:r>
              <w:rPr>
                <w:rFonts w:ascii="Cambria Math" w:eastAsiaTheme="minorEastAsia" w:hAnsi="Cambria Math"/>
              </w:rPr>
              <m:t>+</m:t>
            </m:r>
            <m:r>
              <m:rPr>
                <m:nor/>
              </m:rPr>
              <w:rPr>
                <w:rFonts w:eastAsiaTheme="minorEastAsia"/>
                <w:i/>
                <w:iCs/>
              </w:rPr>
              <m:t>f</m:t>
            </m:r>
            <m:r>
              <w:rPr>
                <w:rFonts w:ascii="Cambria Math" w:eastAsiaTheme="minorEastAsia" w:hAnsi="Cambria Math"/>
              </w:rPr>
              <m:t>+</m:t>
            </m:r>
            <m:r>
              <m:rPr>
                <m:nor/>
              </m:rPr>
              <w:rPr>
                <w:rFonts w:eastAsiaTheme="minorEastAsia"/>
                <w:i/>
                <w:iCs/>
              </w:rPr>
              <m:t>g</m:t>
            </m:r>
          </m:e>
        </m:d>
      </m:oMath>
      <w:r w:rsidR="00FA2A6D">
        <w:rPr>
          <w:rFonts w:eastAsiaTheme="minorEastAsia"/>
        </w:rPr>
        <w:t>:</w:t>
      </w:r>
    </w:p>
    <w:p w14:paraId="18FED474" w14:textId="77777777" w:rsidR="00FA2A6D" w:rsidRDefault="00FA2A6D" w:rsidP="00FA2A6D">
      <w:pPr>
        <w:pStyle w:val="Nivel2SM"/>
        <w:keepNext/>
        <w:spacing w:after="0"/>
      </w:pPr>
      <w:r>
        <w:t>Los efectos redistributivos son:</w:t>
      </w:r>
    </w:p>
    <w:p w14:paraId="032928E8" w14:textId="69FD34A5" w:rsidR="00FA2A6D" w:rsidRPr="00795969" w:rsidRDefault="00FA2A6D" w:rsidP="00FA2A6D">
      <w:pPr>
        <w:pStyle w:val="Nivel3SM"/>
        <w:rPr>
          <w:u w:val="single"/>
        </w:rPr>
      </w:pPr>
      <w:r w:rsidRPr="00795969">
        <w:rPr>
          <w:i/>
          <w:u w:val="single"/>
        </w:rPr>
        <w:t>Excedente del consumidor</w:t>
      </w:r>
      <w:r w:rsidRPr="00795969">
        <w:t>:</w:t>
      </w:r>
      <w:r>
        <w:t xml:space="preserve"> </w:t>
      </w:r>
      <w:r w:rsidR="009F3A73">
        <w:t>A</w:t>
      </w:r>
      <w:r>
        <w:t xml:space="preserve">umenta en </w:t>
      </w:r>
      <m:oMath>
        <m:d>
          <m:dPr>
            <m:ctrlPr>
              <w:rPr>
                <w:rFonts w:ascii="Cambria Math" w:hAnsi="Cambria Math"/>
                <w:i/>
              </w:rPr>
            </m:ctrlPr>
          </m:dPr>
          <m:e>
            <m:r>
              <m:rPr>
                <m:nor/>
              </m:rPr>
              <w:rPr>
                <w:i/>
              </w:rPr>
              <m:t>a</m:t>
            </m:r>
            <m:r>
              <w:rPr>
                <w:rFonts w:ascii="Cambria Math" w:hAnsi="Cambria Math"/>
              </w:rPr>
              <m:t>+</m:t>
            </m:r>
            <m:r>
              <m:rPr>
                <m:nor/>
              </m:rPr>
              <w:rPr>
                <w:i/>
              </w:rPr>
              <m:t>b</m:t>
            </m:r>
            <m:r>
              <w:rPr>
                <w:rFonts w:ascii="Cambria Math" w:hAnsi="Cambria Math"/>
              </w:rPr>
              <m:t>+</m:t>
            </m:r>
            <m:r>
              <m:rPr>
                <m:nor/>
              </m:rPr>
              <w:rPr>
                <w:i/>
              </w:rPr>
              <m:t>c</m:t>
            </m:r>
            <m:r>
              <w:rPr>
                <w:rFonts w:ascii="Cambria Math" w:hAnsi="Cambria Math"/>
              </w:rPr>
              <m:t>+</m:t>
            </m:r>
            <m:r>
              <m:rPr>
                <m:nor/>
              </m:rPr>
              <w:rPr>
                <w:i/>
              </w:rPr>
              <m:t>d</m:t>
            </m:r>
          </m:e>
        </m:d>
      </m:oMath>
      <w:r>
        <w:t>.</w:t>
      </w:r>
    </w:p>
    <w:p w14:paraId="5D12F9B0" w14:textId="7F92BCCA" w:rsidR="00FA2A6D" w:rsidRDefault="00FA2A6D" w:rsidP="00FA2A6D">
      <w:pPr>
        <w:pStyle w:val="Nivel3SM"/>
      </w:pPr>
      <w:r w:rsidRPr="00795969">
        <w:rPr>
          <w:i/>
          <w:u w:val="single"/>
        </w:rPr>
        <w:t>Excedente del productor</w:t>
      </w:r>
      <w:r>
        <w:t xml:space="preserve">: </w:t>
      </w:r>
      <w:r w:rsidR="009F3A73">
        <w:t>D</w:t>
      </w:r>
      <w:r>
        <w:t>isminuye en</w:t>
      </w:r>
      <w:r w:rsidRPr="00795969">
        <w:rPr>
          <w:i/>
        </w:rPr>
        <w:t xml:space="preserve"> </w:t>
      </w:r>
      <m:oMath>
        <m:r>
          <m:rPr>
            <m:nor/>
          </m:rPr>
          <w:rPr>
            <w:i/>
          </w:rPr>
          <m:t>a</m:t>
        </m:r>
      </m:oMath>
      <w:r>
        <w:t>.</w:t>
      </w:r>
    </w:p>
    <w:p w14:paraId="3C01B1A0" w14:textId="28857FF7" w:rsidR="00FA2A6D" w:rsidRDefault="00FA2A6D" w:rsidP="009F3A73">
      <w:pPr>
        <w:pStyle w:val="Nivel3SM"/>
        <w:keepNext/>
      </w:pPr>
      <w:r w:rsidRPr="00FA2A6D">
        <w:rPr>
          <w:i/>
          <w:spacing w:val="-1"/>
          <w:u w:val="single"/>
        </w:rPr>
        <w:t>Recaudación del gobierno</w:t>
      </w:r>
      <w:r w:rsidRPr="00FA2A6D">
        <w:rPr>
          <w:spacing w:val="-1"/>
        </w:rPr>
        <w:t xml:space="preserve">: </w:t>
      </w:r>
      <w:r w:rsidR="009F3A73">
        <w:rPr>
          <w:spacing w:val="-1"/>
        </w:rPr>
        <w:t>P</w:t>
      </w:r>
      <w:r w:rsidRPr="00FA2A6D">
        <w:rPr>
          <w:spacing w:val="-1"/>
        </w:rPr>
        <w:t>asa de ser</w:t>
      </w:r>
      <w:r w:rsidRPr="00FA2A6D">
        <w:rPr>
          <w:rFonts w:eastAsiaTheme="minorEastAsia"/>
          <w:spacing w:val="-1"/>
        </w:rPr>
        <w:t xml:space="preserve"> </w:t>
      </w:r>
      <m:oMath>
        <m:d>
          <m:dPr>
            <m:ctrlPr>
              <w:rPr>
                <w:rFonts w:ascii="Cambria Math" w:hAnsi="Cambria Math"/>
                <w:i/>
                <w:spacing w:val="-1"/>
              </w:rPr>
            </m:ctrlPr>
          </m:dPr>
          <m:e>
            <m:r>
              <m:rPr>
                <m:nor/>
              </m:rPr>
              <w:rPr>
                <w:i/>
                <w:spacing w:val="-1"/>
              </w:rPr>
              <m:t>c</m:t>
            </m:r>
            <m:r>
              <w:rPr>
                <w:rFonts w:ascii="Cambria Math" w:hAnsi="Cambria Math"/>
                <w:spacing w:val="-1"/>
              </w:rPr>
              <m:t>+</m:t>
            </m:r>
            <m:r>
              <m:rPr>
                <m:nor/>
              </m:rPr>
              <w:rPr>
                <w:i/>
                <w:spacing w:val="-1"/>
              </w:rPr>
              <m:t>e</m:t>
            </m:r>
          </m:e>
        </m:d>
      </m:oMath>
      <w:r w:rsidRPr="00FA2A6D">
        <w:rPr>
          <w:rFonts w:eastAsiaTheme="minorEastAsia"/>
          <w:spacing w:val="-1"/>
        </w:rPr>
        <w:t xml:space="preserve"> a ser </w:t>
      </w:r>
      <m:oMath>
        <m:d>
          <m:dPr>
            <m:ctrlPr>
              <w:rPr>
                <w:rFonts w:ascii="Cambria Math" w:hAnsi="Cambria Math"/>
                <w:i/>
                <w:spacing w:val="-1"/>
              </w:rPr>
            </m:ctrlPr>
          </m:dPr>
          <m:e>
            <m:r>
              <m:rPr>
                <m:nor/>
              </m:rPr>
              <w:rPr>
                <w:i/>
                <w:spacing w:val="-1"/>
              </w:rPr>
              <m:t>f</m:t>
            </m:r>
            <m:r>
              <w:rPr>
                <w:rFonts w:ascii="Cambria Math" w:hAnsi="Cambria Math"/>
                <w:spacing w:val="-1"/>
              </w:rPr>
              <m:t>+</m:t>
            </m:r>
            <m:r>
              <m:rPr>
                <m:nor/>
              </m:rPr>
              <w:rPr>
                <w:i/>
                <w:spacing w:val="-1"/>
              </w:rPr>
              <m:t>e</m:t>
            </m:r>
            <m:r>
              <w:rPr>
                <w:rFonts w:ascii="Cambria Math" w:hAnsi="Cambria Math"/>
                <w:spacing w:val="-1"/>
              </w:rPr>
              <m:t>+</m:t>
            </m:r>
            <m:r>
              <m:rPr>
                <m:nor/>
              </m:rPr>
              <w:rPr>
                <w:i/>
                <w:spacing w:val="-1"/>
              </w:rPr>
              <m:t>g</m:t>
            </m:r>
          </m:e>
        </m:d>
      </m:oMath>
      <w:r w:rsidRPr="00FA2A6D">
        <w:rPr>
          <w:rFonts w:eastAsiaTheme="minorEastAsia"/>
          <w:spacing w:val="-1"/>
        </w:rPr>
        <w:t>, es decir,</w:t>
      </w:r>
      <w:r w:rsidRPr="00FA2A6D">
        <w:rPr>
          <w:spacing w:val="-1"/>
        </w:rPr>
        <w:t xml:space="preserve"> </w:t>
      </w:r>
      <w:r w:rsidR="00471FE8">
        <w:rPr>
          <w:spacing w:val="-1"/>
        </w:rPr>
        <w:t>varía</w:t>
      </w:r>
      <w:r w:rsidRPr="00FA2A6D">
        <w:rPr>
          <w:spacing w:val="-1"/>
        </w:rPr>
        <w:t xml:space="preserve"> en </w:t>
      </w:r>
      <m:oMath>
        <m:d>
          <m:dPr>
            <m:ctrlPr>
              <w:rPr>
                <w:rFonts w:ascii="Cambria Math" w:hAnsi="Cambria Math"/>
                <w:i/>
                <w:spacing w:val="-1"/>
              </w:rPr>
            </m:ctrlPr>
          </m:dPr>
          <m:e>
            <m:r>
              <m:rPr>
                <m:nor/>
              </m:rPr>
              <w:rPr>
                <w:i/>
                <w:spacing w:val="-1"/>
              </w:rPr>
              <m:t>f</m:t>
            </m:r>
            <m:r>
              <w:rPr>
                <w:rFonts w:ascii="Cambria Math" w:hAnsi="Cambria Math"/>
                <w:spacing w:val="-1"/>
              </w:rPr>
              <m:t>+</m:t>
            </m:r>
            <m:r>
              <m:rPr>
                <m:nor/>
              </m:rPr>
              <w:rPr>
                <w:i/>
                <w:spacing w:val="-1"/>
              </w:rPr>
              <m:t>g</m:t>
            </m:r>
          </m:e>
        </m:d>
        <m:r>
          <w:rPr>
            <w:rFonts w:ascii="Cambria Math" w:hAnsi="Cambria Math"/>
            <w:spacing w:val="-1"/>
          </w:rPr>
          <m:t>-</m:t>
        </m:r>
        <m:r>
          <m:rPr>
            <m:nor/>
          </m:rPr>
          <w:rPr>
            <w:i/>
            <w:iCs/>
            <w:spacing w:val="-1"/>
          </w:rPr>
          <m:t>c</m:t>
        </m:r>
      </m:oMath>
      <w:r>
        <w:rPr>
          <w:spacing w:val="-2"/>
          <w:sz w:val="20"/>
          <w:szCs w:val="20"/>
        </w:rPr>
        <w:t xml:space="preserve"> (pudiendo </w:t>
      </w:r>
      <w:r w:rsidR="00370380">
        <w:rPr>
          <w:spacing w:val="-2"/>
          <w:sz w:val="20"/>
          <w:szCs w:val="20"/>
        </w:rPr>
        <w:t>aumentar</w:t>
      </w:r>
      <w:r>
        <w:rPr>
          <w:spacing w:val="-2"/>
          <w:sz w:val="20"/>
          <w:szCs w:val="20"/>
        </w:rPr>
        <w:t xml:space="preserve"> o </w:t>
      </w:r>
      <w:r w:rsidR="00370380">
        <w:rPr>
          <w:spacing w:val="-2"/>
          <w:sz w:val="20"/>
          <w:szCs w:val="20"/>
        </w:rPr>
        <w:t>disminuir</w:t>
      </w:r>
      <w:r>
        <w:rPr>
          <w:spacing w:val="-2"/>
          <w:sz w:val="20"/>
          <w:szCs w:val="20"/>
        </w:rPr>
        <w:t>)</w:t>
      </w:r>
      <w:r>
        <w:t>.</w:t>
      </w:r>
    </w:p>
    <w:p w14:paraId="6A554ED9" w14:textId="77777777" w:rsidR="00AD1191" w:rsidRPr="00AD1191" w:rsidRDefault="00FA2A6D" w:rsidP="00AD1191">
      <w:pPr>
        <w:pStyle w:val="Nivel4"/>
        <w:keepNext/>
        <w:ind w:left="1474"/>
      </w:pPr>
      <w:r w:rsidRPr="004D4DA7">
        <w:rPr>
          <w:i/>
          <w:iCs/>
          <w:u w:val="single"/>
        </w:rPr>
        <w:t>Efecto neto</w:t>
      </w:r>
      <w:r w:rsidRPr="00795969">
        <w:t>:</w:t>
      </w:r>
      <w:r>
        <w:t xml:space="preserve"> </w:t>
      </w:r>
      <m:oMath>
        <m:r>
          <m:rPr>
            <m:nor/>
          </m:rPr>
          <w:rPr>
            <w:i/>
          </w:rPr>
          <m:t>b</m:t>
        </m:r>
        <m:r>
          <w:rPr>
            <w:rFonts w:ascii="Cambria Math" w:hAnsi="Cambria Math"/>
          </w:rPr>
          <m:t>+</m:t>
        </m:r>
        <m:r>
          <m:rPr>
            <m:nor/>
          </m:rPr>
          <w:rPr>
            <w:i/>
          </w:rPr>
          <m:t>d</m:t>
        </m:r>
        <m:r>
          <w:rPr>
            <w:rFonts w:ascii="Cambria Math" w:hAnsi="Cambria Math"/>
          </w:rPr>
          <m:t>+</m:t>
        </m:r>
        <m:r>
          <m:rPr>
            <m:nor/>
          </m:rPr>
          <w:rPr>
            <w:i/>
            <w:spacing w:val="-1"/>
          </w:rPr>
          <m:t>f</m:t>
        </m:r>
        <m:r>
          <w:rPr>
            <w:rFonts w:ascii="Cambria Math" w:hAnsi="Cambria Math"/>
            <w:spacing w:val="-1"/>
          </w:rPr>
          <m:t>+</m:t>
        </m:r>
        <m:r>
          <m:rPr>
            <m:nor/>
          </m:rPr>
          <w:rPr>
            <w:i/>
            <w:spacing w:val="-1"/>
          </w:rPr>
          <m:t>g</m:t>
        </m:r>
      </m:oMath>
    </w:p>
    <w:p w14:paraId="28082C0E" w14:textId="65BEBFAF" w:rsidR="00FA2A6D" w:rsidRDefault="00AD1191" w:rsidP="00AD1191">
      <w:pPr>
        <w:pStyle w:val="Nivel5"/>
        <w:ind w:left="1871"/>
      </w:pPr>
      <w:r>
        <w:rPr>
          <w:spacing w:val="-1"/>
        </w:rPr>
        <w:t xml:space="preserve">Por lo tanto, se produce una mejora neta de </w:t>
      </w:r>
      <m:oMath>
        <m:r>
          <m:rPr>
            <m:nor/>
          </m:rPr>
          <w:rPr>
            <w:i/>
          </w:rPr>
          <m:t>e</m:t>
        </m:r>
        <m:r>
          <w:rPr>
            <w:rFonts w:ascii="Cambria Math" w:hAnsi="Cambria Math"/>
          </w:rPr>
          <m:t>+</m:t>
        </m:r>
        <m:r>
          <m:rPr>
            <m:nor/>
          </m:rPr>
          <w:rPr>
            <w:i/>
            <w:spacing w:val="-1"/>
          </w:rPr>
          <m:t>f</m:t>
        </m:r>
        <m:r>
          <w:rPr>
            <w:rFonts w:ascii="Cambria Math" w:hAnsi="Cambria Math"/>
            <w:spacing w:val="-1"/>
          </w:rPr>
          <m:t>+</m:t>
        </m:r>
        <m:r>
          <m:rPr>
            <m:nor/>
          </m:rPr>
          <w:rPr>
            <w:i/>
            <w:spacing w:val="-1"/>
          </w:rPr>
          <m:t>g</m:t>
        </m:r>
      </m:oMath>
      <w:r>
        <w:rPr>
          <w:spacing w:val="-1"/>
        </w:rPr>
        <w:t xml:space="preserve"> </w:t>
      </w:r>
      <w:r>
        <w:t>en comparación con la creación de una unión aduanera</w:t>
      </w:r>
    </w:p>
    <w:p w14:paraId="273C649D" w14:textId="547A92C6" w:rsidR="009F3A73" w:rsidRDefault="009F3A73" w:rsidP="009F3A73">
      <w:pPr>
        <w:pStyle w:val="Ttulo7"/>
      </w:pPr>
      <w:r>
        <w:t>Implicaciones</w:t>
      </w:r>
    </w:p>
    <w:p w14:paraId="23D951E2" w14:textId="4235DBC1" w:rsidR="005021B1" w:rsidRDefault="005021B1" w:rsidP="006B6420">
      <w:pPr>
        <w:pStyle w:val="Nivel1SM"/>
        <w:keepNext/>
        <w:spacing w:before="0" w:after="0"/>
      </w:pPr>
      <w:r>
        <w:t xml:space="preserve">¿Por qué entonces se crean las uniones aduaneras en vez de recurrir a reducciones de aranceles de este tipo? </w:t>
      </w:r>
      <w:r w:rsidR="00173E34">
        <w:t xml:space="preserve">Como señalaron </w:t>
      </w:r>
      <w:r w:rsidR="00173E34">
        <w:rPr>
          <w:smallCaps/>
        </w:rPr>
        <w:t>Paul</w:t>
      </w:r>
      <w:r w:rsidR="00173E34">
        <w:t xml:space="preserve"> y </w:t>
      </w:r>
      <w:r w:rsidR="00173E34">
        <w:rPr>
          <w:smallCaps/>
        </w:rPr>
        <w:t xml:space="preserve">Ronald </w:t>
      </w:r>
      <w:proofErr w:type="spellStart"/>
      <w:r w:rsidR="00173E34">
        <w:rPr>
          <w:smallCaps/>
        </w:rPr>
        <w:t>Wonnacott</w:t>
      </w:r>
      <w:proofErr w:type="spellEnd"/>
      <w:r w:rsidR="00173E34">
        <w:t xml:space="preserve"> (</w:t>
      </w:r>
      <w:r w:rsidR="00173E34" w:rsidRPr="00173E34">
        <w:rPr>
          <w:i/>
          <w:iCs/>
        </w:rPr>
        <w:t xml:space="preserve">los hermanos </w:t>
      </w:r>
      <w:proofErr w:type="spellStart"/>
      <w:r w:rsidR="00173E34" w:rsidRPr="00173E34">
        <w:rPr>
          <w:i/>
          <w:iCs/>
        </w:rPr>
        <w:t>Wonnacott</w:t>
      </w:r>
      <w:proofErr w:type="spellEnd"/>
      <w:r w:rsidR="00173E34">
        <w:t xml:space="preserve">) </w:t>
      </w:r>
      <w:r>
        <w:t xml:space="preserve">es que este análisis es </w:t>
      </w:r>
      <w:r w:rsidRPr="005021B1">
        <w:rPr>
          <w:b/>
          <w:bCs/>
        </w:rPr>
        <w:t>incompleto</w:t>
      </w:r>
      <w:r w:rsidR="00173E34" w:rsidRPr="00FD06B7">
        <w:rPr>
          <w:rStyle w:val="Refdenotaalpie"/>
        </w:rPr>
        <w:footnoteReference w:id="12"/>
      </w:r>
      <w:r>
        <w:t>:</w:t>
      </w:r>
    </w:p>
    <w:p w14:paraId="1008E9AE" w14:textId="77777777" w:rsidR="006071C5" w:rsidRPr="00BE19B4" w:rsidRDefault="006071C5" w:rsidP="006B6420">
      <w:pPr>
        <w:pStyle w:val="Letra"/>
        <w:spacing w:after="0"/>
        <w:ind w:left="567" w:hanging="198"/>
      </w:pPr>
      <w:r>
        <w:t xml:space="preserve">Estamos considerando un </w:t>
      </w:r>
      <w:r w:rsidRPr="00BE19B4">
        <w:rPr>
          <w:i/>
          <w:iCs/>
          <w:u w:val="single"/>
        </w:rPr>
        <w:t>país pequeño</w:t>
      </w:r>
      <w:r>
        <w:t>, que ignora los posibles efectos de las decisiones del país sobre los precios.</w:t>
      </w:r>
    </w:p>
    <w:p w14:paraId="1BE027F1" w14:textId="46F43082" w:rsidR="005021B1" w:rsidRPr="00A016D9" w:rsidRDefault="005021B1" w:rsidP="006B6420">
      <w:pPr>
        <w:pStyle w:val="Letra"/>
        <w:spacing w:after="0"/>
        <w:ind w:left="567" w:hanging="198"/>
      </w:pPr>
      <w:r w:rsidRPr="00A016D9">
        <w:t xml:space="preserve">Es un análisis de </w:t>
      </w:r>
      <w:r w:rsidRPr="00A016D9">
        <w:rPr>
          <w:i/>
          <w:iCs/>
          <w:u w:val="single"/>
        </w:rPr>
        <w:t>equilibrio parcial</w:t>
      </w:r>
      <w:r w:rsidRPr="00A016D9">
        <w:t xml:space="preserve">, </w:t>
      </w:r>
      <w:r w:rsidR="00A016D9" w:rsidRPr="00A016D9">
        <w:t>que no tiene en cuenta las interrelaciones entre distintos mercados</w:t>
      </w:r>
      <w:r w:rsidR="00B73D66" w:rsidRPr="00A016D9">
        <w:t>.</w:t>
      </w:r>
    </w:p>
    <w:p w14:paraId="26ECD574" w14:textId="77777777" w:rsidR="006B6420" w:rsidRPr="00BE19B4" w:rsidRDefault="006B6420" w:rsidP="006B6420">
      <w:pPr>
        <w:pStyle w:val="Letra"/>
        <w:spacing w:after="0"/>
        <w:ind w:left="567" w:hanging="198"/>
        <w:rPr>
          <w:spacing w:val="-3"/>
        </w:rPr>
      </w:pPr>
      <w:r w:rsidRPr="00BE19B4">
        <w:rPr>
          <w:spacing w:val="-3"/>
        </w:rPr>
        <w:t xml:space="preserve">Se asume </w:t>
      </w:r>
      <w:r w:rsidRPr="00BE19B4">
        <w:rPr>
          <w:i/>
          <w:iCs/>
          <w:spacing w:val="-3"/>
          <w:u w:val="single"/>
        </w:rPr>
        <w:t>competencia perfecta</w:t>
      </w:r>
      <w:r w:rsidRPr="00BE19B4">
        <w:rPr>
          <w:spacing w:val="-3"/>
        </w:rPr>
        <w:t>. Si considerásemos competencia imperfecta nuestras conclusiones podrían cambiar.</w:t>
      </w:r>
    </w:p>
    <w:p w14:paraId="240A0C96" w14:textId="7478C267" w:rsidR="00BE19B4" w:rsidRPr="005021B1" w:rsidRDefault="00BE19B4" w:rsidP="00701F49">
      <w:pPr>
        <w:pStyle w:val="Letra"/>
        <w:spacing w:after="0"/>
        <w:ind w:left="567" w:hanging="198"/>
      </w:pPr>
      <w:r>
        <w:t xml:space="preserve">Hemos supuesto un </w:t>
      </w:r>
      <w:r w:rsidRPr="00BE19B4">
        <w:rPr>
          <w:i/>
          <w:iCs/>
          <w:u w:val="single"/>
        </w:rPr>
        <w:t>contexto estático</w:t>
      </w:r>
      <w:r>
        <w:t xml:space="preserve">, </w:t>
      </w:r>
      <w:r w:rsidRPr="00BE19B4">
        <w:t>sin</w:t>
      </w:r>
      <w:r>
        <w:t xml:space="preserve"> tener</w:t>
      </w:r>
      <w:r w:rsidRPr="00BE19B4">
        <w:t xml:space="preserve"> en cuenta los efectos dinámicos</w:t>
      </w:r>
      <w:r>
        <w:t>.</w:t>
      </w:r>
    </w:p>
    <w:p w14:paraId="64E1AA45" w14:textId="77777777" w:rsidR="00C01223" w:rsidRDefault="00B73D66" w:rsidP="00C01223">
      <w:pPr>
        <w:pStyle w:val="Nivel1SM"/>
        <w:keepNext/>
        <w:spacing w:after="0"/>
      </w:pPr>
      <w:r>
        <w:t xml:space="preserve">Todos estos </w:t>
      </w:r>
      <w:r w:rsidRPr="00585BE3">
        <w:rPr>
          <w:b/>
          <w:bCs/>
        </w:rPr>
        <w:t>efectos</w:t>
      </w:r>
      <w:r>
        <w:t xml:space="preserve"> </w:t>
      </w:r>
      <w:r w:rsidR="00C01223">
        <w:t>podrían dar lugar a que la formación de una unión aduanera fuera preferible a una reducción de aranceles.</w:t>
      </w:r>
    </w:p>
    <w:p w14:paraId="1C32AF09" w14:textId="5CD14F72" w:rsidR="00DC5462" w:rsidRPr="00DC5462" w:rsidRDefault="00C01223" w:rsidP="00C01223">
      <w:pPr>
        <w:pStyle w:val="Nivel2SM"/>
      </w:pPr>
      <w:r>
        <w:t xml:space="preserve">Los hermanos </w:t>
      </w:r>
      <w:proofErr w:type="spellStart"/>
      <w:r w:rsidRPr="00701F49">
        <w:rPr>
          <w:smallCaps/>
        </w:rPr>
        <w:t>Wonnacott</w:t>
      </w:r>
      <w:proofErr w:type="spellEnd"/>
      <w:r>
        <w:t xml:space="preserve"> defienden que integrarse en una unión aduanera puede ser preferible a la reducción unilateral y no discriminada de aranceles si se permite que los países que forman parte de la unión aduanera actúen como un país grande frente al resto del mundo y mejoren sus términos de intercambio y bienestar.</w:t>
      </w:r>
    </w:p>
    <w:p w14:paraId="12B6D287" w14:textId="57DC449F" w:rsidR="003B679E" w:rsidRDefault="003B679E" w:rsidP="003B679E">
      <w:pPr>
        <w:pStyle w:val="Ttulo2"/>
      </w:pPr>
      <w:bookmarkStart w:id="44" w:name="_Toc172225495"/>
      <w:r w:rsidRPr="00105005">
        <w:rPr>
          <w:spacing w:val="-3"/>
        </w:rPr>
        <w:t xml:space="preserve">¿Por qué </w:t>
      </w:r>
      <w:r w:rsidR="00105005" w:rsidRPr="00105005">
        <w:rPr>
          <w:spacing w:val="-3"/>
        </w:rPr>
        <w:t>puede ser</w:t>
      </w:r>
      <w:r w:rsidRPr="00105005">
        <w:rPr>
          <w:spacing w:val="-3"/>
        </w:rPr>
        <w:t xml:space="preserve"> mejor </w:t>
      </w:r>
      <w:r w:rsidR="00105005">
        <w:rPr>
          <w:spacing w:val="-3"/>
        </w:rPr>
        <w:t>l</w:t>
      </w:r>
      <w:r w:rsidRPr="00105005">
        <w:rPr>
          <w:spacing w:val="-3"/>
        </w:rPr>
        <w:t xml:space="preserve">a </w:t>
      </w:r>
      <w:r w:rsidR="00105005" w:rsidRPr="00105005">
        <w:rPr>
          <w:spacing w:val="-3"/>
        </w:rPr>
        <w:t>u</w:t>
      </w:r>
      <w:r w:rsidRPr="00105005">
        <w:rPr>
          <w:spacing w:val="-3"/>
        </w:rPr>
        <w:t xml:space="preserve">nión </w:t>
      </w:r>
      <w:r w:rsidR="00105005" w:rsidRPr="00105005">
        <w:rPr>
          <w:spacing w:val="-3"/>
        </w:rPr>
        <w:t>a</w:t>
      </w:r>
      <w:r w:rsidRPr="00105005">
        <w:rPr>
          <w:spacing w:val="-3"/>
        </w:rPr>
        <w:t>duanera que la reducción indiscriminada de aranceles?</w:t>
      </w:r>
      <w:r w:rsidR="00F91ADD">
        <w:br/>
        <w:t>Efectos no</w:t>
      </w:r>
      <w:r w:rsidR="00C02FB6">
        <w:t> </w:t>
      </w:r>
      <w:r w:rsidR="00F91ADD">
        <w:t xml:space="preserve">considerados por </w:t>
      </w:r>
      <w:r w:rsidR="00F91ADD">
        <w:rPr>
          <w:smallCaps/>
        </w:rPr>
        <w:t>Cooper</w:t>
      </w:r>
      <w:r w:rsidR="00F91ADD">
        <w:t xml:space="preserve"> y </w:t>
      </w:r>
      <w:proofErr w:type="spellStart"/>
      <w:r w:rsidR="00F91ADD">
        <w:rPr>
          <w:smallCaps/>
        </w:rPr>
        <w:t>Massell</w:t>
      </w:r>
      <w:bookmarkEnd w:id="44"/>
      <w:proofErr w:type="spellEnd"/>
    </w:p>
    <w:p w14:paraId="34C7D15B" w14:textId="36A35B2E" w:rsidR="000F007A" w:rsidRDefault="000F007A" w:rsidP="00701F49">
      <w:pPr>
        <w:pStyle w:val="Ttulo3"/>
        <w:spacing w:before="0"/>
      </w:pPr>
      <w:bookmarkStart w:id="45" w:name="_Toc172225496"/>
      <w:r>
        <w:t xml:space="preserve">Consideración de posibles compensaciones: </w:t>
      </w:r>
      <w:r w:rsidRPr="000F007A">
        <w:rPr>
          <w:smallCaps/>
        </w:rPr>
        <w:t>Kemp</w:t>
      </w:r>
      <w:r w:rsidRPr="00C557E5">
        <w:t xml:space="preserve"> y </w:t>
      </w:r>
      <w:proofErr w:type="spellStart"/>
      <w:r w:rsidRPr="000F007A">
        <w:rPr>
          <w:smallCaps/>
        </w:rPr>
        <w:t>Wan</w:t>
      </w:r>
      <w:proofErr w:type="spellEnd"/>
      <w:r w:rsidRPr="00C557E5">
        <w:t xml:space="preserve"> (1976</w:t>
      </w:r>
      <w:r>
        <w:t>)</w:t>
      </w:r>
      <w:bookmarkEnd w:id="45"/>
    </w:p>
    <w:p w14:paraId="466F3959" w14:textId="497DB1CC" w:rsidR="000F007A" w:rsidRDefault="000F007A" w:rsidP="00701F49">
      <w:pPr>
        <w:pStyle w:val="Nivel1SM"/>
        <w:keepNext/>
        <w:spacing w:before="0" w:after="0"/>
      </w:pPr>
      <w:r>
        <w:rPr>
          <w:smallCaps/>
        </w:rPr>
        <w:t>Kemp</w:t>
      </w:r>
      <w:r w:rsidRPr="00FC3724">
        <w:t xml:space="preserve"> </w:t>
      </w:r>
      <w:r>
        <w:t xml:space="preserve">y </w:t>
      </w:r>
      <w:proofErr w:type="spellStart"/>
      <w:r>
        <w:rPr>
          <w:smallCaps/>
        </w:rPr>
        <w:t>Wan</w:t>
      </w:r>
      <w:proofErr w:type="spellEnd"/>
      <w:r>
        <w:t xml:space="preserve"> (1976) muestran que con políticas de compensación la unión aduanera es Pareto superior a un arancel no discriminatorio, ya que existirá un arancel exterior común que, combinado con un sistema de transferencias de suma fija, permitirá mejorar a los países de la unión aduanera y no empeorar al resto.</w:t>
      </w:r>
    </w:p>
    <w:p w14:paraId="20BEC2F5" w14:textId="33F7EDDD" w:rsidR="000F007A" w:rsidRPr="000F007A" w:rsidRDefault="000F007A" w:rsidP="006071C5">
      <w:pPr>
        <w:pStyle w:val="Nivel2SM"/>
      </w:pPr>
      <w:r>
        <w:t>Dicho arancel exterior común será el que mantiene el comercio con el resto del mundo inalterado, lo cual implica el establecimiento de un arancel exterior común igual o inferior a la media de los existentes antes de la unión aduanera</w:t>
      </w:r>
      <w:r>
        <w:rPr>
          <w:rStyle w:val="Refdenotaalpie"/>
        </w:rPr>
        <w:footnoteReference w:id="13"/>
      </w:r>
      <w:r>
        <w:t>.</w:t>
      </w:r>
    </w:p>
    <w:p w14:paraId="323F1357" w14:textId="77777777" w:rsidR="006071C5" w:rsidRPr="00C01223" w:rsidRDefault="006071C5" w:rsidP="006071C5">
      <w:pPr>
        <w:pStyle w:val="Ttulo3"/>
      </w:pPr>
      <w:bookmarkStart w:id="46" w:name="_Toc172225497"/>
      <w:r>
        <w:lastRenderedPageBreak/>
        <w:t>Consideración de un país grande: e</w:t>
      </w:r>
      <w:r w:rsidRPr="00C01223">
        <w:t xml:space="preserve">fectos sobre la relación real de intercambio </w:t>
      </w:r>
      <w:r w:rsidRPr="000E3963">
        <w:rPr>
          <w:sz w:val="19"/>
          <w:szCs w:val="19"/>
        </w:rPr>
        <w:t>(</w:t>
      </w:r>
      <w:proofErr w:type="spellStart"/>
      <w:r w:rsidRPr="000E3963">
        <w:rPr>
          <w:smallCaps/>
          <w:sz w:val="19"/>
          <w:szCs w:val="19"/>
        </w:rPr>
        <w:t>Mundell</w:t>
      </w:r>
      <w:proofErr w:type="spellEnd"/>
      <w:r w:rsidRPr="000E3963">
        <w:rPr>
          <w:sz w:val="19"/>
          <w:szCs w:val="19"/>
        </w:rPr>
        <w:t>, 1964)</w:t>
      </w:r>
      <w:bookmarkEnd w:id="46"/>
    </w:p>
    <w:p w14:paraId="38D5AFB2" w14:textId="77777777" w:rsidR="006071C5" w:rsidRDefault="006071C5" w:rsidP="00701F49">
      <w:pPr>
        <w:pStyle w:val="Nivel1SM"/>
        <w:keepNext/>
        <w:spacing w:before="0" w:after="0"/>
      </w:pPr>
      <w:r w:rsidRPr="00C01223">
        <w:t xml:space="preserve">Uno de los supuestos claves que </w:t>
      </w:r>
      <w:r>
        <w:t>hemos visto en las teorías analizadas hasta ahora</w:t>
      </w:r>
      <w:r w:rsidRPr="00C01223">
        <w:t xml:space="preserve"> era que los países que iban a formar la unión aduanera eran </w:t>
      </w:r>
      <w:r w:rsidRPr="00C01223">
        <w:rPr>
          <w:i/>
          <w:iCs/>
        </w:rPr>
        <w:t>pequeños</w:t>
      </w:r>
      <w:r w:rsidRPr="00C01223">
        <w:t xml:space="preserve"> frente al resto del mundo</w:t>
      </w:r>
      <w:r>
        <w:t>.</w:t>
      </w:r>
    </w:p>
    <w:p w14:paraId="78C21741" w14:textId="77777777" w:rsidR="006071C5" w:rsidRDefault="006071C5" w:rsidP="006071C5">
      <w:pPr>
        <w:pStyle w:val="Nivel2SM"/>
      </w:pPr>
      <w:r>
        <w:t>Esto implicaba que</w:t>
      </w:r>
      <w:r w:rsidRPr="00C01223">
        <w:t xml:space="preserve"> la unión aduanera era incapaz de alterar los precios mundiales.</w:t>
      </w:r>
    </w:p>
    <w:p w14:paraId="4902FF6A" w14:textId="77777777" w:rsidR="006071C5" w:rsidRPr="00C01223" w:rsidRDefault="006071C5" w:rsidP="006071C5">
      <w:pPr>
        <w:pStyle w:val="Nivel2SM"/>
      </w:pPr>
      <w:r w:rsidRPr="00C01223">
        <w:t>Sin embargo, si suponemos que los países son grandes entre ellos y respecto al resto del mundo, el resultado puede ser distinto.</w:t>
      </w:r>
    </w:p>
    <w:p w14:paraId="130D6771" w14:textId="77777777" w:rsidR="006071C5" w:rsidRPr="00C01223" w:rsidRDefault="006071C5" w:rsidP="006071C5">
      <w:pPr>
        <w:pStyle w:val="Nivel1SM"/>
        <w:keepNext/>
        <w:spacing w:after="0"/>
      </w:pPr>
      <w:r w:rsidRPr="00C01223">
        <w:t xml:space="preserve">Supongamos que los países </w:t>
      </w:r>
      <w:r w:rsidRPr="00C01223">
        <w:rPr>
          <w:i/>
          <w:iCs/>
        </w:rPr>
        <w:t>A</w:t>
      </w:r>
      <w:r w:rsidRPr="00C01223">
        <w:t xml:space="preserve"> y </w:t>
      </w:r>
      <w:r w:rsidRPr="00C01223">
        <w:rPr>
          <w:i/>
          <w:iCs/>
        </w:rPr>
        <w:t>B</w:t>
      </w:r>
      <w:r w:rsidRPr="00C01223">
        <w:t xml:space="preserve"> forman una unión aduanera. Al hacerlo, </w:t>
      </w:r>
      <w:r w:rsidRPr="00C01223">
        <w:rPr>
          <w:i/>
          <w:iCs/>
        </w:rPr>
        <w:t>A</w:t>
      </w:r>
      <w:r w:rsidRPr="00C01223">
        <w:t xml:space="preserve"> pasa a discriminar a favor de </w:t>
      </w:r>
      <w:r w:rsidRPr="00C01223">
        <w:rPr>
          <w:i/>
          <w:iCs/>
        </w:rPr>
        <w:t>B</w:t>
      </w:r>
      <w:r w:rsidRPr="00C01223">
        <w:t xml:space="preserve"> en algunos bienes, lo cual supone una mejora de la RRI de </w:t>
      </w:r>
      <w:r w:rsidRPr="00C01223">
        <w:rPr>
          <w:i/>
          <w:iCs/>
        </w:rPr>
        <w:t>B</w:t>
      </w:r>
      <w:r w:rsidRPr="00C01223">
        <w:t xml:space="preserve"> con respecto a </w:t>
      </w:r>
      <w:proofErr w:type="spellStart"/>
      <w:r w:rsidRPr="00C01223">
        <w:rPr>
          <w:i/>
          <w:iCs/>
        </w:rPr>
        <w:t>A</w:t>
      </w:r>
      <w:proofErr w:type="spellEnd"/>
      <w:r w:rsidRPr="00C01223">
        <w:t xml:space="preserve"> y </w:t>
      </w:r>
      <w:r w:rsidRPr="00C01223">
        <w:rPr>
          <w:i/>
          <w:iCs/>
        </w:rPr>
        <w:t>R</w:t>
      </w:r>
      <w:r w:rsidRPr="00C01223">
        <w:t xml:space="preserve"> (pues aumenta la demanda de sus exportaciones, aumentando su precio). Al mismo tiempo, </w:t>
      </w:r>
      <w:r w:rsidRPr="00C01223">
        <w:rPr>
          <w:i/>
          <w:iCs/>
        </w:rPr>
        <w:t>B</w:t>
      </w:r>
      <w:r w:rsidRPr="00C01223">
        <w:t xml:space="preserve"> pasa a discriminar a favor de </w:t>
      </w:r>
      <w:r w:rsidRPr="00C01223">
        <w:rPr>
          <w:i/>
          <w:iCs/>
        </w:rPr>
        <w:t>A</w:t>
      </w:r>
      <w:r w:rsidRPr="00C01223">
        <w:t xml:space="preserve"> en otros bienes, lo cual supone una mejora de la RRI de </w:t>
      </w:r>
      <w:r w:rsidRPr="00C01223">
        <w:rPr>
          <w:i/>
          <w:iCs/>
        </w:rPr>
        <w:t>A</w:t>
      </w:r>
      <w:r w:rsidRPr="00C01223">
        <w:t xml:space="preserve"> con respecto a </w:t>
      </w:r>
      <w:r w:rsidRPr="00C01223">
        <w:rPr>
          <w:i/>
          <w:iCs/>
        </w:rPr>
        <w:t>B</w:t>
      </w:r>
      <w:r w:rsidRPr="00C01223">
        <w:t xml:space="preserve"> y </w:t>
      </w:r>
      <w:r w:rsidRPr="00C01223">
        <w:rPr>
          <w:i/>
          <w:iCs/>
        </w:rPr>
        <w:t>R</w:t>
      </w:r>
      <w:r w:rsidRPr="00C01223">
        <w:t>. Por tanto:</w:t>
      </w:r>
    </w:p>
    <w:p w14:paraId="04461D0A" w14:textId="77777777" w:rsidR="006071C5" w:rsidRPr="00C01223" w:rsidRDefault="006071C5" w:rsidP="006071C5">
      <w:pPr>
        <w:pStyle w:val="Nivel2SM"/>
      </w:pPr>
      <w:r w:rsidRPr="00C01223">
        <w:t xml:space="preserve">El efecto neto en la RRI entre </w:t>
      </w:r>
      <w:r w:rsidRPr="00C01223">
        <w:rPr>
          <w:i/>
          <w:iCs/>
        </w:rPr>
        <w:t>A</w:t>
      </w:r>
      <w:r w:rsidRPr="00C01223">
        <w:t xml:space="preserve"> y </w:t>
      </w:r>
      <w:r w:rsidRPr="00C01223">
        <w:rPr>
          <w:i/>
          <w:iCs/>
        </w:rPr>
        <w:t>B</w:t>
      </w:r>
      <w:r w:rsidRPr="00C01223">
        <w:t xml:space="preserve"> es </w:t>
      </w:r>
      <w:r w:rsidRPr="00C01223">
        <w:rPr>
          <w:b/>
          <w:bCs/>
        </w:rPr>
        <w:t>ambiguo</w:t>
      </w:r>
      <w:r w:rsidRPr="00C01223">
        <w:t>.</w:t>
      </w:r>
    </w:p>
    <w:p w14:paraId="71637C55" w14:textId="77777777" w:rsidR="001F6175" w:rsidRDefault="006071C5" w:rsidP="001F6175">
      <w:pPr>
        <w:pStyle w:val="Nivel2SM"/>
        <w:keepNext/>
        <w:spacing w:after="0"/>
      </w:pPr>
      <w:r w:rsidRPr="00C01223">
        <w:t>El efecto neto</w:t>
      </w:r>
      <w:r>
        <w:t xml:space="preserve"> en la RRI</w:t>
      </w:r>
      <w:r w:rsidRPr="00C01223">
        <w:t xml:space="preserve"> entre la </w:t>
      </w:r>
      <w:r>
        <w:t>un</w:t>
      </w:r>
      <w:r w:rsidRPr="00C01223">
        <w:t xml:space="preserve">ión aduanera y </w:t>
      </w:r>
      <w:r w:rsidRPr="002632B5">
        <w:rPr>
          <w:i/>
          <w:iCs/>
        </w:rPr>
        <w:t>R</w:t>
      </w:r>
      <w:r w:rsidRPr="00C01223">
        <w:t xml:space="preserve"> es </w:t>
      </w:r>
      <w:r w:rsidRPr="00C01223">
        <w:rPr>
          <w:b/>
          <w:bCs/>
        </w:rPr>
        <w:t>inequívoco</w:t>
      </w:r>
      <w:r w:rsidRPr="00C01223">
        <w:t xml:space="preserve">: la </w:t>
      </w:r>
      <w:r w:rsidRPr="00C01223">
        <w:rPr>
          <w:i/>
          <w:iCs/>
        </w:rPr>
        <w:t>unión aduanera</w:t>
      </w:r>
      <w:r w:rsidRPr="00C01223">
        <w:t xml:space="preserve"> experimenta una </w:t>
      </w:r>
      <w:r w:rsidRPr="00C01223">
        <w:rPr>
          <w:i/>
          <w:iCs/>
        </w:rPr>
        <w:t>mejora de su RRI</w:t>
      </w:r>
      <w:r w:rsidRPr="00C01223">
        <w:t xml:space="preserve">, porque, al formarse la unión aduanera, ésta pasa a importar menos bienes de </w:t>
      </w:r>
      <w:r w:rsidRPr="00C01223">
        <w:rPr>
          <w:i/>
          <w:iCs/>
        </w:rPr>
        <w:t>R</w:t>
      </w:r>
      <w:r w:rsidRPr="00C01223">
        <w:t xml:space="preserve"> y, como la unión aduanera es grande con respecto a </w:t>
      </w:r>
      <w:r w:rsidRPr="00C01223">
        <w:rPr>
          <w:i/>
          <w:iCs/>
        </w:rPr>
        <w:t>R</w:t>
      </w:r>
      <w:r w:rsidRPr="00C01223">
        <w:t xml:space="preserve">, esto supone una caída del precio de sus importaciones provenientes de </w:t>
      </w:r>
      <w:r w:rsidRPr="00C01223">
        <w:rPr>
          <w:i/>
          <w:iCs/>
        </w:rPr>
        <w:t>R</w:t>
      </w:r>
      <w:r w:rsidRPr="00C01223">
        <w:t xml:space="preserve"> y, con ello, una mejora de su RRI.</w:t>
      </w:r>
    </w:p>
    <w:p w14:paraId="10D4CAF3" w14:textId="154ACB3C" w:rsidR="006071C5" w:rsidRPr="00C01223" w:rsidRDefault="006071C5" w:rsidP="001F6175">
      <w:pPr>
        <w:pStyle w:val="Nivel3SM"/>
      </w:pPr>
      <w:r w:rsidRPr="00C01223">
        <w:t xml:space="preserve">Esto implica, además, que la unión aduanera podría fijar un arancel exterior común que fuese </w:t>
      </w:r>
      <w:r w:rsidRPr="00C01223">
        <w:rPr>
          <w:i/>
          <w:iCs/>
        </w:rPr>
        <w:t>óptimo</w:t>
      </w:r>
      <w:r w:rsidRPr="00C01223">
        <w:t xml:space="preserve"> </w:t>
      </w:r>
      <w:r w:rsidRPr="00C01223">
        <w:rPr>
          <w:color w:val="767171" w:themeColor="background2" w:themeShade="80"/>
          <w:sz w:val="19"/>
          <w:szCs w:val="19"/>
        </w:rPr>
        <w:t>[ver tema 3.B.7]</w:t>
      </w:r>
      <w:r w:rsidRPr="00C01223">
        <w:t>.</w:t>
      </w:r>
    </w:p>
    <w:p w14:paraId="07931FFE" w14:textId="2A8E835C" w:rsidR="006071C5" w:rsidRPr="006071C5" w:rsidRDefault="006071C5" w:rsidP="006071C5">
      <w:pPr>
        <w:pStyle w:val="Nivel1SM"/>
      </w:pPr>
      <w:r w:rsidRPr="00C01223">
        <w:t xml:space="preserve">Del mismo modo, puede pensarse que la formación de una unión aduanera grande puede tener </w:t>
      </w:r>
      <w:r w:rsidRPr="00C01223">
        <w:rPr>
          <w:b/>
          <w:bCs/>
        </w:rPr>
        <w:t>capacidad para influir en las negociaciones de p</w:t>
      </w:r>
      <w:r w:rsidRPr="000E3963">
        <w:rPr>
          <w:b/>
          <w:bCs/>
        </w:rPr>
        <w:t>olítica comercial a nivel mundial</w:t>
      </w:r>
      <w:r w:rsidRPr="000E3963">
        <w:t>.</w:t>
      </w:r>
    </w:p>
    <w:p w14:paraId="501FA19A" w14:textId="77777777" w:rsidR="006B6420" w:rsidRPr="000E3963" w:rsidRDefault="006B6420" w:rsidP="006B6420">
      <w:pPr>
        <w:pStyle w:val="Ttulo3"/>
      </w:pPr>
      <w:bookmarkStart w:id="47" w:name="_Toc172225498"/>
      <w:r w:rsidRPr="000E3963">
        <w:t>Consideración de competencia imperfecta</w:t>
      </w:r>
      <w:bookmarkEnd w:id="47"/>
    </w:p>
    <w:p w14:paraId="6674B70B" w14:textId="77777777" w:rsidR="006B6420" w:rsidRPr="00A655EA" w:rsidRDefault="006B6420" w:rsidP="006B6420">
      <w:pPr>
        <w:pStyle w:val="Ttulo6"/>
      </w:pPr>
      <w:bookmarkStart w:id="48" w:name="_Toc172225499"/>
      <w:r w:rsidRPr="00A655EA">
        <w:t xml:space="preserve">Efectos </w:t>
      </w:r>
      <w:proofErr w:type="spellStart"/>
      <w:r w:rsidRPr="00A655EA">
        <w:t>pro-competitivos</w:t>
      </w:r>
      <w:bookmarkEnd w:id="48"/>
      <w:proofErr w:type="spellEnd"/>
    </w:p>
    <w:p w14:paraId="269F1E47" w14:textId="77777777" w:rsidR="006B6420" w:rsidRPr="005A4A31" w:rsidRDefault="006B6420" w:rsidP="005A4A31">
      <w:pPr>
        <w:pStyle w:val="Nivel1SM"/>
        <w:keepNext/>
        <w:spacing w:before="0"/>
        <w:rPr>
          <w:spacing w:val="-4"/>
        </w:rPr>
      </w:pPr>
      <w:r w:rsidRPr="005A4A31">
        <w:rPr>
          <w:spacing w:val="-4"/>
        </w:rPr>
        <w:t>La integración económica reduce el poder de mercado de las empresas domésticas en los sectores de bienes comercializables, lo que a su vez tiene efectos positivos sobre la eficiencia asignativa y productiva.</w:t>
      </w:r>
    </w:p>
    <w:p w14:paraId="4159583E" w14:textId="77777777" w:rsidR="006B6420" w:rsidRDefault="006B6420" w:rsidP="005A4A31">
      <w:pPr>
        <w:pStyle w:val="Nivel1SM"/>
        <w:keepNext/>
        <w:keepLines/>
        <w:spacing w:after="0"/>
      </w:pPr>
      <w:r>
        <w:t>Supongamos que existe una situación de partida en la que dos países presentan una estructura monopolística en un determinado sector gracias a la presencia de un arancel que no permite la entrada de otras empresas. La integración comercial hará que la estructura de mercado pase a ser un oligopolio acercándose por tanto a una situación de competencia perfecta.</w:t>
      </w:r>
    </w:p>
    <w:p w14:paraId="1B9B232F" w14:textId="77777777" w:rsidR="006B6420" w:rsidRDefault="006B6420" w:rsidP="006B6420">
      <w:pPr>
        <w:pStyle w:val="Nivel2SM"/>
      </w:pPr>
      <w:r>
        <w:t xml:space="preserve">El modelo de </w:t>
      </w:r>
      <w:r>
        <w:rPr>
          <w:smallCaps/>
        </w:rPr>
        <w:t>Brander</w:t>
      </w:r>
      <w:r>
        <w:t xml:space="preserve"> y </w:t>
      </w:r>
      <w:r>
        <w:rPr>
          <w:smallCaps/>
        </w:rPr>
        <w:t>Krugman</w:t>
      </w:r>
      <w:r>
        <w:t xml:space="preserve"> proporciona una buena explicación gráfica de éste argumento. Partiendo de una situación de monopolio, la eliminación de aranceles podría hacer que el equilibrio resultante debido al comportamiento estratégico de cada una de las empresas pase a ser el correspondiente al de </w:t>
      </w:r>
      <w:r w:rsidRPr="009D535A">
        <w:rPr>
          <w:smallCaps/>
        </w:rPr>
        <w:t>Cournot</w:t>
      </w:r>
      <w:r>
        <w:t>.</w:t>
      </w:r>
    </w:p>
    <w:p w14:paraId="29A181B1" w14:textId="77777777" w:rsidR="006B6420" w:rsidRDefault="006B6420" w:rsidP="006B6420">
      <w:pPr>
        <w:pStyle w:val="Nivel2SM"/>
      </w:pPr>
      <w:r>
        <w:t>En dicho caso, la cantidad lanzada al mercado por ambas empresas será mayor y el precio menor, acercándonos a la situación competitiva, aumentando el excedente total y, por lo tanto, aumentando el bienestar de la sociedad en comparación con la situación inicial de autarquía.</w:t>
      </w:r>
    </w:p>
    <w:p w14:paraId="33F91EF2" w14:textId="588E0A9F" w:rsidR="006B6420" w:rsidRPr="00A655EA" w:rsidRDefault="007F056C" w:rsidP="006B6420">
      <w:pPr>
        <w:pStyle w:val="Nivel1SM"/>
        <w:keepNext/>
        <w:spacing w:after="0"/>
      </w:pPr>
      <w:r>
        <w:t xml:space="preserve">Los efectos </w:t>
      </w:r>
      <w:proofErr w:type="spellStart"/>
      <w:r>
        <w:t>pro-competitivos</w:t>
      </w:r>
      <w:proofErr w:type="spellEnd"/>
      <w:r w:rsidR="006B6420" w:rsidRPr="00A655EA">
        <w:t xml:space="preserve"> se manifiestan en:</w:t>
      </w:r>
    </w:p>
    <w:p w14:paraId="7724F3DE" w14:textId="77777777" w:rsidR="006B6420" w:rsidRPr="00A655EA" w:rsidRDefault="006B6420">
      <w:pPr>
        <w:pStyle w:val="Nmeroromano"/>
        <w:keepNext/>
        <w:numPr>
          <w:ilvl w:val="0"/>
          <w:numId w:val="12"/>
        </w:numPr>
        <w:ind w:left="567" w:hanging="113"/>
      </w:pPr>
      <w:r w:rsidRPr="00F12AB6">
        <w:rPr>
          <w:i/>
          <w:iCs/>
        </w:rPr>
        <w:t>Efecto precio</w:t>
      </w:r>
      <w:r w:rsidRPr="00A655EA">
        <w:t xml:space="preserve"> (reducción de los márgenes);</w:t>
      </w:r>
    </w:p>
    <w:p w14:paraId="5FAC7033" w14:textId="77777777" w:rsidR="006B6420" w:rsidRPr="00A655EA" w:rsidRDefault="006B6420">
      <w:pPr>
        <w:pStyle w:val="Nmeroromano"/>
        <w:keepNext/>
        <w:numPr>
          <w:ilvl w:val="0"/>
          <w:numId w:val="12"/>
        </w:numPr>
        <w:ind w:left="567" w:hanging="113"/>
      </w:pPr>
      <w:r w:rsidRPr="00F12AB6">
        <w:rPr>
          <w:i/>
          <w:iCs/>
        </w:rPr>
        <w:t>Efecto no-precio</w:t>
      </w:r>
      <w:r w:rsidRPr="00A655EA">
        <w:t xml:space="preserve"> (estímulo a la innovación);</w:t>
      </w:r>
      <w:r>
        <w:t xml:space="preserve"> y</w:t>
      </w:r>
    </w:p>
    <w:p w14:paraId="75594BBC" w14:textId="0EB4FAFD" w:rsidR="006B6420" w:rsidRPr="00A655EA" w:rsidRDefault="006B6420">
      <w:pPr>
        <w:pStyle w:val="Nmeroromano"/>
        <w:numPr>
          <w:ilvl w:val="0"/>
          <w:numId w:val="12"/>
        </w:numPr>
        <w:ind w:left="567" w:hanging="113"/>
      </w:pPr>
      <w:r w:rsidRPr="00F12AB6">
        <w:rPr>
          <w:i/>
          <w:iCs/>
        </w:rPr>
        <w:t>Reducción de las ineficiencias</w:t>
      </w:r>
      <w:r>
        <w:t xml:space="preserve"> (incentivos a reducir la </w:t>
      </w:r>
      <w:r w:rsidRPr="00F12AB6">
        <w:rPr>
          <w:i/>
          <w:iCs/>
        </w:rPr>
        <w:t>ineficiencia</w:t>
      </w:r>
      <w:r w:rsidR="00C43EF6">
        <w:rPr>
          <w:i/>
          <w:iCs/>
        </w:rPr>
        <w:t> </w:t>
      </w:r>
      <w:r w:rsidRPr="00F12AB6">
        <w:rPr>
          <w:i/>
          <w:iCs/>
        </w:rPr>
        <w:t>X</w:t>
      </w:r>
      <w:r>
        <w:t xml:space="preserve"> de </w:t>
      </w:r>
      <w:r w:rsidRPr="00C43EF6">
        <w:rPr>
          <w:smallCaps/>
        </w:rPr>
        <w:t>Leibenstein</w:t>
      </w:r>
      <w:r>
        <w:t>).</w:t>
      </w:r>
    </w:p>
    <w:p w14:paraId="7DBB6B1F" w14:textId="77777777" w:rsidR="006B6420" w:rsidRPr="00227D12" w:rsidRDefault="006B6420" w:rsidP="006B6420">
      <w:pPr>
        <w:pStyle w:val="Ttulo6"/>
      </w:pPr>
      <w:bookmarkStart w:id="49" w:name="_Toc172225500"/>
      <w:r w:rsidRPr="00227D12">
        <w:lastRenderedPageBreak/>
        <w:t>Efectos relacionados con el aprovechamiento de las economías de escala (</w:t>
      </w:r>
      <w:proofErr w:type="spellStart"/>
      <w:r w:rsidRPr="00227D12">
        <w:rPr>
          <w:smallCaps/>
        </w:rPr>
        <w:t>Corden</w:t>
      </w:r>
      <w:proofErr w:type="spellEnd"/>
      <w:r w:rsidRPr="00227D12">
        <w:t>, 1972)</w:t>
      </w:r>
      <w:bookmarkEnd w:id="49"/>
    </w:p>
    <w:p w14:paraId="1A097FF9" w14:textId="6E2F9B48" w:rsidR="006B6420" w:rsidRPr="00227D12" w:rsidRDefault="006B6420" w:rsidP="000B1D8C">
      <w:pPr>
        <w:pStyle w:val="Ttulo7"/>
        <w:tabs>
          <w:tab w:val="left" w:pos="3011"/>
        </w:tabs>
        <w:spacing w:before="0"/>
      </w:pPr>
      <w:r w:rsidRPr="00227D12">
        <w:t>Idea</w:t>
      </w:r>
    </w:p>
    <w:p w14:paraId="797F22BC" w14:textId="77777777" w:rsidR="006B6420" w:rsidRPr="00227D12" w:rsidRDefault="006B6420" w:rsidP="006B6420">
      <w:pPr>
        <w:pStyle w:val="Nivel1SM"/>
        <w:keepNext/>
        <w:spacing w:before="0" w:after="0"/>
      </w:pPr>
      <w:r w:rsidRPr="00227D12">
        <w:t xml:space="preserve">La teoría tradicional asumía que los costes marginales </w:t>
      </w:r>
      <w:r>
        <w:t xml:space="preserve">(que dan lugar a la curva de oferta) </w:t>
      </w:r>
      <w:r w:rsidRPr="00227D12">
        <w:t>eran constantes (</w:t>
      </w:r>
      <w:r w:rsidRPr="00227D12">
        <w:rPr>
          <w:smallCaps/>
        </w:rPr>
        <w:t>Viner</w:t>
      </w:r>
      <w:r w:rsidRPr="00227D12">
        <w:t>) o crecientes (</w:t>
      </w:r>
      <w:proofErr w:type="spellStart"/>
      <w:r w:rsidRPr="00227D12">
        <w:rPr>
          <w:smallCaps/>
        </w:rPr>
        <w:t>Lipsey</w:t>
      </w:r>
      <w:proofErr w:type="spellEnd"/>
      <w:r w:rsidRPr="00227D12">
        <w:t>). Sin embargo, muchas industrias se caracterizan por tener costes marginales decrecientes, es decir, economías de escala internas a la empresa</w:t>
      </w:r>
      <w:r w:rsidRPr="00227D12">
        <w:rPr>
          <w:rStyle w:val="Refdenotaalpie"/>
        </w:rPr>
        <w:footnoteReference w:id="14"/>
      </w:r>
      <w:r w:rsidRPr="00227D12">
        <w:t>.</w:t>
      </w:r>
    </w:p>
    <w:p w14:paraId="1D6477BE" w14:textId="3E4A5261" w:rsidR="006B6420" w:rsidRPr="00227D12" w:rsidRDefault="006B6420" w:rsidP="006B6420">
      <w:pPr>
        <w:pStyle w:val="Nivel2SM"/>
      </w:pPr>
      <w:r w:rsidRPr="00227D12">
        <w:t>Esto implica que los países pueden beneficiarse de una unión aduanera porque aumenta su mercado objeti</w:t>
      </w:r>
      <w:r w:rsidR="009D2B8E">
        <w:t>v</w:t>
      </w:r>
      <w:r w:rsidRPr="00227D12">
        <w:t>o, pudiendo explotar dichas economías de escala.</w:t>
      </w:r>
    </w:p>
    <w:p w14:paraId="325267CD" w14:textId="77777777" w:rsidR="006B6420" w:rsidRPr="00227D12" w:rsidRDefault="006B6420" w:rsidP="006B6420">
      <w:pPr>
        <w:pStyle w:val="Nivel1SM"/>
        <w:keepNext/>
        <w:spacing w:after="0"/>
      </w:pPr>
      <w:proofErr w:type="spellStart"/>
      <w:r w:rsidRPr="00227D12">
        <w:rPr>
          <w:smallCaps/>
        </w:rPr>
        <w:t>Corden</w:t>
      </w:r>
      <w:proofErr w:type="spellEnd"/>
      <w:r w:rsidRPr="00227D12">
        <w:t xml:space="preserve"> (1972) señala que, en presencia de economías de escala, los efectos de creación y de desviación del comercio siguen siendo válidos, pero que, además podrán surdir otros 2</w:t>
      </w:r>
      <w:r>
        <w:t> </w:t>
      </w:r>
      <w:r w:rsidRPr="00227D12">
        <w:t>efectos:</w:t>
      </w:r>
    </w:p>
    <w:p w14:paraId="1E64EAA8" w14:textId="77777777" w:rsidR="006B6420" w:rsidRPr="00227D12" w:rsidRDefault="006B6420" w:rsidP="006B6420">
      <w:pPr>
        <w:pStyle w:val="Nivel2SM"/>
      </w:pPr>
      <w:r w:rsidRPr="00227D12">
        <w:rPr>
          <w:i/>
          <w:iCs/>
          <w:u w:val="single"/>
        </w:rPr>
        <w:t>Efecto reducción de costes</w:t>
      </w:r>
      <w:r w:rsidRPr="00227D12">
        <w:t xml:space="preserve">: </w:t>
      </w:r>
      <w:r>
        <w:t>E</w:t>
      </w:r>
      <w:r w:rsidRPr="00227D12">
        <w:t xml:space="preserve">s un efecto </w:t>
      </w:r>
      <w:r w:rsidRPr="00227D12">
        <w:rPr>
          <w:i/>
          <w:iCs/>
        </w:rPr>
        <w:t>positivo</w:t>
      </w:r>
      <w:r w:rsidRPr="00227D12">
        <w:t xml:space="preserve"> por aprovechamiento de la escala.</w:t>
      </w:r>
    </w:p>
    <w:p w14:paraId="208AF7F0" w14:textId="77777777" w:rsidR="006B6420" w:rsidRPr="00227D12" w:rsidRDefault="006B6420" w:rsidP="006B6420">
      <w:pPr>
        <w:pStyle w:val="Nivel2SM"/>
      </w:pPr>
      <w:r w:rsidRPr="00227D12">
        <w:rPr>
          <w:i/>
          <w:iCs/>
          <w:u w:val="single"/>
        </w:rPr>
        <w:t>Efecto supresión de comercio</w:t>
      </w:r>
      <w:r w:rsidRPr="00227D12">
        <w:t xml:space="preserve">: </w:t>
      </w:r>
      <w:r>
        <w:t>E</w:t>
      </w:r>
      <w:r w:rsidRPr="00227D12">
        <w:t xml:space="preserve">s un efecto </w:t>
      </w:r>
      <w:r w:rsidRPr="00227D12">
        <w:rPr>
          <w:i/>
          <w:iCs/>
        </w:rPr>
        <w:t>negativo</w:t>
      </w:r>
      <w:r w:rsidRPr="00227D12">
        <w:t xml:space="preserve"> que ocurre cuando la formación de la unión aduanera permite la creación de empresas que sobreviven </w:t>
      </w:r>
      <w:r>
        <w:t>gracias a la protección que les brinda la unión, y que sin esta serían desplazadas por la producción del resto del mundo.</w:t>
      </w:r>
    </w:p>
    <w:p w14:paraId="0E5681EA" w14:textId="77777777" w:rsidR="006B6420" w:rsidRPr="00227D12" w:rsidRDefault="006B6420" w:rsidP="006B6420">
      <w:pPr>
        <w:pStyle w:val="Ttulo7"/>
      </w:pPr>
      <w:r w:rsidRPr="00227D12">
        <w:t>Modelo</w:t>
      </w:r>
    </w:p>
    <w:p w14:paraId="27C2ABAD" w14:textId="77777777" w:rsidR="006B6420" w:rsidRPr="00227D12" w:rsidRDefault="006B6420" w:rsidP="006B6420">
      <w:pPr>
        <w:pStyle w:val="Ttulo8"/>
        <w:spacing w:before="0"/>
      </w:pPr>
      <w:r w:rsidRPr="00227D12">
        <w:t>Supuestos</w:t>
      </w:r>
    </w:p>
    <w:p w14:paraId="7240D221" w14:textId="77777777" w:rsidR="006B6420" w:rsidRPr="00227D12" w:rsidRDefault="006B6420" w:rsidP="006B6420">
      <w:pPr>
        <w:pStyle w:val="Nivel1SM"/>
        <w:keepNext/>
        <w:spacing w:before="0" w:after="0"/>
      </w:pPr>
      <w:r w:rsidRPr="00227D12">
        <w:t>Partimos de los siguientes supuestos:</w:t>
      </w:r>
    </w:p>
    <w:p w14:paraId="3BCA245D" w14:textId="77777777" w:rsidR="006B6420" w:rsidRPr="00227D12" w:rsidRDefault="006B6420" w:rsidP="006B6420">
      <w:pPr>
        <w:pStyle w:val="Nivel2SM"/>
        <w:keepNext/>
        <w:spacing w:after="0"/>
      </w:pPr>
      <w:r w:rsidRPr="00227D12">
        <w:rPr>
          <w:i/>
          <w:iCs/>
          <w:u w:val="single"/>
        </w:rPr>
        <w:t>3</w:t>
      </w:r>
      <w:r>
        <w:rPr>
          <w:i/>
          <w:iCs/>
          <w:u w:val="single"/>
        </w:rPr>
        <w:t> </w:t>
      </w:r>
      <w:r w:rsidRPr="00227D12">
        <w:rPr>
          <w:i/>
          <w:iCs/>
          <w:u w:val="single"/>
        </w:rPr>
        <w:t>países</w:t>
      </w:r>
      <w:r w:rsidRPr="00227D12">
        <w:t xml:space="preserve"> </w:t>
      </w:r>
      <w:r w:rsidRPr="00227D12">
        <w:rPr>
          <w:sz w:val="20"/>
          <w:szCs w:val="20"/>
        </w:rPr>
        <w:t>(</w:t>
      </w:r>
      <w:r w:rsidRPr="00227D12">
        <w:rPr>
          <w:i/>
          <w:iCs/>
          <w:sz w:val="20"/>
          <w:szCs w:val="20"/>
        </w:rPr>
        <w:t>A</w:t>
      </w:r>
      <w:r w:rsidRPr="00227D12">
        <w:rPr>
          <w:sz w:val="20"/>
          <w:szCs w:val="20"/>
        </w:rPr>
        <w:t xml:space="preserve">, </w:t>
      </w:r>
      <w:r w:rsidRPr="00227D12">
        <w:rPr>
          <w:i/>
          <w:iCs/>
          <w:sz w:val="20"/>
          <w:szCs w:val="20"/>
        </w:rPr>
        <w:t>B</w:t>
      </w:r>
      <w:r w:rsidRPr="00227D12">
        <w:rPr>
          <w:sz w:val="20"/>
          <w:szCs w:val="20"/>
        </w:rPr>
        <w:t xml:space="preserve"> y </w:t>
      </w:r>
      <w:r w:rsidRPr="00227D12">
        <w:rPr>
          <w:i/>
          <w:iCs/>
          <w:sz w:val="20"/>
          <w:szCs w:val="20"/>
        </w:rPr>
        <w:t>R</w:t>
      </w:r>
      <w:r w:rsidRPr="00227D12">
        <w:rPr>
          <w:sz w:val="20"/>
          <w:szCs w:val="20"/>
        </w:rPr>
        <w:t>)</w:t>
      </w:r>
      <w:r w:rsidRPr="00227D12">
        <w:t xml:space="preserve"> y </w:t>
      </w:r>
      <w:r w:rsidRPr="00227D12">
        <w:rPr>
          <w:i/>
          <w:iCs/>
          <w:u w:val="single"/>
        </w:rPr>
        <w:t>1</w:t>
      </w:r>
      <w:r>
        <w:rPr>
          <w:i/>
          <w:iCs/>
          <w:u w:val="single"/>
        </w:rPr>
        <w:t> </w:t>
      </w:r>
      <w:r w:rsidRPr="00227D12">
        <w:rPr>
          <w:i/>
          <w:iCs/>
          <w:u w:val="single"/>
        </w:rPr>
        <w:t>único bien</w:t>
      </w:r>
      <w:r w:rsidRPr="00227D12">
        <w:t>.</w:t>
      </w:r>
    </w:p>
    <w:p w14:paraId="54E1DEAC" w14:textId="77777777" w:rsidR="006B6420" w:rsidRPr="00227D12" w:rsidRDefault="006B6420" w:rsidP="006B6420">
      <w:pPr>
        <w:pStyle w:val="Nivel3SM"/>
      </w:pPr>
      <w:r w:rsidRPr="00227D12">
        <w:t xml:space="preserve">Los países </w:t>
      </w:r>
      <w:r w:rsidRPr="00227D12">
        <w:rPr>
          <w:i/>
          <w:iCs/>
        </w:rPr>
        <w:t>A</w:t>
      </w:r>
      <w:r w:rsidRPr="00227D12">
        <w:t xml:space="preserve"> y </w:t>
      </w:r>
      <w:r w:rsidRPr="00227D12">
        <w:rPr>
          <w:i/>
          <w:iCs/>
        </w:rPr>
        <w:t>B</w:t>
      </w:r>
      <w:r w:rsidRPr="00227D12">
        <w:t xml:space="preserve"> serán los que formen la unión aduanera, mientras que </w:t>
      </w:r>
      <w:r w:rsidRPr="00227D12">
        <w:rPr>
          <w:i/>
          <w:iCs/>
        </w:rPr>
        <w:t>R</w:t>
      </w:r>
      <w:r w:rsidRPr="00227D12">
        <w:t xml:space="preserve"> será el resto del mundo.</w:t>
      </w:r>
    </w:p>
    <w:p w14:paraId="782852FC" w14:textId="77777777" w:rsidR="006B6420" w:rsidRPr="00227D12" w:rsidRDefault="006B6420" w:rsidP="006B6420">
      <w:pPr>
        <w:pStyle w:val="Nivel2SM"/>
      </w:pPr>
      <w:r w:rsidRPr="00227D12">
        <w:t xml:space="preserve">La </w:t>
      </w:r>
      <w:r w:rsidRPr="00227D12">
        <w:rPr>
          <w:i/>
          <w:iCs/>
          <w:u w:val="single"/>
        </w:rPr>
        <w:t>tecnología</w:t>
      </w:r>
      <w:r w:rsidRPr="00227D12">
        <w:t xml:space="preserve"> da lugar a </w:t>
      </w:r>
      <w:r w:rsidRPr="00227D12">
        <w:rPr>
          <w:i/>
          <w:iCs/>
        </w:rPr>
        <w:t>economías de escala</w:t>
      </w:r>
      <w:r w:rsidRPr="00227D12">
        <w:t xml:space="preserve"> (i.e. </w:t>
      </w:r>
      <w:proofErr w:type="spellStart"/>
      <w:r w:rsidRPr="00227D12">
        <w:rPr>
          <w:i/>
          <w:iCs/>
        </w:rPr>
        <w:t>CMe</w:t>
      </w:r>
      <w:proofErr w:type="spellEnd"/>
      <w:r w:rsidRPr="00227D12">
        <w:t xml:space="preserve"> decrecientes, que se corresponden con las curvas de oferta</w:t>
      </w:r>
      <w:r w:rsidRPr="00227D12">
        <w:rPr>
          <w:rStyle w:val="Refdenotaalpie"/>
        </w:rPr>
        <w:footnoteReference w:id="15"/>
      </w:r>
      <w:r w:rsidRPr="00227D12">
        <w:t>).</w:t>
      </w:r>
    </w:p>
    <w:p w14:paraId="3E0479F8" w14:textId="77777777" w:rsidR="006B6420" w:rsidRPr="00227D12" w:rsidRDefault="006B6420" w:rsidP="006B6420">
      <w:pPr>
        <w:pStyle w:val="Nivel2SM"/>
      </w:pPr>
      <w:r w:rsidRPr="00227D12">
        <w:t xml:space="preserve">Las </w:t>
      </w:r>
      <w:r w:rsidRPr="00227D12">
        <w:rPr>
          <w:i/>
          <w:iCs/>
          <w:u w:val="single"/>
        </w:rPr>
        <w:t>preferencias sociales</w:t>
      </w:r>
      <w:r w:rsidRPr="00227D12">
        <w:rPr>
          <w:i/>
          <w:iCs/>
        </w:rPr>
        <w:t xml:space="preserve"> son idénticas</w:t>
      </w:r>
      <w:r w:rsidRPr="00227D12">
        <w:t xml:space="preserve"> en </w:t>
      </w:r>
      <w:r w:rsidRPr="00227D12">
        <w:rPr>
          <w:i/>
          <w:iCs/>
        </w:rPr>
        <w:t>A</w:t>
      </w:r>
      <w:r w:rsidRPr="00227D12">
        <w:t xml:space="preserve"> y </w:t>
      </w:r>
      <w:r w:rsidRPr="00227D12">
        <w:rPr>
          <w:i/>
          <w:iCs/>
        </w:rPr>
        <w:t>B</w:t>
      </w:r>
      <w:r w:rsidRPr="00227D12">
        <w:t>, lo que da lugar a curvas de demanda idénticas</w:t>
      </w:r>
      <w:r>
        <w:t xml:space="preserve"> en ambos países</w:t>
      </w:r>
      <w:r w:rsidRPr="00227D12">
        <w:t>.</w:t>
      </w:r>
    </w:p>
    <w:p w14:paraId="4CC7F2A3" w14:textId="561CCD95" w:rsidR="006B6420" w:rsidRPr="00227D12" w:rsidRDefault="006B6420" w:rsidP="006B6420">
      <w:pPr>
        <w:pStyle w:val="Nivel2SM"/>
        <w:keepNext/>
        <w:spacing w:after="0"/>
      </w:pPr>
      <w:r w:rsidRPr="00227D12">
        <w:t xml:space="preserve">Supondremos la siguiente </w:t>
      </w:r>
      <w:r w:rsidRPr="00227D12">
        <w:rPr>
          <w:i/>
          <w:iCs/>
          <w:u w:val="single"/>
        </w:rPr>
        <w:t>relación de costes unitarios</w:t>
      </w:r>
      <w:r w:rsidRPr="00227D12">
        <w:t xml:space="preserve"> (como la situación</w:t>
      </w:r>
      <w:r w:rsidR="00C43EF6">
        <w:t> </w:t>
      </w:r>
      <w:r w:rsidRPr="00227D12">
        <w:t xml:space="preserve">3 en </w:t>
      </w:r>
      <w:r w:rsidRPr="00227D12">
        <w:rPr>
          <w:smallCaps/>
        </w:rPr>
        <w:t>Viner</w:t>
      </w:r>
      <w:r w:rsidRPr="00227D12">
        <w:t>):</w:t>
      </w:r>
    </w:p>
    <w:p w14:paraId="2DB4455C" w14:textId="77777777" w:rsidR="006B6420" w:rsidRPr="00227D12" w:rsidRDefault="00000000" w:rsidP="00C43EF6">
      <w:pPr>
        <w:pStyle w:val="Nivel1"/>
        <w:keepNext/>
        <w:numPr>
          <w:ilvl w:val="0"/>
          <w:numId w:val="0"/>
        </w:numPr>
        <w:spacing w:before="0" w:after="0"/>
        <w:ind w:left="567" w:hanging="198"/>
        <w:contextualSpacing/>
        <w:rPr>
          <w:rFonts w:eastAsiaTheme="minorEastAsia"/>
          <w:lang w:val="fr-FR"/>
        </w:rPr>
      </w:pPr>
      <m:oMathPara>
        <m:oMath>
          <m:sSub>
            <m:sSubPr>
              <m:ctrlPr>
                <w:rPr>
                  <w:rFonts w:ascii="Cambria Math" w:eastAsiaTheme="minorEastAsia" w:hAnsi="Cambria Math"/>
                  <w:i/>
                </w:rPr>
              </m:ctrlPr>
            </m:sSubPr>
            <m:e>
              <m:r>
                <m:rPr>
                  <m:nor/>
                </m:rPr>
                <w:rPr>
                  <w:rFonts w:eastAsiaTheme="minorEastAsia"/>
                  <w:i/>
                  <w:lang w:val="fr-FR"/>
                </w:rPr>
                <m:t>P</m:t>
              </m:r>
            </m:e>
            <m:sub>
              <m:r>
                <m:rPr>
                  <m:nor/>
                </m:rPr>
                <w:rPr>
                  <w:rFonts w:eastAsiaTheme="minorEastAsia"/>
                  <w:i/>
                  <w:lang w:val="fr-FR"/>
                </w:rPr>
                <m:t>R</m:t>
              </m:r>
            </m:sub>
          </m:sSub>
          <m:r>
            <w:rPr>
              <w:rFonts w:ascii="Cambria Math" w:hAnsi="Cambria Math"/>
              <w:lang w:val="fr-FR"/>
            </w:rPr>
            <m:t>&lt;</m:t>
          </m:r>
          <m:sSub>
            <m:sSubPr>
              <m:ctrlPr>
                <w:rPr>
                  <w:rFonts w:ascii="Cambria Math" w:eastAsiaTheme="minorEastAsia" w:hAnsi="Cambria Math"/>
                  <w:i/>
                </w:rPr>
              </m:ctrlPr>
            </m:sSubPr>
            <m:e>
              <m:r>
                <m:rPr>
                  <m:nor/>
                </m:rPr>
                <w:rPr>
                  <w:rFonts w:eastAsiaTheme="minorEastAsia"/>
                  <w:i/>
                  <w:lang w:val="fr-FR"/>
                </w:rPr>
                <m:t>P</m:t>
              </m:r>
            </m:e>
            <m:sub>
              <m:r>
                <m:rPr>
                  <m:nor/>
                </m:rPr>
                <w:rPr>
                  <w:rFonts w:eastAsiaTheme="minorEastAsia"/>
                  <w:i/>
                  <w:lang w:val="fr-FR"/>
                </w:rPr>
                <m:t>B</m:t>
              </m:r>
            </m:sub>
          </m:sSub>
          <m:r>
            <w:rPr>
              <w:rFonts w:ascii="Cambria Math" w:eastAsiaTheme="minorEastAsia" w:hAnsi="Cambria Math"/>
              <w:lang w:val="fr-FR"/>
            </w:rPr>
            <m:t>&lt;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d>
                    <m:dPr>
                      <m:ctrlPr>
                        <w:rPr>
                          <w:rFonts w:ascii="Cambria Math" w:eastAsiaTheme="minorEastAsia" w:hAnsi="Cambria Math"/>
                          <w:i/>
                        </w:rPr>
                      </m:ctrlPr>
                    </m:dPr>
                    <m:e>
                      <m:sSub>
                        <m:sSubPr>
                          <m:ctrlPr>
                            <w:rPr>
                              <w:rFonts w:ascii="Cambria Math" w:eastAsiaTheme="minorEastAsia" w:hAnsi="Cambria Math"/>
                              <w:i/>
                            </w:rPr>
                          </m:ctrlPr>
                        </m:sSubPr>
                        <m:e>
                          <m:r>
                            <m:rPr>
                              <m:nor/>
                            </m:rPr>
                            <w:rPr>
                              <w:rFonts w:eastAsiaTheme="minorEastAsia"/>
                              <w:i/>
                              <w:lang w:val="fr-FR"/>
                            </w:rPr>
                            <m:t>P</m:t>
                          </m:r>
                        </m:e>
                        <m:sub>
                          <m:r>
                            <m:rPr>
                              <m:nor/>
                            </m:rPr>
                            <w:rPr>
                              <w:rFonts w:eastAsiaTheme="minorEastAsia"/>
                              <w:i/>
                              <w:lang w:val="fr-FR"/>
                            </w:rPr>
                            <m:t>R</m:t>
                          </m:r>
                        </m:sub>
                      </m:sSub>
                      <m:r>
                        <w:rPr>
                          <w:rFonts w:ascii="Cambria Math" w:eastAsiaTheme="minorEastAsia" w:hAnsi="Cambria Math"/>
                          <w:lang w:val="fr-FR"/>
                        </w:rPr>
                        <m:t>+</m:t>
                      </m:r>
                      <m:r>
                        <m:rPr>
                          <m:nor/>
                        </m:rPr>
                        <w:rPr>
                          <w:rFonts w:eastAsiaTheme="minorEastAsia"/>
                          <w:i/>
                          <w:lang w:val="fr-FR"/>
                        </w:rPr>
                        <m:t>t</m:t>
                      </m:r>
                    </m:e>
                  </m:d>
                </m:e>
              </m:groupChr>
            </m:e>
            <m:lim>
              <m:r>
                <w:rPr>
                  <w:rFonts w:ascii="Cambria Math" w:eastAsiaTheme="minorEastAsia" w:hAnsi="Cambria Math"/>
                  <w:lang w:val="fr-FR"/>
                </w:rPr>
                <m:t>&lt;</m:t>
              </m:r>
              <m:sSub>
                <m:sSubPr>
                  <m:ctrlPr>
                    <w:rPr>
                      <w:rFonts w:ascii="Cambria Math" w:eastAsiaTheme="minorEastAsia" w:hAnsi="Cambria Math"/>
                      <w:i/>
                    </w:rPr>
                  </m:ctrlPr>
                </m:sSubPr>
                <m:e>
                  <m:r>
                    <m:rPr>
                      <m:nor/>
                    </m:rPr>
                    <w:rPr>
                      <w:rFonts w:eastAsiaTheme="minorEastAsia"/>
                      <w:i/>
                      <w:lang w:val="fr-FR"/>
                    </w:rPr>
                    <m:t>P</m:t>
                  </m:r>
                </m:e>
                <m:sub>
                  <m:r>
                    <m:rPr>
                      <m:nor/>
                    </m:rPr>
                    <w:rPr>
                      <w:rFonts w:eastAsiaTheme="minorEastAsia"/>
                      <w:i/>
                      <w:lang w:val="fr-FR"/>
                    </w:rPr>
                    <m:t>A</m:t>
                  </m:r>
                </m:sub>
              </m:sSub>
            </m:lim>
          </m:limLow>
          <m:r>
            <w:rPr>
              <w:rFonts w:ascii="Cambria Math" w:eastAsiaTheme="minorEastAsia" w:hAnsi="Cambria Math"/>
              <w:lang w:val="fr-FR"/>
            </w:rPr>
            <m:t>&lt;</m:t>
          </m:r>
          <m:d>
            <m:dPr>
              <m:ctrlPr>
                <w:rPr>
                  <w:rFonts w:ascii="Cambria Math" w:eastAsiaTheme="minorEastAsia" w:hAnsi="Cambria Math"/>
                  <w:i/>
                </w:rPr>
              </m:ctrlPr>
            </m:dPr>
            <m:e>
              <m:sSub>
                <m:sSubPr>
                  <m:ctrlPr>
                    <w:rPr>
                      <w:rFonts w:ascii="Cambria Math" w:eastAsiaTheme="minorEastAsia" w:hAnsi="Cambria Math"/>
                      <w:i/>
                    </w:rPr>
                  </m:ctrlPr>
                </m:sSubPr>
                <m:e>
                  <m:r>
                    <m:rPr>
                      <m:nor/>
                    </m:rPr>
                    <w:rPr>
                      <w:rFonts w:eastAsiaTheme="minorEastAsia"/>
                      <w:i/>
                      <w:lang w:val="fr-FR"/>
                    </w:rPr>
                    <m:t>P</m:t>
                  </m:r>
                </m:e>
                <m:sub>
                  <m:r>
                    <m:rPr>
                      <m:nor/>
                    </m:rPr>
                    <w:rPr>
                      <w:rFonts w:eastAsiaTheme="minorEastAsia"/>
                      <w:i/>
                      <w:lang w:val="fr-FR"/>
                    </w:rPr>
                    <m:t>B</m:t>
                  </m:r>
                </m:sub>
              </m:sSub>
              <m:r>
                <w:rPr>
                  <w:rFonts w:ascii="Cambria Math" w:eastAsiaTheme="minorEastAsia" w:hAnsi="Cambria Math"/>
                  <w:lang w:val="fr-FR"/>
                </w:rPr>
                <m:t>+</m:t>
              </m:r>
              <m:r>
                <m:rPr>
                  <m:nor/>
                </m:rPr>
                <w:rPr>
                  <w:rFonts w:eastAsiaTheme="minorEastAsia"/>
                  <w:i/>
                  <w:lang w:val="fr-FR"/>
                </w:rPr>
                <m:t>t</m:t>
              </m:r>
            </m:e>
          </m:d>
        </m:oMath>
      </m:oMathPara>
    </w:p>
    <w:p w14:paraId="77D5B4B5" w14:textId="77777777" w:rsidR="006B6420" w:rsidRPr="00227D12" w:rsidRDefault="006B6420" w:rsidP="00C43EF6">
      <w:pPr>
        <w:pStyle w:val="Nivel1"/>
        <w:numPr>
          <w:ilvl w:val="0"/>
          <w:numId w:val="0"/>
        </w:numPr>
        <w:spacing w:before="0" w:after="120"/>
        <w:ind w:left="567"/>
        <w:contextualSpacing/>
        <w:rPr>
          <w:rFonts w:eastAsiaTheme="minorEastAsia"/>
        </w:rPr>
      </w:pPr>
      <w:r w:rsidRPr="00227D12">
        <w:rPr>
          <w:rFonts w:eastAsiaTheme="minorEastAsia"/>
        </w:rPr>
        <w:t>Es decir, el resto del mundo es más eficiente que nuestro socio comercial y nuestro socio comercial es más eficiente que nosotros</w:t>
      </w:r>
      <w:r w:rsidRPr="00227D12">
        <w:rPr>
          <w:rStyle w:val="Refdenotaalpie"/>
          <w:rFonts w:eastAsiaTheme="minorEastAsia"/>
        </w:rPr>
        <w:footnoteReference w:id="16"/>
      </w:r>
      <w:r w:rsidRPr="00227D12">
        <w:rPr>
          <w:rFonts w:eastAsiaTheme="minorEastAsia"/>
        </w:rPr>
        <w:t>.</w:t>
      </w:r>
    </w:p>
    <w:p w14:paraId="5C827F3C" w14:textId="77777777" w:rsidR="006B6420" w:rsidRPr="00227D12" w:rsidRDefault="006B6420" w:rsidP="006B6420">
      <w:pPr>
        <w:pStyle w:val="Ttulo8"/>
      </w:pPr>
      <w:r w:rsidRPr="00227D12">
        <w:t>Desarrollo</w:t>
      </w:r>
    </w:p>
    <w:p w14:paraId="155807D4" w14:textId="77777777" w:rsidR="006B6420" w:rsidRPr="00227D12" w:rsidRDefault="006B6420" w:rsidP="006B6420">
      <w:pPr>
        <w:pStyle w:val="Nivel1SM"/>
        <w:keepNext/>
        <w:spacing w:before="0" w:after="0"/>
      </w:pPr>
      <w:r w:rsidRPr="00227D12">
        <w:t>Se pueden dar 3</w:t>
      </w:r>
      <w:r>
        <w:t> </w:t>
      </w:r>
      <w:r w:rsidRPr="00227D12">
        <w:t>casos:</w:t>
      </w:r>
    </w:p>
    <w:p w14:paraId="6D30FA1F" w14:textId="77777777" w:rsidR="006B6420" w:rsidRPr="00227D12" w:rsidRDefault="006B6420">
      <w:pPr>
        <w:pStyle w:val="Prrafodelista"/>
        <w:keepNext/>
        <w:numPr>
          <w:ilvl w:val="0"/>
          <w:numId w:val="26"/>
        </w:numPr>
        <w:spacing w:after="100"/>
        <w:ind w:left="568" w:hanging="284"/>
      </w:pPr>
      <w:r w:rsidRPr="00227D12">
        <w:t>Que ambos países (</w:t>
      </w:r>
      <w:r w:rsidRPr="00D15548">
        <w:rPr>
          <w:i/>
          <w:iCs/>
        </w:rPr>
        <w:t>A</w:t>
      </w:r>
      <w:r w:rsidRPr="00227D12">
        <w:t xml:space="preserve"> y </w:t>
      </w:r>
      <w:r w:rsidRPr="00D15548">
        <w:rPr>
          <w:i/>
          <w:iCs/>
        </w:rPr>
        <w:t>B</w:t>
      </w:r>
      <w:r w:rsidRPr="00227D12">
        <w:t>) tengan un productor antes de formar la unión aduanera;</w:t>
      </w:r>
    </w:p>
    <w:p w14:paraId="0AF87A9D" w14:textId="77777777" w:rsidR="006B6420" w:rsidRPr="00227D12" w:rsidRDefault="006B6420">
      <w:pPr>
        <w:pStyle w:val="Prrafodelista"/>
        <w:keepNext/>
        <w:numPr>
          <w:ilvl w:val="0"/>
          <w:numId w:val="26"/>
        </w:numPr>
        <w:spacing w:after="100"/>
        <w:ind w:left="568" w:hanging="284"/>
      </w:pPr>
      <w:r w:rsidRPr="00227D12">
        <w:t xml:space="preserve">Que solo un país </w:t>
      </w:r>
      <w:r>
        <w:t xml:space="preserve">de la unión aduanera </w:t>
      </w:r>
      <w:r w:rsidRPr="00227D12">
        <w:t>tenga un productor; o</w:t>
      </w:r>
    </w:p>
    <w:p w14:paraId="79849C8B" w14:textId="77777777" w:rsidR="006B6420" w:rsidRPr="00227D12" w:rsidRDefault="006B6420">
      <w:pPr>
        <w:pStyle w:val="Prrafodelista"/>
        <w:keepNext/>
        <w:numPr>
          <w:ilvl w:val="0"/>
          <w:numId w:val="26"/>
        </w:numPr>
        <w:spacing w:after="0"/>
        <w:ind w:left="568" w:hanging="284"/>
      </w:pPr>
      <w:r w:rsidRPr="00227D12">
        <w:t>Que ni</w:t>
      </w:r>
      <w:r>
        <w:t xml:space="preserve"> </w:t>
      </w:r>
      <w:r>
        <w:rPr>
          <w:i/>
          <w:iCs/>
        </w:rPr>
        <w:t>A</w:t>
      </w:r>
      <w:r>
        <w:t xml:space="preserve"> ni </w:t>
      </w:r>
      <w:r>
        <w:rPr>
          <w:i/>
          <w:iCs/>
        </w:rPr>
        <w:t>B</w:t>
      </w:r>
      <w:r w:rsidRPr="00227D12">
        <w:t xml:space="preserve"> tenga un productor</w:t>
      </w:r>
      <w:r>
        <w:t xml:space="preserve"> antes de la unión aduanera y se cree una empresa al amparo de la unión aduanera</w:t>
      </w:r>
      <w:r w:rsidRPr="00227D12">
        <w:rPr>
          <w:rStyle w:val="Refdenotaalpie"/>
        </w:rPr>
        <w:footnoteReference w:id="17"/>
      </w:r>
      <w:r w:rsidRPr="00227D12">
        <w:t>.</w:t>
      </w:r>
    </w:p>
    <w:p w14:paraId="6F767395" w14:textId="77777777" w:rsidR="006B6420" w:rsidRPr="00227D12" w:rsidRDefault="006B6420" w:rsidP="00982C69">
      <w:pPr>
        <w:pStyle w:val="Nivel3SM"/>
      </w:pPr>
      <w:r w:rsidRPr="00227D12">
        <w:t>Vamos a analizar en detalle el primer caso.</w:t>
      </w:r>
    </w:p>
    <w:p w14:paraId="2E3D1B55" w14:textId="2F9C008D" w:rsidR="006B6420" w:rsidRPr="00227D12" w:rsidRDefault="006B6420" w:rsidP="006B6420">
      <w:pPr>
        <w:pStyle w:val="Ttuloimagen"/>
      </w:pPr>
      <w:r w:rsidRPr="00227D12">
        <w:lastRenderedPageBreak/>
        <w:t>Imagen</w:t>
      </w:r>
      <w:r>
        <w:t> </w:t>
      </w:r>
      <w:r w:rsidRPr="00227D12">
        <w:fldChar w:fldCharType="begin"/>
      </w:r>
      <w:r w:rsidRPr="00227D12">
        <w:instrText xml:space="preserve"> SEQ Ilustración \* ARABIC </w:instrText>
      </w:r>
      <w:r w:rsidRPr="00227D12">
        <w:fldChar w:fldCharType="separate"/>
      </w:r>
      <w:r w:rsidR="006C02E9">
        <w:t>8</w:t>
      </w:r>
      <w:r w:rsidRPr="00227D12">
        <w:fldChar w:fldCharType="end"/>
      </w:r>
      <w:r w:rsidRPr="00227D12">
        <w:rPr>
          <w:smallCaps w:val="0"/>
        </w:rPr>
        <w:t xml:space="preserve">.– </w:t>
      </w:r>
      <w:r w:rsidRPr="00227D12">
        <w:rPr>
          <w:i/>
          <w:iCs/>
          <w:smallCaps w:val="0"/>
        </w:rPr>
        <w:t>Aprovechamiento de las economías de escala (</w:t>
      </w:r>
      <w:r w:rsidRPr="00227D12">
        <w:rPr>
          <w:i/>
          <w:iCs/>
        </w:rPr>
        <w:t>Corden</w:t>
      </w:r>
      <w:r w:rsidRPr="00227D12">
        <w:rPr>
          <w:i/>
          <w:iCs/>
          <w:smallCaps w:val="0"/>
        </w:rPr>
        <w:t>, 1972)</w:t>
      </w:r>
    </w:p>
    <w:p w14:paraId="794E5D9F" w14:textId="77777777" w:rsidR="006B6420" w:rsidRPr="00227D12" w:rsidRDefault="006B6420" w:rsidP="006B6420">
      <w:pPr>
        <w:pStyle w:val="Imagen"/>
      </w:pPr>
      <w:r w:rsidRPr="00227D12">
        <w:drawing>
          <wp:inline distT="0" distB="0" distL="0" distR="0" wp14:anchorId="65DC35F4" wp14:editId="4C0EB8D1">
            <wp:extent cx="2797558" cy="2057400"/>
            <wp:effectExtent l="0" t="0" r="3175" b="0"/>
            <wp:docPr id="19" name="Imagen 1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 Gráfico de líneas&#10;&#10;Descripción generada automáticamente"/>
                    <pic:cNvPicPr/>
                  </pic:nvPicPr>
                  <pic:blipFill>
                    <a:blip r:embed="rId22"/>
                    <a:stretch>
                      <a:fillRect/>
                    </a:stretch>
                  </pic:blipFill>
                  <pic:spPr>
                    <a:xfrm>
                      <a:off x="0" y="0"/>
                      <a:ext cx="2800862" cy="2059830"/>
                    </a:xfrm>
                    <a:prstGeom prst="rect">
                      <a:avLst/>
                    </a:prstGeom>
                  </pic:spPr>
                </pic:pic>
              </a:graphicData>
            </a:graphic>
          </wp:inline>
        </w:drawing>
      </w:r>
    </w:p>
    <w:p w14:paraId="4E6AA37B" w14:textId="77777777" w:rsidR="006B6420" w:rsidRPr="00227D12" w:rsidRDefault="006B6420" w:rsidP="006B6420">
      <w:pPr>
        <w:pStyle w:val="PiedeImagen"/>
        <w:rPr>
          <w:i w:val="0"/>
          <w:iCs/>
        </w:rPr>
      </w:pPr>
      <w:r w:rsidRPr="00227D12">
        <w:t>Fuente</w:t>
      </w:r>
      <w:r w:rsidRPr="00227D12">
        <w:rPr>
          <w:i w:val="0"/>
          <w:iCs/>
        </w:rPr>
        <w:t>: Elaboración propia</w:t>
      </w:r>
    </w:p>
    <w:p w14:paraId="6C0E964C" w14:textId="77777777" w:rsidR="006B6420" w:rsidRPr="00227D12" w:rsidRDefault="006B6420" w:rsidP="006B6420">
      <w:pPr>
        <w:pStyle w:val="Nivel1SM"/>
        <w:keepNext/>
        <w:spacing w:after="0"/>
        <w:rPr>
          <w:rFonts w:eastAsiaTheme="minorEastAsia"/>
        </w:rPr>
      </w:pPr>
      <w:r w:rsidRPr="00227D12">
        <w:t>El productor del país</w:t>
      </w:r>
      <w:r>
        <w:t> </w:t>
      </w:r>
      <w:r w:rsidRPr="00227D12">
        <w:rPr>
          <w:i/>
          <w:iCs/>
        </w:rPr>
        <w:t>B</w:t>
      </w:r>
      <w:r w:rsidRPr="00227D12">
        <w:t xml:space="preserve"> es más eficiente que el del país</w:t>
      </w:r>
      <w:r>
        <w:t> </w:t>
      </w:r>
      <w:r w:rsidRPr="00227D12">
        <w:rPr>
          <w:i/>
          <w:iCs/>
        </w:rPr>
        <w:t>A</w:t>
      </w:r>
      <w:r w:rsidRPr="00227D12">
        <w:t xml:space="preserve">, por lo que su curva de </w:t>
      </w:r>
      <w:proofErr w:type="spellStart"/>
      <w:r w:rsidRPr="00227D12">
        <w:rPr>
          <w:i/>
          <w:iCs/>
        </w:rPr>
        <w:t>CMe</w:t>
      </w:r>
      <w:proofErr w:type="spellEnd"/>
      <w:r w:rsidRPr="00227D12">
        <w:t xml:space="preserve"> se sitúa por debajo. La oferta del resto del mundo es infinitamente elástica al precio </w:t>
      </w:r>
      <m:oMath>
        <m:sSub>
          <m:sSubPr>
            <m:ctrlPr>
              <w:rPr>
                <w:rFonts w:ascii="Cambria Math" w:hAnsi="Cambria Math"/>
              </w:rPr>
            </m:ctrlPr>
          </m:sSubPr>
          <m:e>
            <m:r>
              <m:rPr>
                <m:nor/>
              </m:rPr>
              <w:rPr>
                <w:i/>
              </w:rPr>
              <m:t>P</m:t>
            </m:r>
          </m:e>
          <m:sub>
            <m:r>
              <m:rPr>
                <m:nor/>
              </m:rPr>
              <w:rPr>
                <w:i/>
              </w:rPr>
              <m:t>R</m:t>
            </m:r>
          </m:sub>
        </m:sSub>
      </m:oMath>
      <w:r w:rsidRPr="00227D12">
        <w:rPr>
          <w:rFonts w:eastAsiaTheme="minorEastAsia"/>
        </w:rPr>
        <w:t xml:space="preserve">, siendo más eficiente que </w:t>
      </w:r>
      <w:r w:rsidRPr="00227D12">
        <w:rPr>
          <w:rFonts w:eastAsiaTheme="minorEastAsia"/>
          <w:i/>
          <w:iCs/>
        </w:rPr>
        <w:t>A</w:t>
      </w:r>
      <w:r w:rsidRPr="00227D12">
        <w:rPr>
          <w:rFonts w:eastAsiaTheme="minorEastAsia"/>
        </w:rPr>
        <w:t xml:space="preserve"> y que </w:t>
      </w:r>
      <w:r w:rsidRPr="00227D12">
        <w:rPr>
          <w:rFonts w:eastAsiaTheme="minorEastAsia"/>
          <w:i/>
          <w:iCs/>
        </w:rPr>
        <w:t>B</w:t>
      </w:r>
      <w:r w:rsidRPr="00227D12">
        <w:rPr>
          <w:rFonts w:eastAsiaTheme="minorEastAsia"/>
        </w:rPr>
        <w:t>, por lo que se sitúa debajo.</w:t>
      </w:r>
    </w:p>
    <w:p w14:paraId="06A8E20A" w14:textId="77777777" w:rsidR="006B6420" w:rsidRPr="000B1D8C" w:rsidRDefault="006B6420" w:rsidP="006B6420">
      <w:pPr>
        <w:pStyle w:val="Nivel2SM"/>
        <w:rPr>
          <w:spacing w:val="-2"/>
        </w:rPr>
      </w:pPr>
      <w:r w:rsidRPr="000B1D8C">
        <w:rPr>
          <w:spacing w:val="-2"/>
        </w:rPr>
        <w:t xml:space="preserve">Partimos de una situación de </w:t>
      </w:r>
      <w:r w:rsidRPr="000B1D8C">
        <w:rPr>
          <w:b/>
          <w:bCs/>
          <w:spacing w:val="-2"/>
        </w:rPr>
        <w:t>autarquía</w:t>
      </w:r>
      <w:r w:rsidRPr="000B1D8C">
        <w:rPr>
          <w:spacing w:val="-2"/>
        </w:rPr>
        <w:t xml:space="preserve">. Los países tienen aranceles </w:t>
      </w:r>
      <w:r w:rsidRPr="000B1D8C">
        <w:rPr>
          <w:i/>
          <w:iCs/>
          <w:spacing w:val="-2"/>
        </w:rPr>
        <w:t>prohibitivos</w:t>
      </w:r>
      <w:r w:rsidRPr="000B1D8C">
        <w:rPr>
          <w:spacing w:val="-2"/>
        </w:rPr>
        <w:t>, por lo que existe en cada país una empresa doméstica que abastece por completo el bien a su mercado interno.</w:t>
      </w:r>
    </w:p>
    <w:p w14:paraId="17F45A00" w14:textId="77777777" w:rsidR="006B6420" w:rsidRPr="00227D12" w:rsidRDefault="006B6420" w:rsidP="006B6420">
      <w:pPr>
        <w:pStyle w:val="Nivel2SM"/>
        <w:keepNext/>
        <w:spacing w:after="0"/>
      </w:pPr>
      <w:r w:rsidRPr="00227D12">
        <w:t xml:space="preserve">Si se crea una </w:t>
      </w:r>
      <w:r w:rsidRPr="00227D12">
        <w:rPr>
          <w:b/>
          <w:bCs/>
        </w:rPr>
        <w:t>unión aduanera</w:t>
      </w:r>
      <w:r w:rsidRPr="00227D12">
        <w:t xml:space="preserve"> entre los países </w:t>
      </w:r>
      <w:r w:rsidRPr="00227D12">
        <w:rPr>
          <w:i/>
          <w:iCs/>
        </w:rPr>
        <w:t>A</w:t>
      </w:r>
      <w:r w:rsidRPr="00227D12">
        <w:t xml:space="preserve"> y </w:t>
      </w:r>
      <w:r w:rsidRPr="00227D12">
        <w:rPr>
          <w:i/>
          <w:iCs/>
        </w:rPr>
        <w:t>B</w:t>
      </w:r>
      <w:r w:rsidRPr="00227D12">
        <w:t>, la empresa del país</w:t>
      </w:r>
      <w:r>
        <w:t> </w:t>
      </w:r>
      <w:r w:rsidRPr="00227D12">
        <w:rPr>
          <w:i/>
          <w:iCs/>
        </w:rPr>
        <w:t>B</w:t>
      </w:r>
      <w:r w:rsidRPr="00227D12">
        <w:t xml:space="preserve">, que es más eficiente, se hace con todo el mercado de </w:t>
      </w:r>
      <w:r w:rsidRPr="00227D12">
        <w:rPr>
          <w:i/>
          <w:iCs/>
        </w:rPr>
        <w:t>A</w:t>
      </w:r>
      <w:r w:rsidRPr="00227D12">
        <w:t xml:space="preserve"> (pues </w:t>
      </w:r>
      <m:oMath>
        <m:sSub>
          <m:sSubPr>
            <m:ctrlPr>
              <w:rPr>
                <w:rFonts w:ascii="Cambria Math" w:hAnsi="Cambria Math"/>
              </w:rPr>
            </m:ctrlPr>
          </m:sSubPr>
          <m:e>
            <m:r>
              <m:rPr>
                <m:nor/>
              </m:rPr>
              <w:rPr>
                <w:i/>
              </w:rPr>
              <m:t>P</m:t>
            </m:r>
          </m:e>
          <m:sub>
            <m:r>
              <m:rPr>
                <m:nor/>
              </m:rPr>
              <w:rPr>
                <w:i/>
              </w:rPr>
              <m:t>UA</m:t>
            </m:r>
          </m:sub>
        </m:sSub>
        <m:r>
          <w:rPr>
            <w:rFonts w:ascii="Cambria Math" w:hAnsi="Cambria Math"/>
          </w:rPr>
          <m:t>&lt;</m:t>
        </m:r>
        <m:sSub>
          <m:sSubPr>
            <m:ctrlPr>
              <w:rPr>
                <w:rFonts w:ascii="Cambria Math" w:hAnsi="Cambria Math"/>
              </w:rPr>
            </m:ctrlPr>
          </m:sSubPr>
          <m:e>
            <m:r>
              <m:rPr>
                <m:nor/>
              </m:rPr>
              <w:rPr>
                <w:i/>
              </w:rPr>
              <m:t>P</m:t>
            </m:r>
          </m:e>
          <m:sub>
            <m:r>
              <m:rPr>
                <m:nor/>
              </m:rPr>
              <w:rPr>
                <w:i/>
              </w:rPr>
              <m:t>B</m:t>
            </m:r>
          </m:sub>
        </m:sSub>
        <m:r>
          <w:rPr>
            <w:rFonts w:ascii="Cambria Math" w:hAnsi="Cambria Math"/>
          </w:rPr>
          <m:t>&lt;</m:t>
        </m:r>
        <m:d>
          <m:dPr>
            <m:ctrlPr>
              <w:rPr>
                <w:rFonts w:ascii="Cambria Math" w:hAnsi="Cambria Math"/>
              </w:rPr>
            </m:ctrlPr>
          </m:dPr>
          <m:e>
            <m:sSub>
              <m:sSubPr>
                <m:ctrlPr>
                  <w:rPr>
                    <w:rFonts w:ascii="Cambria Math" w:hAnsi="Cambria Math"/>
                  </w:rPr>
                </m:ctrlPr>
              </m:sSubPr>
              <m:e>
                <m:r>
                  <m:rPr>
                    <m:nor/>
                  </m:rPr>
                  <w:rPr>
                    <w:i/>
                  </w:rPr>
                  <m:t>P</m:t>
                </m:r>
              </m:e>
              <m:sub>
                <m:r>
                  <m:rPr>
                    <m:nor/>
                  </m:rPr>
                  <w:rPr>
                    <w:i/>
                  </w:rPr>
                  <m:t>R</m:t>
                </m:r>
              </m:sub>
            </m:sSub>
            <m:r>
              <w:rPr>
                <w:rFonts w:ascii="Cambria Math" w:hAnsi="Cambria Math"/>
              </w:rPr>
              <m:t>+</m:t>
            </m:r>
            <m:r>
              <m:rPr>
                <m:nor/>
              </m:rPr>
              <w:rPr>
                <w:i/>
              </w:rPr>
              <m:t>t</m:t>
            </m:r>
          </m:e>
        </m:d>
        <m:r>
          <w:rPr>
            <w:rFonts w:ascii="Cambria Math" w:hAnsi="Cambria Math"/>
          </w:rPr>
          <m:t>&lt;</m:t>
        </m:r>
        <w:bookmarkStart w:id="50" w:name="_Hlk96502741"/>
        <m:sSub>
          <m:sSubPr>
            <m:ctrlPr>
              <w:rPr>
                <w:rFonts w:ascii="Cambria Math" w:hAnsi="Cambria Math"/>
              </w:rPr>
            </m:ctrlPr>
          </m:sSubPr>
          <m:e>
            <m:r>
              <m:rPr>
                <m:nor/>
              </m:rPr>
              <w:rPr>
                <w:i/>
              </w:rPr>
              <m:t>P</m:t>
            </m:r>
          </m:e>
          <m:sub>
            <m:r>
              <m:rPr>
                <m:nor/>
              </m:rPr>
              <w:rPr>
                <w:i/>
              </w:rPr>
              <m:t>A</m:t>
            </m:r>
          </m:sub>
        </m:sSub>
      </m:oMath>
      <w:bookmarkEnd w:id="50"/>
      <w:r w:rsidRPr="00227D12">
        <w:t xml:space="preserve">), por lo que la cantidad </w:t>
      </w:r>
      <w:r w:rsidRPr="00227D12">
        <w:rPr>
          <w:i/>
          <w:iCs/>
        </w:rPr>
        <w:t>total</w:t>
      </w:r>
      <w:r w:rsidRPr="00227D12">
        <w:t xml:space="preserve"> ofrecida aumenta hasta </w:t>
      </w:r>
      <m:oMath>
        <m:sSub>
          <m:sSubPr>
            <m:ctrlPr>
              <w:rPr>
                <w:rFonts w:ascii="Cambria Math" w:hAnsi="Cambria Math"/>
              </w:rPr>
            </m:ctrlPr>
          </m:sSubPr>
          <m:e>
            <m:r>
              <m:rPr>
                <m:nor/>
              </m:rPr>
              <w:rPr>
                <w:i/>
              </w:rPr>
              <m:t>Q</m:t>
            </m:r>
          </m:e>
          <m:sub>
            <m:r>
              <m:rPr>
                <m:nor/>
              </m:rPr>
              <w:rPr>
                <w:i/>
              </w:rPr>
              <m:t>UA</m:t>
            </m:r>
          </m:sub>
        </m:sSub>
      </m:oMath>
      <w:r w:rsidRPr="00227D12">
        <w:t xml:space="preserve"> y el precio disminuye hasta </w:t>
      </w:r>
      <m:oMath>
        <m:sSub>
          <m:sSubPr>
            <m:ctrlPr>
              <w:rPr>
                <w:rFonts w:ascii="Cambria Math" w:hAnsi="Cambria Math"/>
              </w:rPr>
            </m:ctrlPr>
          </m:sSubPr>
          <m:e>
            <m:r>
              <m:rPr>
                <m:nor/>
              </m:rPr>
              <w:rPr>
                <w:i/>
              </w:rPr>
              <m:t>P</m:t>
            </m:r>
          </m:e>
          <m:sub>
            <m:r>
              <m:rPr>
                <m:nor/>
              </m:rPr>
              <w:rPr>
                <w:i/>
              </w:rPr>
              <m:t>UA</m:t>
            </m:r>
          </m:sub>
        </m:sSub>
      </m:oMath>
      <w:r w:rsidRPr="00227D12">
        <w:t>.</w:t>
      </w:r>
    </w:p>
    <w:p w14:paraId="142D669A" w14:textId="77777777" w:rsidR="006B6420" w:rsidRPr="00227D12" w:rsidRDefault="006B6420" w:rsidP="006B6420">
      <w:pPr>
        <w:pStyle w:val="Nivel3SM"/>
        <w:keepNext/>
      </w:pPr>
      <w:r w:rsidRPr="00227D12">
        <w:t>Esto genera 2</w:t>
      </w:r>
      <w:r>
        <w:t> </w:t>
      </w:r>
      <w:r w:rsidRPr="00227D12">
        <w:t>efectos:</w:t>
      </w:r>
    </w:p>
    <w:p w14:paraId="2CC5E90E" w14:textId="77777777" w:rsidR="006B6420" w:rsidRPr="00227D12" w:rsidRDefault="006B6420">
      <w:pPr>
        <w:pStyle w:val="Prrafodelista"/>
        <w:numPr>
          <w:ilvl w:val="0"/>
          <w:numId w:val="13"/>
        </w:numPr>
        <w:spacing w:after="0"/>
        <w:ind w:left="1417" w:hanging="113"/>
      </w:pPr>
      <w:r w:rsidRPr="00227D12">
        <w:rPr>
          <w:i/>
          <w:iCs/>
        </w:rPr>
        <w:t>Efecto creación de comercio</w:t>
      </w:r>
      <w:r w:rsidRPr="00227D12">
        <w:t xml:space="preserve">: </w:t>
      </w:r>
      <w:r>
        <w:t>E</w:t>
      </w:r>
      <w:r w:rsidRPr="00227D12">
        <w:t>l país</w:t>
      </w:r>
      <w:r>
        <w:t> </w:t>
      </w:r>
      <w:r w:rsidRPr="00227D12">
        <w:rPr>
          <w:i/>
          <w:iCs/>
        </w:rPr>
        <w:t>A</w:t>
      </w:r>
      <w:r w:rsidRPr="00227D12">
        <w:t xml:space="preserve"> elimina su producción doméstica (i.e. el productor de </w:t>
      </w:r>
      <w:r w:rsidRPr="00227D12">
        <w:rPr>
          <w:i/>
          <w:iCs/>
        </w:rPr>
        <w:t>A</w:t>
      </w:r>
      <w:r w:rsidRPr="00227D12">
        <w:t xml:space="preserve"> cierra) y pasa a importar de </w:t>
      </w:r>
      <w:r w:rsidRPr="00227D12">
        <w:rPr>
          <w:i/>
          <w:iCs/>
        </w:rPr>
        <w:t>B</w:t>
      </w:r>
      <w:r w:rsidRPr="00227D12">
        <w:t xml:space="preserve"> la totalidad de su consumo. Esto supone un efecto creación de comercio al estilo </w:t>
      </w:r>
      <w:r w:rsidRPr="00227D12">
        <w:rPr>
          <w:smallCaps/>
        </w:rPr>
        <w:t>Viner</w:t>
      </w:r>
      <w:r w:rsidRPr="00227D12">
        <w:t xml:space="preserve"> que veíamos al principio, y que incrementa el excedente del consumidor de </w:t>
      </w:r>
      <w:r w:rsidRPr="00227D12">
        <w:rPr>
          <w:i/>
          <w:iCs/>
        </w:rPr>
        <w:t>A</w:t>
      </w:r>
      <w:r w:rsidRPr="00227D12">
        <w:t xml:space="preserve"> en el área </w:t>
      </w:r>
      <m:oMath>
        <m:d>
          <m:dPr>
            <m:ctrlPr>
              <w:rPr>
                <w:rFonts w:ascii="Cambria Math" w:hAnsi="Cambria Math"/>
                <w:i/>
              </w:rPr>
            </m:ctrlPr>
          </m:dPr>
          <m:e>
            <m:sSub>
              <m:sSubPr>
                <m:ctrlPr>
                  <w:rPr>
                    <w:rFonts w:ascii="Cambria Math" w:hAnsi="Cambria Math"/>
                  </w:rPr>
                </m:ctrlPr>
              </m:sSubPr>
              <m:e>
                <m:r>
                  <m:rPr>
                    <m:nor/>
                  </m:rPr>
                  <w:rPr>
                    <w:i/>
                  </w:rPr>
                  <m:t>P</m:t>
                </m:r>
              </m:e>
              <m:sub>
                <m:r>
                  <m:rPr>
                    <m:nor/>
                  </m:rPr>
                  <w:rPr>
                    <w:i/>
                  </w:rPr>
                  <m:t>A</m:t>
                </m:r>
              </m:sub>
            </m:sSub>
            <m:r>
              <w:rPr>
                <w:rFonts w:ascii="Cambria Math" w:hAnsi="Cambria Math"/>
              </w:rPr>
              <m:t>-</m:t>
            </m:r>
            <m:sSub>
              <m:sSubPr>
                <m:ctrlPr>
                  <w:rPr>
                    <w:rFonts w:ascii="Cambria Math" w:hAnsi="Cambria Math"/>
                  </w:rPr>
                </m:ctrlPr>
              </m:sSubPr>
              <m:e>
                <m:r>
                  <m:rPr>
                    <m:nor/>
                  </m:rPr>
                  <w:rPr>
                    <w:i/>
                  </w:rPr>
                  <m:t>P</m:t>
                </m:r>
              </m:e>
              <m:sub>
                <m:r>
                  <m:rPr>
                    <m:nor/>
                  </m:rPr>
                  <w:rPr>
                    <w:i/>
                  </w:rPr>
                  <m:t>B</m:t>
                </m:r>
              </m:sub>
            </m:sSub>
            <m:r>
              <w:rPr>
                <w:rFonts w:ascii="Cambria Math" w:hAnsi="Cambria Math"/>
              </w:rPr>
              <m:t>-</m:t>
            </m:r>
            <m:r>
              <m:rPr>
                <m:nor/>
              </m:rPr>
              <w:rPr>
                <w:i/>
              </w:rPr>
              <m:t>1</m:t>
            </m:r>
            <m:r>
              <w:rPr>
                <w:rFonts w:ascii="Cambria Math" w:hAnsi="Cambria Math"/>
              </w:rPr>
              <m:t>-</m:t>
            </m:r>
            <m:r>
              <m:rPr>
                <m:nor/>
              </m:rPr>
              <w:rPr>
                <w:i/>
              </w:rPr>
              <m:t>2</m:t>
            </m:r>
          </m:e>
        </m:d>
      </m:oMath>
      <w:r w:rsidRPr="00227D12">
        <w:rPr>
          <w:rFonts w:eastAsiaTheme="minorEastAsia"/>
        </w:rPr>
        <w:t>.</w:t>
      </w:r>
    </w:p>
    <w:p w14:paraId="3F8A8006" w14:textId="77777777" w:rsidR="006B6420" w:rsidRPr="00227D12" w:rsidRDefault="006B6420">
      <w:pPr>
        <w:pStyle w:val="Prrafodelista"/>
        <w:numPr>
          <w:ilvl w:val="0"/>
          <w:numId w:val="13"/>
        </w:numPr>
        <w:spacing w:after="0"/>
        <w:ind w:left="1417" w:hanging="113"/>
      </w:pPr>
      <w:r w:rsidRPr="00227D12">
        <w:rPr>
          <w:i/>
          <w:iCs/>
        </w:rPr>
        <w:t>Efecto reducción de costes</w:t>
      </w:r>
      <w:r w:rsidRPr="00227D12">
        <w:t>: El aumento de la producción de la empresa del país</w:t>
      </w:r>
      <w:r>
        <w:t> </w:t>
      </w:r>
      <w:r w:rsidRPr="00227D12">
        <w:rPr>
          <w:i/>
          <w:iCs/>
        </w:rPr>
        <w:t>B</w:t>
      </w:r>
      <w:r w:rsidRPr="00227D12">
        <w:t xml:space="preserve"> provoca una caída del coste medio (y, por tanto, del precio) al que se abastece el mercado (</w:t>
      </w:r>
      <m:oMath>
        <m:sSub>
          <m:sSubPr>
            <m:ctrlPr>
              <w:rPr>
                <w:rFonts w:ascii="Cambria Math" w:hAnsi="Cambria Math"/>
              </w:rPr>
            </m:ctrlPr>
          </m:sSubPr>
          <m:e>
            <m:r>
              <m:rPr>
                <m:nor/>
              </m:rPr>
              <w:rPr>
                <w:i/>
              </w:rPr>
              <m:t>P</m:t>
            </m:r>
          </m:e>
          <m:sub>
            <m:r>
              <m:rPr>
                <m:nor/>
              </m:rPr>
              <w:rPr>
                <w:i/>
              </w:rPr>
              <m:t>UA</m:t>
            </m:r>
          </m:sub>
        </m:sSub>
      </m:oMath>
      <w:r w:rsidRPr="00227D12">
        <w:rPr>
          <w:rFonts w:eastAsiaTheme="minorEastAsia"/>
        </w:rPr>
        <w:t xml:space="preserve">, en la intersección de </w:t>
      </w:r>
      <m:oMath>
        <m:sSub>
          <m:sSubPr>
            <m:ctrlPr>
              <w:rPr>
                <w:rFonts w:ascii="Cambria Math" w:hAnsi="Cambria Math"/>
              </w:rPr>
            </m:ctrlPr>
          </m:sSubPr>
          <m:e>
            <m:r>
              <m:rPr>
                <m:nor/>
              </m:rPr>
              <w:rPr>
                <w:i/>
              </w:rPr>
              <m:t>CMe</m:t>
            </m:r>
          </m:e>
          <m:sub>
            <m:r>
              <m:rPr>
                <m:nor/>
              </m:rPr>
              <w:rPr>
                <w:i/>
              </w:rPr>
              <m:t>B</m:t>
            </m:r>
          </m:sub>
        </m:sSub>
      </m:oMath>
      <w:r w:rsidRPr="00227D12">
        <w:rPr>
          <w:rFonts w:eastAsiaTheme="minorEastAsia"/>
        </w:rPr>
        <w:t xml:space="preserve"> con </w:t>
      </w:r>
      <m:oMath>
        <m:sSub>
          <m:sSubPr>
            <m:ctrlPr>
              <w:rPr>
                <w:rFonts w:ascii="Cambria Math" w:hAnsi="Cambria Math"/>
              </w:rPr>
            </m:ctrlPr>
          </m:sSubPr>
          <m:e>
            <m:r>
              <m:rPr>
                <m:nor/>
              </m:rPr>
              <w:rPr>
                <w:i/>
              </w:rPr>
              <m:t>D</m:t>
            </m:r>
          </m:e>
          <m:sub>
            <m:r>
              <m:rPr>
                <m:nor/>
              </m:rPr>
              <w:rPr>
                <w:i/>
              </w:rPr>
              <m:t>A</m:t>
            </m:r>
            <m:r>
              <w:rPr>
                <w:rFonts w:ascii="Cambria Math" w:hAnsi="Cambria Math"/>
              </w:rPr>
              <m:t>+</m:t>
            </m:r>
            <m:r>
              <m:rPr>
                <m:nor/>
              </m:rPr>
              <w:rPr>
                <w:i/>
              </w:rPr>
              <m:t>B</m:t>
            </m:r>
          </m:sub>
        </m:sSub>
      </m:oMath>
      <w:r w:rsidRPr="00227D12">
        <w:t xml:space="preserve">) fruto del aprovechamiento de las economías de escala internas. Así, se produce un efecto adicional positivo que incrementa el excedente de los consumidores de </w:t>
      </w:r>
      <w:r w:rsidRPr="00227D12">
        <w:rPr>
          <w:i/>
          <w:iCs/>
        </w:rPr>
        <w:t>A</w:t>
      </w:r>
      <w:r w:rsidRPr="00227D12">
        <w:t xml:space="preserve"> y </w:t>
      </w:r>
      <w:r w:rsidRPr="00227D12">
        <w:rPr>
          <w:i/>
          <w:iCs/>
        </w:rPr>
        <w:t>B</w:t>
      </w:r>
      <w:r w:rsidRPr="00227D12">
        <w:t xml:space="preserve"> en el área </w:t>
      </w:r>
      <m:oMath>
        <m:d>
          <m:dPr>
            <m:ctrlPr>
              <w:rPr>
                <w:rFonts w:ascii="Cambria Math" w:hAnsi="Cambria Math"/>
                <w:i/>
              </w:rPr>
            </m:ctrlPr>
          </m:dPr>
          <m:e>
            <m:sSub>
              <m:sSubPr>
                <m:ctrlPr>
                  <w:rPr>
                    <w:rFonts w:ascii="Cambria Math" w:hAnsi="Cambria Math"/>
                  </w:rPr>
                </m:ctrlPr>
              </m:sSubPr>
              <m:e>
                <m:r>
                  <m:rPr>
                    <m:nor/>
                  </m:rPr>
                  <w:rPr>
                    <w:i/>
                  </w:rPr>
                  <m:t>P</m:t>
                </m:r>
              </m:e>
              <m:sub>
                <m:r>
                  <m:rPr>
                    <m:nor/>
                  </m:rPr>
                  <w:rPr>
                    <w:i/>
                  </w:rPr>
                  <m:t>B</m:t>
                </m:r>
              </m:sub>
            </m:sSub>
            <m:r>
              <w:rPr>
                <w:rFonts w:ascii="Cambria Math" w:hAnsi="Cambria Math"/>
              </w:rPr>
              <m:t>-</m:t>
            </m:r>
            <m:sSub>
              <m:sSubPr>
                <m:ctrlPr>
                  <w:rPr>
                    <w:rFonts w:ascii="Cambria Math" w:hAnsi="Cambria Math"/>
                  </w:rPr>
                </m:ctrlPr>
              </m:sSubPr>
              <m:e>
                <m:r>
                  <m:rPr>
                    <m:nor/>
                  </m:rPr>
                  <w:rPr>
                    <w:i/>
                  </w:rPr>
                  <m:t>P</m:t>
                </m:r>
              </m:e>
              <m:sub>
                <m:r>
                  <m:rPr>
                    <m:nor/>
                  </m:rPr>
                  <w:rPr>
                    <w:i/>
                  </w:rPr>
                  <m:t>UA</m:t>
                </m:r>
              </m:sub>
            </m:sSub>
            <m:r>
              <w:rPr>
                <w:rFonts w:ascii="Cambria Math" w:hAnsi="Cambria Math"/>
              </w:rPr>
              <m:t>-</m:t>
            </m:r>
            <m:r>
              <m:rPr>
                <m:nor/>
              </m:rPr>
              <w:rPr>
                <w:i/>
              </w:rPr>
              <m:t>2</m:t>
            </m:r>
            <m:r>
              <w:rPr>
                <w:rFonts w:ascii="Cambria Math" w:hAnsi="Cambria Math"/>
              </w:rPr>
              <m:t>-</m:t>
            </m:r>
            <m:r>
              <m:rPr>
                <m:nor/>
              </m:rPr>
              <w:rPr>
                <w:i/>
              </w:rPr>
              <m:t>3</m:t>
            </m:r>
          </m:e>
        </m:d>
      </m:oMath>
      <w:r w:rsidRPr="00227D12">
        <w:t>.</w:t>
      </w:r>
    </w:p>
    <w:p w14:paraId="3F5E3A06" w14:textId="37C34123" w:rsidR="006B6420" w:rsidRPr="00982C69" w:rsidRDefault="006B6420" w:rsidP="006B6420">
      <w:pPr>
        <w:pStyle w:val="Nivel3SM"/>
        <w:rPr>
          <w:spacing w:val="-3"/>
        </w:rPr>
      </w:pPr>
      <w:r w:rsidRPr="00982C69">
        <w:rPr>
          <w:spacing w:val="-3"/>
        </w:rPr>
        <w:t xml:space="preserve">Nótese que no se produce efecto </w:t>
      </w:r>
      <w:r w:rsidRPr="00982C69">
        <w:rPr>
          <w:i/>
          <w:iCs/>
          <w:spacing w:val="-3"/>
        </w:rPr>
        <w:t>desviación de comercio</w:t>
      </w:r>
      <w:r w:rsidRPr="00982C69">
        <w:rPr>
          <w:spacing w:val="-3"/>
        </w:rPr>
        <w:t xml:space="preserve"> (pues </w:t>
      </w:r>
      <w:r w:rsidRPr="00982C69">
        <w:rPr>
          <w:i/>
          <w:iCs/>
          <w:spacing w:val="-3"/>
        </w:rPr>
        <w:t>A</w:t>
      </w:r>
      <w:r w:rsidRPr="00982C69">
        <w:rPr>
          <w:spacing w:val="-3"/>
        </w:rPr>
        <w:t xml:space="preserve"> no importaba de </w:t>
      </w:r>
      <w:r w:rsidRPr="00982C69">
        <w:rPr>
          <w:i/>
          <w:iCs/>
          <w:spacing w:val="-3"/>
        </w:rPr>
        <w:t>R</w:t>
      </w:r>
      <w:r w:rsidRPr="00982C69">
        <w:rPr>
          <w:spacing w:val="-3"/>
        </w:rPr>
        <w:t xml:space="preserve">), ni </w:t>
      </w:r>
      <w:r w:rsidRPr="00982C69">
        <w:rPr>
          <w:i/>
          <w:iCs/>
          <w:spacing w:val="-3"/>
        </w:rPr>
        <w:t>supresión de comercio</w:t>
      </w:r>
      <w:r w:rsidRPr="00982C69">
        <w:rPr>
          <w:spacing w:val="-3"/>
        </w:rPr>
        <w:t xml:space="preserve"> (pues la creación de esta unión aduanera no da lugar a nuevas empresas).</w:t>
      </w:r>
    </w:p>
    <w:p w14:paraId="1CE4DBD6" w14:textId="77777777" w:rsidR="006B6420" w:rsidRPr="00227D12" w:rsidRDefault="006B6420" w:rsidP="006B6420">
      <w:pPr>
        <w:pStyle w:val="Ttulo8"/>
      </w:pPr>
      <w:r w:rsidRPr="00227D12">
        <w:t>Implicaciones</w:t>
      </w:r>
    </w:p>
    <w:p w14:paraId="12D26A8D" w14:textId="77777777" w:rsidR="006B6420" w:rsidRPr="00227D12" w:rsidRDefault="006B6420" w:rsidP="006B6420">
      <w:pPr>
        <w:pStyle w:val="Nivel1SM"/>
        <w:keepNext/>
        <w:spacing w:before="0" w:after="0"/>
      </w:pPr>
      <w:r w:rsidRPr="00227D12">
        <w:t>Por lo tanto,</w:t>
      </w:r>
    </w:p>
    <w:p w14:paraId="2D4E537A" w14:textId="77777777" w:rsidR="006B6420" w:rsidRPr="00227D12" w:rsidRDefault="006B6420" w:rsidP="006B6420">
      <w:pPr>
        <w:pStyle w:val="Nivel2SM"/>
      </w:pPr>
      <w:r w:rsidRPr="00227D12">
        <w:t xml:space="preserve">En el caso de que </w:t>
      </w:r>
      <w:r w:rsidRPr="00227D12">
        <w:rPr>
          <w:i/>
          <w:iCs/>
        </w:rPr>
        <w:t>cada país tuviera un productor antes de formar la unión aduanera</w:t>
      </w:r>
      <w:r w:rsidRPr="00227D12">
        <w:t xml:space="preserve">, los efectos para la unión serán </w:t>
      </w:r>
      <w:r w:rsidRPr="00227D12">
        <w:rPr>
          <w:u w:val="single"/>
        </w:rPr>
        <w:t>positivos</w:t>
      </w:r>
      <w:r w:rsidRPr="00227D12">
        <w:rPr>
          <w:rStyle w:val="Refdenotaalpie"/>
        </w:rPr>
        <w:footnoteReference w:id="18"/>
      </w:r>
      <w:r w:rsidRPr="00227D12">
        <w:t>;</w:t>
      </w:r>
    </w:p>
    <w:p w14:paraId="30E54843" w14:textId="77777777" w:rsidR="006B6420" w:rsidRPr="00227D12" w:rsidRDefault="006B6420" w:rsidP="006B6420">
      <w:pPr>
        <w:pStyle w:val="Nivel2SM"/>
      </w:pPr>
      <w:r w:rsidRPr="00227D12">
        <w:t xml:space="preserve">En el caso de que </w:t>
      </w:r>
      <w:r w:rsidRPr="00227D12">
        <w:rPr>
          <w:i/>
          <w:iCs/>
        </w:rPr>
        <w:t>sólo un país</w:t>
      </w:r>
      <w:r>
        <w:rPr>
          <w:i/>
          <w:iCs/>
        </w:rPr>
        <w:t xml:space="preserve"> de la unión aduanera</w:t>
      </w:r>
      <w:r w:rsidRPr="00227D12">
        <w:rPr>
          <w:i/>
          <w:iCs/>
        </w:rPr>
        <w:t xml:space="preserve"> tuviera un productor antes de formar la unión aduanera</w:t>
      </w:r>
      <w:r w:rsidRPr="00227D12">
        <w:t xml:space="preserve">, los efectos serían </w:t>
      </w:r>
      <w:r w:rsidRPr="00227D12">
        <w:rPr>
          <w:u w:val="single"/>
        </w:rPr>
        <w:t>ambiguos</w:t>
      </w:r>
      <w:r w:rsidRPr="00227D12">
        <w:rPr>
          <w:rStyle w:val="Refdenotaalpie"/>
        </w:rPr>
        <w:footnoteReference w:id="19"/>
      </w:r>
      <w:r w:rsidRPr="00227D12">
        <w:t>; y</w:t>
      </w:r>
    </w:p>
    <w:p w14:paraId="6711FD1E" w14:textId="77777777" w:rsidR="006B6420" w:rsidRPr="00227D12" w:rsidRDefault="006B6420" w:rsidP="006B6420">
      <w:pPr>
        <w:pStyle w:val="Nivel2SM"/>
      </w:pPr>
      <w:r w:rsidRPr="00227D12">
        <w:lastRenderedPageBreak/>
        <w:t xml:space="preserve">En el caso de que </w:t>
      </w:r>
      <w:r w:rsidRPr="00227D12">
        <w:rPr>
          <w:i/>
          <w:iCs/>
        </w:rPr>
        <w:t>ningún país</w:t>
      </w:r>
      <w:r>
        <w:rPr>
          <w:i/>
          <w:iCs/>
        </w:rPr>
        <w:t xml:space="preserve"> de la unión aduanera</w:t>
      </w:r>
      <w:r w:rsidRPr="00227D12">
        <w:rPr>
          <w:i/>
          <w:iCs/>
        </w:rPr>
        <w:t xml:space="preserve"> tuviera un productor antes de formar la unión aduanera</w:t>
      </w:r>
      <w:r w:rsidRPr="00227D12">
        <w:t xml:space="preserve">, los efectos serían </w:t>
      </w:r>
      <w:r w:rsidRPr="00227D12">
        <w:rPr>
          <w:u w:val="single"/>
        </w:rPr>
        <w:t>negativos</w:t>
      </w:r>
      <w:r w:rsidRPr="00227D12">
        <w:rPr>
          <w:rStyle w:val="Refdenotaalpie"/>
        </w:rPr>
        <w:footnoteReference w:id="20"/>
      </w:r>
      <w:r w:rsidRPr="00227D12">
        <w:t>.</w:t>
      </w:r>
    </w:p>
    <w:p w14:paraId="38284C61" w14:textId="77777777" w:rsidR="006B6420" w:rsidRPr="007E69EF" w:rsidRDefault="006B6420" w:rsidP="006B6420">
      <w:pPr>
        <w:pStyle w:val="Nivel1SM"/>
      </w:pPr>
      <w:r w:rsidRPr="00227D12">
        <w:t xml:space="preserve">Y es que, en general, podemos decir que si tras la unión hay menos productores, el bienestar aumentará (salvo que haya especialización perversa); si hay los mismos, el efecto será ambiguo y si </w:t>
      </w:r>
      <w:r w:rsidRPr="007E69EF">
        <w:t>hay más, el bienestar disminuirá</w:t>
      </w:r>
    </w:p>
    <w:p w14:paraId="7D06EEF7" w14:textId="77777777" w:rsidR="006B6420" w:rsidRPr="007E69EF" w:rsidRDefault="006B6420" w:rsidP="006B6420">
      <w:pPr>
        <w:pStyle w:val="Ttulo6"/>
      </w:pPr>
      <w:bookmarkStart w:id="51" w:name="_Toc172225501"/>
      <w:r w:rsidRPr="007E69EF">
        <w:t>Efectos de la especialización perversa (</w:t>
      </w:r>
      <w:proofErr w:type="spellStart"/>
      <w:r w:rsidRPr="007E69EF">
        <w:rPr>
          <w:smallCaps/>
        </w:rPr>
        <w:t>Grubel</w:t>
      </w:r>
      <w:proofErr w:type="spellEnd"/>
      <w:r w:rsidRPr="007E69EF">
        <w:t>, 1967)</w:t>
      </w:r>
      <w:bookmarkEnd w:id="51"/>
    </w:p>
    <w:p w14:paraId="0E0A6FBF" w14:textId="77777777" w:rsidR="006B6420" w:rsidRPr="007E69EF" w:rsidRDefault="006B6420" w:rsidP="006B6420">
      <w:pPr>
        <w:pStyle w:val="Nivel1SM"/>
        <w:keepNext/>
        <w:spacing w:before="0" w:after="0"/>
      </w:pPr>
      <w:r w:rsidRPr="007E69EF">
        <w:t xml:space="preserve">Si se abandona el supuesto de que las curvas de demanda son idénticas en ambos países, el efecto reducción de costes de una unión aduanera </w:t>
      </w:r>
      <w:r>
        <w:t xml:space="preserve">ya </w:t>
      </w:r>
      <w:r w:rsidRPr="007E69EF">
        <w:t>no es tan claro.</w:t>
      </w:r>
    </w:p>
    <w:p w14:paraId="416DA929" w14:textId="77777777" w:rsidR="006B6420" w:rsidRPr="007E69EF" w:rsidRDefault="006B6420" w:rsidP="006B6420">
      <w:pPr>
        <w:pStyle w:val="Nivel2SM"/>
      </w:pPr>
      <w:r w:rsidRPr="007E69EF">
        <w:t>Suponiendo de nuevo que el país</w:t>
      </w:r>
      <w:r>
        <w:t> </w:t>
      </w:r>
      <w:r w:rsidRPr="007E69EF">
        <w:rPr>
          <w:i/>
          <w:iCs/>
        </w:rPr>
        <w:t>B</w:t>
      </w:r>
      <w:r w:rsidRPr="007E69EF">
        <w:t xml:space="preserve"> es más eficiente que </w:t>
      </w:r>
      <w:r w:rsidRPr="007E69EF">
        <w:rPr>
          <w:i/>
          <w:iCs/>
        </w:rPr>
        <w:t>A</w:t>
      </w:r>
      <w:r w:rsidRPr="007E69EF">
        <w:t xml:space="preserve">, lo lógico sería esperar que tras la creación de un unión aduanera toda la producción la concentrase </w:t>
      </w:r>
      <w:r w:rsidRPr="007E69EF">
        <w:rPr>
          <w:i/>
          <w:iCs/>
        </w:rPr>
        <w:t>B</w:t>
      </w:r>
      <w:r w:rsidRPr="007E69EF">
        <w:t>, como habíamos visto.</w:t>
      </w:r>
    </w:p>
    <w:p w14:paraId="26FF5B45" w14:textId="77777777" w:rsidR="006B6420" w:rsidRPr="007E69EF" w:rsidRDefault="006B6420" w:rsidP="006B6420">
      <w:pPr>
        <w:pStyle w:val="Nivel2SM"/>
      </w:pPr>
      <w:r w:rsidRPr="007E69EF">
        <w:t>Sin embargo, pude ocurrir que el país</w:t>
      </w:r>
      <w:r>
        <w:t> </w:t>
      </w:r>
      <w:r w:rsidRPr="007E69EF">
        <w:rPr>
          <w:i/>
          <w:iCs/>
        </w:rPr>
        <w:t>A</w:t>
      </w:r>
      <w:r w:rsidRPr="007E69EF">
        <w:t xml:space="preserve"> parta de un coste medio inferior y, al formarse una unión aduanera, sea la empresa del país</w:t>
      </w:r>
      <w:r>
        <w:t> </w:t>
      </w:r>
      <w:r w:rsidRPr="007E69EF">
        <w:rPr>
          <w:i/>
          <w:iCs/>
        </w:rPr>
        <w:t>A</w:t>
      </w:r>
      <w:r w:rsidRPr="007E69EF">
        <w:t xml:space="preserve"> la que abastezca ambos mercados, teniendo lugar una </w:t>
      </w:r>
      <w:r w:rsidRPr="007E69EF">
        <w:rPr>
          <w:i/>
          <w:iCs/>
        </w:rPr>
        <w:t>especialización perversa</w:t>
      </w:r>
      <w:r w:rsidRPr="007E69EF">
        <w:t xml:space="preserve"> que genera ineficiencia productiva.</w:t>
      </w:r>
    </w:p>
    <w:p w14:paraId="2D5D2396" w14:textId="4F482D5D" w:rsidR="006B6420" w:rsidRPr="007E69EF" w:rsidRDefault="006B6420" w:rsidP="006B6420">
      <w:pPr>
        <w:pStyle w:val="Ttuloimagen"/>
      </w:pPr>
      <w:r w:rsidRPr="007E69EF">
        <w:t>Imagen</w:t>
      </w:r>
      <w:r>
        <w:t> </w:t>
      </w:r>
      <w:r w:rsidRPr="007E69EF">
        <w:fldChar w:fldCharType="begin"/>
      </w:r>
      <w:r w:rsidRPr="007E69EF">
        <w:instrText xml:space="preserve"> SEQ Ilustración \* ARABIC </w:instrText>
      </w:r>
      <w:r w:rsidRPr="007E69EF">
        <w:fldChar w:fldCharType="separate"/>
      </w:r>
      <w:r w:rsidR="006C02E9">
        <w:t>9</w:t>
      </w:r>
      <w:r w:rsidRPr="007E69EF">
        <w:fldChar w:fldCharType="end"/>
      </w:r>
      <w:r w:rsidRPr="007E69EF">
        <w:rPr>
          <w:smallCaps w:val="0"/>
        </w:rPr>
        <w:t xml:space="preserve">.– </w:t>
      </w:r>
      <w:r w:rsidRPr="007E69EF">
        <w:rPr>
          <w:i/>
          <w:iCs/>
          <w:smallCaps w:val="0"/>
        </w:rPr>
        <w:t>Especialización perversa</w:t>
      </w:r>
    </w:p>
    <w:p w14:paraId="692AE9D6" w14:textId="77777777" w:rsidR="006B6420" w:rsidRPr="007E69EF" w:rsidRDefault="006B6420" w:rsidP="006B6420">
      <w:pPr>
        <w:pStyle w:val="Imagen"/>
      </w:pPr>
      <w:r w:rsidRPr="007E69EF">
        <w:drawing>
          <wp:inline distT="0" distB="0" distL="0" distR="0" wp14:anchorId="6BD50855" wp14:editId="2DB1FD2F">
            <wp:extent cx="3200222" cy="1800000"/>
            <wp:effectExtent l="0" t="0" r="635" b="0"/>
            <wp:docPr id="35" name="Imagen 35" descr="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 Gráfico de líneas&#10;&#10;Descripción generada automáticamente"/>
                    <pic:cNvPicPr/>
                  </pic:nvPicPr>
                  <pic:blipFill>
                    <a:blip r:embed="rId23"/>
                    <a:stretch>
                      <a:fillRect/>
                    </a:stretch>
                  </pic:blipFill>
                  <pic:spPr>
                    <a:xfrm>
                      <a:off x="0" y="0"/>
                      <a:ext cx="3200222" cy="1800000"/>
                    </a:xfrm>
                    <a:prstGeom prst="rect">
                      <a:avLst/>
                    </a:prstGeom>
                  </pic:spPr>
                </pic:pic>
              </a:graphicData>
            </a:graphic>
          </wp:inline>
        </w:drawing>
      </w:r>
    </w:p>
    <w:p w14:paraId="2E59A75C" w14:textId="77777777" w:rsidR="006B6420" w:rsidRPr="007E69EF" w:rsidRDefault="006B6420" w:rsidP="006B6420">
      <w:pPr>
        <w:pStyle w:val="PiedeImagen"/>
        <w:rPr>
          <w:i w:val="0"/>
          <w:iCs/>
        </w:rPr>
      </w:pPr>
      <w:r w:rsidRPr="007E69EF">
        <w:t>Fuente</w:t>
      </w:r>
      <w:r w:rsidRPr="007E69EF">
        <w:rPr>
          <w:i w:val="0"/>
          <w:iCs/>
        </w:rPr>
        <w:t>: Elaboración propia</w:t>
      </w:r>
    </w:p>
    <w:p w14:paraId="40764E7C" w14:textId="77777777" w:rsidR="006B6420" w:rsidRPr="007E69EF" w:rsidRDefault="006B6420" w:rsidP="006B6420">
      <w:pPr>
        <w:pStyle w:val="Nivel1SM"/>
        <w:keepNext/>
        <w:spacing w:after="0"/>
      </w:pPr>
      <w:r w:rsidRPr="007E69EF">
        <w:t xml:space="preserve">¿Por qué </w:t>
      </w:r>
      <w:r w:rsidRPr="007E69EF">
        <w:rPr>
          <w:i/>
          <w:iCs/>
        </w:rPr>
        <w:t>A</w:t>
      </w:r>
      <w:r w:rsidRPr="007E69EF">
        <w:t xml:space="preserve">, que es menos eficiente (i.e. curva de </w:t>
      </w:r>
      <w:proofErr w:type="spellStart"/>
      <w:r w:rsidRPr="007E69EF">
        <w:rPr>
          <w:i/>
          <w:iCs/>
        </w:rPr>
        <w:t>CMe</w:t>
      </w:r>
      <w:proofErr w:type="spellEnd"/>
      <w:r w:rsidRPr="007E69EF">
        <w:t xml:space="preserve"> por encima) parte entonces de un </w:t>
      </w:r>
      <w:proofErr w:type="spellStart"/>
      <w:r w:rsidRPr="007E69EF">
        <w:rPr>
          <w:i/>
          <w:iCs/>
        </w:rPr>
        <w:t>CMe</w:t>
      </w:r>
      <w:proofErr w:type="spellEnd"/>
      <w:r w:rsidRPr="007E69EF">
        <w:t xml:space="preserve"> inferior?</w:t>
      </w:r>
    </w:p>
    <w:p w14:paraId="15ADD1A0" w14:textId="77777777" w:rsidR="006B6420" w:rsidRPr="007E69EF" w:rsidRDefault="006B6420" w:rsidP="006B6420">
      <w:pPr>
        <w:pStyle w:val="Nivel2SM"/>
      </w:pPr>
      <w:r w:rsidRPr="007E69EF">
        <w:t xml:space="preserve">Porque se desplazó antes a lo largo de su curva de costes medios por algún </w:t>
      </w:r>
      <w:r w:rsidRPr="007E69EF">
        <w:rPr>
          <w:i/>
          <w:iCs/>
        </w:rPr>
        <w:t>accidente histórico</w:t>
      </w:r>
      <w:r w:rsidRPr="007E69EF">
        <w:t>.</w:t>
      </w:r>
    </w:p>
    <w:p w14:paraId="484FB427" w14:textId="77777777" w:rsidR="006B6420" w:rsidRPr="00020AB8" w:rsidRDefault="006B6420" w:rsidP="006B6420">
      <w:pPr>
        <w:pStyle w:val="Ttulo6"/>
        <w:rPr>
          <w:smallCaps/>
        </w:rPr>
      </w:pPr>
      <w:bookmarkStart w:id="52" w:name="_Toc172225502"/>
      <w:r w:rsidRPr="007E69EF">
        <w:t>Efectos relacionados con la</w:t>
      </w:r>
      <w:r w:rsidRPr="00020AB8">
        <w:t xml:space="preserve"> diferenciación de productos (</w:t>
      </w:r>
      <w:r w:rsidRPr="00020AB8">
        <w:rPr>
          <w:smallCaps/>
        </w:rPr>
        <w:t>Krugman</w:t>
      </w:r>
      <w:r w:rsidRPr="00020AB8">
        <w:t>, 1979)</w:t>
      </w:r>
      <w:bookmarkEnd w:id="52"/>
    </w:p>
    <w:p w14:paraId="34BF0B85" w14:textId="77777777" w:rsidR="006B6420" w:rsidRPr="00020AB8" w:rsidRDefault="006B6420" w:rsidP="006B6420">
      <w:pPr>
        <w:pStyle w:val="Nivel1SM"/>
        <w:keepNext/>
        <w:spacing w:before="0" w:after="0"/>
      </w:pPr>
      <w:r w:rsidRPr="00020AB8">
        <w:t xml:space="preserve">A partir de finales de la década de 1970, surgen las ‘nuevas’ teorías del comercio internacional. Estas teorías introducen los desarrollos de la teoría de la organización industrial en el análisis del comercio internacional, enriqueciendo enormemente el análisis </w:t>
      </w:r>
      <w:r w:rsidRPr="00020AB8">
        <w:rPr>
          <w:color w:val="767171" w:themeColor="background2" w:themeShade="80"/>
          <w:sz w:val="19"/>
          <w:szCs w:val="19"/>
        </w:rPr>
        <w:t>[ver tema 3.B.7]</w:t>
      </w:r>
      <w:r w:rsidRPr="00020AB8">
        <w:t>.</w:t>
      </w:r>
    </w:p>
    <w:p w14:paraId="2029AE82" w14:textId="77777777" w:rsidR="006B6420" w:rsidRPr="00020AB8" w:rsidRDefault="006B6420" w:rsidP="006B6420">
      <w:pPr>
        <w:pStyle w:val="Nivel2SM"/>
      </w:pPr>
      <w:r w:rsidRPr="00020AB8">
        <w:t xml:space="preserve">El modelo de economías de escala internas y diferenciación horizontal de </w:t>
      </w:r>
      <w:r w:rsidRPr="00020AB8">
        <w:rPr>
          <w:smallCaps/>
        </w:rPr>
        <w:t>Krugman</w:t>
      </w:r>
      <w:r w:rsidRPr="00020AB8">
        <w:t xml:space="preserve"> (1979) muestra como el aumento del tamaño del mercado por una mayor integración económica puede conducir a un </w:t>
      </w:r>
      <w:r w:rsidRPr="00020AB8">
        <w:rPr>
          <w:i/>
          <w:iCs/>
          <w:u w:val="single"/>
        </w:rPr>
        <w:t>aumento de las variedades de productos disponibles</w:t>
      </w:r>
      <w:r w:rsidRPr="00020AB8">
        <w:t xml:space="preserve"> y a un </w:t>
      </w:r>
      <w:r w:rsidRPr="00020AB8">
        <w:rPr>
          <w:i/>
          <w:iCs/>
          <w:u w:val="single"/>
        </w:rPr>
        <w:t>precio más bajo</w:t>
      </w:r>
      <w:r w:rsidRPr="00020AB8">
        <w:t>, lo cual es algo valorado positivamente por los consumidores.</w:t>
      </w:r>
    </w:p>
    <w:p w14:paraId="7A1865C0" w14:textId="77777777" w:rsidR="006B6420" w:rsidRPr="00BD21FA" w:rsidRDefault="006B6420" w:rsidP="006B6420">
      <w:pPr>
        <w:pStyle w:val="Ttulo6"/>
      </w:pPr>
      <w:bookmarkStart w:id="53" w:name="_Toc172225503"/>
      <w:r w:rsidRPr="00BD21FA">
        <w:t>Efectos sobre el comportamiento de las empresas (</w:t>
      </w:r>
      <w:proofErr w:type="spellStart"/>
      <w:r w:rsidRPr="00BD21FA">
        <w:rPr>
          <w:smallCaps/>
        </w:rPr>
        <w:t>Melitz</w:t>
      </w:r>
      <w:proofErr w:type="spellEnd"/>
      <w:r w:rsidRPr="00BD21FA">
        <w:t>, 2003)</w:t>
      </w:r>
      <w:bookmarkEnd w:id="53"/>
    </w:p>
    <w:p w14:paraId="15045D41" w14:textId="77777777" w:rsidR="006B6420" w:rsidRDefault="006B6420" w:rsidP="006B6420">
      <w:pPr>
        <w:pStyle w:val="Notaalopositor"/>
        <w:rPr>
          <w:smallCaps/>
          <w:highlight w:val="yellow"/>
        </w:rPr>
      </w:pPr>
      <w:r w:rsidRPr="000558A2">
        <w:rPr>
          <w:highlight w:val="yellow"/>
        </w:rPr>
        <w:t xml:space="preserve">Mencionar lo de empresas y el modelo de </w:t>
      </w:r>
      <w:proofErr w:type="spellStart"/>
      <w:r w:rsidRPr="000558A2">
        <w:rPr>
          <w:smallCaps/>
          <w:highlight w:val="yellow"/>
        </w:rPr>
        <w:t>Melitz</w:t>
      </w:r>
      <w:proofErr w:type="spellEnd"/>
    </w:p>
    <w:p w14:paraId="637A4CAB" w14:textId="77777777" w:rsidR="006B6420" w:rsidRDefault="006B6420" w:rsidP="006B6420">
      <w:pPr>
        <w:rPr>
          <w:highlight w:val="yellow"/>
        </w:rPr>
      </w:pPr>
    </w:p>
    <w:p w14:paraId="5CAD790C" w14:textId="1AEEF9DF" w:rsidR="000E3963" w:rsidRDefault="000E3963" w:rsidP="00893EA1">
      <w:pPr>
        <w:pStyle w:val="Ttulo3"/>
      </w:pPr>
      <w:bookmarkStart w:id="54" w:name="_Toc172225504"/>
      <w:r w:rsidRPr="000E3963">
        <w:lastRenderedPageBreak/>
        <w:t>Consideración de un contexto dinámico: efectos sobre el crecimiento</w:t>
      </w:r>
      <w:r w:rsidR="00211A4A" w:rsidRPr="00211A4A">
        <w:rPr>
          <w:i w:val="0"/>
          <w:iCs w:val="0"/>
          <w:u w:val="none"/>
        </w:rPr>
        <w:t xml:space="preserve"> </w:t>
      </w:r>
      <w:r w:rsidR="00211A4A" w:rsidRPr="00211A4A">
        <w:rPr>
          <w:i w:val="0"/>
          <w:iCs w:val="0"/>
          <w:color w:val="767171" w:themeColor="background2" w:themeShade="80"/>
          <w:sz w:val="19"/>
          <w:szCs w:val="19"/>
          <w:u w:val="none"/>
        </w:rPr>
        <w:t>[ver tema 3.B.9]</w:t>
      </w:r>
      <w:bookmarkEnd w:id="54"/>
    </w:p>
    <w:p w14:paraId="07C40C5B" w14:textId="524AC878" w:rsidR="00335A63" w:rsidRDefault="00335A63" w:rsidP="00701F49">
      <w:pPr>
        <w:pStyle w:val="Nivel1SM"/>
        <w:spacing w:before="0"/>
        <w:rPr>
          <w:highlight w:val="yellow"/>
        </w:rPr>
      </w:pPr>
      <w:r w:rsidRPr="000558A2">
        <w:rPr>
          <w:highlight w:val="yellow"/>
        </w:rPr>
        <w:t xml:space="preserve">Los </w:t>
      </w:r>
      <w:r w:rsidRPr="000558A2">
        <w:rPr>
          <w:b/>
          <w:bCs/>
          <w:highlight w:val="yellow"/>
        </w:rPr>
        <w:t>efectos dinámicos</w:t>
      </w:r>
      <w:r w:rsidRPr="000558A2">
        <w:rPr>
          <w:highlight w:val="yellow"/>
        </w:rPr>
        <w:t xml:space="preserve"> son aquellos mecanismos </w:t>
      </w:r>
      <w:r w:rsidRPr="000558A2">
        <w:rPr>
          <w:b/>
          <w:bCs/>
          <w:highlight w:val="yellow"/>
        </w:rPr>
        <w:t>activados</w:t>
      </w:r>
      <w:r w:rsidRPr="000558A2">
        <w:rPr>
          <w:highlight w:val="yellow"/>
        </w:rPr>
        <w:t xml:space="preserve"> por el proceso de integración económica que tienen una incidencia sobre las </w:t>
      </w:r>
      <w:r w:rsidRPr="000558A2">
        <w:rPr>
          <w:b/>
          <w:bCs/>
          <w:highlight w:val="yellow"/>
        </w:rPr>
        <w:t>potencialidades de crecimiento económico</w:t>
      </w:r>
      <w:r w:rsidRPr="000558A2">
        <w:rPr>
          <w:highlight w:val="yellow"/>
        </w:rPr>
        <w:t xml:space="preserve"> a través del </w:t>
      </w:r>
      <w:r w:rsidRPr="000558A2">
        <w:rPr>
          <w:i/>
          <w:iCs/>
          <w:highlight w:val="yellow"/>
        </w:rPr>
        <w:t>aumento de la</w:t>
      </w:r>
      <w:r w:rsidRPr="000558A2">
        <w:rPr>
          <w:highlight w:val="yellow"/>
        </w:rPr>
        <w:t xml:space="preserve"> </w:t>
      </w:r>
      <w:r w:rsidRPr="000558A2">
        <w:rPr>
          <w:i/>
          <w:iCs/>
          <w:highlight w:val="yellow"/>
        </w:rPr>
        <w:t>productividad</w:t>
      </w:r>
      <w:r w:rsidRPr="000558A2">
        <w:rPr>
          <w:highlight w:val="yellow"/>
        </w:rPr>
        <w:t xml:space="preserve"> de los factores productivos y/o la </w:t>
      </w:r>
      <w:r w:rsidRPr="000558A2">
        <w:rPr>
          <w:i/>
          <w:iCs/>
          <w:highlight w:val="yellow"/>
        </w:rPr>
        <w:t>acumulación de factores productivos</w:t>
      </w:r>
      <w:r w:rsidRPr="000558A2">
        <w:rPr>
          <w:highlight w:val="yellow"/>
        </w:rPr>
        <w:t>.</w:t>
      </w:r>
    </w:p>
    <w:p w14:paraId="19F98C59" w14:textId="5B46E983" w:rsidR="00211A4A" w:rsidRDefault="00211A4A" w:rsidP="00211A4A">
      <w:pPr>
        <w:pStyle w:val="Nivel1SM"/>
        <w:keepNext/>
        <w:spacing w:after="0"/>
        <w:rPr>
          <w:highlight w:val="yellow"/>
        </w:rPr>
      </w:pPr>
      <w:r>
        <w:rPr>
          <w:highlight w:val="yellow"/>
        </w:rPr>
        <w:t>Algunos de estos efectos dinámicos son:</w:t>
      </w:r>
    </w:p>
    <w:p w14:paraId="4A793569" w14:textId="54BF1386" w:rsidR="00211A4A" w:rsidRDefault="00211A4A" w:rsidP="00211A4A">
      <w:pPr>
        <w:pStyle w:val="Nivel2SM"/>
        <w:rPr>
          <w:highlight w:val="yellow"/>
        </w:rPr>
      </w:pPr>
      <w:r>
        <w:rPr>
          <w:highlight w:val="yellow"/>
        </w:rPr>
        <w:t xml:space="preserve">Efectos </w:t>
      </w:r>
      <w:proofErr w:type="spellStart"/>
      <w:r>
        <w:rPr>
          <w:highlight w:val="yellow"/>
        </w:rPr>
        <w:t>pro-competitivos</w:t>
      </w:r>
      <w:proofErr w:type="spellEnd"/>
    </w:p>
    <w:p w14:paraId="4E0DF9E6" w14:textId="71F19FD4" w:rsidR="00211A4A" w:rsidRDefault="00211A4A" w:rsidP="00211A4A">
      <w:pPr>
        <w:pStyle w:val="Nivel2SM"/>
        <w:rPr>
          <w:highlight w:val="yellow"/>
        </w:rPr>
      </w:pPr>
      <w:r>
        <w:rPr>
          <w:highlight w:val="yellow"/>
        </w:rPr>
        <w:t>Incremento de la variedad de productos</w:t>
      </w:r>
    </w:p>
    <w:p w14:paraId="5D8D8A2A" w14:textId="3EAB646C" w:rsidR="00211A4A" w:rsidRDefault="00211A4A" w:rsidP="00211A4A">
      <w:pPr>
        <w:pStyle w:val="Nivel2SM"/>
        <w:rPr>
          <w:highlight w:val="yellow"/>
        </w:rPr>
      </w:pPr>
      <w:r>
        <w:rPr>
          <w:highlight w:val="yellow"/>
        </w:rPr>
        <w:t>Aprovechamiento de las economías de escala y de gama</w:t>
      </w:r>
    </w:p>
    <w:p w14:paraId="50385714" w14:textId="28F92373" w:rsidR="00211A4A" w:rsidRPr="000558A2" w:rsidRDefault="00211A4A" w:rsidP="00211A4A">
      <w:pPr>
        <w:pStyle w:val="Nivel2SM"/>
        <w:rPr>
          <w:highlight w:val="yellow"/>
        </w:rPr>
      </w:pPr>
      <w:r>
        <w:rPr>
          <w:highlight w:val="yellow"/>
        </w:rPr>
        <w:t>Aumento de la inversión</w:t>
      </w:r>
    </w:p>
    <w:p w14:paraId="071AA8DF" w14:textId="77777777" w:rsidR="00335A63" w:rsidRPr="000558A2" w:rsidRDefault="00335A63" w:rsidP="00211A4A">
      <w:pPr>
        <w:pStyle w:val="Nivel1SM"/>
        <w:rPr>
          <w:highlight w:val="yellow"/>
        </w:rPr>
      </w:pPr>
      <w:r w:rsidRPr="000558A2">
        <w:rPr>
          <w:highlight w:val="yellow"/>
        </w:rPr>
        <w:t>La mayoría de los economistas considera que la integración económica genera crecimiento. Se puede producir por varias vías. La teoría neoclásica considera que el comercio permite la especialización en la producción de bienes en los que cada país tiene una ventaja comparativa, lo que permite aumentar la producción conjunta. Según esta teoría, los incrementos debidos a la integración son puramente temporales, pues una vez el shock exógeno (la integración) ha impulsado la actividad económica, ésta vuelve a su senda de crecimiento “estacionario” a largo plazo. Las teorías recientes explican los efectos sobre el crecimiento vía I+D e inversión.</w:t>
      </w:r>
    </w:p>
    <w:p w14:paraId="263816AC" w14:textId="2F7EADED" w:rsidR="00335A63" w:rsidRDefault="00335A63" w:rsidP="00211A4A">
      <w:pPr>
        <w:pStyle w:val="Nivel1SM"/>
      </w:pPr>
      <w:r w:rsidRPr="000558A2">
        <w:rPr>
          <w:highlight w:val="yellow"/>
        </w:rPr>
        <w:t xml:space="preserve">Para la teoría del </w:t>
      </w:r>
      <w:proofErr w:type="spellStart"/>
      <w:r w:rsidRPr="000558A2">
        <w:rPr>
          <w:highlight w:val="yellow"/>
        </w:rPr>
        <w:t>crec</w:t>
      </w:r>
      <w:proofErr w:type="spellEnd"/>
      <w:r w:rsidRPr="000558A2">
        <w:rPr>
          <w:highlight w:val="yellow"/>
        </w:rPr>
        <w:t>…</w:t>
      </w:r>
    </w:p>
    <w:p w14:paraId="29E32EEC" w14:textId="0B8BD4B3" w:rsidR="003D167C" w:rsidRDefault="003D167C" w:rsidP="00335A63"/>
    <w:p w14:paraId="0398A00E" w14:textId="0814B313" w:rsidR="003D167C" w:rsidRDefault="003D167C" w:rsidP="003D167C">
      <w:pPr>
        <w:pStyle w:val="Nivel1SM"/>
        <w:keepNext/>
        <w:spacing w:after="0"/>
      </w:pPr>
      <w:r>
        <w:t xml:space="preserve">En cuanto a los efectos </w:t>
      </w:r>
      <w:r w:rsidR="009D535A">
        <w:t>d</w:t>
      </w:r>
      <w:r>
        <w:t xml:space="preserve">e la integración sobre la inversión, </w:t>
      </w:r>
      <w:r>
        <w:rPr>
          <w:smallCaps/>
        </w:rPr>
        <w:t>Baldwin</w:t>
      </w:r>
      <w:r>
        <w:t xml:space="preserve"> señala que con el aumento del tamaño del mercado, las empresas de los países de la unión aduanera aumentan sus niveles de inversión para aprovechar nuevas oportunidades empresariales debido al aumento del tamaño de mercado.</w:t>
      </w:r>
    </w:p>
    <w:p w14:paraId="02BD421E" w14:textId="61A01156" w:rsidR="003D167C" w:rsidRDefault="003D167C" w:rsidP="003D167C">
      <w:pPr>
        <w:pStyle w:val="Nivel2SM"/>
      </w:pPr>
      <w:r>
        <w:t>La mayor inversión favorece el crecimiento tal y como ponen de manifiesto las diferentes teorías de crecimiento.</w:t>
      </w:r>
    </w:p>
    <w:p w14:paraId="0E6B9D04" w14:textId="2B86628D" w:rsidR="003D167C" w:rsidRDefault="003D167C" w:rsidP="003D167C">
      <w:pPr>
        <w:pStyle w:val="Nivel1SM"/>
        <w:keepNext/>
        <w:spacing w:after="0"/>
      </w:pPr>
      <w:r>
        <w:t>Además, la unión aduanera favorece también la inversión directa extranjera hacia los países miembros de la unión aduanera, ya que ahora resulta más rentable el salto del arancel para las empresas de terceros países, pues al producir en un país perteneciente a la unión aduanera, una empresa tiene acceso a un nuevo mercado mucho más amplio.</w:t>
      </w:r>
    </w:p>
    <w:p w14:paraId="51577131" w14:textId="25091E07" w:rsidR="003D167C" w:rsidRDefault="003D167C" w:rsidP="003D167C">
      <w:pPr>
        <w:pStyle w:val="Nivel2SM"/>
      </w:pPr>
      <w:r>
        <w:t>De nuevo, la entrada de inversión directa extranjera permite favorecer el crecimiento económico.</w:t>
      </w:r>
    </w:p>
    <w:p w14:paraId="7CCC0744" w14:textId="77777777" w:rsidR="004775DA" w:rsidRDefault="006B4989" w:rsidP="006B4989">
      <w:pPr>
        <w:pStyle w:val="Notaalopositor"/>
      </w:pPr>
      <w:r w:rsidRPr="00A75C8D">
        <w:t>Copiar</w:t>
      </w:r>
      <w:r w:rsidR="003D167C" w:rsidRPr="00A75C8D">
        <w:t xml:space="preserve"> aquí </w:t>
      </w:r>
      <w:r w:rsidRPr="00A75C8D">
        <w:t xml:space="preserve">brevemente el </w:t>
      </w:r>
      <w:r w:rsidR="003D167C" w:rsidRPr="00A75C8D">
        <w:t>modelo de I+D de Romer</w:t>
      </w:r>
      <w:r w:rsidR="00CC3749" w:rsidRPr="00A75C8D">
        <w:t xml:space="preserve"> o de Grossman y </w:t>
      </w:r>
      <w:proofErr w:type="spellStart"/>
      <w:r w:rsidR="00CC3749" w:rsidRPr="00A75C8D">
        <w:t>Helpman</w:t>
      </w:r>
      <w:proofErr w:type="spellEnd"/>
    </w:p>
    <w:p w14:paraId="39B2DB42" w14:textId="77777777" w:rsidR="00B525A5" w:rsidRPr="001C70DC" w:rsidRDefault="00B525A5" w:rsidP="00B525A5">
      <w:pPr>
        <w:pStyle w:val="Ttulo3"/>
        <w:rPr>
          <w:spacing w:val="-3"/>
          <w:highlight w:val="red"/>
        </w:rPr>
      </w:pPr>
      <w:bookmarkStart w:id="55" w:name="_Toc145402328"/>
      <w:r w:rsidRPr="001C70DC">
        <w:rPr>
          <w:spacing w:val="-3"/>
          <w:highlight w:val="red"/>
        </w:rPr>
        <w:t xml:space="preserve">Efectos redistributivos causados por cambios en los precios relativos (Teorema </w:t>
      </w:r>
      <w:proofErr w:type="spellStart"/>
      <w:r w:rsidRPr="001C70DC">
        <w:rPr>
          <w:spacing w:val="-3"/>
          <w:highlight w:val="red"/>
        </w:rPr>
        <w:t>Stolper</w:t>
      </w:r>
      <w:proofErr w:type="spellEnd"/>
      <w:r w:rsidRPr="001C70DC">
        <w:rPr>
          <w:spacing w:val="-3"/>
          <w:highlight w:val="red"/>
        </w:rPr>
        <w:t>-Samuelson)</w:t>
      </w:r>
      <w:bookmarkEnd w:id="55"/>
    </w:p>
    <w:p w14:paraId="1D92501D" w14:textId="77777777" w:rsidR="00B525A5" w:rsidRPr="00A655EA" w:rsidRDefault="00B525A5" w:rsidP="00B525A5">
      <w:pPr>
        <w:pStyle w:val="Nivel1SM"/>
        <w:keepNext/>
        <w:spacing w:before="0" w:after="0"/>
        <w:rPr>
          <w:highlight w:val="red"/>
        </w:rPr>
      </w:pPr>
      <w:r w:rsidRPr="00A655EA">
        <w:rPr>
          <w:highlight w:val="red"/>
        </w:rPr>
        <w:t xml:space="preserve">Cambios en los precios relativos conllevan cambios en el uso de los factores. Esta idea está formalizada a través del Teorema </w:t>
      </w:r>
      <w:proofErr w:type="spellStart"/>
      <w:r w:rsidRPr="00A655EA">
        <w:rPr>
          <w:highlight w:val="red"/>
        </w:rPr>
        <w:t>Stolper</w:t>
      </w:r>
      <w:proofErr w:type="spellEnd"/>
      <w:r w:rsidRPr="00A655EA">
        <w:rPr>
          <w:highlight w:val="red"/>
        </w:rPr>
        <w:t>-Samuelson (</w:t>
      </w:r>
      <w:proofErr w:type="spellStart"/>
      <w:r w:rsidRPr="00A655EA">
        <w:rPr>
          <w:smallCaps/>
          <w:highlight w:val="red"/>
        </w:rPr>
        <w:t>Leamer</w:t>
      </w:r>
      <w:proofErr w:type="spellEnd"/>
      <w:r w:rsidRPr="00A655EA">
        <w:rPr>
          <w:highlight w:val="red"/>
        </w:rPr>
        <w:t xml:space="preserve"> y </w:t>
      </w:r>
      <w:proofErr w:type="spellStart"/>
      <w:r w:rsidRPr="00A655EA">
        <w:rPr>
          <w:smallCaps/>
          <w:highlight w:val="red"/>
        </w:rPr>
        <w:t>Levinsohn</w:t>
      </w:r>
      <w:proofErr w:type="spellEnd"/>
      <w:r w:rsidRPr="00A655EA">
        <w:rPr>
          <w:highlight w:val="red"/>
        </w:rPr>
        <w:t xml:space="preserve">, 1995). Este teorema se basa en el modelo </w:t>
      </w:r>
      <w:r w:rsidRPr="00A655EA">
        <w:rPr>
          <w:smallCaps/>
          <w:highlight w:val="red"/>
        </w:rPr>
        <w:t>Heckscher</w:t>
      </w:r>
      <w:r w:rsidRPr="00A655EA">
        <w:rPr>
          <w:highlight w:val="red"/>
        </w:rPr>
        <w:t>-</w:t>
      </w:r>
      <w:r w:rsidRPr="00A655EA">
        <w:rPr>
          <w:smallCaps/>
          <w:highlight w:val="red"/>
        </w:rPr>
        <w:t>Ohlin</w:t>
      </w:r>
      <w:r w:rsidRPr="00A655EA">
        <w:rPr>
          <w:highlight w:val="red"/>
        </w:rPr>
        <w:t>-</w:t>
      </w:r>
      <w:r w:rsidRPr="00A655EA">
        <w:rPr>
          <w:smallCaps/>
          <w:highlight w:val="red"/>
        </w:rPr>
        <w:t>Samuelson</w:t>
      </w:r>
      <w:r w:rsidRPr="00A655EA">
        <w:rPr>
          <w:highlight w:val="red"/>
        </w:rPr>
        <w:t>. De acuerdo a este teorema, un incremento en el precio relativo de un bien conlleva tanto un incremento en los retornos del factor usado intensivamente en ese bien como una reducción en los retornos del otro factor (con menor uso en el bien). Varios corolarios derivan de este teorema:</w:t>
      </w:r>
    </w:p>
    <w:p w14:paraId="111839E9" w14:textId="77777777" w:rsidR="00B525A5" w:rsidRPr="00A655EA" w:rsidRDefault="00B525A5" w:rsidP="00B525A5">
      <w:pPr>
        <w:pStyle w:val="Nivel2SM"/>
        <w:rPr>
          <w:highlight w:val="red"/>
        </w:rPr>
      </w:pPr>
      <w:r w:rsidRPr="00A655EA">
        <w:rPr>
          <w:highlight w:val="red"/>
        </w:rPr>
        <w:t>La integración produce cambios en los precios relativos de los bienes, lo que genera ganadores y perdedores.</w:t>
      </w:r>
    </w:p>
    <w:p w14:paraId="69725D29" w14:textId="77777777" w:rsidR="00B525A5" w:rsidRPr="00A655EA" w:rsidRDefault="00B525A5" w:rsidP="00B525A5">
      <w:pPr>
        <w:pStyle w:val="Nivel2SM"/>
        <w:rPr>
          <w:highlight w:val="red"/>
        </w:rPr>
      </w:pPr>
      <w:r w:rsidRPr="00A655EA">
        <w:rPr>
          <w:highlight w:val="red"/>
        </w:rPr>
        <w:t>Las barreras al comercio benefician al factor escaso y penalizan al factor abundante.</w:t>
      </w:r>
    </w:p>
    <w:p w14:paraId="636CCC9A" w14:textId="77777777" w:rsidR="00B525A5" w:rsidRPr="00A655EA" w:rsidRDefault="00B525A5" w:rsidP="00B525A5">
      <w:pPr>
        <w:pStyle w:val="Nivel1SM"/>
        <w:rPr>
          <w:highlight w:val="red"/>
        </w:rPr>
      </w:pPr>
      <w:r w:rsidRPr="00A655EA">
        <w:rPr>
          <w:highlight w:val="red"/>
        </w:rPr>
        <w:t xml:space="preserve">Este segundo corolario supone que los factores escasos tienen interés en que los países no se integren. Así, aranceles a la importación o subsidios a la exportación sobre el factor más escaso pueden generar que este factor mejore su bienestar. Como se explicará en siguientes apartados, si hay posibilidad de que los propietarios </w:t>
      </w:r>
      <w:proofErr w:type="gramStart"/>
      <w:r w:rsidRPr="00A655EA">
        <w:rPr>
          <w:highlight w:val="red"/>
        </w:rPr>
        <w:t>del mismo</w:t>
      </w:r>
      <w:proofErr w:type="gramEnd"/>
      <w:r w:rsidRPr="00A655EA">
        <w:rPr>
          <w:highlight w:val="red"/>
        </w:rPr>
        <w:t xml:space="preserve"> se organicen en </w:t>
      </w:r>
      <w:r w:rsidRPr="00A655EA">
        <w:rPr>
          <w:i/>
          <w:iCs/>
          <w:highlight w:val="red"/>
        </w:rPr>
        <w:t>lobbies</w:t>
      </w:r>
      <w:r w:rsidRPr="00A655EA">
        <w:rPr>
          <w:highlight w:val="red"/>
        </w:rPr>
        <w:t xml:space="preserve">, los gobiernos pueden sufrir </w:t>
      </w:r>
      <w:r w:rsidRPr="00A655EA">
        <w:rPr>
          <w:highlight w:val="red"/>
        </w:rPr>
        <w:lastRenderedPageBreak/>
        <w:t xml:space="preserve">presiones para no integrar determinados sectores y mantener barreras proteccionistas en los mismos. Éste puede ser el caso de </w:t>
      </w:r>
      <w:r w:rsidRPr="00A655EA">
        <w:rPr>
          <w:i/>
          <w:iCs/>
          <w:highlight w:val="red"/>
        </w:rPr>
        <w:t>industrias nacientes</w:t>
      </w:r>
      <w:r w:rsidRPr="00A655EA">
        <w:rPr>
          <w:highlight w:val="red"/>
        </w:rPr>
        <w:t>. Una industria incipiente tiende a surgir por el impulso de los factores escasos de un país, lo que puede incitar a la protección de dicha industria, más aún si existen grupos de presión en la misma.</w:t>
      </w:r>
    </w:p>
    <w:p w14:paraId="04725F2E" w14:textId="49428639" w:rsidR="00B525A5" w:rsidRPr="00B525A5" w:rsidRDefault="00B525A5" w:rsidP="00B525A5">
      <w:pPr>
        <w:pStyle w:val="Nivel1SM"/>
        <w:rPr>
          <w:highlight w:val="red"/>
        </w:rPr>
      </w:pPr>
      <w:r w:rsidRPr="00A655EA">
        <w:rPr>
          <w:highlight w:val="red"/>
        </w:rPr>
        <w:t xml:space="preserve">El teorema de </w:t>
      </w:r>
      <w:proofErr w:type="spellStart"/>
      <w:r w:rsidRPr="00A655EA">
        <w:rPr>
          <w:highlight w:val="red"/>
        </w:rPr>
        <w:t>Stolper</w:t>
      </w:r>
      <w:proofErr w:type="spellEnd"/>
      <w:r w:rsidRPr="00A655EA">
        <w:rPr>
          <w:highlight w:val="red"/>
        </w:rPr>
        <w:t>-Samuelson aplicado a la inmigración, supone que la integración beneficia a los trabajadores relativamente abundantes en empleo, como es el caso de los países en desarrollo.</w:t>
      </w:r>
    </w:p>
    <w:p w14:paraId="2B32D545" w14:textId="698491B0" w:rsidR="00B525A5" w:rsidRPr="00335A63" w:rsidRDefault="00B525A5" w:rsidP="006B4989">
      <w:pPr>
        <w:pStyle w:val="Notaalopositor"/>
      </w:pPr>
      <w:r>
        <w:t xml:space="preserve">Aquí se podría mencionar de pasada lo que sucede en otras formas de integración económica. Por ejemplo, mercado común con libre movimiento de factores productivos </w:t>
      </w:r>
      <w:r w:rsidRPr="00B525A5">
        <w:rPr>
          <w:sz w:val="15"/>
          <w:szCs w:val="15"/>
        </w:rPr>
        <w:t>[ver tema 3.B.1</w:t>
      </w:r>
      <w:r>
        <w:rPr>
          <w:sz w:val="15"/>
          <w:szCs w:val="15"/>
        </w:rPr>
        <w:t>8</w:t>
      </w:r>
      <w:r w:rsidRPr="00B525A5">
        <w:rPr>
          <w:sz w:val="15"/>
          <w:szCs w:val="15"/>
        </w:rPr>
        <w:t>]</w:t>
      </w:r>
      <w:r>
        <w:t xml:space="preserve"> o unión monetaria </w:t>
      </w:r>
      <w:r w:rsidRPr="00B525A5">
        <w:rPr>
          <w:sz w:val="15"/>
          <w:szCs w:val="15"/>
        </w:rPr>
        <w:t>[ver tema 3.B.17]</w:t>
      </w:r>
      <w:r>
        <w:t xml:space="preserve">. Incluso se podrían llegar a mencionar los efectos de la coordinación de políticas económicas </w:t>
      </w:r>
      <w:r w:rsidRPr="00B525A5">
        <w:rPr>
          <w:sz w:val="15"/>
          <w:szCs w:val="15"/>
        </w:rPr>
        <w:t>[</w:t>
      </w:r>
      <w:r>
        <w:rPr>
          <w:sz w:val="15"/>
          <w:szCs w:val="15"/>
        </w:rPr>
        <w:t>ver tema 3.B.19</w:t>
      </w:r>
      <w:r w:rsidRPr="00B525A5">
        <w:rPr>
          <w:sz w:val="15"/>
          <w:szCs w:val="15"/>
        </w:rPr>
        <w:t>]</w:t>
      </w:r>
      <w:r>
        <w:t>.</w:t>
      </w:r>
    </w:p>
    <w:p w14:paraId="41CEADEA" w14:textId="5B32FCD8" w:rsidR="00E6198A" w:rsidRPr="0098566E" w:rsidRDefault="0098566E" w:rsidP="00220D22">
      <w:pPr>
        <w:pStyle w:val="Ttulo1"/>
        <w:rPr>
          <w:sz w:val="19"/>
          <w:szCs w:val="19"/>
        </w:rPr>
      </w:pPr>
      <w:bookmarkStart w:id="56" w:name="_Toc172225505"/>
      <w:r>
        <w:t>DETERMINANTES DE LA INTEGRACIÓN ECONÓMICA:</w:t>
      </w:r>
      <w:r>
        <w:br/>
      </w:r>
      <w:r w:rsidRPr="0098566E">
        <w:rPr>
          <w:sz w:val="19"/>
          <w:szCs w:val="19"/>
        </w:rPr>
        <w:t>¿POR QUÉ SE PRODUCE LA INTEGRACIÓN ECONÓMICA Y CUÁNDO ES MÁS DESEABLE?</w:t>
      </w:r>
      <w:bookmarkEnd w:id="56"/>
    </w:p>
    <w:p w14:paraId="12F0D1B6" w14:textId="2A00EDC6" w:rsidR="007F039B" w:rsidRDefault="00A75C8D" w:rsidP="00893EA1">
      <w:pPr>
        <w:pStyle w:val="Notaalopositor"/>
      </w:pPr>
      <w:r>
        <w:t>E</w:t>
      </w:r>
      <w:r w:rsidR="007F039B">
        <w:t xml:space="preserve">s necesario hacer el </w:t>
      </w:r>
      <w:proofErr w:type="spellStart"/>
      <w:r w:rsidR="007F039B" w:rsidRPr="00A75C8D">
        <w:rPr>
          <w:i/>
          <w:iCs/>
        </w:rPr>
        <w:t>disclaimer</w:t>
      </w:r>
      <w:proofErr w:type="spellEnd"/>
      <w:r w:rsidR="007F039B">
        <w:t xml:space="preserve"> que</w:t>
      </w:r>
      <w:r>
        <w:t xml:space="preserve"> determinantes y efectos</w:t>
      </w:r>
      <w:r w:rsidR="007F039B">
        <w:t xml:space="preserve"> son 2 caras de la misma moneda.</w:t>
      </w:r>
    </w:p>
    <w:p w14:paraId="005B86CF" w14:textId="5E84FEE4" w:rsidR="006149F7" w:rsidRPr="006149F7" w:rsidRDefault="006149F7" w:rsidP="00701F49">
      <w:pPr>
        <w:pStyle w:val="Nivel1SM"/>
        <w:spacing w:before="0"/>
      </w:pPr>
      <w:r>
        <w:t xml:space="preserve">En muchas ocasiones, los efectos son la otra cara de los determinantes, es decir, eventualmente, el efecto que logra la integración económica es lo que determina </w:t>
      </w:r>
      <w:proofErr w:type="spellStart"/>
      <w:r w:rsidRPr="006149F7">
        <w:rPr>
          <w:i/>
          <w:iCs/>
        </w:rPr>
        <w:t>ex-ante</w:t>
      </w:r>
      <w:proofErr w:type="spellEnd"/>
      <w:r>
        <w:t xml:space="preserve"> la intención de un país de integrarse.</w:t>
      </w:r>
      <w:r w:rsidR="006F4925">
        <w:t xml:space="preserve"> En este sentido, la </w:t>
      </w:r>
      <w:r w:rsidR="006F4925" w:rsidRPr="00701F49">
        <w:rPr>
          <w:i/>
          <w:iCs/>
        </w:rPr>
        <w:t>Teoría de la integración económica</w:t>
      </w:r>
      <w:r w:rsidR="006F4925">
        <w:t xml:space="preserve"> se ha nutrido de múltiples contribuciones interdisciplinares.</w:t>
      </w:r>
    </w:p>
    <w:p w14:paraId="2D99831D" w14:textId="04F1511C" w:rsidR="001928AD" w:rsidRDefault="001928AD" w:rsidP="00E6198A">
      <w:pPr>
        <w:pStyle w:val="Ttulo2"/>
      </w:pPr>
      <w:bookmarkStart w:id="57" w:name="_Toc172225506"/>
      <w:r>
        <w:t>Determinantes geográficos</w:t>
      </w:r>
      <w:bookmarkEnd w:id="57"/>
    </w:p>
    <w:p w14:paraId="156E8B69" w14:textId="24674BE5" w:rsidR="00E6198A" w:rsidRDefault="00F01008" w:rsidP="00701F49">
      <w:pPr>
        <w:pStyle w:val="Ttulo3"/>
        <w:spacing w:before="0"/>
      </w:pPr>
      <w:bookmarkStart w:id="58" w:name="_Toc172225507"/>
      <w:bookmarkStart w:id="59" w:name="_Hlk120007071"/>
      <w:r>
        <w:t xml:space="preserve">¿Qué es la </w:t>
      </w:r>
      <w:r w:rsidR="00654197">
        <w:t>N</w:t>
      </w:r>
      <w:r w:rsidR="00E6198A">
        <w:t xml:space="preserve">ueva </w:t>
      </w:r>
      <w:r w:rsidR="007D1A4F">
        <w:t xml:space="preserve">Geografía </w:t>
      </w:r>
      <w:r w:rsidR="00654197">
        <w:t>E</w:t>
      </w:r>
      <w:r w:rsidR="00E6198A">
        <w:t>con</w:t>
      </w:r>
      <w:r w:rsidR="007D1A4F">
        <w:t>ó</w:t>
      </w:r>
      <w:r w:rsidR="00E6198A">
        <w:t>m</w:t>
      </w:r>
      <w:r w:rsidR="007D1A4F">
        <w:t>ic</w:t>
      </w:r>
      <w:r w:rsidR="00E6198A">
        <w:t>a</w:t>
      </w:r>
      <w:r>
        <w:t>?</w:t>
      </w:r>
      <w:bookmarkEnd w:id="58"/>
    </w:p>
    <w:p w14:paraId="58E02D0D" w14:textId="77777777" w:rsidR="007D1A4F" w:rsidRDefault="007D1A4F" w:rsidP="007D1A4F">
      <w:pPr>
        <w:pStyle w:val="Nivel1SM"/>
        <w:keepNext/>
        <w:spacing w:before="0" w:after="0"/>
      </w:pPr>
      <w:r>
        <w:t>Es un hecho conocido que la riqueza, la población y el empleo están distribuidos espacialmente de forma desigual, tanto a nivel regional como entre países, concentrándose en diversos lugares y dispersándose en otros.</w:t>
      </w:r>
    </w:p>
    <w:p w14:paraId="2B2D3898" w14:textId="77777777" w:rsidR="007D1A4F" w:rsidRDefault="007D1A4F" w:rsidP="007D1A4F">
      <w:pPr>
        <w:pStyle w:val="Nivel2SM"/>
        <w:keepNext/>
        <w:spacing w:after="0"/>
      </w:pPr>
      <w:r>
        <w:t>Estos desequilibrios espaciales pueden surgir por dos motivos:</w:t>
      </w:r>
    </w:p>
    <w:p w14:paraId="00E0F624" w14:textId="77777777" w:rsidR="007D1A4F" w:rsidRDefault="007D1A4F">
      <w:pPr>
        <w:pStyle w:val="Nmeroromano"/>
        <w:numPr>
          <w:ilvl w:val="0"/>
          <w:numId w:val="8"/>
        </w:numPr>
        <w:spacing w:after="0"/>
        <w:ind w:left="850" w:hanging="85"/>
      </w:pPr>
      <w:r w:rsidRPr="00A55A02">
        <w:rPr>
          <w:i/>
          <w:iCs/>
          <w:u w:val="single"/>
        </w:rPr>
        <w:t>Determinantes de “primera naturaleza”</w:t>
      </w:r>
      <w:r>
        <w:t>: Tienen que ver con la distribución desigual de los recursos naturales, así como con factores geográficos característicos de las diferentes localizaciones como la presencia de materias primas, la proximidad a vías naturales de comunicación (ríos, océanos, etc.), el clima, etc.</w:t>
      </w:r>
    </w:p>
    <w:p w14:paraId="514F6B2A" w14:textId="77777777" w:rsidR="007D1A4F" w:rsidRPr="004746B7" w:rsidRDefault="007D1A4F">
      <w:pPr>
        <w:pStyle w:val="Nmeroromano"/>
        <w:numPr>
          <w:ilvl w:val="0"/>
          <w:numId w:val="8"/>
        </w:numPr>
        <w:spacing w:after="0"/>
        <w:ind w:left="850" w:hanging="85"/>
        <w:rPr>
          <w:spacing w:val="-1"/>
        </w:rPr>
      </w:pPr>
      <w:r w:rsidRPr="004746B7">
        <w:rPr>
          <w:i/>
          <w:iCs/>
          <w:spacing w:val="-1"/>
          <w:u w:val="single"/>
        </w:rPr>
        <w:t>Determinantes de “segunda naturaleza”</w:t>
      </w:r>
      <w:r w:rsidRPr="004746B7">
        <w:rPr>
          <w:spacing w:val="-1"/>
        </w:rPr>
        <w:t xml:space="preserve">: </w:t>
      </w:r>
      <w:r>
        <w:rPr>
          <w:spacing w:val="-1"/>
        </w:rPr>
        <w:t>T</w:t>
      </w:r>
      <w:r w:rsidRPr="004746B7">
        <w:rPr>
          <w:spacing w:val="-1"/>
        </w:rPr>
        <w:t>ienen que ver con el resultado de la acción humana y, principalmente, con factores económicos (estructura de mercado, reglas de precios, etc.).</w:t>
      </w:r>
    </w:p>
    <w:p w14:paraId="6ECF0AEA" w14:textId="77777777" w:rsidR="007D1A4F" w:rsidRPr="004746B7" w:rsidRDefault="007D1A4F" w:rsidP="007D1A4F">
      <w:pPr>
        <w:pStyle w:val="Nivel2SM"/>
        <w:keepNext/>
        <w:spacing w:after="0"/>
        <w:rPr>
          <w:spacing w:val="-3"/>
        </w:rPr>
      </w:pPr>
      <w:r w:rsidRPr="004746B7">
        <w:rPr>
          <w:i/>
          <w:iCs/>
          <w:spacing w:val="-3"/>
        </w:rPr>
        <w:t>Ejemplos notables de aglomeración de la actividad económica</w:t>
      </w:r>
      <w:r w:rsidRPr="004746B7">
        <w:rPr>
          <w:spacing w:val="-3"/>
        </w:rPr>
        <w:t xml:space="preserve"> en determinados lugares geográficos son:</w:t>
      </w:r>
    </w:p>
    <w:p w14:paraId="17E2A474" w14:textId="77777777" w:rsidR="007D1A4F" w:rsidRDefault="007D1A4F" w:rsidP="007D1A4F">
      <w:pPr>
        <w:pStyle w:val="Nivel3SM"/>
      </w:pPr>
      <w:r>
        <w:t xml:space="preserve">El llamado </w:t>
      </w:r>
      <w:r w:rsidRPr="00EE57AE">
        <w:rPr>
          <w:u w:val="single"/>
        </w:rPr>
        <w:t xml:space="preserve">“cinturón industrial” en el noreste de </w:t>
      </w:r>
      <w:r>
        <w:rPr>
          <w:u w:val="single"/>
        </w:rPr>
        <w:t>Estados Unidos</w:t>
      </w:r>
      <w:r>
        <w:t xml:space="preserve"> </w:t>
      </w:r>
      <w:r w:rsidRPr="00FB022D">
        <w:rPr>
          <w:sz w:val="19"/>
          <w:szCs w:val="19"/>
        </w:rPr>
        <w:t>(con una gran atracción de actividad industrial alrededor de la zona de los grandes lagos a finales del siglo XIX y principios del XX)</w:t>
      </w:r>
      <w:r>
        <w:t>;</w:t>
      </w:r>
    </w:p>
    <w:p w14:paraId="6CCBA9EA" w14:textId="77777777" w:rsidR="007D1A4F" w:rsidRDefault="007D1A4F" w:rsidP="007D1A4F">
      <w:pPr>
        <w:pStyle w:val="Nivel3SM"/>
      </w:pPr>
      <w:r>
        <w:t xml:space="preserve">La </w:t>
      </w:r>
      <w:r w:rsidRPr="00EE57AE">
        <w:rPr>
          <w:u w:val="single"/>
        </w:rPr>
        <w:t xml:space="preserve">cuenca del </w:t>
      </w:r>
      <w:proofErr w:type="spellStart"/>
      <w:r w:rsidRPr="00EE57AE">
        <w:rPr>
          <w:u w:val="single"/>
        </w:rPr>
        <w:t>Rühr</w:t>
      </w:r>
      <w:proofErr w:type="spellEnd"/>
      <w:r w:rsidRPr="00EE57AE">
        <w:rPr>
          <w:u w:val="single"/>
        </w:rPr>
        <w:t xml:space="preserve"> en Alemania</w:t>
      </w:r>
      <w:r>
        <w:t xml:space="preserve"> </w:t>
      </w:r>
      <w:r w:rsidRPr="00FB022D">
        <w:rPr>
          <w:sz w:val="19"/>
          <w:szCs w:val="19"/>
        </w:rPr>
        <w:t>(como una de las zonas más industrializadas de Europa)</w:t>
      </w:r>
      <w:r w:rsidRPr="00961E64">
        <w:rPr>
          <w:rStyle w:val="Refdenotaalpie"/>
        </w:rPr>
        <w:footnoteReference w:id="21"/>
      </w:r>
      <w:r>
        <w:t>; o,</w:t>
      </w:r>
    </w:p>
    <w:p w14:paraId="5C42638D" w14:textId="77777777" w:rsidR="007D1A4F" w:rsidRDefault="007D1A4F" w:rsidP="007D1A4F">
      <w:pPr>
        <w:pStyle w:val="Nivel3SM"/>
      </w:pPr>
      <w:r>
        <w:t xml:space="preserve">Más recientemente, la concentración de empresas tecnológicas en el área de </w:t>
      </w:r>
      <w:r w:rsidRPr="00EE57AE">
        <w:rPr>
          <w:u w:val="single"/>
        </w:rPr>
        <w:t>Silicon Valley en el área de San Francisco</w:t>
      </w:r>
      <w:r>
        <w:t>.</w:t>
      </w:r>
    </w:p>
    <w:p w14:paraId="79F207A3" w14:textId="77777777" w:rsidR="007D1A4F" w:rsidRDefault="007D1A4F" w:rsidP="007D1A4F">
      <w:pPr>
        <w:pStyle w:val="Nivel1SM"/>
        <w:keepNext/>
        <w:spacing w:after="0"/>
      </w:pPr>
      <w:r>
        <w:t xml:space="preserve">La </w:t>
      </w:r>
      <w:r w:rsidRPr="00D10C68">
        <w:rPr>
          <w:b/>
          <w:bCs/>
        </w:rPr>
        <w:t>geografía económica</w:t>
      </w:r>
      <w:r>
        <w:t xml:space="preserve"> es el estudio de dónde tiene lugar la actividad económica y las fuerzas que hay detrás de ello.</w:t>
      </w:r>
    </w:p>
    <w:p w14:paraId="551BFC3D" w14:textId="2715BF80" w:rsidR="007D1A4F" w:rsidRDefault="007D1A4F" w:rsidP="007D1A4F">
      <w:pPr>
        <w:pStyle w:val="Nivel2SM"/>
        <w:keepNext/>
        <w:spacing w:after="0"/>
      </w:pPr>
      <w:r>
        <w:t xml:space="preserve">La </w:t>
      </w:r>
      <w:r w:rsidRPr="00B368FE">
        <w:rPr>
          <w:b/>
          <w:bCs/>
        </w:rPr>
        <w:t xml:space="preserve">Nueva </w:t>
      </w:r>
      <w:r>
        <w:rPr>
          <w:b/>
          <w:bCs/>
        </w:rPr>
        <w:t>Geografía Económica</w:t>
      </w:r>
      <w:r w:rsidRPr="00B368FE">
        <w:rPr>
          <w:b/>
          <w:bCs/>
        </w:rPr>
        <w:t xml:space="preserve"> (N</w:t>
      </w:r>
      <w:r>
        <w:rPr>
          <w:b/>
          <w:bCs/>
        </w:rPr>
        <w:t>G</w:t>
      </w:r>
      <w:r w:rsidRPr="00B368FE">
        <w:rPr>
          <w:b/>
          <w:bCs/>
        </w:rPr>
        <w:t>E)</w:t>
      </w:r>
      <w:bookmarkStart w:id="60" w:name="_Hlk123291051"/>
      <w:r>
        <w:rPr>
          <w:rStyle w:val="Refdenotaalpie"/>
        </w:rPr>
        <w:footnoteReference w:id="22"/>
      </w:r>
      <w:bookmarkEnd w:id="60"/>
      <w:r>
        <w:t xml:space="preserve">, iniciada por </w:t>
      </w:r>
      <w:proofErr w:type="spellStart"/>
      <w:r>
        <w:rPr>
          <w:smallCaps/>
        </w:rPr>
        <w:t>Fujita</w:t>
      </w:r>
      <w:proofErr w:type="spellEnd"/>
      <w:r>
        <w:t xml:space="preserve"> (1988), </w:t>
      </w:r>
      <w:r>
        <w:rPr>
          <w:smallCaps/>
        </w:rPr>
        <w:t>Krugman</w:t>
      </w:r>
      <w:r>
        <w:t xml:space="preserve"> (1991) y </w:t>
      </w:r>
      <w:r>
        <w:rPr>
          <w:smallCaps/>
        </w:rPr>
        <w:t>Venables</w:t>
      </w:r>
      <w:r>
        <w:t xml:space="preserve"> (1996), estudia cuáles son las fuerzas que hacen que una pequeña asimetría entre </w:t>
      </w:r>
      <w:r>
        <w:lastRenderedPageBreak/>
        <w:t xml:space="preserve">dos regiones se traslade en distribuciones desiguales de la actividad económica en el largo plazo. Para ello, se identifican </w:t>
      </w:r>
      <w:r w:rsidR="00B46D0D">
        <w:t>2 </w:t>
      </w:r>
      <w:r>
        <w:t>tipos de fuerzas:</w:t>
      </w:r>
    </w:p>
    <w:p w14:paraId="2DA88C19" w14:textId="77777777" w:rsidR="007D1A4F" w:rsidRPr="00B368FE" w:rsidRDefault="007D1A4F">
      <w:pPr>
        <w:pStyle w:val="Prrafodelista"/>
        <w:numPr>
          <w:ilvl w:val="0"/>
          <w:numId w:val="9"/>
        </w:numPr>
        <w:ind w:left="1135" w:hanging="284"/>
        <w:rPr>
          <w:spacing w:val="-2"/>
        </w:rPr>
      </w:pPr>
      <w:r w:rsidRPr="00B368FE">
        <w:rPr>
          <w:i/>
          <w:iCs/>
          <w:spacing w:val="-2"/>
        </w:rPr>
        <w:t>Las fuerzas de aglomeración o centrípetas</w:t>
      </w:r>
      <w:r w:rsidRPr="00B368FE">
        <w:rPr>
          <w:spacing w:val="-2"/>
        </w:rPr>
        <w:t xml:space="preserve">: </w:t>
      </w:r>
      <w:r>
        <w:rPr>
          <w:spacing w:val="-2"/>
        </w:rPr>
        <w:t>P</w:t>
      </w:r>
      <w:r w:rsidRPr="00B368FE">
        <w:rPr>
          <w:spacing w:val="-2"/>
        </w:rPr>
        <w:t xml:space="preserve">rovocan que la actividad económica se aglomere en determinadas localizaciones </w:t>
      </w:r>
      <w:r w:rsidRPr="00B368FE">
        <w:rPr>
          <w:spacing w:val="-2"/>
          <w:sz w:val="21"/>
          <w:szCs w:val="20"/>
        </w:rPr>
        <w:t>(relacionadas con la existencia de un amplio mercado doméstico, una mayor productividad, etc.)</w:t>
      </w:r>
    </w:p>
    <w:p w14:paraId="3613700D" w14:textId="77777777" w:rsidR="007D1A4F" w:rsidRPr="00B368FE" w:rsidRDefault="007D1A4F">
      <w:pPr>
        <w:pStyle w:val="Prrafodelista"/>
        <w:numPr>
          <w:ilvl w:val="0"/>
          <w:numId w:val="9"/>
        </w:numPr>
        <w:ind w:left="1135" w:hanging="284"/>
        <w:rPr>
          <w:spacing w:val="-2"/>
        </w:rPr>
      </w:pPr>
      <w:r w:rsidRPr="00B368FE">
        <w:rPr>
          <w:i/>
          <w:iCs/>
          <w:spacing w:val="-2"/>
        </w:rPr>
        <w:t>Las fuerzas de dispersión o centrífugas</w:t>
      </w:r>
      <w:r w:rsidRPr="00B368FE">
        <w:rPr>
          <w:spacing w:val="-2"/>
        </w:rPr>
        <w:t xml:space="preserve">: </w:t>
      </w:r>
      <w:r>
        <w:rPr>
          <w:spacing w:val="-2"/>
        </w:rPr>
        <w:t>S</w:t>
      </w:r>
      <w:r w:rsidRPr="00B368FE">
        <w:rPr>
          <w:spacing w:val="-2"/>
        </w:rPr>
        <w:t xml:space="preserve">on las causantes de que la actividad económica se disperse a lo largo del espacio </w:t>
      </w:r>
      <w:r w:rsidRPr="00B368FE">
        <w:rPr>
          <w:spacing w:val="-2"/>
          <w:sz w:val="21"/>
          <w:szCs w:val="20"/>
        </w:rPr>
        <w:t>(como pueden ser los costes de transporte, la congestión, etc.)</w:t>
      </w:r>
    </w:p>
    <w:p w14:paraId="22BE7BD1" w14:textId="77777777" w:rsidR="007D1A4F" w:rsidRDefault="007D1A4F" w:rsidP="007D1A4F">
      <w:pPr>
        <w:pStyle w:val="Nivel1SM"/>
        <w:keepNext/>
        <w:spacing w:after="0"/>
      </w:pPr>
      <w:r>
        <w:t>La literatura de la NGE ha evolucionado muy rápido, pero se podría considerar que sigue en busca de un marco unificado.</w:t>
      </w:r>
    </w:p>
    <w:p w14:paraId="00A0B348" w14:textId="77777777" w:rsidR="007D1A4F" w:rsidRPr="00990E50" w:rsidRDefault="007D1A4F" w:rsidP="007D1A4F">
      <w:pPr>
        <w:pStyle w:val="Nivel2SM"/>
        <w:rPr>
          <w:spacing w:val="-3"/>
        </w:rPr>
      </w:pPr>
      <w:r w:rsidRPr="00990E50">
        <w:rPr>
          <w:spacing w:val="-3"/>
        </w:rPr>
        <w:t xml:space="preserve">Los resultados teóricos obtenidos de la </w:t>
      </w:r>
      <w:r>
        <w:t>NGE</w:t>
      </w:r>
      <w:r w:rsidRPr="00990E50">
        <w:rPr>
          <w:spacing w:val="-3"/>
        </w:rPr>
        <w:t xml:space="preserve"> son muy sensibles a los supuestos del modelo e incluso dentro del mismo modelo, diferentes parámetros dan lugar a conclusiones muy distintas.</w:t>
      </w:r>
    </w:p>
    <w:p w14:paraId="300A8708" w14:textId="77777777" w:rsidR="007D1A4F" w:rsidRDefault="007D1A4F" w:rsidP="007D1A4F">
      <w:pPr>
        <w:pStyle w:val="Nivel2SM"/>
      </w:pPr>
      <w:r>
        <w:t>Esta sensibilidad se ha convertido en una verdadera dificultad para obtener conclusiones en términos de bienestar, para prescribir recomendaciones de política económica y para evaluar su validez empírica.</w:t>
      </w:r>
    </w:p>
    <w:p w14:paraId="1EEB0863" w14:textId="77777777" w:rsidR="007D1A4F" w:rsidRDefault="007D1A4F" w:rsidP="007D1A4F">
      <w:pPr>
        <w:pStyle w:val="Nivel1SM"/>
        <w:keepNext/>
        <w:spacing w:after="0"/>
      </w:pPr>
      <w:r>
        <w:t xml:space="preserve">Los modelos NGE clásicos, recopilados y presentados en el libro de </w:t>
      </w:r>
      <w:proofErr w:type="spellStart"/>
      <w:r>
        <w:rPr>
          <w:smallCaps/>
        </w:rPr>
        <w:t>Fujita</w:t>
      </w:r>
      <w:proofErr w:type="spellEnd"/>
      <w:r>
        <w:t xml:space="preserve">, </w:t>
      </w:r>
      <w:r>
        <w:rPr>
          <w:smallCaps/>
        </w:rPr>
        <w:t>Krugman</w:t>
      </w:r>
      <w:r>
        <w:t xml:space="preserve"> y </w:t>
      </w:r>
      <w:r>
        <w:rPr>
          <w:smallCaps/>
        </w:rPr>
        <w:t>Venables</w:t>
      </w:r>
      <w:r>
        <w:t xml:space="preserve"> (1999), se basan en el modelo de equilibrio general con competencia monopolística, y unen las teorías de la localización con las teorías del comercio.</w:t>
      </w:r>
    </w:p>
    <w:p w14:paraId="39AD9213" w14:textId="4636763F" w:rsidR="007D1A4F" w:rsidRPr="00321A2A" w:rsidRDefault="007D1A4F" w:rsidP="007D1A4F">
      <w:pPr>
        <w:pStyle w:val="Nivel2SM"/>
      </w:pPr>
      <w:r>
        <w:t xml:space="preserve">En estos modelos NGE, se asume la existencia de </w:t>
      </w:r>
      <w:r w:rsidR="00191EC4">
        <w:rPr>
          <w:b/>
          <w:bCs/>
        </w:rPr>
        <w:t>2 </w:t>
      </w:r>
      <w:r w:rsidRPr="00504EDE">
        <w:rPr>
          <w:b/>
          <w:bCs/>
        </w:rPr>
        <w:t>sectores</w:t>
      </w:r>
      <w:r>
        <w:t xml:space="preserve">: un </w:t>
      </w:r>
      <w:r w:rsidRPr="00504EDE">
        <w:rPr>
          <w:i/>
          <w:iCs/>
        </w:rPr>
        <w:t>sector tradicional</w:t>
      </w:r>
      <w:r>
        <w:t xml:space="preserve"> </w:t>
      </w:r>
      <w:r w:rsidRPr="00504EDE">
        <w:rPr>
          <w:sz w:val="19"/>
          <w:szCs w:val="19"/>
        </w:rPr>
        <w:t>(en el que se produce un bien homogéneo con rendimientos constantes a escala)</w:t>
      </w:r>
      <w:r w:rsidRPr="00504EDE">
        <w:t xml:space="preserve"> </w:t>
      </w:r>
      <w:r>
        <w:t xml:space="preserve">asociado en los modelos con el sector agrícola y un </w:t>
      </w:r>
      <w:r w:rsidRPr="00504EDE">
        <w:rPr>
          <w:i/>
          <w:iCs/>
        </w:rPr>
        <w:t>sector diferenciado</w:t>
      </w:r>
      <w:r>
        <w:t xml:space="preserve"> </w:t>
      </w:r>
      <w:r w:rsidRPr="00504EDE">
        <w:rPr>
          <w:sz w:val="19"/>
          <w:szCs w:val="19"/>
        </w:rPr>
        <w:t>(en el que se produce un bien diferenciado con rendimientos crecientes a escala)</w:t>
      </w:r>
      <w:r>
        <w:t xml:space="preserve"> asociado con el sector manufacturero como analogía a la concentración de la actividad industrial que se originó durante la revolución industrial, y que, actualmente, se podría asociar con la concentración de la actividad del sector servicios en determinadas áreas.</w:t>
      </w:r>
    </w:p>
    <w:p w14:paraId="4B49593A" w14:textId="5C1B5307" w:rsidR="00E6198A" w:rsidRDefault="00F01008" w:rsidP="001928AD">
      <w:pPr>
        <w:pStyle w:val="Ttulo3"/>
      </w:pPr>
      <w:bookmarkStart w:id="61" w:name="_Toc172225508"/>
      <w:r>
        <w:t>M</w:t>
      </w:r>
      <w:r w:rsidR="00E6198A">
        <w:t>odelo centro-periferia</w:t>
      </w:r>
      <w:r w:rsidR="0066173A">
        <w:t xml:space="preserve"> </w:t>
      </w:r>
      <w:bookmarkStart w:id="62" w:name="_Hlk96531612"/>
      <w:r w:rsidR="0066173A">
        <w:t>(</w:t>
      </w:r>
      <w:r w:rsidR="0066173A">
        <w:rPr>
          <w:smallCaps/>
        </w:rPr>
        <w:t>Krugman</w:t>
      </w:r>
      <w:r w:rsidR="0066173A">
        <w:t>, 1991)</w:t>
      </w:r>
      <w:bookmarkEnd w:id="61"/>
      <w:bookmarkEnd w:id="62"/>
    </w:p>
    <w:p w14:paraId="75C0D6ED" w14:textId="07B2B3E4" w:rsidR="000E7DED" w:rsidRPr="000E7DED" w:rsidRDefault="000E7DED" w:rsidP="000E7DED">
      <w:pPr>
        <w:pStyle w:val="Notaalopositor"/>
      </w:pPr>
      <w:r w:rsidRPr="00F75803">
        <w:t xml:space="preserve">Ver </w:t>
      </w:r>
      <w:r w:rsidRPr="00F75803">
        <w:rPr>
          <w:smallCaps/>
        </w:rPr>
        <w:t>Gandolfo</w:t>
      </w:r>
      <w:r w:rsidRPr="00F75803">
        <w:t xml:space="preserve"> </w:t>
      </w:r>
      <w:proofErr w:type="spellStart"/>
      <w:r w:rsidRPr="00F75803">
        <w:t>Chapter</w:t>
      </w:r>
      <w:proofErr w:type="spellEnd"/>
      <w:r w:rsidRPr="00F75803">
        <w:t xml:space="preserve"> 16 – </w:t>
      </w:r>
      <w:r>
        <w:t>págs. 337-348</w:t>
      </w:r>
    </w:p>
    <w:p w14:paraId="5CF93BF7" w14:textId="77777777" w:rsidR="00393A15" w:rsidRDefault="00393A15" w:rsidP="00191EC4">
      <w:pPr>
        <w:pStyle w:val="Ttulo6"/>
        <w:spacing w:before="0"/>
      </w:pPr>
      <w:bookmarkStart w:id="63" w:name="_Toc128996528"/>
      <w:bookmarkStart w:id="64" w:name="_Toc172225509"/>
      <w:bookmarkEnd w:id="59"/>
      <w:r>
        <w:t>Idea</w:t>
      </w:r>
      <w:bookmarkEnd w:id="63"/>
      <w:bookmarkEnd w:id="64"/>
    </w:p>
    <w:p w14:paraId="607E4FF1" w14:textId="77777777" w:rsidR="00393A15" w:rsidRDefault="00393A15" w:rsidP="00191EC4">
      <w:pPr>
        <w:pStyle w:val="Nivel1SM"/>
        <w:keepNext/>
        <w:spacing w:before="0" w:after="0"/>
      </w:pPr>
      <w:bookmarkStart w:id="65" w:name="_Hlk96510559"/>
      <w:r>
        <w:t xml:space="preserve">El modelo centro-periferia, desarrollado inicialmente por </w:t>
      </w:r>
      <w:r>
        <w:rPr>
          <w:smallCaps/>
        </w:rPr>
        <w:t>Krugman</w:t>
      </w:r>
      <w:r>
        <w:t xml:space="preserve"> (1991), ha dado lugar a una rica corriente de literatura conocida como </w:t>
      </w:r>
      <w:r w:rsidRPr="002D2CA9">
        <w:rPr>
          <w:i/>
          <w:iCs/>
        </w:rPr>
        <w:t xml:space="preserve">New </w:t>
      </w:r>
      <w:proofErr w:type="spellStart"/>
      <w:r w:rsidRPr="002D2CA9">
        <w:rPr>
          <w:i/>
          <w:iCs/>
        </w:rPr>
        <w:t>Economic</w:t>
      </w:r>
      <w:proofErr w:type="spellEnd"/>
      <w:r w:rsidRPr="002D2CA9">
        <w:rPr>
          <w:i/>
          <w:iCs/>
        </w:rPr>
        <w:t xml:space="preserve"> </w:t>
      </w:r>
      <w:proofErr w:type="spellStart"/>
      <w:r w:rsidRPr="002D2CA9">
        <w:rPr>
          <w:i/>
          <w:iCs/>
        </w:rPr>
        <w:t>Geography</w:t>
      </w:r>
      <w:proofErr w:type="spellEnd"/>
      <w:r>
        <w:t>.</w:t>
      </w:r>
    </w:p>
    <w:p w14:paraId="68CDA8E4" w14:textId="77777777" w:rsidR="00393A15" w:rsidRDefault="00393A15" w:rsidP="00393A15">
      <w:pPr>
        <w:pStyle w:val="Nivel2SM"/>
      </w:pPr>
      <w:r>
        <w:t xml:space="preserve">De manera análoga al modelo de </w:t>
      </w:r>
      <w:r>
        <w:rPr>
          <w:smallCaps/>
        </w:rPr>
        <w:t>Krugman</w:t>
      </w:r>
      <w:r>
        <w:t xml:space="preserve"> (1979), que mostraba la existencia de comercio internacional en ausencia de ventaja comparativa, el modelo centro-periferia muestra que puede surgir aglomeración incluso en ausencia de diferencias exógenas entre ubicaciones.</w:t>
      </w:r>
    </w:p>
    <w:p w14:paraId="34D51296" w14:textId="77777777" w:rsidR="00393A15" w:rsidRPr="002D2CA9" w:rsidRDefault="00393A15" w:rsidP="00393A15">
      <w:pPr>
        <w:pStyle w:val="Nivel2SM"/>
      </w:pPr>
      <w:r>
        <w:t xml:space="preserve">El </w:t>
      </w:r>
      <w:r>
        <w:rPr>
          <w:b/>
          <w:bCs/>
        </w:rPr>
        <w:t>objetivo</w:t>
      </w:r>
      <w:r>
        <w:t xml:space="preserve"> del modelo es responder a por qué y en qué circunstancias, un sector se concentra en unas pocas regiones dejando al resto de regiones relativamente subdesarrolladas.</w:t>
      </w:r>
    </w:p>
    <w:p w14:paraId="6D36E393" w14:textId="77777777" w:rsidR="00393A15" w:rsidRDefault="00393A15" w:rsidP="00393A15">
      <w:pPr>
        <w:pStyle w:val="Ttulo6"/>
      </w:pPr>
      <w:bookmarkStart w:id="66" w:name="_Toc128996529"/>
      <w:bookmarkStart w:id="67" w:name="_Toc172225510"/>
      <w:bookmarkEnd w:id="65"/>
      <w:r>
        <w:t>Modelo</w:t>
      </w:r>
      <w:bookmarkEnd w:id="66"/>
      <w:bookmarkEnd w:id="67"/>
    </w:p>
    <w:p w14:paraId="6DC56B7F" w14:textId="77777777" w:rsidR="00393A15" w:rsidRDefault="00393A15" w:rsidP="00393A15">
      <w:pPr>
        <w:pStyle w:val="Ttulo7"/>
        <w:spacing w:before="0"/>
      </w:pPr>
      <w:bookmarkStart w:id="68" w:name="_Toc128996530"/>
      <w:r>
        <w:t>Supuestos</w:t>
      </w:r>
      <w:bookmarkEnd w:id="68"/>
    </w:p>
    <w:p w14:paraId="49B9D2F5" w14:textId="77777777" w:rsidR="00393A15" w:rsidRPr="00B368FE" w:rsidRDefault="00393A15" w:rsidP="00393A15">
      <w:pPr>
        <w:pStyle w:val="Nivel1SM"/>
        <w:keepNext/>
        <w:spacing w:before="0" w:after="0"/>
      </w:pPr>
      <w:bookmarkStart w:id="69" w:name="_Hlk123291536"/>
      <w:r>
        <w:t>Partiremos de los siguientes supuestos:</w:t>
      </w:r>
    </w:p>
    <w:p w14:paraId="78DEE987" w14:textId="77777777" w:rsidR="00393A15" w:rsidRDefault="00393A15" w:rsidP="00393A15">
      <w:pPr>
        <w:pStyle w:val="Nivel2SM"/>
        <w:keepNext/>
        <w:spacing w:after="0"/>
      </w:pPr>
      <w:r w:rsidRPr="00D46A35">
        <w:rPr>
          <w:i/>
          <w:iCs/>
          <w:u w:val="single"/>
        </w:rPr>
        <w:t>2</w:t>
      </w:r>
      <w:r>
        <w:rPr>
          <w:i/>
          <w:iCs/>
          <w:u w:val="single"/>
        </w:rPr>
        <w:t> regione</w:t>
      </w:r>
      <w:r w:rsidRPr="00D46A35">
        <w:rPr>
          <w:i/>
          <w:iCs/>
          <w:u w:val="single"/>
        </w:rPr>
        <w:t>s</w:t>
      </w:r>
      <w:r>
        <w:t xml:space="preserve"> </w:t>
      </w:r>
      <w:r w:rsidRPr="00B54613">
        <w:t>(</w:t>
      </w:r>
      <w:r w:rsidRPr="006A0990">
        <w:rPr>
          <w:i/>
          <w:iCs/>
        </w:rPr>
        <w:t>A</w:t>
      </w:r>
      <w:r>
        <w:t xml:space="preserve"> y </w:t>
      </w:r>
      <w:r w:rsidRPr="006A0990">
        <w:rPr>
          <w:i/>
          <w:iCs/>
        </w:rPr>
        <w:t>B</w:t>
      </w:r>
      <w:r w:rsidRPr="00B54613">
        <w:t>)</w:t>
      </w:r>
      <w:r>
        <w:t xml:space="preserve">, </w:t>
      </w:r>
      <w:r w:rsidRPr="00D46A35">
        <w:rPr>
          <w:i/>
          <w:iCs/>
          <w:u w:val="single"/>
        </w:rPr>
        <w:t>2</w:t>
      </w:r>
      <w:r>
        <w:rPr>
          <w:i/>
          <w:iCs/>
          <w:u w:val="single"/>
        </w:rPr>
        <w:t> </w:t>
      </w:r>
      <w:r w:rsidRPr="00D46A35">
        <w:rPr>
          <w:i/>
          <w:iCs/>
          <w:u w:val="single"/>
        </w:rPr>
        <w:t>bienes</w:t>
      </w:r>
      <w:r>
        <w:t xml:space="preserve"> </w:t>
      </w:r>
      <w:r w:rsidRPr="00B54613">
        <w:t>(</w:t>
      </w:r>
      <w:r w:rsidRPr="006A0990">
        <w:rPr>
          <w:i/>
          <w:iCs/>
        </w:rPr>
        <w:t>X</w:t>
      </w:r>
      <w:r>
        <w:t xml:space="preserve"> (bien agrícola) e </w:t>
      </w:r>
      <w:r w:rsidRPr="006A0990">
        <w:rPr>
          <w:i/>
          <w:iCs/>
        </w:rPr>
        <w:t>Y</w:t>
      </w:r>
      <w:r>
        <w:t xml:space="preserve"> (bien manufacturado)</w:t>
      </w:r>
      <w:r w:rsidRPr="00B54613">
        <w:t>)</w:t>
      </w:r>
      <w:r>
        <w:t xml:space="preserve"> y </w:t>
      </w:r>
      <w:r>
        <w:rPr>
          <w:i/>
          <w:iCs/>
          <w:u w:val="single"/>
        </w:rPr>
        <w:t>2 </w:t>
      </w:r>
      <w:r w:rsidRPr="00D46A35">
        <w:rPr>
          <w:i/>
          <w:iCs/>
          <w:u w:val="single"/>
        </w:rPr>
        <w:t>factores de producción</w:t>
      </w:r>
      <w:r>
        <w:t xml:space="preserve"> </w:t>
      </w:r>
      <w:r w:rsidRPr="00B54613">
        <w:t>(</w:t>
      </w:r>
      <w:r>
        <w:t xml:space="preserve">dos tipos de </w:t>
      </w:r>
      <w:r w:rsidRPr="00B54613">
        <w:t>trabajo</w:t>
      </w:r>
      <w:r>
        <w:t xml:space="preserve">, uno para cada sector: </w:t>
      </w:r>
      <m:oMath>
        <m:sSup>
          <m:sSupPr>
            <m:ctrlPr>
              <w:rPr>
                <w:rFonts w:ascii="Cambria Math" w:hAnsi="Cambria Math"/>
                <w:i/>
              </w:rPr>
            </m:ctrlPr>
          </m:sSupPr>
          <m:e>
            <m:r>
              <m:rPr>
                <m:nor/>
              </m:rPr>
              <w:rPr>
                <w:i/>
              </w:rPr>
              <m:t>L</m:t>
            </m:r>
          </m:e>
          <m:sup>
            <m:r>
              <m:rPr>
                <m:nor/>
              </m:rPr>
              <w:rPr>
                <w:i/>
              </w:rPr>
              <m:t>X</m:t>
            </m:r>
          </m:sup>
        </m:sSup>
      </m:oMath>
      <w:r w:rsidRPr="00CF4266">
        <w:rPr>
          <w:rFonts w:eastAsiaTheme="minorEastAsia"/>
        </w:rPr>
        <w:t xml:space="preserve"> </w:t>
      </w:r>
      <w:r>
        <w:rPr>
          <w:rFonts w:eastAsiaTheme="minorEastAsia"/>
        </w:rPr>
        <w:t xml:space="preserve">(agricultores) </w:t>
      </w:r>
      <w:r w:rsidRPr="00CF4266">
        <w:rPr>
          <w:rFonts w:eastAsiaTheme="minorEastAsia"/>
        </w:rPr>
        <w:t xml:space="preserve">y </w:t>
      </w:r>
      <m:oMath>
        <m:sSup>
          <m:sSupPr>
            <m:ctrlPr>
              <w:rPr>
                <w:rFonts w:ascii="Cambria Math" w:hAnsi="Cambria Math"/>
                <w:i/>
              </w:rPr>
            </m:ctrlPr>
          </m:sSupPr>
          <m:e>
            <m:r>
              <m:rPr>
                <m:nor/>
              </m:rPr>
              <w:rPr>
                <w:i/>
              </w:rPr>
              <m:t>L</m:t>
            </m:r>
          </m:e>
          <m:sup>
            <m:r>
              <m:rPr>
                <m:nor/>
              </m:rPr>
              <w:rPr>
                <w:i/>
              </w:rPr>
              <m:t>Y</m:t>
            </m:r>
          </m:sup>
        </m:sSup>
      </m:oMath>
      <w:r>
        <w:rPr>
          <w:rFonts w:eastAsiaTheme="minorEastAsia"/>
        </w:rPr>
        <w:t xml:space="preserve"> (obreros)</w:t>
      </w:r>
      <w:r w:rsidRPr="00B54613">
        <w:t>)</w:t>
      </w:r>
      <w:r>
        <w:t>.</w:t>
      </w:r>
    </w:p>
    <w:p w14:paraId="1AB1C8CC" w14:textId="77777777" w:rsidR="00393A15" w:rsidRPr="00CF4266" w:rsidRDefault="00393A15" w:rsidP="00393A15">
      <w:pPr>
        <w:pStyle w:val="Nivel3SM"/>
      </w:pPr>
      <w:r w:rsidRPr="00CF4266">
        <w:t>El bien</w:t>
      </w:r>
      <w:r>
        <w:t> </w:t>
      </w:r>
      <w:r w:rsidRPr="00CF4266">
        <w:rPr>
          <w:i/>
          <w:iCs/>
        </w:rPr>
        <w:t>X</w:t>
      </w:r>
      <w:r w:rsidRPr="00CF4266">
        <w:t xml:space="preserve"> es homogéneo, pero el bien</w:t>
      </w:r>
      <w:r>
        <w:t> </w:t>
      </w:r>
      <w:r w:rsidRPr="00CF4266">
        <w:rPr>
          <w:i/>
          <w:iCs/>
        </w:rPr>
        <w:t>Y</w:t>
      </w:r>
      <w:r w:rsidRPr="00CF4266">
        <w:t xml:space="preserve"> es d</w:t>
      </w:r>
      <w:r>
        <w:t>iferenciado.</w:t>
      </w:r>
    </w:p>
    <w:p w14:paraId="3170EB30" w14:textId="77777777" w:rsidR="00393A15" w:rsidRPr="007A745F" w:rsidRDefault="00393A15" w:rsidP="00393A15">
      <w:pPr>
        <w:pStyle w:val="Nivel3SM"/>
        <w:keepNext/>
        <w:rPr>
          <w:spacing w:val="-3"/>
        </w:rPr>
      </w:pPr>
      <w:r w:rsidRPr="007A745F">
        <w:rPr>
          <w:spacing w:val="-3"/>
        </w:rPr>
        <w:t xml:space="preserve">Por simplicidad, el trabajo total en la economía </w:t>
      </w:r>
      <w:r w:rsidRPr="007A745F">
        <w:rPr>
          <w:spacing w:val="-3"/>
          <w:sz w:val="18"/>
          <w:szCs w:val="18"/>
        </w:rPr>
        <w:t>(sumando amb</w:t>
      </w:r>
      <w:r>
        <w:rPr>
          <w:spacing w:val="-3"/>
          <w:sz w:val="18"/>
          <w:szCs w:val="18"/>
        </w:rPr>
        <w:t>a</w:t>
      </w:r>
      <w:r w:rsidRPr="007A745F">
        <w:rPr>
          <w:spacing w:val="-3"/>
          <w:sz w:val="18"/>
          <w:szCs w:val="18"/>
        </w:rPr>
        <w:t xml:space="preserve">s </w:t>
      </w:r>
      <w:r>
        <w:rPr>
          <w:spacing w:val="-3"/>
          <w:sz w:val="18"/>
          <w:szCs w:val="18"/>
        </w:rPr>
        <w:t>regiones</w:t>
      </w:r>
      <w:r w:rsidRPr="007A745F">
        <w:rPr>
          <w:spacing w:val="-3"/>
          <w:sz w:val="18"/>
          <w:szCs w:val="18"/>
        </w:rPr>
        <w:t>)</w:t>
      </w:r>
      <w:r w:rsidRPr="007A745F">
        <w:rPr>
          <w:spacing w:val="-3"/>
        </w:rPr>
        <w:t xml:space="preserve"> está normalizado a 1.</w:t>
      </w:r>
    </w:p>
    <w:p w14:paraId="53FB694D" w14:textId="77777777" w:rsidR="00393A15" w:rsidRPr="00990E50" w:rsidRDefault="00393A15" w:rsidP="00393A15">
      <w:pPr>
        <w:pStyle w:val="Nivel4"/>
        <w:ind w:left="1332"/>
        <w:rPr>
          <w:spacing w:val="-2"/>
        </w:rPr>
      </w:pPr>
      <w:r w:rsidRPr="00990E50">
        <w:rPr>
          <w:i/>
          <w:iCs/>
          <w:spacing w:val="-2"/>
        </w:rPr>
        <w:t>Agricultores</w:t>
      </w:r>
      <w:r w:rsidRPr="00990E50">
        <w:rPr>
          <w:spacing w:val="-2"/>
        </w:rPr>
        <w:t xml:space="preserve"> (</w:t>
      </w:r>
      <m:oMath>
        <m:sSup>
          <m:sSupPr>
            <m:ctrlPr>
              <w:rPr>
                <w:rFonts w:ascii="Cambria Math" w:hAnsi="Cambria Math"/>
                <w:i/>
                <w:spacing w:val="-2"/>
              </w:rPr>
            </m:ctrlPr>
          </m:sSupPr>
          <m:e>
            <m:r>
              <m:rPr>
                <m:nor/>
              </m:rPr>
              <w:rPr>
                <w:i/>
                <w:spacing w:val="-2"/>
              </w:rPr>
              <m:t>L</m:t>
            </m:r>
          </m:e>
          <m:sup>
            <m:r>
              <m:rPr>
                <m:nor/>
              </m:rPr>
              <w:rPr>
                <w:i/>
                <w:spacing w:val="-2"/>
              </w:rPr>
              <m:t>X</m:t>
            </m:r>
          </m:sup>
        </m:sSup>
      </m:oMath>
      <w:r w:rsidRPr="00990E50">
        <w:rPr>
          <w:spacing w:val="-2"/>
        </w:rPr>
        <w:t xml:space="preserve">): Una proporción exógena trabaja en este sector, que al ser inmóvil entre países y estar distribuido a partes iguales, sabemos que </w:t>
      </w:r>
      <m:oMath>
        <m:sSubSup>
          <m:sSubSupPr>
            <m:ctrlPr>
              <w:rPr>
                <w:rFonts w:ascii="Cambria Math" w:hAnsi="Cambria Math"/>
                <w:i/>
                <w:spacing w:val="-2"/>
              </w:rPr>
            </m:ctrlPr>
          </m:sSubSupPr>
          <m:e>
            <m:r>
              <m:rPr>
                <m:nor/>
              </m:rPr>
              <w:rPr>
                <w:i/>
                <w:spacing w:val="-2"/>
              </w:rPr>
              <m:t>L</m:t>
            </m:r>
          </m:e>
          <m:sub>
            <m:r>
              <m:rPr>
                <m:nor/>
              </m:rPr>
              <w:rPr>
                <w:i/>
                <w:spacing w:val="-2"/>
              </w:rPr>
              <m:t>i</m:t>
            </m:r>
          </m:sub>
          <m:sup>
            <m:r>
              <m:rPr>
                <m:nor/>
              </m:rPr>
              <w:rPr>
                <w:i/>
                <w:spacing w:val="-2"/>
              </w:rPr>
              <m:t>X</m:t>
            </m:r>
          </m:sup>
        </m:sSubSup>
        <m:r>
          <w:rPr>
            <w:rFonts w:ascii="Cambria Math" w:hAnsi="Cambria Math"/>
            <w:spacing w:val="-2"/>
          </w:rPr>
          <m:t>=</m:t>
        </m:r>
        <m:f>
          <m:fPr>
            <m:type m:val="lin"/>
            <m:ctrlPr>
              <w:rPr>
                <w:rFonts w:ascii="Cambria Math" w:hAnsi="Cambria Math"/>
                <w:i/>
                <w:spacing w:val="-2"/>
              </w:rPr>
            </m:ctrlPr>
          </m:fPr>
          <m:num>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γ</m:t>
                </m:r>
              </m:e>
            </m:d>
          </m:num>
          <m:den>
            <m:r>
              <m:rPr>
                <m:nor/>
              </m:rPr>
              <w:rPr>
                <w:i/>
                <w:spacing w:val="-2"/>
              </w:rPr>
              <m:t>2</m:t>
            </m:r>
          </m:den>
        </m:f>
      </m:oMath>
      <w:r w:rsidRPr="00990E50">
        <w:rPr>
          <w:spacing w:val="-2"/>
        </w:rPr>
        <w:t xml:space="preserve"> para </w:t>
      </w:r>
      <m:oMath>
        <m:r>
          <m:rPr>
            <m:nor/>
          </m:rPr>
          <w:rPr>
            <w:i/>
            <w:spacing w:val="-2"/>
          </w:rPr>
          <m:t>i</m:t>
        </m:r>
        <m:r>
          <w:rPr>
            <w:rFonts w:ascii="Cambria Math" w:hAnsi="Cambria Math"/>
            <w:spacing w:val="-2"/>
          </w:rPr>
          <m:t>=</m:t>
        </m:r>
        <m:r>
          <m:rPr>
            <m:nor/>
          </m:rPr>
          <w:rPr>
            <w:i/>
            <w:spacing w:val="-2"/>
          </w:rPr>
          <m:t>A</m:t>
        </m:r>
        <m:r>
          <w:rPr>
            <w:rFonts w:ascii="Cambria Math"/>
            <w:spacing w:val="-2"/>
          </w:rPr>
          <m:t xml:space="preserve">, </m:t>
        </m:r>
        <m:r>
          <m:rPr>
            <m:nor/>
          </m:rPr>
          <w:rPr>
            <w:i/>
            <w:spacing w:val="-2"/>
          </w:rPr>
          <m:t>B</m:t>
        </m:r>
      </m:oMath>
      <w:r w:rsidRPr="00990E50">
        <w:rPr>
          <w:spacing w:val="-2"/>
        </w:rPr>
        <w:t>.</w:t>
      </w:r>
    </w:p>
    <w:p w14:paraId="6F039925" w14:textId="77777777" w:rsidR="00393A15" w:rsidRDefault="00393A15" w:rsidP="00393A15">
      <w:pPr>
        <w:pStyle w:val="Nivel4"/>
        <w:keepNext/>
        <w:ind w:left="1332"/>
      </w:pPr>
      <w:r>
        <w:rPr>
          <w:i/>
          <w:iCs/>
        </w:rPr>
        <w:t>Obreros</w:t>
      </w:r>
      <w:r>
        <w:t xml:space="preserve"> (</w:t>
      </w:r>
      <m:oMath>
        <m:sSup>
          <m:sSupPr>
            <m:ctrlPr>
              <w:rPr>
                <w:rFonts w:ascii="Cambria Math" w:hAnsi="Cambria Math"/>
                <w:i/>
              </w:rPr>
            </m:ctrlPr>
          </m:sSupPr>
          <m:e>
            <m:r>
              <m:rPr>
                <m:nor/>
              </m:rPr>
              <w:rPr>
                <w:i/>
              </w:rPr>
              <m:t>L</m:t>
            </m:r>
          </m:e>
          <m:sup>
            <m:r>
              <m:rPr>
                <m:nor/>
              </m:rPr>
              <w:rPr>
                <w:i/>
              </w:rPr>
              <m:t>Y</m:t>
            </m:r>
          </m:sup>
        </m:sSup>
      </m:oMath>
      <w:r>
        <w:t xml:space="preserve">): Una proporción exógena </w:t>
      </w:r>
      <m:oMath>
        <m:r>
          <m:rPr>
            <m:nor/>
          </m:rPr>
          <w:rPr>
            <w:i/>
          </w:rPr>
          <m:t>γ</m:t>
        </m:r>
      </m:oMath>
      <w:r>
        <w:t xml:space="preserve"> trabaja en este sector, que, al ser móvil, no sabemos cómo se reparte, de forma que en cada momento temporal </w:t>
      </w:r>
      <m:oMath>
        <m:sSub>
          <m:sSubPr>
            <m:ctrlPr>
              <w:rPr>
                <w:rFonts w:ascii="Cambria Math" w:hAnsi="Cambria Math"/>
                <w:i/>
              </w:rPr>
            </m:ctrlPr>
          </m:sSubPr>
          <m:e>
            <m:r>
              <m:rPr>
                <m:nor/>
              </m:rPr>
              <w:rPr>
                <w:i/>
              </w:rPr>
              <m:t>γ</m:t>
            </m:r>
          </m:e>
          <m:sub>
            <m:r>
              <m:rPr>
                <m:nor/>
              </m:rPr>
              <w:rPr>
                <w:i/>
              </w:rPr>
              <m:t>A</m:t>
            </m:r>
          </m:sub>
        </m:sSub>
        <m:r>
          <w:rPr>
            <w:rFonts w:ascii="Cambria Math" w:hAnsi="Cambria Math"/>
          </w:rPr>
          <m:t>+</m:t>
        </m:r>
        <m:sSub>
          <m:sSubPr>
            <m:ctrlPr>
              <w:rPr>
                <w:rFonts w:ascii="Cambria Math" w:hAnsi="Cambria Math"/>
                <w:i/>
              </w:rPr>
            </m:ctrlPr>
          </m:sSubPr>
          <m:e>
            <m:r>
              <m:rPr>
                <m:nor/>
              </m:rPr>
              <w:rPr>
                <w:i/>
              </w:rPr>
              <m:t>γ</m:t>
            </m:r>
          </m:e>
          <m:sub>
            <m:r>
              <m:rPr>
                <m:nor/>
              </m:rPr>
              <w:rPr>
                <w:i/>
              </w:rPr>
              <m:t>B</m:t>
            </m:r>
          </m:sub>
        </m:sSub>
        <m:r>
          <w:rPr>
            <w:rFonts w:ascii="Cambria Math" w:hAnsi="Cambria Math"/>
          </w:rPr>
          <m:t>=</m:t>
        </m:r>
        <m:r>
          <m:rPr>
            <m:nor/>
          </m:rPr>
          <w:rPr>
            <w:i/>
          </w:rPr>
          <m:t>γ</m:t>
        </m:r>
      </m:oMath>
      <w:r>
        <w:t>.</w:t>
      </w:r>
    </w:p>
    <w:p w14:paraId="7817090A" w14:textId="77777777" w:rsidR="00393A15" w:rsidRPr="00594443" w:rsidRDefault="00393A15" w:rsidP="00393A15">
      <w:pPr>
        <w:pStyle w:val="Nivel5"/>
        <w:ind w:left="1871"/>
      </w:pPr>
      <w:r w:rsidRPr="00594443">
        <w:t>Introducimos la notación</w:t>
      </w:r>
      <w:r>
        <w:t xml:space="preserve"> </w:t>
      </w:r>
      <m:oMath>
        <m:sSub>
          <m:sSubPr>
            <m:ctrlPr>
              <w:rPr>
                <w:rFonts w:ascii="Cambria Math" w:hAnsi="Cambria Math"/>
                <w:i/>
              </w:rPr>
            </m:ctrlPr>
          </m:sSubPr>
          <m:e>
            <m:r>
              <m:rPr>
                <m:nor/>
              </m:rPr>
              <w:rPr>
                <w:i/>
                <w:iCs/>
              </w:rPr>
              <m:t>λ</m:t>
            </m:r>
          </m:e>
          <m:sub>
            <m:r>
              <m:rPr>
                <m:nor/>
              </m:rPr>
              <w:rPr>
                <w:i/>
              </w:rPr>
              <m:t>i</m:t>
            </m:r>
          </m:sub>
        </m:sSub>
        <m:r>
          <w:rPr>
            <w:rFonts w:ascii="Cambria Math" w:hAnsi="Cambria Math"/>
          </w:rPr>
          <m:t>≡</m:t>
        </m:r>
        <m:f>
          <m:fPr>
            <m:type m:val="lin"/>
            <m:ctrlPr>
              <w:rPr>
                <w:rFonts w:ascii="Cambria Math" w:hAnsi="Cambria Math"/>
                <w:i/>
                <w:iCs/>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w:r w:rsidRPr="00594443">
        <w:t>, como la proporción de obreros en la región.</w:t>
      </w:r>
    </w:p>
    <w:p w14:paraId="26C2B45A" w14:textId="77777777" w:rsidR="00393A15" w:rsidRPr="005717D8" w:rsidRDefault="00393A15" w:rsidP="00393A15">
      <w:pPr>
        <w:pStyle w:val="Nivel2SM"/>
        <w:keepNext/>
        <w:spacing w:after="0"/>
      </w:pPr>
      <w:r w:rsidRPr="005717D8">
        <w:lastRenderedPageBreak/>
        <w:t xml:space="preserve">La </w:t>
      </w:r>
      <w:r w:rsidRPr="005717D8">
        <w:rPr>
          <w:i/>
          <w:iCs/>
          <w:u w:val="single"/>
        </w:rPr>
        <w:t>tecnología</w:t>
      </w:r>
      <w:r w:rsidRPr="005717D8">
        <w:t xml:space="preserve"> es idéntica entre regiones</w:t>
      </w:r>
      <w:r w:rsidRPr="005717D8">
        <w:rPr>
          <w:sz w:val="20"/>
          <w:szCs w:val="20"/>
        </w:rPr>
        <w:t xml:space="preserve"> (para eliminar posibles diferencias exógenas entre regiones)</w:t>
      </w:r>
      <w:r w:rsidRPr="005717D8">
        <w:t>:</w:t>
      </w:r>
    </w:p>
    <w:p w14:paraId="168DB3F2" w14:textId="77777777" w:rsidR="00393A15" w:rsidRPr="001F369A" w:rsidRDefault="00393A15" w:rsidP="00393A15">
      <w:pPr>
        <w:pStyle w:val="Nivel3SM"/>
        <w:keepNext/>
      </w:pPr>
      <w:r w:rsidRPr="001F369A">
        <w:t>El bien</w:t>
      </w:r>
      <w:r>
        <w:t> </w:t>
      </w:r>
      <w:r w:rsidRPr="001F369A">
        <w:rPr>
          <w:i/>
          <w:iCs/>
        </w:rPr>
        <w:t>X</w:t>
      </w:r>
      <w:r w:rsidRPr="001F369A">
        <w:t xml:space="preserve"> se produce mediante una función de producción con rendimientos constantes a escala que requiere una unidad de trabajo para producir una unidad de producto:</w:t>
      </w:r>
    </w:p>
    <w:p w14:paraId="553CF6D2" w14:textId="77777777" w:rsidR="00393A15" w:rsidRDefault="00393A15" w:rsidP="00393A15">
      <w:pPr>
        <w:pStyle w:val="Nivel3SM"/>
        <w:numPr>
          <w:ilvl w:val="0"/>
          <w:numId w:val="0"/>
        </w:numPr>
        <w:ind w:left="963"/>
      </w:pPr>
      <m:oMathPara>
        <m:oMath>
          <m:r>
            <w:rPr>
              <w:rFonts w:ascii="Cambria Math" w:hAnsi="Cambria Math"/>
            </w:rPr>
            <m:t xml:space="preserve"> </m:t>
          </m:r>
          <m:r>
            <m:rPr>
              <m:nor/>
            </m:rPr>
            <w:rPr>
              <w:rFonts w:eastAsiaTheme="minorEastAsia"/>
              <w:i/>
            </w:rPr>
            <m:t>X</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r>
            <w:rPr>
              <w:rFonts w:ascii="Cambria Math" w:eastAsiaTheme="minorEastAsia" w:hAnsi="Cambria Math"/>
            </w:rPr>
            <m:t xml:space="preserve">   ;   </m:t>
          </m:r>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oMath>
      </m:oMathPara>
    </w:p>
    <w:p w14:paraId="1ED5C110" w14:textId="77777777" w:rsidR="00393A15" w:rsidRDefault="00393A15" w:rsidP="00393A15">
      <w:pPr>
        <w:pStyle w:val="Nivel3SM"/>
        <w:keepNext/>
      </w:pPr>
      <w:r>
        <w:t>Cualquier variedad del bien </w:t>
      </w:r>
      <w:r w:rsidRPr="001F369A">
        <w:rPr>
          <w:i/>
          <w:iCs/>
        </w:rPr>
        <w:t>Y</w:t>
      </w:r>
      <w:r>
        <w:t xml:space="preserve"> se produce haciendo uso de una tecnología que da lugar a economías de escala caracterizada por un coste fijo y un coste variable:</w:t>
      </w:r>
    </w:p>
    <w:p w14:paraId="095C5670" w14:textId="77777777" w:rsidR="00393A15" w:rsidRPr="001F369A" w:rsidRDefault="00393A15" w:rsidP="00393A15">
      <w:pPr>
        <w:pStyle w:val="Nivel2"/>
        <w:numPr>
          <w:ilvl w:val="0"/>
          <w:numId w:val="0"/>
        </w:numPr>
        <w:ind w:left="1049"/>
        <w:rPr>
          <w:rFonts w:eastAsiaTheme="minorEastAsia"/>
        </w:rPr>
      </w:pPr>
      <m:oMathPara>
        <m:oMath>
          <m:r>
            <w:rPr>
              <w:rFonts w:ascii="Cambria Math" w:eastAsiaTheme="minorEastAsia" w:hAnsi="Cambria Math"/>
            </w:rPr>
            <m:t xml:space="preserve"> </m:t>
          </m:r>
          <m:r>
            <m:rPr>
              <m:nor/>
            </m:rPr>
            <w:rPr>
              <w:rFonts w:eastAsiaTheme="minorEastAsia"/>
              <w:i/>
            </w:rPr>
            <m:t>CT</m:t>
          </m:r>
          <m:r>
            <w:rPr>
              <w:rFonts w:ascii="Cambria Math" w:hAnsi="Cambria Math"/>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366CAF13" w14:textId="7D70CA7E" w:rsidR="00393A15" w:rsidRPr="00C5282A" w:rsidRDefault="00393A15" w:rsidP="00393A15">
      <w:pPr>
        <w:pStyle w:val="Nivel2SM"/>
        <w:keepNext/>
        <w:spacing w:after="0"/>
      </w:pPr>
      <w:r>
        <w:t xml:space="preserve">Los consumidores derivan utilidad del consumo de ambos bienes. Sus </w:t>
      </w:r>
      <w:r w:rsidRPr="00C5282A">
        <w:rPr>
          <w:i/>
          <w:iCs/>
          <w:u w:val="single"/>
        </w:rPr>
        <w:t>preferencias</w:t>
      </w:r>
      <w:r>
        <w:t xml:space="preserve"> de consumo son tales que gastan una porción</w:t>
      </w:r>
      <w:r w:rsidR="00D913A0">
        <w:t> </w:t>
      </w:r>
      <m:oMath>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oMath>
      <w:r>
        <w:t xml:space="preserve"> de la renta en el bien </w:t>
      </w:r>
      <w:r>
        <w:rPr>
          <w:i/>
          <w:iCs/>
        </w:rPr>
        <w:t>X</w:t>
      </w:r>
      <w:r>
        <w:t>, y una porción</w:t>
      </w:r>
      <w:r w:rsidR="00D913A0">
        <w:t> </w:t>
      </w:r>
      <m:oMath>
        <m:r>
          <m:rPr>
            <m:nor/>
          </m:rPr>
          <w:rPr>
            <w:rFonts w:eastAsiaTheme="minorEastAsia"/>
            <w:i/>
          </w:rPr>
          <m:t>γ</m:t>
        </m:r>
      </m:oMath>
      <w:r>
        <w:rPr>
          <w:rFonts w:eastAsiaTheme="minorEastAsia"/>
        </w:rPr>
        <w:t xml:space="preserve"> de la renta en el bien </w:t>
      </w:r>
      <w:r>
        <w:rPr>
          <w:rFonts w:eastAsiaTheme="minorEastAsia"/>
          <w:i/>
          <w:iCs/>
        </w:rPr>
        <w:t>Y</w:t>
      </w:r>
      <w:r w:rsidRPr="005717D8">
        <w:rPr>
          <w:rStyle w:val="Refdenotaalpie"/>
          <w:rFonts w:eastAsiaTheme="minorEastAsia"/>
        </w:rPr>
        <w:footnoteReference w:id="23"/>
      </w:r>
      <w:r>
        <w:rPr>
          <w:rFonts w:eastAsiaTheme="minorEastAsia"/>
        </w:rPr>
        <w:t>.</w:t>
      </w:r>
    </w:p>
    <w:p w14:paraId="02854213" w14:textId="77777777" w:rsidR="00393A15" w:rsidRDefault="00393A15" w:rsidP="00393A15">
      <w:pPr>
        <w:pStyle w:val="Nivel3SM"/>
        <w:keepNext/>
      </w:pPr>
      <w:r>
        <w:t>El bien </w:t>
      </w:r>
      <w:r>
        <w:rPr>
          <w:i/>
          <w:iCs/>
        </w:rPr>
        <w:t>Y</w:t>
      </w:r>
      <w:r>
        <w:t xml:space="preserve"> está diferenciado y la función de </w:t>
      </w:r>
      <w:proofErr w:type="spellStart"/>
      <w:r>
        <w:t>subutilidad</w:t>
      </w:r>
      <w:proofErr w:type="spellEnd"/>
      <w:r>
        <w:t xml:space="preserve"> derivada del consumo de </w:t>
      </w:r>
      <w:r>
        <w:rPr>
          <w:i/>
          <w:iCs/>
        </w:rPr>
        <w:t>Y</w:t>
      </w:r>
      <w:r>
        <w:t xml:space="preserve"> viene dada por la siguiente forma:</w:t>
      </w:r>
    </w:p>
    <w:p w14:paraId="4D448208" w14:textId="77777777" w:rsidR="00393A15" w:rsidRPr="009D14E0" w:rsidRDefault="00393A15" w:rsidP="00393A15">
      <w:pPr>
        <w:pStyle w:val="Nivel3SM"/>
        <w:numPr>
          <w:ilvl w:val="0"/>
          <w:numId w:val="0"/>
        </w:numPr>
        <w:ind w:left="963"/>
        <w:rPr>
          <w:rFonts w:eastAsiaTheme="minorEastAsia"/>
          <w:iCs/>
        </w:rPr>
      </w:pPr>
      <m:oMathPara>
        <m:oMath>
          <m:r>
            <w:rPr>
              <w:rFonts w:ascii="Cambria Math" w:eastAsiaTheme="minorEastAsia" w:hAnsi="Cambria Math"/>
            </w:rPr>
            <m:t xml:space="preserve"> </m:t>
          </m:r>
          <m:r>
            <m:rPr>
              <m:nor/>
            </m:rPr>
            <w:rPr>
              <w:i/>
              <w:iCs/>
            </w:rPr>
            <m:t>V</m:t>
          </m:r>
          <m:r>
            <w:rPr>
              <w:rFonts w:asci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i/>
                                  <w:iCs/>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r>
            <w:rPr>
              <w:rFonts w:ascii="Cambria Math" w:eastAsiaTheme="minorEastAsia" w:hAnsi="Cambria Math"/>
            </w:rPr>
            <m:t xml:space="preserve">   ∀ </m:t>
          </m:r>
          <m:r>
            <m:rPr>
              <m:nor/>
            </m:rPr>
            <w:rPr>
              <w:rFonts w:eastAsiaTheme="minorEastAsia"/>
              <w:i/>
              <w:iCs/>
            </w:rPr>
            <m:t>σ</m:t>
          </m:r>
          <m:r>
            <w:rPr>
              <w:rFonts w:ascii="Cambria Math" w:eastAsiaTheme="minorEastAsia"/>
            </w:rPr>
            <m:t>&gt;</m:t>
          </m:r>
          <m:r>
            <m:rPr>
              <m:nor/>
            </m:rPr>
            <w:rPr>
              <w:rFonts w:eastAsiaTheme="minorEastAsia"/>
              <w:i/>
              <w:iCs/>
            </w:rPr>
            <m:t>1</m:t>
          </m:r>
        </m:oMath>
      </m:oMathPara>
    </w:p>
    <w:p w14:paraId="583D506A" w14:textId="77777777" w:rsidR="00393A15" w:rsidRDefault="00393A15" w:rsidP="00393A15">
      <w:pPr>
        <w:pStyle w:val="Nivel3SM"/>
      </w:pPr>
      <w:r>
        <w:t xml:space="preserve">Como ya hemos visto, la principal característica de esta función es la </w:t>
      </w:r>
      <w:r w:rsidRPr="009D14E0">
        <w:rPr>
          <w:i/>
          <w:iCs/>
        </w:rPr>
        <w:t>preferencia por la variedad</w:t>
      </w:r>
      <w:r>
        <w:t>. Como consecuencia de esto, los consumidores elegirán distribuir cualquier cantidad del gasto en el mayor número posible de variedades.</w:t>
      </w:r>
    </w:p>
    <w:p w14:paraId="4342C561" w14:textId="77777777" w:rsidR="00393A15" w:rsidRDefault="00393A15" w:rsidP="00393A15">
      <w:pPr>
        <w:pStyle w:val="Nivel3SM"/>
      </w:pPr>
      <w:r>
        <w:t xml:space="preserve">Dada la preferencia por la variedad es óptimo para las empresas </w:t>
      </w:r>
      <w:r w:rsidRPr="009D14E0">
        <w:rPr>
          <w:i/>
          <w:iCs/>
        </w:rPr>
        <w:t>diferenciar su producto</w:t>
      </w:r>
      <w:r>
        <w:t xml:space="preserve"> del producto de otras empresas.</w:t>
      </w:r>
    </w:p>
    <w:p w14:paraId="739AF007" w14:textId="77777777" w:rsidR="00393A15" w:rsidRDefault="00393A15" w:rsidP="00393A15">
      <w:pPr>
        <w:pStyle w:val="Nivel3SM"/>
      </w:pPr>
      <w:r>
        <w:t xml:space="preserve">Esta diferenciación del producto dará </w:t>
      </w:r>
      <w:r w:rsidRPr="009D14E0">
        <w:rPr>
          <w:i/>
          <w:iCs/>
        </w:rPr>
        <w:t>poder de mercado</w:t>
      </w:r>
      <w:r>
        <w:t xml:space="preserve"> a las empresas que podrán explotarlo y fijarán precios mayores al coste marginal.</w:t>
      </w:r>
    </w:p>
    <w:p w14:paraId="19F73BEC" w14:textId="77777777" w:rsidR="00393A15" w:rsidRDefault="00393A15" w:rsidP="00393A15">
      <w:pPr>
        <w:pStyle w:val="Nivel2SM"/>
        <w:keepNext/>
        <w:spacing w:after="0"/>
      </w:pPr>
      <w:r w:rsidRPr="00B368FE">
        <w:rPr>
          <w:i/>
          <w:iCs/>
          <w:u w:val="single"/>
        </w:rPr>
        <w:t>Estructura de mercado</w:t>
      </w:r>
      <w:r>
        <w:t>:</w:t>
      </w:r>
    </w:p>
    <w:p w14:paraId="3CC29E7B" w14:textId="77777777" w:rsidR="00393A15" w:rsidRDefault="00393A15" w:rsidP="00393A15">
      <w:pPr>
        <w:pStyle w:val="Nivel3SM"/>
      </w:pPr>
      <w:r>
        <w:t>El mercado del bien </w:t>
      </w:r>
      <w:r>
        <w:rPr>
          <w:i/>
          <w:iCs/>
        </w:rPr>
        <w:t>X</w:t>
      </w:r>
      <w:r>
        <w:t xml:space="preserve"> es de </w:t>
      </w:r>
      <w:r w:rsidRPr="001B1AB8">
        <w:rPr>
          <w:i/>
          <w:iCs/>
        </w:rPr>
        <w:t>competencia perfecta</w:t>
      </w:r>
      <w:r>
        <w:t>.</w:t>
      </w:r>
    </w:p>
    <w:p w14:paraId="1146B50B" w14:textId="77777777" w:rsidR="00393A15" w:rsidRDefault="00393A15" w:rsidP="00393A15">
      <w:pPr>
        <w:pStyle w:val="Nivel3SM"/>
      </w:pPr>
      <w:r>
        <w:t>El mercado del bien </w:t>
      </w:r>
      <w:r>
        <w:rPr>
          <w:i/>
          <w:iCs/>
        </w:rPr>
        <w:t>Y</w:t>
      </w:r>
      <w:r>
        <w:t xml:space="preserve"> está caracterizado por </w:t>
      </w:r>
      <w:r w:rsidRPr="001B1AB8">
        <w:rPr>
          <w:i/>
          <w:iCs/>
        </w:rPr>
        <w:t>competencia monopolística</w:t>
      </w:r>
      <w:r>
        <w:t>.</w:t>
      </w:r>
    </w:p>
    <w:p w14:paraId="609C3119" w14:textId="77777777" w:rsidR="00393A15" w:rsidRDefault="00393A15" w:rsidP="00393A15">
      <w:pPr>
        <w:pStyle w:val="Nivel2SM"/>
        <w:keepNext/>
        <w:spacing w:after="0"/>
      </w:pPr>
      <w:r w:rsidRPr="00B368FE">
        <w:rPr>
          <w:i/>
          <w:iCs/>
          <w:u w:val="single"/>
        </w:rPr>
        <w:t>Movilidad</w:t>
      </w:r>
      <w:r>
        <w:t>:</w:t>
      </w:r>
    </w:p>
    <w:p w14:paraId="63147E92" w14:textId="77777777" w:rsidR="00393A15" w:rsidRPr="001B1AB8" w:rsidRDefault="00393A15" w:rsidP="00393A15">
      <w:pPr>
        <w:pStyle w:val="Nivel3SM"/>
      </w:pPr>
      <w:r w:rsidRPr="001B1AB8">
        <w:t>Movilidad perfecta de bienes en el sector</w:t>
      </w:r>
      <w:r>
        <w:t> </w:t>
      </w:r>
      <w:r w:rsidRPr="00B368FE">
        <w:rPr>
          <w:i/>
          <w:iCs/>
        </w:rPr>
        <w:t>X</w:t>
      </w:r>
      <w:r>
        <w:t>.</w:t>
      </w:r>
    </w:p>
    <w:p w14:paraId="244895DC" w14:textId="77777777" w:rsidR="00393A15" w:rsidRPr="009D14E0" w:rsidRDefault="00393A15" w:rsidP="00393A15">
      <w:pPr>
        <w:pStyle w:val="Nivel3SM"/>
      </w:pPr>
      <w:r w:rsidRPr="001B1AB8">
        <w:t>No hay movilidad perfecta de bienes en el sector</w:t>
      </w:r>
      <w:r>
        <w:t> </w:t>
      </w:r>
      <w:r w:rsidRPr="00B368FE">
        <w:rPr>
          <w:i/>
          <w:iCs/>
        </w:rPr>
        <w:t>Y</w:t>
      </w:r>
      <w:r>
        <w:t xml:space="preserve">: </w:t>
      </w:r>
      <w:r w:rsidRPr="009D14E0">
        <w:t>El</w:t>
      </w:r>
      <w:r>
        <w:t xml:space="preserve"> bien </w:t>
      </w:r>
      <w:r w:rsidRPr="00B368FE">
        <w:rPr>
          <w:i/>
          <w:iCs/>
        </w:rPr>
        <w:t>Y</w:t>
      </w:r>
      <w:r>
        <w:t xml:space="preserve"> se comercia entre países a un coste de tipo iceberg, consistente en que para enviar una unidad del bien de una región a otra hay que enviar una cantidad</w:t>
      </w:r>
      <w:r>
        <w:rPr>
          <w:rFonts w:eastAsiaTheme="minorEastAsia"/>
        </w:rPr>
        <w:t xml:space="preserve"> </w:t>
      </w:r>
      <m:oMath>
        <m:r>
          <m:rPr>
            <m:nor/>
          </m:rPr>
          <w:rPr>
            <w:i/>
            <w:iCs/>
          </w:rPr>
          <m:t>τ</m:t>
        </m:r>
        <m:r>
          <w:rPr>
            <w:rFonts w:ascii="Cambria Math" w:hAnsi="Cambria Math"/>
          </w:rPr>
          <m:t>&gt;</m:t>
        </m:r>
        <m:r>
          <m:rPr>
            <m:nor/>
          </m:rPr>
          <w:rPr>
            <w:i/>
            <w:iCs/>
          </w:rPr>
          <m:t>1</m:t>
        </m:r>
      </m:oMath>
      <w:r>
        <w:rPr>
          <w:rFonts w:eastAsiaTheme="minorEastAsia"/>
        </w:rPr>
        <w:t xml:space="preserve"> y el resto se derrite. Por lo tanto, los costes de transportar cualquier variedad del bien </w:t>
      </w:r>
      <w:r w:rsidRPr="00B368FE">
        <w:rPr>
          <w:rFonts w:eastAsiaTheme="minorEastAsia"/>
          <w:i/>
          <w:iCs/>
        </w:rPr>
        <w:t>Y</w:t>
      </w:r>
      <w:r>
        <w:rPr>
          <w:rFonts w:eastAsiaTheme="minorEastAsia"/>
        </w:rPr>
        <w:t xml:space="preserve"> son </w:t>
      </w:r>
      <m:oMath>
        <m:d>
          <m:dPr>
            <m:ctrlPr>
              <w:rPr>
                <w:rFonts w:ascii="Cambria Math" w:hAnsi="Cambria Math"/>
                <w:i/>
                <w:iCs/>
              </w:rPr>
            </m:ctrlPr>
          </m:dPr>
          <m:e>
            <m:r>
              <m:rPr>
                <m:nor/>
              </m:rPr>
              <w:rPr>
                <w:i/>
                <w:iCs/>
              </w:rPr>
              <m:t>τ</m:t>
            </m:r>
            <m:r>
              <w:rPr>
                <w:rFonts w:ascii="Cambria Math" w:hAnsi="Cambria Math"/>
              </w:rPr>
              <m:t>-</m:t>
            </m:r>
            <m:r>
              <m:rPr>
                <m:nor/>
              </m:rPr>
              <w:rPr>
                <w:i/>
                <w:iCs/>
              </w:rPr>
              <m:t>1</m:t>
            </m:r>
          </m:e>
        </m:d>
      </m:oMath>
      <w:r>
        <w:rPr>
          <w:rFonts w:eastAsiaTheme="minorEastAsia"/>
        </w:rPr>
        <w:t>.</w:t>
      </w:r>
    </w:p>
    <w:p w14:paraId="0FA9E534" w14:textId="77777777" w:rsidR="00393A15" w:rsidRDefault="00393A15" w:rsidP="00393A15">
      <w:pPr>
        <w:pStyle w:val="Ttulo7"/>
      </w:pPr>
      <w:bookmarkStart w:id="71" w:name="_Toc128996531"/>
      <w:bookmarkEnd w:id="69"/>
      <w:r>
        <w:t>Desarrollo</w:t>
      </w:r>
      <w:bookmarkEnd w:id="71"/>
    </w:p>
    <w:p w14:paraId="03CAABEC" w14:textId="77777777" w:rsidR="00393A15" w:rsidRDefault="00393A15" w:rsidP="00393A15">
      <w:pPr>
        <w:pStyle w:val="Ttulo8"/>
        <w:spacing w:before="0"/>
      </w:pPr>
      <w:r>
        <w:t>Condiciones de equilibrio – Equilibrio instantáneo</w:t>
      </w:r>
    </w:p>
    <w:p w14:paraId="113240C6" w14:textId="77777777" w:rsidR="00393A15" w:rsidRDefault="00393A15" w:rsidP="00393A15">
      <w:pPr>
        <w:pStyle w:val="Nivel1SM"/>
        <w:keepNext/>
        <w:spacing w:before="0" w:after="0"/>
      </w:pPr>
      <w:bookmarkStart w:id="72" w:name="_Hlk123291645"/>
      <w:r>
        <w:t>El equilibrio de mercado pasa por 5 condiciones:</w:t>
      </w:r>
    </w:p>
    <w:p w14:paraId="4FEB9CB5" w14:textId="77777777" w:rsidR="00393A15" w:rsidRDefault="00393A15">
      <w:pPr>
        <w:pStyle w:val="Prrafodelista"/>
        <w:keepNext/>
        <w:numPr>
          <w:ilvl w:val="0"/>
          <w:numId w:val="27"/>
        </w:numPr>
        <w:spacing w:after="0"/>
        <w:ind w:left="568" w:hanging="284"/>
      </w:pPr>
      <w:r w:rsidRPr="00FD4BE7">
        <w:rPr>
          <w:i/>
          <w:iCs/>
        </w:rPr>
        <w:t>Vaciado de mercado en el mercado de cada variedad</w:t>
      </w:r>
      <w:r>
        <w:t xml:space="preserve">, es decir, en equilibrio, la cantidad demandada de cada bien, </w:t>
      </w:r>
      <m:oMath>
        <m:r>
          <m:rPr>
            <m:nor/>
          </m:rPr>
          <w:rPr>
            <w:i/>
          </w:rPr>
          <m:t>x</m:t>
        </m:r>
      </m:oMath>
      <w:r>
        <w:t xml:space="preserve">, se iguala a la cantidad producida de cada bien, </w:t>
      </w:r>
      <m:oMath>
        <m:r>
          <m:rPr>
            <m:nor/>
          </m:rPr>
          <w:rPr>
            <w:i/>
          </w:rPr>
          <m:t>q</m:t>
        </m:r>
      </m:oMath>
      <w:r>
        <w:t>:</w:t>
      </w:r>
    </w:p>
    <w:p w14:paraId="1CE7AF1C" w14:textId="77777777" w:rsidR="00393A15" w:rsidRPr="00537E9F" w:rsidRDefault="00000000" w:rsidP="00393A15">
      <w:pPr>
        <w:spacing w:after="0"/>
      </w:pPr>
      <m:oMathPara>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sSub>
            <m:sSubPr>
              <m:ctrlPr>
                <w:rPr>
                  <w:rFonts w:ascii="Cambria Math" w:hAnsi="Cambria Math"/>
                  <w:i/>
                  <w:iCs/>
                </w:rPr>
              </m:ctrlPr>
            </m:sSubPr>
            <m:e>
              <m:r>
                <m:rPr>
                  <m:nor/>
                </m:rPr>
                <w:rPr>
                  <w:i/>
                </w:rPr>
                <m:t>q</m:t>
              </m:r>
            </m:e>
            <m:sub>
              <m:r>
                <m:rPr>
                  <m:nor/>
                </m:rPr>
                <w:rPr>
                  <w:i/>
                  <w:iCs/>
                </w:rPr>
                <m:t>i</m:t>
              </m:r>
            </m:sub>
          </m:sSub>
        </m:oMath>
      </m:oMathPara>
    </w:p>
    <w:p w14:paraId="7F359976" w14:textId="77777777" w:rsidR="00393A15" w:rsidRDefault="00393A15">
      <w:pPr>
        <w:pStyle w:val="Prrafodelista"/>
        <w:numPr>
          <w:ilvl w:val="0"/>
          <w:numId w:val="27"/>
        </w:numPr>
        <w:spacing w:after="100"/>
        <w:ind w:left="568" w:hanging="284"/>
      </w:pPr>
      <w:r>
        <w:t xml:space="preserve">Las </w:t>
      </w:r>
      <w:r w:rsidRPr="00FD4BE7">
        <w:rPr>
          <w:i/>
          <w:iCs/>
        </w:rPr>
        <w:t>empresas maximizan beneficios</w:t>
      </w:r>
      <w:r>
        <w:t xml:space="preserve"> (que dependen del precio de la variedad, de la función inversa de demanda obtenida del problema del consumidor y de los costes).</w:t>
      </w:r>
    </w:p>
    <w:p w14:paraId="464D5155" w14:textId="77777777" w:rsidR="00393A15" w:rsidRPr="003114C5" w:rsidRDefault="00393A15">
      <w:pPr>
        <w:pStyle w:val="Prrafodelista"/>
        <w:numPr>
          <w:ilvl w:val="0"/>
          <w:numId w:val="27"/>
        </w:numPr>
        <w:spacing w:after="100"/>
        <w:ind w:left="568" w:hanging="284"/>
      </w:pPr>
      <w:r w:rsidRPr="00FD4BE7">
        <w:rPr>
          <w:i/>
          <w:iCs/>
        </w:rPr>
        <w:t>Condición de libre entrada</w:t>
      </w:r>
      <w:r>
        <w:t xml:space="preserve">: si existen beneficios, entrarían empresas que produjeran nuevas </w:t>
      </w:r>
      <w:r w:rsidRPr="003114C5">
        <w:t>variedades hasta que los beneficios fueran nulos.</w:t>
      </w:r>
    </w:p>
    <w:p w14:paraId="1F360153" w14:textId="77777777" w:rsidR="00393A15" w:rsidRPr="003114C5" w:rsidRDefault="00393A15">
      <w:pPr>
        <w:pStyle w:val="Prrafodelista"/>
        <w:numPr>
          <w:ilvl w:val="0"/>
          <w:numId w:val="27"/>
        </w:numPr>
        <w:spacing w:after="100"/>
        <w:ind w:left="568" w:hanging="284"/>
      </w:pPr>
      <w:r w:rsidRPr="003114C5">
        <w:rPr>
          <w:i/>
          <w:iCs/>
        </w:rPr>
        <w:t>Vaciado de mercado en el mercado de trabajo</w:t>
      </w:r>
      <w:r w:rsidRPr="003114C5">
        <w:t xml:space="preserve">: </w:t>
      </w:r>
      <m:oMath>
        <m:sSup>
          <m:sSupPr>
            <m:ctrlPr>
              <w:rPr>
                <w:rFonts w:ascii="Cambria Math" w:hAnsi="Cambria Math"/>
                <w:i/>
              </w:rPr>
            </m:ctrlPr>
          </m:sSupPr>
          <m:e>
            <m:r>
              <m:rPr>
                <m:nor/>
              </m:rPr>
              <w:rPr>
                <w:i/>
              </w:rPr>
              <m:t>L</m:t>
            </m:r>
          </m:e>
          <m:sup>
            <m:r>
              <m:rPr>
                <m:nor/>
              </m:rPr>
              <w:rPr>
                <w:i/>
              </w:rPr>
              <m:t>S</m:t>
            </m:r>
          </m:sup>
        </m:sSup>
        <m:r>
          <w:rPr>
            <w:rFonts w:ascii="Cambria Math" w:hAnsi="Cambria Math"/>
          </w:rPr>
          <m:t>=</m:t>
        </m:r>
        <m:sSup>
          <m:sSupPr>
            <m:ctrlPr>
              <w:rPr>
                <w:rFonts w:ascii="Cambria Math" w:hAnsi="Cambria Math"/>
                <w:i/>
              </w:rPr>
            </m:ctrlPr>
          </m:sSupPr>
          <m:e>
            <m:r>
              <m:rPr>
                <m:nor/>
              </m:rPr>
              <w:rPr>
                <w:i/>
              </w:rPr>
              <m:t>L</m:t>
            </m:r>
          </m:e>
          <m:sup>
            <m:r>
              <m:rPr>
                <m:nor/>
              </m:rPr>
              <w:rPr>
                <w:i/>
              </w:rPr>
              <m:t>D</m:t>
            </m:r>
          </m:sup>
        </m:sSup>
        <m:r>
          <w:rPr>
            <w:rFonts w:ascii="Cambria Math" w:hAnsi="Cambria Math"/>
          </w:rPr>
          <m:t>⟹</m:t>
        </m:r>
        <m:acc>
          <m:accPr>
            <m:chr m:val="̅"/>
            <m:ctrlPr>
              <w:rPr>
                <w:rFonts w:ascii="Cambria Math" w:hAnsi="Cambria Math"/>
                <w:i/>
              </w:rPr>
            </m:ctrlPr>
          </m:accPr>
          <m:e>
            <m:r>
              <m:rPr>
                <m:nor/>
              </m:rPr>
              <w:rPr>
                <w:i/>
              </w:rPr>
              <m:t>L</m:t>
            </m:r>
          </m:e>
        </m:acc>
        <m:r>
          <w:rPr>
            <w:rFonts w:ascii="Cambria Math" w:hAnsi="Cambria Math"/>
          </w:rPr>
          <m:t>=</m:t>
        </m:r>
        <m:r>
          <m:rPr>
            <m:nor/>
          </m:rPr>
          <w:rPr>
            <w:i/>
          </w:rPr>
          <m:t>n</m:t>
        </m:r>
        <m:r>
          <w:rPr>
            <w:rFonts w:ascii="Cambria Math" w:hAnsi="Cambria Math"/>
          </w:rPr>
          <m:t>∙</m:t>
        </m:r>
        <m:d>
          <m:dPr>
            <m:ctrlPr>
              <w:rPr>
                <w:rFonts w:ascii="Cambria Math" w:hAnsi="Cambria Math"/>
                <w:i/>
                <w:iCs/>
              </w:rPr>
            </m:ctrlPr>
          </m:dPr>
          <m:e>
            <m:r>
              <m:rPr>
                <m:nor/>
              </m:rPr>
              <w:rPr>
                <w:i/>
                <w:iCs/>
              </w:rPr>
              <m:t>F</m:t>
            </m:r>
            <m:r>
              <w:rPr>
                <w:rFonts w:ascii="Cambria Math" w:hAnsi="Cambria Math"/>
              </w:rPr>
              <m:t>+</m:t>
            </m:r>
            <m:r>
              <m:rPr>
                <m:nor/>
              </m:rPr>
              <w:rPr>
                <w:i/>
                <w:iCs/>
              </w:rPr>
              <m:t>c</m:t>
            </m:r>
            <m:r>
              <w:rPr>
                <w:rFonts w:ascii="Cambria Math" w:hAnsi="Cambria Math"/>
              </w:rPr>
              <m:t>∙</m:t>
            </m:r>
            <m:r>
              <m:rPr>
                <m:nor/>
              </m:rPr>
              <w:rPr>
                <w:i/>
              </w:rPr>
              <m:t>q</m:t>
            </m:r>
          </m:e>
        </m:d>
      </m:oMath>
    </w:p>
    <w:p w14:paraId="75DD7FA7" w14:textId="77777777" w:rsidR="00393A15" w:rsidRPr="00FD4BE7" w:rsidRDefault="00393A15">
      <w:pPr>
        <w:pStyle w:val="Prrafodelista"/>
        <w:numPr>
          <w:ilvl w:val="0"/>
          <w:numId w:val="27"/>
        </w:numPr>
        <w:spacing w:after="100"/>
        <w:ind w:left="568" w:hanging="284"/>
        <w:rPr>
          <w:highlight w:val="yellow"/>
        </w:rPr>
      </w:pPr>
      <w:r w:rsidRPr="00FD4BE7">
        <w:rPr>
          <w:i/>
          <w:iCs/>
          <w:highlight w:val="yellow"/>
        </w:rPr>
        <w:lastRenderedPageBreak/>
        <w:t>Equilibrio en la balanza comercial</w:t>
      </w:r>
    </w:p>
    <w:p w14:paraId="4D7713D7" w14:textId="77777777" w:rsidR="00393A15" w:rsidRDefault="00393A15">
      <w:pPr>
        <w:pStyle w:val="Ttulo10"/>
        <w:numPr>
          <w:ilvl w:val="0"/>
          <w:numId w:val="28"/>
        </w:numPr>
        <w:ind w:left="1560" w:hanging="284"/>
      </w:pPr>
      <w:r>
        <w:t>Vaciado de mercado en el mercado de cada variedad</w:t>
      </w:r>
    </w:p>
    <w:p w14:paraId="6C4107C7" w14:textId="77777777" w:rsidR="00393A15" w:rsidRPr="00537E9F" w:rsidRDefault="00393A15" w:rsidP="00393A15">
      <w:pPr>
        <w:pStyle w:val="Nivel1SM"/>
        <w:keepNext/>
        <w:spacing w:before="0" w:after="0"/>
      </w:pPr>
      <w:r>
        <w:t xml:space="preserve">Como decimos, en equilibrio, </w:t>
      </w:r>
      <w:r w:rsidRPr="00403200">
        <w:rPr>
          <w:i/>
          <w:iCs/>
          <w:u w:val="single"/>
        </w:rPr>
        <w:t>se igualan las cantidades consumidas y producidas de cada variedad</w:t>
      </w:r>
      <w:r>
        <w:t xml:space="preserve"> (esta condición incluye tanto al bien numerario como a todas las variedades del producto diferenciado):</w:t>
      </w:r>
    </w:p>
    <w:p w14:paraId="15D453FB" w14:textId="77777777" w:rsidR="00393A15" w:rsidRPr="00AB1B1E" w:rsidRDefault="00000000" w:rsidP="00393A15">
      <w:pPr>
        <w:spacing w:after="100"/>
      </w:pPr>
      <m:oMathPara>
        <m:oMath>
          <m:borderBox>
            <m:borderBoxPr>
              <m:ctrlPr>
                <w:rPr>
                  <w:rFonts w:ascii="Cambria Math" w:hAnsi="Cambria Math"/>
                  <w:i/>
                </w:rPr>
              </m:ctrlPr>
            </m:borderBoxPr>
            <m:e>
              <m:r>
                <m:rPr>
                  <m:nor/>
                </m:rPr>
                <w:rPr>
                  <w:i/>
                </w:rPr>
                <m:t>x</m:t>
              </m:r>
              <m:r>
                <w:rPr>
                  <w:rFonts w:ascii="Cambria Math" w:hAnsi="Cambria Math"/>
                </w:rPr>
                <m:t>=</m:t>
              </m:r>
              <m:r>
                <m:rPr>
                  <m:nor/>
                </m:rPr>
                <w:rPr>
                  <w:i/>
                </w:rPr>
                <m:t>q</m:t>
              </m:r>
            </m:e>
          </m:borderBox>
        </m:oMath>
      </m:oMathPara>
    </w:p>
    <w:p w14:paraId="0DA6933D" w14:textId="77777777" w:rsidR="00393A15" w:rsidRPr="008C1B14" w:rsidRDefault="00393A15">
      <w:pPr>
        <w:pStyle w:val="Ttulo10"/>
        <w:numPr>
          <w:ilvl w:val="0"/>
          <w:numId w:val="28"/>
        </w:numPr>
        <w:ind w:left="1560" w:hanging="284"/>
      </w:pPr>
      <w:r>
        <w:t>Maximización de beneficios por parte de las empresas</w:t>
      </w:r>
    </w:p>
    <w:p w14:paraId="4A6B3079" w14:textId="4A3062BB" w:rsidR="00393A15" w:rsidRDefault="00393A15" w:rsidP="00393A15">
      <w:pPr>
        <w:pStyle w:val="Nivel1SM"/>
        <w:keepNext/>
        <w:spacing w:before="0" w:after="0"/>
      </w:pPr>
      <w:r>
        <w:t xml:space="preserve">En el </w:t>
      </w:r>
      <w:r w:rsidRPr="00403200">
        <w:rPr>
          <w:b/>
          <w:bCs/>
        </w:rPr>
        <w:t>bien </w:t>
      </w:r>
      <w:r w:rsidRPr="00403200">
        <w:rPr>
          <w:b/>
          <w:bCs/>
          <w:i/>
          <w:iCs/>
        </w:rPr>
        <w:t>X</w:t>
      </w:r>
      <w:r>
        <w:t xml:space="preserve">, debido a la estructura de mercado de </w:t>
      </w:r>
      <w:r w:rsidRPr="00403200">
        <w:rPr>
          <w:i/>
          <w:iCs/>
          <w:u w:val="single"/>
        </w:rPr>
        <w:t>competencia perfecta</w:t>
      </w:r>
      <w:r>
        <w:t xml:space="preserve">, el problema de maximización de beneficios da lugar a que el precio se iguale al coste marginal </w:t>
      </w:r>
      <w:r w:rsidRPr="00A05A1A">
        <w:rPr>
          <w:color w:val="767171" w:themeColor="background2" w:themeShade="80"/>
          <w:sz w:val="19"/>
          <w:szCs w:val="19"/>
        </w:rPr>
        <w:t>[ver tema 3.A.1</w:t>
      </w:r>
      <w:r w:rsidR="00ED0FFE">
        <w:rPr>
          <w:color w:val="767171" w:themeColor="background2" w:themeShade="80"/>
          <w:sz w:val="19"/>
          <w:szCs w:val="19"/>
        </w:rPr>
        <w:t>6</w:t>
      </w:r>
      <w:r w:rsidRPr="00A05A1A">
        <w:rPr>
          <w:color w:val="767171" w:themeColor="background2" w:themeShade="80"/>
          <w:sz w:val="19"/>
          <w:szCs w:val="19"/>
        </w:rPr>
        <w:t>]</w:t>
      </w:r>
      <w:r>
        <w:t>:</w:t>
      </w:r>
    </w:p>
    <w:p w14:paraId="0D2F7D55" w14:textId="77777777" w:rsidR="00393A15" w:rsidRPr="00E56658" w:rsidRDefault="00000000" w:rsidP="00393A15">
      <w:pPr>
        <w:pStyle w:val="Nivel1"/>
        <w:keepNext/>
        <w:numPr>
          <w:ilvl w:val="0"/>
          <w:numId w:val="0"/>
        </w:numPr>
        <w:spacing w:before="0" w:after="0"/>
        <w:rPr>
          <w:rFonts w:eastAsiaTheme="minorEastAsia"/>
          <w:iCs/>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en-US"/>
                    </w:rPr>
                    <m:t>p*</m:t>
                  </m:r>
                </m:e>
                <m:sub>
                  <m:r>
                    <m:rPr>
                      <m:nor/>
                    </m:rPr>
                    <w:rPr>
                      <w:i/>
                      <w:iCs/>
                      <w:lang w:val="en-US"/>
                    </w:rPr>
                    <m:t>x</m:t>
                  </m:r>
                </m:sub>
              </m:sSub>
              <m:r>
                <w:rPr>
                  <w:rFonts w:ascii="Cambria Math" w:eastAsiaTheme="minorEastAsia" w:hAnsi="Cambria Math"/>
                  <w:lang w:val="en-US"/>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w</m:t>
                          </m:r>
                        </m:e>
                        <m:sub>
                          <m:r>
                            <m:rPr>
                              <m:nor/>
                            </m:rPr>
                            <w:rPr>
                              <w:i/>
                              <w:iCs/>
                              <w:lang w:val="en-US"/>
                            </w:rPr>
                            <m:t>xi</m:t>
                          </m:r>
                        </m:sub>
                      </m:sSub>
                    </m:e>
                  </m:groupChr>
                </m:e>
                <m:lim>
                  <m:r>
                    <m:rPr>
                      <m:nor/>
                    </m:rPr>
                    <w:rPr>
                      <w:i/>
                      <w:iCs/>
                      <w:sz w:val="14"/>
                      <w:szCs w:val="14"/>
                      <w:lang w:val="en-US"/>
                    </w:rPr>
                    <m:t>CMg</m:t>
                  </m:r>
                  <m:r>
                    <w:rPr>
                      <w:rFonts w:ascii="Cambria Math"/>
                      <w:sz w:val="14"/>
                      <w:szCs w:val="14"/>
                      <w:lang w:val="en-US"/>
                    </w:rPr>
                    <m:t>=</m:t>
                  </m:r>
                  <m:r>
                    <m:rPr>
                      <m:nor/>
                    </m:rPr>
                    <w:rPr>
                      <w:i/>
                      <w:iCs/>
                      <w:sz w:val="14"/>
                      <w:szCs w:val="14"/>
                      <w:lang w:val="en-US"/>
                    </w:rPr>
                    <m:t>1</m:t>
                  </m:r>
                </m:lim>
              </m:limLow>
            </m:e>
          </m:borderBox>
        </m:oMath>
      </m:oMathPara>
    </w:p>
    <w:p w14:paraId="71E7E484" w14:textId="77777777" w:rsidR="00393A15" w:rsidRPr="00E56658" w:rsidRDefault="00393A15" w:rsidP="00393A15">
      <w:pPr>
        <w:pStyle w:val="Nivel2SM"/>
      </w:pPr>
      <w:r>
        <w:t xml:space="preserve">Utilizaremos </w:t>
      </w:r>
      <w:r>
        <w:rPr>
          <w:i/>
          <w:iCs/>
        </w:rPr>
        <w:t>X</w:t>
      </w:r>
      <w:r>
        <w:t xml:space="preserve"> como bien numerario y normalizaremos su precio a 1 para que los salarios de este sector sean también iguales a 1 en ambas regiones.</w:t>
      </w:r>
    </w:p>
    <w:p w14:paraId="68369675" w14:textId="77777777" w:rsidR="00393A15" w:rsidRDefault="00393A15" w:rsidP="00393A15">
      <w:pPr>
        <w:pStyle w:val="Nivel1SM"/>
        <w:keepNext/>
        <w:spacing w:before="0" w:after="0"/>
      </w:pPr>
      <w:r>
        <w:t xml:space="preserve">Para el </w:t>
      </w:r>
      <w:r w:rsidRPr="00403200">
        <w:rPr>
          <w:b/>
          <w:bCs/>
        </w:rPr>
        <w:t>bien </w:t>
      </w:r>
      <w:r w:rsidRPr="00403200">
        <w:rPr>
          <w:b/>
          <w:bCs/>
          <w:i/>
          <w:iCs/>
        </w:rPr>
        <w:t>Y</w:t>
      </w:r>
      <w:r>
        <w:t>, d</w:t>
      </w:r>
      <w:r w:rsidRPr="00A05A1A">
        <w:t>ebido</w:t>
      </w:r>
      <w:r>
        <w:t xml:space="preserve"> a la estructura de mercado de </w:t>
      </w:r>
      <w:r w:rsidRPr="00403200">
        <w:rPr>
          <w:i/>
          <w:iCs/>
          <w:u w:val="single"/>
        </w:rPr>
        <w:t>competencia monopolística</w:t>
      </w:r>
      <w:r>
        <w:t>,</w:t>
      </w:r>
    </w:p>
    <w:p w14:paraId="1137061C" w14:textId="77777777" w:rsidR="00393A15" w:rsidRDefault="00393A15" w:rsidP="00393A15">
      <w:pPr>
        <w:pStyle w:val="Nivel2SM"/>
        <w:keepNext/>
        <w:spacing w:after="0"/>
      </w:pPr>
      <w:r>
        <w:t xml:space="preserve">El </w:t>
      </w:r>
      <w:r w:rsidRPr="00403200">
        <w:t>precio que maximiza el beneficio</w:t>
      </w:r>
      <w:r>
        <w:t xml:space="preserve"> para una empresa ubicada en la región </w:t>
      </w:r>
      <w:r w:rsidRPr="00A05A1A">
        <w:rPr>
          <w:i/>
          <w:iCs/>
        </w:rPr>
        <w:t>i</w:t>
      </w:r>
      <w:r>
        <w:t xml:space="preserve"> aplicado a los consumidores de la misma región </w:t>
      </w:r>
      <w:r w:rsidRPr="00A05A1A">
        <w:rPr>
          <w:i/>
          <w:iCs/>
        </w:rPr>
        <w:t>i</w:t>
      </w:r>
      <w:r>
        <w:t xml:space="preserve"> es:</w:t>
      </w:r>
    </w:p>
    <w:p w14:paraId="06F22077" w14:textId="77777777" w:rsidR="00393A15" w:rsidRPr="000E1A59" w:rsidRDefault="00000000" w:rsidP="00393A15">
      <w:pPr>
        <w:pStyle w:val="Nivel2SM"/>
        <w:numPr>
          <w:ilvl w:val="0"/>
          <w:numId w:val="0"/>
        </w:numPr>
        <w:ind w:left="567"/>
        <w:rPr>
          <w:rFonts w:eastAsiaTheme="minorEastAsia"/>
          <w:i/>
          <w:iCs/>
          <w:lang w:val="en-US"/>
        </w:rPr>
      </w:pPr>
      <m:oMathPara>
        <m:oMath>
          <m:borderBox>
            <m:borderBoxPr>
              <m:ctrlPr>
                <w:rPr>
                  <w:rFonts w:ascii="Cambria Math" w:hAnsi="Cambria Math"/>
                  <w:i/>
                  <w:sz w:val="20"/>
                  <w:szCs w:val="20"/>
                </w:rPr>
              </m:ctrlPr>
            </m:borderBoxPr>
            <m:e>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ii</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eqArr>
                    <m:eqArrPr>
                      <m:ctrlPr>
                        <w:rPr>
                          <w:rFonts w:ascii="Cambria Math" w:hAnsi="Cambria Math"/>
                          <w:i/>
                          <w:sz w:val="14"/>
                          <w:szCs w:val="14"/>
                          <w:lang w:val="en-US"/>
                        </w:rPr>
                      </m:ctrlPr>
                    </m:eqArrPr>
                    <m:e>
                      <m:r>
                        <m:rPr>
                          <m:nor/>
                        </m:rPr>
                        <w:rPr>
                          <w:i/>
                          <w:sz w:val="14"/>
                          <w:szCs w:val="14"/>
                          <w:lang w:val="en-US"/>
                        </w:rPr>
                        <m:t>mark-up</m:t>
                      </m:r>
                    </m:e>
                    <m:e>
                      <m:r>
                        <w:rPr>
                          <w:rFonts w:ascii="Cambria Math" w:hAnsi="Cambria Math"/>
                          <w:sz w:val="14"/>
                          <w:szCs w:val="14"/>
                          <w:lang w:val="en-US"/>
                        </w:rPr>
                        <m:t>=</m:t>
                      </m:r>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e>
                  </m:eqAr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e>
                  </m:groupChr>
                </m:e>
                <m:lim>
                  <m:r>
                    <m:rPr>
                      <m:nor/>
                    </m:rPr>
                    <w:rPr>
                      <w:i/>
                      <w:sz w:val="14"/>
                      <w:szCs w:val="14"/>
                      <w:lang w:val="en-US"/>
                    </w:rPr>
                    <m:t>CMg</m:t>
                  </m:r>
                </m:lim>
              </m:limLow>
            </m:e>
          </m:borderBox>
        </m:oMath>
      </m:oMathPara>
    </w:p>
    <w:p w14:paraId="11D422DD" w14:textId="77777777" w:rsidR="00393A15" w:rsidRDefault="00393A15" w:rsidP="00393A15">
      <w:pPr>
        <w:pStyle w:val="Nivel2SM"/>
        <w:keepNext/>
        <w:spacing w:after="0"/>
      </w:pPr>
      <w:r>
        <w:t>El precio que maximiza el beneficio para una empresa ubicada en la región </w:t>
      </w:r>
      <w:r>
        <w:rPr>
          <w:i/>
          <w:iCs/>
        </w:rPr>
        <w:t>i</w:t>
      </w:r>
      <w:r>
        <w:t xml:space="preserve"> aplicado a los consumidores de la otra región </w:t>
      </w:r>
      <w:r>
        <w:rPr>
          <w:i/>
          <w:iCs/>
        </w:rPr>
        <w:t>j</w:t>
      </w:r>
      <w:r>
        <w:t xml:space="preserve"> es:</w:t>
      </w:r>
    </w:p>
    <w:p w14:paraId="124A4384" w14:textId="77777777" w:rsidR="00393A15" w:rsidRPr="000E1A59" w:rsidRDefault="00000000" w:rsidP="00393A15">
      <w:pPr>
        <w:pStyle w:val="Nivel2SM"/>
        <w:keepNext/>
        <w:numPr>
          <w:ilvl w:val="0"/>
          <w:numId w:val="0"/>
        </w:numPr>
        <w:spacing w:after="0"/>
        <w:ind w:left="567"/>
        <w:rPr>
          <w:rFonts w:eastAsiaTheme="minorEastAsia"/>
          <w:sz w:val="20"/>
          <w:szCs w:val="20"/>
          <w:lang w:val="en-US"/>
        </w:rPr>
      </w:pPr>
      <m:oMathPara>
        <m:oMath>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ij</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r>
                <m:rPr>
                  <m:nor/>
                </m:rPr>
                <w:rPr>
                  <w:i/>
                  <w:sz w:val="14"/>
                  <w:szCs w:val="14"/>
                  <w:lang w:val="en-US"/>
                </w:rPr>
                <m:t>mark-up</m:t>
              </m: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w:bookmarkStart w:id="73" w:name="_Hlk88990354"/>
                  <m:d>
                    <m:dPr>
                      <m:ctrlPr>
                        <w:rPr>
                          <w:rFonts w:ascii="Cambria Math" w:hAnsi="Cambria Math"/>
                          <w:i/>
                          <w:iCs/>
                          <w:sz w:val="20"/>
                          <w:szCs w:val="20"/>
                          <w:lang w:val="fr-FR"/>
                        </w:rPr>
                      </m:ctrlPr>
                    </m:d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r>
                        <w:rPr>
                          <w:rFonts w:ascii="Cambria Math" w:hAnsi="Cambria Math"/>
                          <w:sz w:val="20"/>
                          <w:szCs w:val="20"/>
                          <w:lang w:val="en-US"/>
                        </w:rPr>
                        <m:t>∙</m:t>
                      </m:r>
                      <m:r>
                        <m:rPr>
                          <m:nor/>
                        </m:rPr>
                        <w:rPr>
                          <w:i/>
                          <w:iCs/>
                          <w:spacing w:val="-4"/>
                        </w:rPr>
                        <m:t>τ</m:t>
                      </m:r>
                    </m:e>
                  </m:d>
                  <w:bookmarkEnd w:id="73"/>
                </m:e>
              </m:groupChr>
            </m:e>
            <m:lim>
              <m:r>
                <m:rPr>
                  <m:nor/>
                </m:rPr>
                <w:rPr>
                  <w:i/>
                  <w:sz w:val="14"/>
                  <w:szCs w:val="14"/>
                  <w:lang w:val="en-US"/>
                </w:rPr>
                <m:t>CMg</m:t>
              </m:r>
            </m:lim>
          </m:limLow>
          <m:r>
            <w:rPr>
              <w:rFonts w:ascii="Cambria Math" w:eastAsiaTheme="minorEastAsia" w:hAnsi="Cambria Math"/>
              <w:lang w:val="en-US"/>
            </w:rPr>
            <m:t>&gt;</m:t>
          </m:r>
          <m:sSubSup>
            <m:sSubSupPr>
              <m:ctrlPr>
                <w:rPr>
                  <w:rFonts w:ascii="Cambria Math" w:hAnsi="Cambria Math"/>
                  <w:i/>
                </w:rPr>
              </m:ctrlPr>
            </m:sSubSupPr>
            <m:e>
              <m:r>
                <m:rPr>
                  <m:nor/>
                </m:rPr>
                <w:rPr>
                  <w:i/>
                  <w:lang w:val="en-US"/>
                </w:rPr>
                <m:t>p</m:t>
              </m:r>
            </m:e>
            <m:sub>
              <m:r>
                <m:rPr>
                  <m:nor/>
                </m:rPr>
                <w:rPr>
                  <w:i/>
                  <w:lang w:val="en-US"/>
                </w:rPr>
                <m:t>ii</m:t>
              </m:r>
            </m:sub>
            <m:sup>
              <m:r>
                <m:rPr>
                  <m:nor/>
                </m:rPr>
                <w:rPr>
                  <w:i/>
                  <w:lang w:val="en-US"/>
                </w:rPr>
                <m:t>*</m:t>
              </m:r>
            </m:sup>
          </m:sSubSup>
        </m:oMath>
      </m:oMathPara>
    </w:p>
    <w:p w14:paraId="460CE084" w14:textId="77777777" w:rsidR="00393A15" w:rsidRPr="00A05A1A" w:rsidRDefault="00393A15" w:rsidP="00393A15">
      <w:pPr>
        <w:pStyle w:val="Nivel3SM"/>
      </w:pPr>
      <w:r w:rsidRPr="00A05A1A">
        <w:t xml:space="preserve">El </w:t>
      </w:r>
      <w:proofErr w:type="spellStart"/>
      <w:r w:rsidRPr="00A05A1A">
        <w:t>mark</w:t>
      </w:r>
      <w:proofErr w:type="spellEnd"/>
      <w:r w:rsidRPr="00A05A1A">
        <w:t xml:space="preserve">-up, </w:t>
      </w:r>
      <m:oMath>
        <m:r>
          <m:rPr>
            <m:nor/>
          </m:rPr>
          <w:rPr>
            <w:i/>
          </w:rPr>
          <m:t>μ</m:t>
        </m:r>
      </m:oMath>
      <w:r w:rsidRPr="00A05A1A">
        <w:t>, es el mismo en ambos casos, pero el precio de vender afuera es mayor debido a los costes de transporte que suponen un coste marginal adicional de producir en el extranjero.</w:t>
      </w:r>
    </w:p>
    <w:p w14:paraId="770DFF51" w14:textId="77777777" w:rsidR="00393A15" w:rsidRDefault="00393A15" w:rsidP="00393A15">
      <w:pPr>
        <w:pStyle w:val="Nivel2SM"/>
        <w:keepNext/>
        <w:spacing w:after="0"/>
      </w:pPr>
      <w:r>
        <w:t>Los beneficios vienen dados por:</w:t>
      </w:r>
    </w:p>
    <w:p w14:paraId="6F08BEAF" w14:textId="77777777" w:rsidR="00393A15" w:rsidRDefault="00000000" w:rsidP="00393A15">
      <w:pPr>
        <w:pStyle w:val="Nivel2SM"/>
        <w:numPr>
          <w:ilvl w:val="0"/>
          <w:numId w:val="0"/>
        </w:numPr>
        <w:ind w:left="567"/>
      </w:pPr>
      <m:oMathPara>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sSub>
            <m:sSubPr>
              <m:ctrlPr>
                <w:rPr>
                  <w:rFonts w:ascii="Cambria Math" w:hAnsi="Cambria Math"/>
                  <w:i/>
                </w:rPr>
              </m:ctrlPr>
            </m:sSubPr>
            <m:e>
              <m:r>
                <m:rPr>
                  <m:nor/>
                </m:rPr>
                <w:rPr>
                  <w:i/>
                </w:rPr>
                <m:t>p</m:t>
              </m:r>
            </m:e>
            <m:sub>
              <m:r>
                <m:rPr>
                  <m:nor/>
                </m:rPr>
                <w:rPr>
                  <w:i/>
                </w:rPr>
                <m:t>ii</m:t>
              </m:r>
            </m:sub>
          </m:sSub>
          <m:r>
            <w:rPr>
              <w:rFonts w:ascii="Cambria Math" w:hAnsi="Cambria Math"/>
            </w:rPr>
            <m:t>∙</m:t>
          </m:r>
          <m:r>
            <m:rPr>
              <m:nor/>
            </m:rPr>
            <w:rPr>
              <w:i/>
            </w:rPr>
            <m:t>q</m:t>
          </m:r>
          <m:r>
            <w:rPr>
              <w:rFonts w:ascii="Cambria Math" w:hAnsi="Cambria Math"/>
            </w:rPr>
            <m:t>-</m:t>
          </m:r>
          <m:sSub>
            <m:sSubPr>
              <m:ctrlPr>
                <w:rPr>
                  <w:rFonts w:ascii="Cambria Math" w:hAnsi="Cambria Math"/>
                  <w:i/>
                </w:rPr>
              </m:ctrlPr>
            </m:sSubPr>
            <m:e>
              <m:r>
                <m:rPr>
                  <m:nor/>
                </m:rPr>
                <w:rPr>
                  <w:i/>
                </w:rPr>
                <m:t>w</m:t>
              </m:r>
            </m:e>
            <m:sub>
              <m:r>
                <m:rPr>
                  <m:nor/>
                </m:rPr>
                <w:rPr>
                  <w:i/>
                </w:rPr>
                <m:t>i</m:t>
              </m:r>
            </m:sub>
          </m:sSub>
          <m:r>
            <w:rPr>
              <w:rFonts w:ascii="Cambria Math" w:hAnsi="Cambria Math"/>
            </w:rPr>
            <m:t>∙</m:t>
          </m:r>
          <m:d>
            <m:dPr>
              <m:ctrlPr>
                <w:rPr>
                  <w:rFonts w:ascii="Cambria Math" w:hAnsi="Cambria Math"/>
                  <w:i/>
                </w:rPr>
              </m:ctrlPr>
            </m:dPr>
            <m:e>
              <m:r>
                <m:rPr>
                  <m:nor/>
                </m:rPr>
                <w:rPr>
                  <w:i/>
                </w:rPr>
                <m:t>F</m:t>
              </m:r>
              <m:r>
                <w:rPr>
                  <w:rFonts w:ascii="Cambria Math" w:hAnsi="Cambria Math"/>
                </w:rPr>
                <m:t>+</m:t>
              </m:r>
              <m:r>
                <m:rPr>
                  <m:nor/>
                </m:rPr>
                <w:rPr>
                  <w:i/>
                </w:rPr>
                <m:t>c</m:t>
              </m:r>
              <m:r>
                <w:rPr>
                  <w:rFonts w:ascii="Cambria Math" w:hAnsi="Cambria Math"/>
                </w:rPr>
                <m:t>∙</m:t>
              </m:r>
              <m:r>
                <m:rPr>
                  <m:nor/>
                </m:rPr>
                <w:rPr>
                  <w:i/>
                </w:rPr>
                <m:t>q</m:t>
              </m:r>
            </m:e>
          </m:d>
          <m:r>
            <m:rPr>
              <m:sty m:val="p"/>
            </m:rPr>
            <w:rPr>
              <w:rFonts w:ascii="Cambria Math" w:hAnsi="Cambria Math"/>
            </w:rPr>
            <w:br/>
          </m:r>
        </m:oMath>
      </m:oMathPara>
      <w:r w:rsidR="00393A15" w:rsidRPr="0099316E">
        <w:t xml:space="preserve">donde </w:t>
      </w:r>
      <m:oMath>
        <m:r>
          <m:rPr>
            <m:nor/>
          </m:rPr>
          <w:rPr>
            <w:i/>
          </w:rPr>
          <m:t>q</m:t>
        </m:r>
      </m:oMath>
      <w:r w:rsidR="00393A15" w:rsidRPr="0099316E">
        <w:t xml:space="preserve"> es l</w:t>
      </w:r>
      <w:r w:rsidR="00393A15">
        <w:t>a producción total de la empresa, incluyendo la porción usada como coste de transporte.</w:t>
      </w:r>
    </w:p>
    <w:p w14:paraId="3D882DF2" w14:textId="77777777" w:rsidR="00393A15" w:rsidRPr="00AB1B1E" w:rsidRDefault="00393A15">
      <w:pPr>
        <w:pStyle w:val="Ttulo10"/>
        <w:numPr>
          <w:ilvl w:val="0"/>
          <w:numId w:val="28"/>
        </w:numPr>
        <w:ind w:left="1560" w:hanging="284"/>
      </w:pPr>
      <w:r>
        <w:t>Condición de libre entrada al mercado</w:t>
      </w:r>
    </w:p>
    <w:p w14:paraId="2C5765D2" w14:textId="77777777" w:rsidR="00393A15" w:rsidRDefault="00393A15" w:rsidP="00393A15">
      <w:pPr>
        <w:pStyle w:val="Nivel1SM"/>
        <w:keepNext/>
        <w:spacing w:before="0" w:after="0"/>
      </w:pPr>
      <w:r>
        <w:t xml:space="preserve">Para el </w:t>
      </w:r>
      <w:r w:rsidRPr="00403200">
        <w:rPr>
          <w:b/>
          <w:bCs/>
        </w:rPr>
        <w:t>bien </w:t>
      </w:r>
      <w:r w:rsidRPr="00403200">
        <w:rPr>
          <w:b/>
          <w:bCs/>
          <w:i/>
          <w:iCs/>
        </w:rPr>
        <w:t>X</w:t>
      </w:r>
      <w:r>
        <w:t xml:space="preserve">, suponemos </w:t>
      </w:r>
      <w:r w:rsidRPr="00403200">
        <w:rPr>
          <w:i/>
          <w:iCs/>
          <w:u w:val="single"/>
        </w:rPr>
        <w:t>libre entrada al mercado</w:t>
      </w:r>
      <w:r w:rsidRPr="00E56658">
        <w:t>,</w:t>
      </w:r>
      <w:r>
        <w:t xml:space="preserve"> tal que los beneficios serán cero en todo momento (</w:t>
      </w:r>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r>
          <m:rPr>
            <m:nor/>
          </m:rPr>
          <w:rPr>
            <w:i/>
          </w:rPr>
          <m:t>0</m:t>
        </m:r>
      </m:oMath>
      <w:r>
        <w:t>).</w:t>
      </w:r>
    </w:p>
    <w:p w14:paraId="2FE9F904" w14:textId="77777777" w:rsidR="00393A15" w:rsidRDefault="00393A15" w:rsidP="00393A15">
      <w:pPr>
        <w:pStyle w:val="Nivel2SM"/>
      </w:pPr>
      <w:r>
        <w:t>El libre comercio del bien </w:t>
      </w:r>
      <w:r>
        <w:rPr>
          <w:i/>
          <w:iCs/>
        </w:rPr>
        <w:t>X</w:t>
      </w:r>
      <w:r>
        <w:t xml:space="preserve"> lleva a la igualación del precio de </w:t>
      </w:r>
      <w:r>
        <w:rPr>
          <w:i/>
          <w:iCs/>
        </w:rPr>
        <w:t>A</w:t>
      </w:r>
      <w:r>
        <w:t xml:space="preserve"> entre regiones (además, como hemos mencionado, utilizaremos </w:t>
      </w:r>
      <w:r>
        <w:rPr>
          <w:i/>
          <w:iCs/>
        </w:rPr>
        <w:t>X</w:t>
      </w:r>
      <w:r>
        <w:t xml:space="preserve"> como bien numerario y normalizaremos su precio a 1 para que los salarios de este sector sean también iguales a 1 en ambas regiones).</w:t>
      </w:r>
    </w:p>
    <w:p w14:paraId="3E02CC1F" w14:textId="77777777" w:rsidR="00393A15" w:rsidRDefault="00393A15" w:rsidP="00393A15">
      <w:pPr>
        <w:pStyle w:val="Nivel1SM"/>
        <w:keepNext/>
        <w:spacing w:before="0" w:after="0"/>
      </w:pPr>
      <w:r>
        <w:t xml:space="preserve">En el caso del </w:t>
      </w:r>
      <w:r w:rsidRPr="00403200">
        <w:rPr>
          <w:b/>
          <w:bCs/>
        </w:rPr>
        <w:t>bien </w:t>
      </w:r>
      <w:r w:rsidRPr="00403200">
        <w:rPr>
          <w:b/>
          <w:bCs/>
          <w:i/>
          <w:iCs/>
        </w:rPr>
        <w:t>Y</w:t>
      </w:r>
      <w:r>
        <w:t xml:space="preserve">, también suponemos </w:t>
      </w:r>
      <w:r w:rsidRPr="00403200">
        <w:rPr>
          <w:i/>
          <w:iCs/>
          <w:u w:val="single"/>
        </w:rPr>
        <w:t>libre entrada al mercado</w:t>
      </w:r>
      <w:r>
        <w:t>, lo que implica que los beneficios serán cero en todo momento (</w:t>
      </w:r>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r>
          <m:rPr>
            <m:nor/>
          </m:rPr>
          <w:rPr>
            <w:i/>
          </w:rPr>
          <m:t>0</m:t>
        </m:r>
      </m:oMath>
      <w:r>
        <w:t>)</w:t>
      </w:r>
      <w:bookmarkStart w:id="74" w:name="_Hlk129017667"/>
      <w:r>
        <w:rPr>
          <w:rStyle w:val="Refdenotaalpie"/>
        </w:rPr>
        <w:footnoteReference w:id="24"/>
      </w:r>
      <w:bookmarkEnd w:id="74"/>
      <w:r>
        <w:t>:</w:t>
      </w:r>
    </w:p>
    <w:p w14:paraId="0C5D878C" w14:textId="77777777" w:rsidR="00393A15" w:rsidRPr="00EE1DA4" w:rsidRDefault="00000000" w:rsidP="00393A15">
      <w:pPr>
        <w:keepNext/>
        <w:spacing w:after="0"/>
        <w:rPr>
          <w:rFonts w:eastAsiaTheme="minorEastAsia"/>
        </w:rPr>
      </w:pPr>
      <m:oMathPara>
        <m:oMath>
          <m:borderBox>
            <m:borderBoxPr>
              <m:ctrlPr>
                <w:rPr>
                  <w:rFonts w:ascii="Cambria Math" w:hAnsi="Cambria Math"/>
                  <w:i/>
                </w:rPr>
              </m:ctrlPr>
            </m:borderBoxPr>
            <m:e>
              <m:r>
                <m:rPr>
                  <m:nor/>
                </m:rPr>
                <w:rPr>
                  <w:i/>
                </w:rPr>
                <m:t>q*</m:t>
              </m:r>
              <m:r>
                <w:rPr>
                  <w:rFonts w:ascii="Cambria Math" w:eastAsiaTheme="minorEastAsia" w:hAnsi="Cambria Math"/>
                </w:rPr>
                <m:t>=</m:t>
              </m:r>
              <m:r>
                <m:rPr>
                  <m:nor/>
                </m:rPr>
                <w:rPr>
                  <w:i/>
                </w:rPr>
                <m:t>x*</m:t>
              </m:r>
              <m:r>
                <w:rPr>
                  <w:rFonts w:ascii="Cambria Math" w:eastAsiaTheme="minorEastAsia" w:hAnsi="Cambria Math"/>
                </w:rPr>
                <m:t>=</m:t>
              </m:r>
              <m:f>
                <m:fPr>
                  <m:ctrlPr>
                    <w:rPr>
                      <w:rFonts w:ascii="Cambria Math" w:eastAsiaTheme="minorEastAsia" w:hAnsi="Cambria Math"/>
                      <w:i/>
                      <w:lang w:val="en-US"/>
                    </w:rPr>
                  </m:ctrlPr>
                </m:fPr>
                <m:num>
                  <m:r>
                    <m:rPr>
                      <m:nor/>
                    </m:rPr>
                    <w:rPr>
                      <w:rFonts w:eastAsiaTheme="minorEastAsia"/>
                      <w:i/>
                    </w:rPr>
                    <m:t>F</m:t>
                  </m:r>
                </m:num>
                <m:den>
                  <m:r>
                    <m:rPr>
                      <m:nor/>
                    </m:rPr>
                    <w:rPr>
                      <w:rFonts w:eastAsiaTheme="minorEastAsia"/>
                      <w:i/>
                    </w:rPr>
                    <m:t>c</m:t>
                  </m:r>
                </m:den>
              </m:f>
              <m:r>
                <w:rPr>
                  <w:rFonts w:ascii="Cambria Math" w:eastAsiaTheme="minorEastAsia" w:hAnsi="Cambria Math"/>
                </w:rPr>
                <m:t>∙</m:t>
              </m:r>
              <m:d>
                <m:dPr>
                  <m:ctrlPr>
                    <w:rPr>
                      <w:rFonts w:ascii="Cambria Math" w:eastAsiaTheme="minorEastAsia" w:hAnsi="Cambria Math"/>
                      <w:i/>
                      <w:lang w:val="en-US"/>
                    </w:rPr>
                  </m:ctrlPr>
                </m:dPr>
                <m:e>
                  <m:r>
                    <m:rPr>
                      <m:nor/>
                    </m:rPr>
                    <w:rPr>
                      <w:rFonts w:eastAsiaTheme="minorEastAsia"/>
                      <w:i/>
                      <w:iCs/>
                    </w:rPr>
                    <m:t>σ</m:t>
                  </m:r>
                  <m:r>
                    <w:rPr>
                      <w:rFonts w:ascii="Cambria Math" w:hAnsi="Cambria Math"/>
                    </w:rPr>
                    <m:t>-</m:t>
                  </m:r>
                  <m:r>
                    <m:rPr>
                      <m:nor/>
                    </m:rPr>
                    <w:rPr>
                      <w:i/>
                    </w:rPr>
                    <m:t>1</m:t>
                  </m:r>
                </m:e>
              </m:d>
            </m:e>
          </m:borderBox>
        </m:oMath>
      </m:oMathPara>
    </w:p>
    <w:p w14:paraId="7B25C7DE" w14:textId="77777777" w:rsidR="00393A15" w:rsidRDefault="00393A15" w:rsidP="00393A15">
      <w:pPr>
        <w:pStyle w:val="Nivel2SM"/>
      </w:pPr>
      <w:r w:rsidRPr="001B1AB8">
        <w:t>La producción es la m</w:t>
      </w:r>
      <w:r>
        <w:t>isma para todas las empresas en cualquier país, por lo que no utilizamos subíndice.</w:t>
      </w:r>
    </w:p>
    <w:p w14:paraId="737190D2" w14:textId="77777777" w:rsidR="00393A15" w:rsidRPr="00C35312" w:rsidRDefault="00393A15">
      <w:pPr>
        <w:pStyle w:val="Ttulo10"/>
        <w:numPr>
          <w:ilvl w:val="0"/>
          <w:numId w:val="28"/>
        </w:numPr>
        <w:ind w:left="1560" w:hanging="284"/>
        <w:rPr>
          <w:rFonts w:eastAsiaTheme="minorEastAsia"/>
        </w:rPr>
      </w:pPr>
      <w:bookmarkStart w:id="75" w:name="_Hlk123291611"/>
      <w:r>
        <w:rPr>
          <w:rFonts w:eastAsiaTheme="minorEastAsia"/>
        </w:rPr>
        <w:lastRenderedPageBreak/>
        <w:t xml:space="preserve">Vaciado del mercado de trabajo: </w:t>
      </w:r>
      <m:oMath>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S</m:t>
            </m:r>
          </m:sup>
        </m:sSup>
        <m:r>
          <w:rPr>
            <w:rFonts w:ascii="Cambria Math" w:eastAsiaTheme="minorEastAsia" w:hAnsi="Cambria Math"/>
          </w:rPr>
          <m:t>=</m:t>
        </m:r>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D</m:t>
            </m:r>
          </m:sup>
        </m:sSup>
        <m:r>
          <w:rPr>
            <w:rFonts w:ascii="Cambria Math" w:eastAsiaTheme="minorEastAsia" w:hAnsi="Cambria Math"/>
          </w:rPr>
          <m:t>⟹</m:t>
        </m:r>
        <m:sSub>
          <m:sSubPr>
            <m:ctrlPr>
              <w:rPr>
                <w:rFonts w:ascii="Cambria Math" w:eastAsiaTheme="minorEastAsia" w:hAnsi="Cambria Math"/>
              </w:rPr>
            </m:ctrlPr>
          </m:sSubPr>
          <m:e>
            <m:r>
              <m:rPr>
                <m:nor/>
              </m:rPr>
              <w:rPr>
                <w:rFonts w:eastAsiaTheme="minorEastAsia"/>
              </w:rPr>
              <m:t>λ</m:t>
            </m:r>
          </m:e>
          <m:sub>
            <m:r>
              <m:rPr>
                <m:nor/>
              </m:rPr>
              <w:rPr>
                <w:rFonts w:eastAsiaTheme="minorEastAsia"/>
              </w:rPr>
              <m:t>i</m:t>
            </m:r>
          </m:sub>
        </m:sSub>
        <m:r>
          <w:rPr>
            <w:rFonts w:ascii="Cambria Math" w:eastAsiaTheme="minorEastAsia" w:hAnsi="Cambria Math"/>
          </w:rPr>
          <m:t>∙</m:t>
        </m:r>
        <m:r>
          <m:rPr>
            <m:nor/>
          </m:rPr>
          <w:rPr>
            <w:rFonts w:eastAsiaTheme="minorEastAsia"/>
            <w:iCs/>
          </w:rPr>
          <m:t>γ</m:t>
        </m:r>
        <m:r>
          <w:rPr>
            <w:rFonts w:ascii="Cambria Math" w:eastAsiaTheme="minorEastAsia" w:hAnsi="Cambria Math"/>
          </w:rPr>
          <m:t>=</m:t>
        </m:r>
        <m:sSub>
          <m:sSubPr>
            <m:ctrlPr>
              <w:rPr>
                <w:rFonts w:ascii="Cambria Math" w:eastAsiaTheme="minorEastAsia" w:hAnsi="Cambria Math"/>
                <w:iCs/>
              </w:rPr>
            </m:ctrlPr>
          </m:sSubPr>
          <m:e>
            <m:r>
              <m:rPr>
                <m:nor/>
              </m:rPr>
              <w:rPr>
                <w:rFonts w:eastAsiaTheme="minorEastAsia"/>
                <w:iCs/>
              </w:rPr>
              <m:t>n</m:t>
            </m:r>
          </m:e>
          <m:sub>
            <m:r>
              <m:rPr>
                <m:nor/>
              </m:rPr>
              <w:rPr>
                <w:rFonts w:eastAsiaTheme="minorEastAsia"/>
                <w:iCs/>
              </w:rPr>
              <m:t>i</m:t>
            </m:r>
          </m:sub>
        </m:sSub>
        <m:r>
          <w:rPr>
            <w:rFonts w:ascii="Cambria Math" w:hAnsi="Cambria Math"/>
          </w:rPr>
          <m:t>∙</m:t>
        </m:r>
        <m:d>
          <m:dPr>
            <m:ctrlPr>
              <w:rPr>
                <w:rFonts w:ascii="Cambria Math" w:hAnsi="Cambria Math"/>
              </w:rPr>
            </m:ctrlPr>
          </m:dPr>
          <m:e>
            <m:r>
              <m:rPr>
                <m:nor/>
              </m:rPr>
              <m:t>F</m:t>
            </m:r>
            <m:r>
              <w:rPr>
                <w:rFonts w:ascii="Cambria Math" w:eastAsiaTheme="minorEastAsia" w:hAnsi="Cambria Math"/>
              </w:rPr>
              <m:t>+</m:t>
            </m:r>
            <m:r>
              <m:rPr>
                <m:nor/>
              </m:rPr>
              <m:t>c</m:t>
            </m:r>
            <m:r>
              <w:rPr>
                <w:rFonts w:ascii="Cambria Math" w:eastAsiaTheme="minorEastAsia" w:hAnsi="Cambria Math"/>
              </w:rPr>
              <m:t>∙</m:t>
            </m:r>
            <m:r>
              <m:rPr>
                <m:nor/>
              </m:rPr>
              <m:t>q</m:t>
            </m:r>
          </m:e>
        </m:d>
      </m:oMath>
      <w:bookmarkEnd w:id="75"/>
    </w:p>
    <w:p w14:paraId="66CDCE2F" w14:textId="77777777" w:rsidR="00393A15" w:rsidRDefault="00393A15" w:rsidP="00393A15">
      <w:pPr>
        <w:pStyle w:val="Nivel1SM"/>
        <w:keepNext/>
        <w:spacing w:before="0" w:after="0"/>
      </w:pPr>
      <w:r>
        <w:t xml:space="preserve">El </w:t>
      </w:r>
      <w:r w:rsidRPr="00DD4852">
        <w:rPr>
          <w:b/>
          <w:bCs/>
        </w:rPr>
        <w:t>mercado del bien</w:t>
      </w:r>
      <w:r>
        <w:rPr>
          <w:b/>
          <w:bCs/>
        </w:rPr>
        <w:t> </w:t>
      </w:r>
      <w:r w:rsidRPr="00DD4852">
        <w:rPr>
          <w:b/>
          <w:bCs/>
          <w:i/>
          <w:iCs/>
        </w:rPr>
        <w:t>X</w:t>
      </w:r>
      <w:r>
        <w:t xml:space="preserve"> es muy sencillo. Necesitamos un trabajador para producir una unidad de </w:t>
      </w:r>
      <w:r>
        <w:rPr>
          <w:i/>
          <w:iCs/>
        </w:rPr>
        <w:t>X</w:t>
      </w:r>
      <w:r>
        <w:t>, por lo que cada país produce de forma que:</w:t>
      </w:r>
    </w:p>
    <w:p w14:paraId="006BD1B2" w14:textId="77777777" w:rsidR="00393A15" w:rsidRPr="001B1AB8" w:rsidRDefault="00000000" w:rsidP="00393A15">
      <w:pPr>
        <w:spacing w:after="10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e>
          </m:borderBox>
        </m:oMath>
      </m:oMathPara>
    </w:p>
    <w:p w14:paraId="43584D5D" w14:textId="77777777" w:rsidR="00393A15" w:rsidRDefault="00393A15" w:rsidP="00393A15">
      <w:pPr>
        <w:pStyle w:val="Nivel1SM"/>
        <w:keepNext/>
        <w:spacing w:after="0"/>
      </w:pPr>
      <w:r>
        <w:t xml:space="preserve">En el caso del </w:t>
      </w:r>
      <w:r w:rsidRPr="00DD4852">
        <w:rPr>
          <w:b/>
          <w:bCs/>
        </w:rPr>
        <w:t>mercado del bien</w:t>
      </w:r>
      <w:r>
        <w:rPr>
          <w:b/>
          <w:bCs/>
        </w:rPr>
        <w:t> </w:t>
      </w:r>
      <w:r w:rsidRPr="00DD4852">
        <w:rPr>
          <w:b/>
          <w:bCs/>
          <w:i/>
          <w:iCs/>
        </w:rPr>
        <w:t>Y</w:t>
      </w:r>
      <w:r>
        <w:t>, la demanda total de obreros en cada país se obtiene de multiplicar la demanda de obreros de una empresa por el número total de obreros en el país:</w:t>
      </w:r>
    </w:p>
    <w:p w14:paraId="2D9CCF5D" w14:textId="77777777" w:rsidR="00393A15" w:rsidRPr="00C35312" w:rsidRDefault="00000000" w:rsidP="00393A15">
      <w:pPr>
        <w:spacing w:after="0"/>
        <w:rPr>
          <w:rFonts w:eastAsiaTheme="minorEastAsia"/>
        </w:rPr>
      </w:pPr>
      <m:oMathPara>
        <m:oMath>
          <m:sSub>
            <m:sSubPr>
              <m:ctrlPr>
                <w:rPr>
                  <w:rFonts w:ascii="Cambria Math" w:eastAsiaTheme="minorEastAsia" w:hAnsi="Cambria Math"/>
                  <w:i/>
                  <w:iCs/>
                </w:rPr>
              </m:ctrlPr>
            </m:sSubPr>
            <m:e>
              <m:r>
                <m:rPr>
                  <m:nor/>
                </m:rPr>
                <w:rPr>
                  <w:rFonts w:eastAsiaTheme="minorEastAsia"/>
                  <w:i/>
                  <w:iCs/>
                </w:rPr>
                <m:t>n</m:t>
              </m:r>
            </m:e>
            <m:sub>
              <m:r>
                <m:rPr>
                  <m:nor/>
                </m:rPr>
                <w:rPr>
                  <w:rFonts w:eastAsiaTheme="minorEastAsia"/>
                  <w:i/>
                  <w:iCs/>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73CBFB46" w14:textId="77777777" w:rsidR="00393A15" w:rsidRDefault="00393A15" w:rsidP="00393A15">
      <w:pPr>
        <w:pStyle w:val="Nivel2SM"/>
        <w:keepNext/>
        <w:spacing w:after="0"/>
      </w:pPr>
      <w:r>
        <w:t>La oferta total de obreros del sector </w:t>
      </w:r>
      <w:r>
        <w:rPr>
          <w:i/>
          <w:iCs/>
        </w:rPr>
        <w:t>Y</w:t>
      </w:r>
      <w:r>
        <w:t xml:space="preserve"> en la región está dada por la porción de obreros del sector </w:t>
      </w:r>
      <w:r>
        <w:rPr>
          <w:i/>
          <w:iCs/>
        </w:rPr>
        <w:t>Y</w:t>
      </w:r>
      <w:r>
        <w:t xml:space="preserve"> en esa región, multiplicado por el número total de obreros en la economía:</w:t>
      </w:r>
    </w:p>
    <w:p w14:paraId="73739A1F" w14:textId="77777777" w:rsidR="00393A15" w:rsidRPr="00E86C15" w:rsidRDefault="00000000" w:rsidP="00393A15">
      <w:pPr>
        <w:pStyle w:val="Nivel2SM"/>
        <w:numPr>
          <w:ilvl w:val="0"/>
          <w:numId w:val="0"/>
        </w:numPr>
        <w:ind w:left="567"/>
        <w:rPr>
          <w:lang w:val="en-US"/>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n</m:t>
                      </m:r>
                    </m:e>
                    <m:sub>
                      <m:r>
                        <m:rPr>
                          <m:nor/>
                        </m:rPr>
                        <w:rPr>
                          <w:i/>
                          <w:iCs/>
                          <w:lang w:val="en-US"/>
                        </w:rPr>
                        <m:t>i</m:t>
                      </m:r>
                    </m:sub>
                  </m:sSub>
                  <m:r>
                    <w:rPr>
                      <w:rFonts w:ascii="Cambria Math" w:hAnsi="Cambria Math"/>
                      <w:lang w:val="en-US"/>
                    </w:rPr>
                    <m:t>∙</m:t>
                  </m:r>
                  <m:d>
                    <m:dPr>
                      <m:ctrlPr>
                        <w:rPr>
                          <w:rFonts w:ascii="Cambria Math" w:hAnsi="Cambria Math"/>
                          <w:i/>
                        </w:rPr>
                      </m:ctrlPr>
                    </m:dPr>
                    <m:e>
                      <m:r>
                        <m:rPr>
                          <m:nor/>
                        </m:rPr>
                        <w:rPr>
                          <w:i/>
                          <w:lang w:val="en-US"/>
                        </w:rPr>
                        <m:t>F</m:t>
                      </m:r>
                      <m:r>
                        <w:rPr>
                          <w:rFonts w:ascii="Cambria Math" w:hAnsi="Cambria Math"/>
                          <w:lang w:val="en-US"/>
                        </w:rPr>
                        <m:t>+</m:t>
                      </m:r>
                      <m:r>
                        <m:rPr>
                          <m:nor/>
                        </m:rPr>
                        <w:rPr>
                          <w:i/>
                          <w:lang w:val="en-US"/>
                        </w:rPr>
                        <m:t>c</m:t>
                      </m:r>
                      <m:r>
                        <w:rPr>
                          <w:rFonts w:ascii="Cambria Math" w:hAnsi="Cambria Math"/>
                          <w:lang w:val="en-US"/>
                        </w:rPr>
                        <m:t>∙</m:t>
                      </m:r>
                      <m:r>
                        <m:rPr>
                          <m:nor/>
                        </m:rPr>
                        <w:rPr>
                          <w:i/>
                          <w:lang w:val="en-US"/>
                        </w:rPr>
                        <m:t>q</m:t>
                      </m:r>
                    </m:e>
                  </m:d>
                </m:e>
              </m:groupChr>
            </m:e>
            <m:lim>
              <m:sSup>
                <m:sSupPr>
                  <m:ctrlPr>
                    <w:rPr>
                      <w:rFonts w:ascii="Cambria Math" w:hAnsi="Cambria Math"/>
                      <w:i/>
                      <w:iCs/>
                    </w:rPr>
                  </m:ctrlPr>
                </m:sSupPr>
                <m:e>
                  <m:r>
                    <m:rPr>
                      <m:nor/>
                    </m:rPr>
                    <w:rPr>
                      <w:i/>
                      <w:iCs/>
                      <w:lang w:val="en-US"/>
                    </w:rPr>
                    <m:t>L</m:t>
                  </m:r>
                </m:e>
                <m:sup>
                  <m:r>
                    <m:rPr>
                      <m:nor/>
                    </m:rPr>
                    <w:rPr>
                      <w:i/>
                      <w:iCs/>
                      <w:lang w:val="en-US"/>
                    </w:rPr>
                    <m:t>D</m:t>
                  </m:r>
                </m:sup>
              </m:sSup>
            </m:lim>
          </m:limLow>
          <m:r>
            <w:rPr>
              <w:rFonts w:ascii="Cambria Math"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λ</m:t>
                              </m:r>
                            </m:e>
                            <m:sub>
                              <m:r>
                                <m:rPr>
                                  <m:nor/>
                                </m:rPr>
                                <w:rPr>
                                  <w:i/>
                                  <w:lang w:val="en-US"/>
                                </w:rPr>
                                <m:t>i</m:t>
                              </m:r>
                            </m:sub>
                          </m:sSub>
                          <m:r>
                            <w:rPr>
                              <w:rFonts w:ascii="Cambria Math" w:hAnsi="Cambria Math"/>
                              <w:lang w:val="en-US"/>
                            </w:rPr>
                            <m:t>∙</m:t>
                          </m:r>
                          <m:r>
                            <m:rPr>
                              <m:nor/>
                            </m:rPr>
                            <w:rPr>
                              <w:i/>
                              <w:iCs/>
                            </w:rPr>
                            <m:t>γ</m:t>
                          </m:r>
                        </m:e>
                      </m:groupChr>
                    </m:e>
                    <m:lim>
                      <m:sSup>
                        <m:sSupPr>
                          <m:ctrlPr>
                            <w:rPr>
                              <w:rFonts w:ascii="Cambria Math" w:hAnsi="Cambria Math"/>
                              <w:i/>
                              <w:iCs/>
                            </w:rPr>
                          </m:ctrlPr>
                        </m:sSupPr>
                        <m:e>
                          <m:r>
                            <m:rPr>
                              <m:nor/>
                            </m:rPr>
                            <w:rPr>
                              <w:i/>
                              <w:iCs/>
                              <w:lang w:val="en-US"/>
                            </w:rPr>
                            <m:t>L</m:t>
                          </m:r>
                        </m:e>
                        <m:sup>
                          <m:r>
                            <m:rPr>
                              <m:nor/>
                            </m:rPr>
                            <w:rPr>
                              <w:i/>
                              <w:iCs/>
                              <w:lang w:val="en-US"/>
                            </w:rPr>
                            <m:t>S</m:t>
                          </m:r>
                        </m:sup>
                      </m:sSup>
                    </m:lim>
                  </m:limLow>
                </m:e>
              </m:groupChr>
            </m:e>
            <m:lim>
              <m:sSub>
                <m:sSubPr>
                  <m:ctrlPr>
                    <w:rPr>
                      <w:rFonts w:ascii="Cambria Math" w:hAnsi="Cambria Math"/>
                      <w:i/>
                    </w:rPr>
                  </m:ctrlPr>
                </m:sSubPr>
                <m:e>
                  <m:r>
                    <m:rPr>
                      <m:nor/>
                    </m:rPr>
                    <w:rPr>
                      <w:i/>
                    </w:rPr>
                    <m:t>γ</m:t>
                  </m:r>
                </m:e>
                <m:sub>
                  <m:r>
                    <m:rPr>
                      <m:nor/>
                    </m:rPr>
                    <w:rPr>
                      <w:i/>
                      <w:lang w:val="en-US"/>
                    </w:rPr>
                    <m:t>i</m:t>
                  </m:r>
                </m:sub>
              </m:sSub>
            </m:lim>
          </m:limUpp>
          <m:r>
            <w:rPr>
              <w:rFonts w:ascii="Cambria Math" w:hAnsi="Cambria Math"/>
              <w:lang w:val="en-US"/>
            </w:rPr>
            <m:t xml:space="preserve">   ∀ </m:t>
          </m:r>
          <m:r>
            <m:rPr>
              <m:nor/>
            </m:rPr>
            <w:rPr>
              <w:i/>
              <w:lang w:val="en-US"/>
            </w:rPr>
            <m:t>i</m:t>
          </m:r>
          <m:r>
            <w:rPr>
              <w:rFonts w:ascii="Cambria Math" w:hAnsi="Cambria Math"/>
              <w:lang w:val="en-US"/>
            </w:rPr>
            <m:t>∈</m:t>
          </m:r>
          <m:d>
            <m:dPr>
              <m:ctrlPr>
                <w:rPr>
                  <w:rFonts w:ascii="Cambria Math" w:hAnsi="Cambria Math"/>
                  <w:i/>
                </w:rPr>
              </m:ctrlPr>
            </m:dPr>
            <m:e>
              <m:r>
                <m:rPr>
                  <m:nor/>
                </m:rPr>
                <w:rPr>
                  <w:i/>
                  <w:lang w:val="en-US"/>
                </w:rPr>
                <m:t>A</m:t>
              </m:r>
              <m:r>
                <w:rPr>
                  <w:rFonts w:ascii="Cambria Math"/>
                  <w:lang w:val="en-US"/>
                </w:rPr>
                <m:t>,</m:t>
              </m:r>
              <m:r>
                <m:rPr>
                  <m:nor/>
                </m:rPr>
                <w:rPr>
                  <w:i/>
                  <w:lang w:val="en-US"/>
                </w:rPr>
                <m:t>B</m:t>
              </m:r>
            </m:e>
          </m:d>
        </m:oMath>
      </m:oMathPara>
    </w:p>
    <w:p w14:paraId="34EC9478" w14:textId="77777777" w:rsidR="00393A15" w:rsidRDefault="00393A15" w:rsidP="00393A15">
      <w:pPr>
        <w:pStyle w:val="Nivel2SM"/>
        <w:keepNext/>
        <w:spacing w:after="0"/>
      </w:pPr>
      <w:r w:rsidRPr="00E86C15">
        <w:t>Reemplazando la producción de equilibrio</w:t>
      </w:r>
      <w:r>
        <w:t xml:space="preserve">, </w:t>
      </w:r>
      <m:oMath>
        <m:sSup>
          <m:sSupPr>
            <m:ctrlPr>
              <w:rPr>
                <w:rFonts w:ascii="Cambria Math" w:hAnsi="Cambria Math"/>
                <w:i/>
              </w:rPr>
            </m:ctrlPr>
          </m:sSupPr>
          <m:e>
            <m:r>
              <m:rPr>
                <m:nor/>
              </m:rPr>
              <w:rPr>
                <w:i/>
              </w:rPr>
              <m:t>q</m:t>
            </m:r>
          </m:e>
          <m:sup>
            <m:r>
              <m:rPr>
                <m:nor/>
              </m:rPr>
              <w:rPr>
                <w:i/>
              </w:rPr>
              <m:t>*</m:t>
            </m:r>
          </m:sup>
        </m:sSup>
      </m:oMath>
      <w:r>
        <w:t>,</w:t>
      </w:r>
      <w:r w:rsidRPr="00E86C15">
        <w:t xml:space="preserve"> en esta ecuación obtene</w:t>
      </w:r>
      <w:r>
        <w:t>mos:</w:t>
      </w:r>
    </w:p>
    <w:p w14:paraId="73088726" w14:textId="77777777" w:rsidR="00393A15" w:rsidRPr="00E86C15" w:rsidRDefault="00000000" w:rsidP="00393A15">
      <w:pPr>
        <w:pStyle w:val="Nivel2SM"/>
        <w:numPr>
          <w:ilvl w:val="0"/>
          <w:numId w:val="0"/>
        </w:numPr>
        <w:ind w:left="567"/>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n</m:t>
                  </m:r>
                </m:e>
                <m:sub>
                  <m:r>
                    <m:rPr>
                      <m:nor/>
                    </m:rPr>
                    <w:rPr>
                      <w:i/>
                    </w:rPr>
                    <m:t>i</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i</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e>
          </m:borderBox>
        </m:oMath>
      </m:oMathPara>
    </w:p>
    <w:p w14:paraId="2935A88E" w14:textId="77777777" w:rsidR="00393A15" w:rsidRDefault="00393A15" w:rsidP="00393A15">
      <w:pPr>
        <w:pStyle w:val="Nivel2SM"/>
        <w:keepNext/>
        <w:spacing w:after="0"/>
      </w:pPr>
      <w:r>
        <w:t>Por lo que el número total de variedades en el mundo será:</w:t>
      </w:r>
    </w:p>
    <w:p w14:paraId="0A900ADC" w14:textId="77777777" w:rsidR="00393A15" w:rsidRPr="00C35312" w:rsidRDefault="00393A15" w:rsidP="00393A15">
      <w:pPr>
        <w:pStyle w:val="Nivel2SM"/>
        <w:numPr>
          <w:ilvl w:val="0"/>
          <w:numId w:val="0"/>
        </w:numPr>
        <w:ind w:left="567"/>
      </w:pPr>
      <m:oMathPara>
        <m:oMath>
          <m:r>
            <w:rPr>
              <w:rFonts w:ascii="Cambria Math" w:hAnsi="Cambria Math"/>
            </w:rPr>
            <m:t xml:space="preserve"> </m:t>
          </m:r>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A</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B</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limLow>
            <m:limLowPr>
              <m:ctrlPr>
                <w:rPr>
                  <w:rFonts w:ascii="Cambria Math" w:hAnsi="Cambria Math"/>
                  <w:i/>
                  <w:lang w:val="en-US"/>
                </w:rPr>
              </m:ctrlPr>
            </m:limLowPr>
            <m:e>
              <m:groupChr>
                <m:groupChrPr>
                  <m:ctrlPr>
                    <w:rPr>
                      <w:rFonts w:ascii="Cambria Math" w:hAnsi="Cambria Math"/>
                      <w:i/>
                      <w:lang w:val="en-US"/>
                    </w:rPr>
                  </m:ctrlPr>
                </m:groupChrPr>
                <m:e>
                  <m:d>
                    <m:dPr>
                      <m:ctrlPr>
                        <w:rPr>
                          <w:rFonts w:ascii="Cambria Math" w:hAnsi="Cambria Math"/>
                          <w:i/>
                          <w:lang w:val="en-US"/>
                        </w:rPr>
                      </m:ctrlPr>
                    </m:dPr>
                    <m:e>
                      <m:sSub>
                        <m:sSubPr>
                          <m:ctrlPr>
                            <w:rPr>
                              <w:rFonts w:ascii="Cambria Math" w:hAnsi="Cambria Math"/>
                              <w:i/>
                            </w:rPr>
                          </m:ctrlPr>
                        </m:sSubPr>
                        <m:e>
                          <m:r>
                            <m:rPr>
                              <m:nor/>
                            </m:rPr>
                            <w:rPr>
                              <w:i/>
                            </w:rPr>
                            <m:t>λ</m:t>
                          </m:r>
                        </m:e>
                        <m:sub>
                          <m:r>
                            <m:rPr>
                              <m:nor/>
                            </m:rPr>
                            <w:rPr>
                              <w:i/>
                            </w:rPr>
                            <m:t>A</m:t>
                          </m:r>
                        </m:sub>
                      </m:sSub>
                      <m:r>
                        <w:rPr>
                          <w:rFonts w:ascii="Cambria Math" w:hAnsi="Cambria Math"/>
                        </w:rPr>
                        <m:t>+</m:t>
                      </m:r>
                      <m:sSub>
                        <m:sSubPr>
                          <m:ctrlPr>
                            <w:rPr>
                              <w:rFonts w:ascii="Cambria Math" w:hAnsi="Cambria Math"/>
                              <w:i/>
                            </w:rPr>
                          </m:ctrlPr>
                        </m:sSubPr>
                        <m:e>
                          <m:r>
                            <m:rPr>
                              <m:nor/>
                            </m:rPr>
                            <w:rPr>
                              <w:i/>
                            </w:rPr>
                            <m:t>λ</m:t>
                          </m:r>
                        </m:e>
                        <m:sub>
                          <m:r>
                            <m:rPr>
                              <m:nor/>
                            </m:rPr>
                            <w:rPr>
                              <w:i/>
                            </w:rPr>
                            <m:t>B</m:t>
                          </m:r>
                        </m:sub>
                      </m:sSub>
                    </m:e>
                  </m:d>
                </m:e>
              </m:groupChr>
            </m:e>
            <m:lim>
              <m:r>
                <w:rPr>
                  <w:rFonts w:ascii="Cambria Math" w:hAnsi="Cambria Math"/>
                </w:rPr>
                <m:t>=</m:t>
              </m:r>
              <m:r>
                <m:rPr>
                  <m:nor/>
                </m:rPr>
                <w:rPr>
                  <w:i/>
                </w:rPr>
                <m:t>1</m:t>
              </m:r>
              <m:r>
                <m:rPr>
                  <m:nor/>
                </m:rPr>
                <w:rPr>
                  <w:rFonts w:ascii="Cambria Math"/>
                  <w:i/>
                </w:rPr>
                <m:t xml:space="preserve"> </m:t>
              </m:r>
              <m:r>
                <m:rPr>
                  <m:nor/>
                </m:rPr>
                <w:rPr>
                  <w:i/>
                </w:rPr>
                <m:t>por definición</m:t>
              </m:r>
            </m:lim>
          </m:limLow>
          <m:r>
            <w:rPr>
              <w:rFonts w:ascii="Cambria Math" w:hAnsi="Cambria Math"/>
            </w:rPr>
            <m:t>∙</m:t>
          </m:r>
          <m:f>
            <m:fPr>
              <m:ctrlPr>
                <w:rPr>
                  <w:rFonts w:ascii="Cambria Math" w:hAnsi="Cambria Math"/>
                  <w:i/>
                </w:rPr>
              </m:ctrlPr>
            </m:fPr>
            <m:num>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borderBox>
            <m:borderBoxPr>
              <m:ctrlPr>
                <w:rPr>
                  <w:rFonts w:ascii="Cambria Math" w:hAnsi="Cambria Math"/>
                  <w:i/>
                </w:rPr>
              </m:ctrlPr>
            </m:borderBoxPr>
            <m:e>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r>
                    <m:rPr>
                      <m:nor/>
                    </m:rPr>
                    <w:rPr>
                      <w:i/>
                      <w:iCs/>
                    </w:rPr>
                    <m:t>γ</m:t>
                  </m:r>
                </m:num>
                <m:den>
                  <m:r>
                    <m:rPr>
                      <m:nor/>
                    </m:rPr>
                    <w:rPr>
                      <w:i/>
                    </w:rPr>
                    <m:t>F</m:t>
                  </m:r>
                  <m:r>
                    <w:rPr>
                      <w:rFonts w:ascii="Cambria Math" w:hAnsi="Cambria Math"/>
                    </w:rPr>
                    <m:t>∙</m:t>
                  </m:r>
                  <m:r>
                    <m:rPr>
                      <m:nor/>
                    </m:rPr>
                    <w:rPr>
                      <w:i/>
                      <w:iCs/>
                    </w:rPr>
                    <m:t>σ</m:t>
                  </m:r>
                </m:den>
              </m:f>
            </m:e>
          </m:borderBox>
        </m:oMath>
      </m:oMathPara>
    </w:p>
    <w:p w14:paraId="52FD4109" w14:textId="253D7213" w:rsidR="00393A15" w:rsidRDefault="00393A15" w:rsidP="00393A15">
      <w:pPr>
        <w:pStyle w:val="Nivel2SM"/>
        <w:keepNext/>
        <w:spacing w:after="0"/>
      </w:pPr>
      <w:r w:rsidRPr="00E86C15">
        <w:t>E</w:t>
      </w:r>
      <w:r>
        <w:t>sto implica que la proporción de producción de</w:t>
      </w:r>
      <w:r w:rsidR="00591EC1">
        <w:t xml:space="preserve"> la región </w:t>
      </w:r>
      <w:r>
        <w:rPr>
          <w:i/>
          <w:iCs/>
        </w:rPr>
        <w:t>i</w:t>
      </w:r>
      <w:r w:rsidRPr="00257742">
        <w:t xml:space="preserve"> en </w:t>
      </w:r>
      <w:r>
        <w:t>el sector</w:t>
      </w:r>
      <w:r w:rsidR="00591EC1">
        <w:t> </w:t>
      </w:r>
      <w:r>
        <w:rPr>
          <w:i/>
          <w:iCs/>
        </w:rPr>
        <w:t>Y</w:t>
      </w:r>
      <w:r>
        <w:t xml:space="preserve"> es:</w:t>
      </w:r>
    </w:p>
    <w:p w14:paraId="58B4C910" w14:textId="77777777" w:rsidR="00393A15" w:rsidRPr="00257742" w:rsidRDefault="00000000" w:rsidP="00393A15">
      <w:pPr>
        <w:pStyle w:val="Nivel2SM"/>
        <w:numPr>
          <w:ilvl w:val="0"/>
          <w:numId w:val="0"/>
        </w:numPr>
        <w:ind w:left="567"/>
      </w:pPr>
      <m:oMathPara>
        <m:oMath>
          <m:f>
            <m:fPr>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r>
            <w:rPr>
              <w:rFonts w:ascii="Cambria Math" w:hAnsi="Cambria Math"/>
            </w:rPr>
            <m:t>=</m:t>
          </m:r>
          <m:sSub>
            <m:sSubPr>
              <m:ctrlPr>
                <w:rPr>
                  <w:rFonts w:ascii="Cambria Math" w:hAnsi="Cambria Math"/>
                  <w:i/>
                </w:rPr>
              </m:ctrlPr>
            </m:sSubPr>
            <m:e>
              <m:r>
                <m:rPr>
                  <m:nor/>
                </m:rPr>
                <w:rPr>
                  <w:i/>
                </w:rPr>
                <m:t>λ</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m:oMathPara>
    </w:p>
    <w:bookmarkEnd w:id="72"/>
    <w:p w14:paraId="2A926001" w14:textId="77777777" w:rsidR="00393A15" w:rsidRDefault="00393A15" w:rsidP="00393A15">
      <w:pPr>
        <w:pStyle w:val="Ttulo8"/>
      </w:pPr>
      <w:r>
        <w:t>Dinámica hacia el equilibrio</w:t>
      </w:r>
    </w:p>
    <w:p w14:paraId="4C79BD23" w14:textId="77777777" w:rsidR="00393A15" w:rsidRDefault="00393A15" w:rsidP="00393A15">
      <w:pPr>
        <w:pStyle w:val="Ttulo9"/>
        <w:spacing w:before="0"/>
      </w:pPr>
      <w:r>
        <w:t>Flujos migratorios</w:t>
      </w:r>
    </w:p>
    <w:p w14:paraId="7559B916" w14:textId="77777777" w:rsidR="00393A15" w:rsidRDefault="00393A15" w:rsidP="00393A15">
      <w:pPr>
        <w:pStyle w:val="Nivel1SM"/>
        <w:keepNext/>
        <w:spacing w:before="0" w:after="0"/>
      </w:pPr>
      <w:bookmarkStart w:id="76" w:name="_Hlk123291694"/>
      <w:r>
        <w:t xml:space="preserve">Hasta aquí hemos alcanzado las condiciones de equilibrio. Pasamos a introducir dinámica al modelo para analizar la dinámica de la economía hacia ese equilibrio. Los </w:t>
      </w:r>
      <w:r w:rsidRPr="00E0540B">
        <w:rPr>
          <w:b/>
          <w:bCs/>
        </w:rPr>
        <w:t>flujos migratorios</w:t>
      </w:r>
      <w:r>
        <w:t xml:space="preserve"> otorgan al modelo un componente dinámico representado por la evolución de </w:t>
      </w:r>
      <w:r w:rsidRPr="00E0540B">
        <w:rPr>
          <w:rFonts w:eastAsiaTheme="minorEastAsia"/>
        </w:rPr>
        <w:t xml:space="preserve">la proporción de trabajadores en cada región, </w:t>
      </w:r>
      <m:oMath>
        <m:sSub>
          <m:sSubPr>
            <m:ctrlPr>
              <w:rPr>
                <w:rFonts w:ascii="Cambria Math" w:hAnsi="Cambria Math"/>
                <w:i/>
              </w:rPr>
            </m:ctrlPr>
          </m:sSubPr>
          <m:e>
            <m:r>
              <m:rPr>
                <m:nor/>
              </m:rPr>
              <w:rPr>
                <w:i/>
              </w:rPr>
              <m:t>λ</m:t>
            </m:r>
          </m:e>
          <m:sub>
            <m:r>
              <m:rPr>
                <m:nor/>
              </m:rPr>
              <w:rPr>
                <w:i/>
              </w:rPr>
              <m:t>i</m:t>
            </m:r>
          </m:sub>
        </m:sSub>
      </m:oMath>
      <w:r w:rsidRPr="00E0540B">
        <w:rPr>
          <w:rFonts w:eastAsiaTheme="minorEastAsia"/>
        </w:rPr>
        <w:t>,</w:t>
      </w:r>
      <w:r>
        <w:t xml:space="preserve"> a lo largo del tiempo.</w:t>
      </w:r>
    </w:p>
    <w:p w14:paraId="0E1E64E0" w14:textId="77777777" w:rsidR="00393A15" w:rsidRPr="00E0540B" w:rsidRDefault="00393A15" w:rsidP="00393A15">
      <w:pPr>
        <w:pStyle w:val="Nivel2SM"/>
        <w:keepNext/>
        <w:spacing w:after="0"/>
        <w:rPr>
          <w:spacing w:val="-2"/>
        </w:rPr>
      </w:pPr>
      <w:r w:rsidRPr="00E0540B">
        <w:rPr>
          <w:spacing w:val="-2"/>
        </w:rPr>
        <w:t xml:space="preserve">Consideremos </w:t>
      </w:r>
      <m:oMath>
        <m:acc>
          <m:accPr>
            <m:chr m:val="̇"/>
            <m:ctrlPr>
              <w:rPr>
                <w:rFonts w:ascii="Cambria Math" w:hAnsi="Cambria Math"/>
                <w:i/>
                <w:spacing w:val="-2"/>
              </w:rPr>
            </m:ctrlPr>
          </m:accPr>
          <m:e>
            <m:sSub>
              <m:sSubPr>
                <m:ctrlPr>
                  <w:rPr>
                    <w:rFonts w:ascii="Cambria Math" w:hAnsi="Cambria Math"/>
                    <w:i/>
                    <w:spacing w:val="-2"/>
                  </w:rPr>
                </m:ctrlPr>
              </m:sSubPr>
              <m:e>
                <m:r>
                  <m:rPr>
                    <m:nor/>
                  </m:rPr>
                  <w:rPr>
                    <w:i/>
                    <w:spacing w:val="-2"/>
                  </w:rPr>
                  <m:t>λ</m:t>
                </m:r>
              </m:e>
              <m:sub>
                <m:r>
                  <m:rPr>
                    <m:nor/>
                  </m:rPr>
                  <w:rPr>
                    <w:i/>
                    <w:spacing w:val="-2"/>
                  </w:rPr>
                  <m:t>i</m:t>
                </m:r>
              </m:sub>
            </m:sSub>
          </m:e>
        </m:acc>
      </m:oMath>
      <w:r w:rsidRPr="00E0540B">
        <w:rPr>
          <w:spacing w:val="-2"/>
        </w:rPr>
        <w:t xml:space="preserve"> el flujo migratorio hacia la región </w:t>
      </w:r>
      <w:r w:rsidRPr="00E0540B">
        <w:rPr>
          <w:i/>
          <w:iCs/>
          <w:spacing w:val="-2"/>
        </w:rPr>
        <w:t>i</w:t>
      </w:r>
      <w:r w:rsidRPr="00E0540B">
        <w:rPr>
          <w:spacing w:val="-2"/>
        </w:rPr>
        <w:t xml:space="preserve"> en un momento del tiempo y tomemos a la región</w:t>
      </w:r>
      <w:r>
        <w:rPr>
          <w:spacing w:val="-2"/>
        </w:rPr>
        <w:t> </w:t>
      </w:r>
      <w:r w:rsidRPr="00E0540B">
        <w:rPr>
          <w:i/>
          <w:iCs/>
          <w:spacing w:val="-2"/>
        </w:rPr>
        <w:t>A</w:t>
      </w:r>
      <w:r w:rsidRPr="00E0540B">
        <w:rPr>
          <w:spacing w:val="-2"/>
        </w:rPr>
        <w:t xml:space="preserve"> como región de referencia. Entonces, la migración hacia la región</w:t>
      </w:r>
      <w:r>
        <w:rPr>
          <w:spacing w:val="-2"/>
        </w:rPr>
        <w:t> </w:t>
      </w:r>
      <w:r w:rsidRPr="00E0540B">
        <w:rPr>
          <w:i/>
          <w:iCs/>
          <w:spacing w:val="-2"/>
        </w:rPr>
        <w:t>A</w:t>
      </w:r>
      <w:r w:rsidRPr="00E0540B">
        <w:rPr>
          <w:spacing w:val="-2"/>
        </w:rPr>
        <w:t xml:space="preserve"> vendrá dada por:</w:t>
      </w:r>
    </w:p>
    <w:p w14:paraId="3F109DCC" w14:textId="70A85DDA" w:rsidR="00393A15" w:rsidRDefault="00000000" w:rsidP="00393A15">
      <w:pPr>
        <w:keepLines/>
        <w:spacing w:after="0"/>
        <w:ind w:left="567" w:hanging="198"/>
        <w:rPr>
          <w:rFonts w:eastAsiaTheme="minorEastAsia"/>
        </w:rPr>
      </w:pPr>
      <m:oMathPara>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r>
            <w:rPr>
              <w:rFonts w:ascii="Cambria Math" w:hAnsi="Cambria Math"/>
            </w:rPr>
            <m:t>=</m:t>
          </m:r>
          <m:sSub>
            <m:sSubPr>
              <m:ctrlPr>
                <w:rPr>
                  <w:rFonts w:ascii="Cambria Math" w:hAnsi="Cambria Math"/>
                  <w:i/>
                </w:rPr>
              </m:ctrlPr>
            </m:sSubPr>
            <m:e>
              <m:r>
                <m:rPr>
                  <m:nor/>
                </m:rPr>
                <w:rPr>
                  <w:i/>
                  <w:iCs/>
                  <w:lang w:val="en-US"/>
                </w:rPr>
                <m:t>ω</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w:rPr>
              <w:rFonts w:ascii="Cambria Math" w:hAnsi="Cambria Math"/>
            </w:rPr>
            <m:t>-</m:t>
          </m:r>
          <m:sSub>
            <m:sSubPr>
              <m:ctrlPr>
                <w:rPr>
                  <w:rFonts w:ascii="Cambria Math" w:hAnsi="Cambria Math"/>
                  <w:i/>
                </w:rPr>
              </m:ctrlPr>
            </m:sSubPr>
            <m:e>
              <m:r>
                <m:rPr>
                  <m:nor/>
                </m:rPr>
                <w:rPr>
                  <w:i/>
                  <w:iCs/>
                  <w:lang w:val="en-US"/>
                </w:rPr>
                <m:t>ω</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m:rPr>
              <m:sty m:val="p"/>
            </m:rPr>
            <w:rPr>
              <w:rFonts w:eastAsiaTheme="minorEastAsia"/>
            </w:rPr>
            <w:br/>
          </m:r>
        </m:oMath>
      </m:oMathPara>
      <w:r w:rsidR="00393A15">
        <w:rPr>
          <w:rFonts w:eastAsiaTheme="minorEastAsia"/>
        </w:rPr>
        <w:t xml:space="preserve">donde </w:t>
      </w:r>
      <m:oMath>
        <m:sSub>
          <m:sSubPr>
            <m:ctrlPr>
              <w:rPr>
                <w:rFonts w:ascii="Cambria Math" w:hAnsi="Cambria Math"/>
                <w:i/>
              </w:rPr>
            </m:ctrlPr>
          </m:sSubPr>
          <m:e>
            <m:r>
              <m:rPr>
                <m:nor/>
              </m:rPr>
              <w:rPr>
                <w:i/>
                <w:iCs/>
                <w:lang w:val="en-US"/>
              </w:rPr>
              <m:t>ω</m:t>
            </m:r>
          </m:e>
          <m:sub>
            <m:r>
              <m:rPr>
                <m:nor/>
              </m:rPr>
              <w:rPr>
                <w:i/>
              </w:rPr>
              <m:t>i</m:t>
            </m:r>
          </m:sub>
        </m:sSub>
      </m:oMath>
      <w:r w:rsidR="00393A15">
        <w:rPr>
          <w:rFonts w:eastAsiaTheme="minorEastAsia"/>
        </w:rPr>
        <w:t xml:space="preserve"> es el salario real</w:t>
      </w:r>
      <w:r w:rsidR="00393A15">
        <w:rPr>
          <w:rStyle w:val="Refdenotaalpie"/>
          <w:rFonts w:eastAsiaTheme="minorEastAsia"/>
        </w:rPr>
        <w:footnoteReference w:id="25"/>
      </w:r>
      <w:r w:rsidR="00393A15">
        <w:rPr>
          <w:rFonts w:eastAsiaTheme="minorEastAsia"/>
        </w:rPr>
        <w:t xml:space="preserve"> en la región</w:t>
      </w:r>
      <w:r w:rsidR="001F6175">
        <w:rPr>
          <w:rFonts w:eastAsiaTheme="minorEastAsia"/>
        </w:rPr>
        <w:t> </w:t>
      </w:r>
      <w:r w:rsidR="00393A15">
        <w:rPr>
          <w:rFonts w:eastAsiaTheme="minorEastAsia"/>
          <w:i/>
          <w:iCs/>
        </w:rPr>
        <w:t>i</w:t>
      </w:r>
      <w:r w:rsidR="00393A15">
        <w:rPr>
          <w:rFonts w:eastAsiaTheme="minorEastAsia"/>
        </w:rPr>
        <w:t>.</w:t>
      </w:r>
    </w:p>
    <w:bookmarkEnd w:id="76"/>
    <w:p w14:paraId="7B826C54" w14:textId="77777777" w:rsidR="00393A15" w:rsidRPr="00025633" w:rsidRDefault="00393A15" w:rsidP="00393A15">
      <w:pPr>
        <w:pStyle w:val="Ttulo9"/>
      </w:pPr>
      <w:r>
        <w:t>Posibles equilibrios</w:t>
      </w:r>
    </w:p>
    <w:p w14:paraId="5582CED2" w14:textId="293D5053" w:rsidR="00393A15" w:rsidRDefault="00393A15" w:rsidP="00393A15">
      <w:pPr>
        <w:pStyle w:val="Nivel1SM"/>
        <w:keepNext/>
        <w:spacing w:before="0" w:after="0"/>
      </w:pPr>
      <w:bookmarkStart w:id="77" w:name="_Hlk123291735"/>
      <w:r>
        <w:t xml:space="preserve">Llegados a este punto podemos estudiar la </w:t>
      </w:r>
      <w:r w:rsidRPr="00DD4852">
        <w:rPr>
          <w:b/>
          <w:bCs/>
        </w:rPr>
        <w:t>dinámica del sistema</w:t>
      </w:r>
      <w:r>
        <w:t xml:space="preserve">. En cualquier instante, el valor de </w:t>
      </w:r>
      <m:oMath>
        <m:sSub>
          <m:sSubPr>
            <m:ctrlPr>
              <w:rPr>
                <w:rFonts w:ascii="Cambria Math" w:hAnsi="Cambria Math"/>
                <w:i/>
              </w:rPr>
            </m:ctrlPr>
          </m:sSubPr>
          <m:e>
            <m:r>
              <m:rPr>
                <m:nor/>
              </m:rPr>
              <w:rPr>
                <w:i/>
              </w:rPr>
              <m:t>λ</m:t>
            </m:r>
          </m:e>
          <m:sub>
            <m:r>
              <m:rPr>
                <m:nor/>
              </m:rPr>
              <w:rPr>
                <w:i/>
              </w:rPr>
              <m:t>A</m:t>
            </m:r>
          </m:sub>
        </m:sSub>
      </m:oMath>
      <w:r>
        <w:t xml:space="preserve"> está dado y con él podremos obtener los salarios nominales y los precios, con lo que tenemos los salarios reales. El diferencial de los salarios reales determinará el flujo migratorio (</w:t>
      </w:r>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oMath>
      <w:r>
        <w:t xml:space="preserve">), que dará lugar a un nuevo valor de </w:t>
      </w:r>
      <m:oMath>
        <m:sSub>
          <m:sSubPr>
            <m:ctrlPr>
              <w:rPr>
                <w:rFonts w:ascii="Cambria Math" w:hAnsi="Cambria Math"/>
                <w:i/>
              </w:rPr>
            </m:ctrlPr>
          </m:sSubPr>
          <m:e>
            <m:r>
              <m:rPr>
                <m:nor/>
              </m:rPr>
              <w:rPr>
                <w:i/>
              </w:rPr>
              <m:t>λ</m:t>
            </m:r>
          </m:e>
          <m:sub>
            <m:r>
              <m:rPr>
                <m:nor/>
              </m:rPr>
              <w:rPr>
                <w:i/>
              </w:rPr>
              <m:t>A</m:t>
            </m:r>
          </m:sub>
        </m:sSub>
      </m:oMath>
      <w:r>
        <w:t xml:space="preserve">, y así sucesivamente hasta alcanzar algún equilibrio. Este equilibrio puede llegar por </w:t>
      </w:r>
      <w:r w:rsidR="00591EC1">
        <w:t>2 </w:t>
      </w:r>
      <w:r>
        <w:t>vías:</w:t>
      </w:r>
    </w:p>
    <w:p w14:paraId="16453551" w14:textId="77777777" w:rsidR="00393A15" w:rsidRDefault="00393A15" w:rsidP="00393A15">
      <w:pPr>
        <w:pStyle w:val="Nivel2SM"/>
      </w:pPr>
      <w:r w:rsidRPr="00724F2D">
        <w:rPr>
          <w:i/>
          <w:iCs/>
          <w:u w:val="single"/>
        </w:rPr>
        <w:t>Se han igualado los salarios</w:t>
      </w:r>
      <w:r>
        <w:t xml:space="preserve">: Nos referimos a este caso como </w:t>
      </w:r>
      <w:r>
        <w:rPr>
          <w:b/>
          <w:bCs/>
        </w:rPr>
        <w:t>configuración geográfica dispersa</w:t>
      </w:r>
      <w:r>
        <w:t xml:space="preserve"> porque ambos bienes son producidos en ambas regiones.</w:t>
      </w:r>
    </w:p>
    <w:p w14:paraId="781B34E5" w14:textId="77777777" w:rsidR="00393A15" w:rsidRDefault="00393A15" w:rsidP="00393A15">
      <w:pPr>
        <w:pStyle w:val="Nivel2SM"/>
      </w:pPr>
      <w:r w:rsidRPr="00724F2D">
        <w:rPr>
          <w:i/>
          <w:iCs/>
          <w:u w:val="single"/>
        </w:rPr>
        <w:t>Todos los obreros se han movido a la misma región</w:t>
      </w:r>
      <w:r>
        <w:t xml:space="preserve">: Nos referimos a este caso como la </w:t>
      </w:r>
      <w:r>
        <w:rPr>
          <w:b/>
          <w:bCs/>
        </w:rPr>
        <w:t>configuración geográfica centro-periferia</w:t>
      </w:r>
      <w:r>
        <w:t>, ya que la región donde están todos los obreros acumula toda la producción del bien manufacturado (</w:t>
      </w:r>
      <w:r w:rsidRPr="00724F2D">
        <w:rPr>
          <w:i/>
          <w:iCs/>
        </w:rPr>
        <w:t>centro industrial</w:t>
      </w:r>
      <w:r>
        <w:t>) y la otra región sólo produce el bien agrícola (</w:t>
      </w:r>
      <w:r w:rsidRPr="00724F2D">
        <w:rPr>
          <w:i/>
          <w:iCs/>
        </w:rPr>
        <w:t>periferia agrícola</w:t>
      </w:r>
      <w:r>
        <w:t>).</w:t>
      </w:r>
    </w:p>
    <w:bookmarkEnd w:id="77"/>
    <w:p w14:paraId="46C9388A" w14:textId="77777777" w:rsidR="00393A15" w:rsidRDefault="00393A15" w:rsidP="00393A15">
      <w:pPr>
        <w:pStyle w:val="Ttulo9"/>
      </w:pPr>
      <w:r>
        <w:lastRenderedPageBreak/>
        <w:t>Mecanismos de dinámica hacia el equilibrio</w:t>
      </w:r>
    </w:p>
    <w:p w14:paraId="308AF002" w14:textId="77777777" w:rsidR="00393A15" w:rsidRPr="00025633" w:rsidRDefault="00393A15" w:rsidP="00393A15">
      <w:pPr>
        <w:pStyle w:val="Nivel1SM"/>
        <w:keepNext/>
        <w:spacing w:before="0" w:after="0"/>
        <w:rPr>
          <w:rFonts w:eastAsiaTheme="minorEastAsia"/>
        </w:rPr>
      </w:pPr>
      <w:bookmarkStart w:id="78" w:name="_Hlk123291755"/>
      <w:r>
        <w:t>Ahora pasamos a ver las diferentes condiciones bajo las cuales obtenemos uno u otro resultado.</w:t>
      </w:r>
    </w:p>
    <w:p w14:paraId="5D264974" w14:textId="77777777" w:rsidR="00393A15" w:rsidRDefault="00393A15" w:rsidP="00393A15">
      <w:pPr>
        <w:pStyle w:val="Nivel2SM"/>
      </w:pPr>
      <w:r>
        <w:t xml:space="preserve">Para entender la lógica del modelo partiremos de una situación simétrica, en la que las dos regiones son idénticas, </w:t>
      </w:r>
      <m:oMath>
        <m:sSub>
          <m:sSubPr>
            <m:ctrlPr>
              <w:rPr>
                <w:rFonts w:ascii="Cambria Math" w:hAnsi="Cambria Math"/>
                <w:i/>
              </w:rPr>
            </m:ctrlPr>
          </m:sSubPr>
          <m:e>
            <m:r>
              <m:rPr>
                <m:nor/>
              </m:rPr>
              <w:rPr>
                <w:i/>
              </w:rPr>
              <m:t>λ</m:t>
            </m:r>
          </m:e>
          <m:sub>
            <m:r>
              <m:rPr>
                <m:nor/>
              </m:rPr>
              <w:rPr>
                <w:i/>
              </w:rPr>
              <m:t>i</m:t>
            </m:r>
          </m:sub>
        </m:sSub>
        <m:r>
          <w:rPr>
            <w:rFonts w:ascii="Cambria Math" w:hAnsi="Cambria Math"/>
          </w:rPr>
          <m:t>=</m:t>
        </m:r>
        <m:f>
          <m:fPr>
            <m:type m:val="lin"/>
            <m:ctrlPr>
              <w:rPr>
                <w:rFonts w:ascii="Cambria Math" w:hAnsi="Cambria Math"/>
                <w:i/>
              </w:rPr>
            </m:ctrlPr>
          </m:fPr>
          <m:num>
            <m:r>
              <m:rPr>
                <m:nor/>
              </m:rPr>
              <w:rPr>
                <w:i/>
              </w:rPr>
              <m:t>1</m:t>
            </m:r>
          </m:num>
          <m:den>
            <m:r>
              <m:rPr>
                <m:nor/>
              </m:rPr>
              <w:rPr>
                <w:i/>
              </w:rPr>
              <m:t>2</m:t>
            </m:r>
          </m:den>
        </m:f>
      </m:oMath>
      <w:r>
        <w:t>. En esta configuración simétrica cada región es una réplica exacta de la otra.</w:t>
      </w:r>
    </w:p>
    <w:p w14:paraId="20DCC0FB" w14:textId="77777777" w:rsidR="00393A15" w:rsidRDefault="00393A15" w:rsidP="00393A15">
      <w:pPr>
        <w:pStyle w:val="Nivel2SM"/>
      </w:pPr>
      <w:r>
        <w:t xml:space="preserve">Introducimos un shock en esta configuración mediante un cambio exógeno en </w:t>
      </w:r>
      <m:oMath>
        <m:sSub>
          <m:sSubPr>
            <m:ctrlPr>
              <w:rPr>
                <w:rFonts w:ascii="Cambria Math" w:hAnsi="Cambria Math"/>
                <w:i/>
              </w:rPr>
            </m:ctrlPr>
          </m:sSubPr>
          <m:e>
            <m:r>
              <m:rPr>
                <m:nor/>
              </m:rPr>
              <w:rPr>
                <w:i/>
              </w:rPr>
              <m:t>λ</m:t>
            </m:r>
          </m:e>
          <m:sub>
            <m:r>
              <m:rPr>
                <m:nor/>
              </m:rPr>
              <w:rPr>
                <w:i/>
              </w:rPr>
              <m:t>i</m:t>
            </m:r>
          </m:sub>
        </m:sSub>
      </m:oMath>
      <w:r>
        <w:t xml:space="preserve"> y estudiaremos los mecanismos que pueden llevar a otros cambios endógenos en </w:t>
      </w:r>
      <m:oMath>
        <m:sSub>
          <m:sSubPr>
            <m:ctrlPr>
              <w:rPr>
                <w:rFonts w:ascii="Cambria Math" w:hAnsi="Cambria Math"/>
                <w:i/>
              </w:rPr>
            </m:ctrlPr>
          </m:sSubPr>
          <m:e>
            <m:r>
              <m:rPr>
                <m:nor/>
              </m:rPr>
              <w:rPr>
                <w:i/>
              </w:rPr>
              <m:t>λ</m:t>
            </m:r>
          </m:e>
          <m:sub>
            <m:r>
              <m:rPr>
                <m:nor/>
              </m:rPr>
              <w:rPr>
                <w:i/>
              </w:rPr>
              <m:t>i</m:t>
            </m:r>
          </m:sub>
        </m:sSub>
      </m:oMath>
      <w:r>
        <w:t>.</w:t>
      </w:r>
    </w:p>
    <w:p w14:paraId="4FE42EDB" w14:textId="77777777" w:rsidR="00393A15" w:rsidRDefault="00393A15" w:rsidP="00393A15">
      <w:pPr>
        <w:pStyle w:val="Nivel1SM"/>
        <w:keepNext/>
        <w:spacing w:after="0"/>
      </w:pPr>
      <w:r>
        <w:t>Distinguimos 3 </w:t>
      </w:r>
      <w:r w:rsidRPr="00DD4852">
        <w:t>mecanismos</w:t>
      </w:r>
      <w:r>
        <w:t>:</w:t>
      </w:r>
    </w:p>
    <w:p w14:paraId="7FE660F2" w14:textId="77777777" w:rsidR="00393A15" w:rsidRPr="00D270FA" w:rsidRDefault="00393A15">
      <w:pPr>
        <w:pStyle w:val="Prrafodelista"/>
        <w:keepNext/>
        <w:numPr>
          <w:ilvl w:val="0"/>
          <w:numId w:val="17"/>
        </w:numPr>
        <w:spacing w:after="0"/>
        <w:ind w:left="567" w:hanging="113"/>
        <w:contextualSpacing w:val="0"/>
      </w:pPr>
      <w:r w:rsidRPr="00214BA1">
        <w:rPr>
          <w:i/>
          <w:iCs/>
          <w:u w:val="single"/>
        </w:rPr>
        <w:t>Vinculación de la demanda</w:t>
      </w:r>
      <w:r>
        <w:t xml:space="preserve"> (</w:t>
      </w:r>
      <w:proofErr w:type="spellStart"/>
      <w:r w:rsidRPr="009E2718">
        <w:rPr>
          <w:i/>
          <w:iCs/>
        </w:rPr>
        <w:t>Demand</w:t>
      </w:r>
      <w:proofErr w:type="spellEnd"/>
      <w:r w:rsidRPr="009E2718">
        <w:rPr>
          <w:i/>
          <w:iCs/>
        </w:rPr>
        <w:t xml:space="preserve"> </w:t>
      </w:r>
      <w:proofErr w:type="spellStart"/>
      <w:r w:rsidRPr="009E2718">
        <w:rPr>
          <w:i/>
          <w:iCs/>
        </w:rPr>
        <w:t>linkage</w:t>
      </w:r>
      <w:proofErr w:type="spellEnd"/>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el gasto.</w:t>
      </w:r>
    </w:p>
    <w:p w14:paraId="44221881" w14:textId="77777777" w:rsidR="00393A15" w:rsidRDefault="00393A15" w:rsidP="00393A15">
      <w:pPr>
        <w:pStyle w:val="Nivel4"/>
        <w:spacing w:after="40"/>
        <w:ind w:left="1049"/>
      </w:pPr>
      <w:r>
        <w:t xml:space="preserve">Un aumento de </w:t>
      </w:r>
      <m:oMath>
        <m:sSub>
          <m:sSubPr>
            <m:ctrlPr>
              <w:rPr>
                <w:rFonts w:ascii="Cambria Math" w:hAnsi="Cambria Math"/>
                <w:i/>
              </w:rPr>
            </m:ctrlPr>
          </m:sSubPr>
          <m:e>
            <m:r>
              <m:rPr>
                <m:nor/>
              </m:rPr>
              <w:rPr>
                <w:i/>
              </w:rPr>
              <m:t>λ</m:t>
            </m:r>
          </m:e>
          <m:sub>
            <m:r>
              <m:rPr>
                <m:nor/>
              </m:rPr>
              <w:rPr>
                <w:i/>
              </w:rPr>
              <m:t>i</m:t>
            </m:r>
          </m:sub>
        </m:sSub>
      </m:oMath>
      <w:r>
        <w:t xml:space="preserve"> causa un aumento en el gasto total de la región </w:t>
      </w:r>
      <w:r>
        <w:rPr>
          <w:i/>
          <w:iCs/>
        </w:rPr>
        <w:t>i</w:t>
      </w:r>
      <w:r>
        <w:t xml:space="preserve"> y una disminución del gasto total en la otra región.</w:t>
      </w:r>
    </w:p>
    <w:p w14:paraId="6B12D89D" w14:textId="2DC67F83" w:rsidR="00393A15" w:rsidRDefault="00393A15" w:rsidP="00393A15">
      <w:pPr>
        <w:pStyle w:val="Nivel4"/>
        <w:spacing w:after="40"/>
        <w:ind w:left="1049"/>
      </w:pPr>
      <w:r>
        <w:t>A pesar de que este cambio tiene la misma magnitud absoluta, el efecto neto es un aumento de la demanda de variedades producidas en la región</w:t>
      </w:r>
      <w:r w:rsidR="003114C5">
        <w:t> </w:t>
      </w:r>
      <w:r>
        <w:rPr>
          <w:i/>
          <w:iCs/>
        </w:rPr>
        <w:t>i</w:t>
      </w:r>
      <w:r>
        <w:t xml:space="preserve"> y una disminución de la demanda de las variedades producidas en </w:t>
      </w:r>
      <w:r>
        <w:rPr>
          <w:i/>
          <w:iCs/>
        </w:rPr>
        <w:t>j</w:t>
      </w:r>
      <w:r>
        <w:t xml:space="preserve"> debido a que </w:t>
      </w:r>
      <m:oMath>
        <m:sSub>
          <m:sSubPr>
            <m:ctrlPr>
              <w:rPr>
                <w:rFonts w:ascii="Cambria Math" w:hAnsi="Cambria Math"/>
                <w:i/>
                <w:sz w:val="20"/>
                <w:szCs w:val="20"/>
              </w:rPr>
            </m:ctrlPr>
          </m:sSubPr>
          <m:e>
            <m:r>
              <m:rPr>
                <m:nor/>
              </m:rPr>
              <w:rPr>
                <w:i/>
                <w:sz w:val="20"/>
                <w:szCs w:val="20"/>
              </w:rPr>
              <m:t>p*</m:t>
            </m:r>
          </m:e>
          <m:sub>
            <m:r>
              <m:rPr>
                <m:nor/>
              </m:rPr>
              <w:rPr>
                <w:i/>
                <w:sz w:val="20"/>
                <w:szCs w:val="20"/>
              </w:rPr>
              <m:t>ij</m:t>
            </m:r>
          </m:sub>
        </m:sSub>
        <m:r>
          <w:rPr>
            <w:rFonts w:ascii="Cambria Math" w:hAnsi="Cambria Math"/>
          </w:rPr>
          <m:t>&gt;</m:t>
        </m:r>
        <m:sSubSup>
          <m:sSubSupPr>
            <m:ctrlPr>
              <w:rPr>
                <w:rFonts w:ascii="Cambria Math" w:hAnsi="Cambria Math"/>
                <w:i/>
              </w:rPr>
            </m:ctrlPr>
          </m:sSubSupPr>
          <m:e>
            <m:r>
              <m:rPr>
                <m:nor/>
              </m:rPr>
              <w:rPr>
                <w:i/>
              </w:rPr>
              <m:t>p</m:t>
            </m:r>
          </m:e>
          <m:sub>
            <m:r>
              <m:rPr>
                <m:nor/>
              </m:rPr>
              <w:rPr>
                <w:i/>
              </w:rPr>
              <m:t>ii</m:t>
            </m:r>
          </m:sub>
          <m:sup>
            <m:r>
              <m:rPr>
                <m:nor/>
              </m:rPr>
              <w:rPr>
                <w:i/>
              </w:rPr>
              <m:t>*</m:t>
            </m:r>
          </m:sup>
        </m:sSubSup>
      </m:oMath>
      <w:r>
        <w:t xml:space="preserve"> por los costes de transporte. Este efecto a veces es conocido como </w:t>
      </w:r>
      <w:r>
        <w:rPr>
          <w:i/>
          <w:iCs/>
        </w:rPr>
        <w:t>home-</w:t>
      </w:r>
      <w:proofErr w:type="spellStart"/>
      <w:r>
        <w:rPr>
          <w:i/>
          <w:iCs/>
        </w:rPr>
        <w:t>market</w:t>
      </w:r>
      <w:proofErr w:type="spellEnd"/>
      <w:r>
        <w:rPr>
          <w:i/>
          <w:iCs/>
        </w:rPr>
        <w:t xml:space="preserve"> </w:t>
      </w:r>
      <w:proofErr w:type="spellStart"/>
      <w:r>
        <w:rPr>
          <w:i/>
          <w:iCs/>
        </w:rPr>
        <w:t>dominance</w:t>
      </w:r>
      <w:proofErr w:type="spellEnd"/>
      <w:r>
        <w:t>.</w:t>
      </w:r>
    </w:p>
    <w:p w14:paraId="4D0CF160" w14:textId="77777777" w:rsidR="00393A15" w:rsidRDefault="00393A15" w:rsidP="00393A15">
      <w:pPr>
        <w:pStyle w:val="Nivel4"/>
        <w:spacing w:after="40"/>
        <w:ind w:left="1049"/>
      </w:pPr>
      <w:r>
        <w:t xml:space="preserve">De hecho, como la demanda aumenta en </w:t>
      </w:r>
      <w:r>
        <w:rPr>
          <w:i/>
          <w:iCs/>
        </w:rPr>
        <w:t>i</w:t>
      </w:r>
      <w:r w:rsidRPr="00214BA1">
        <w:t xml:space="preserve"> y disminuye en </w:t>
      </w:r>
      <w:r w:rsidRPr="00214BA1">
        <w:rPr>
          <w:i/>
          <w:iCs/>
        </w:rPr>
        <w:t>j</w:t>
      </w:r>
      <w:r w:rsidRPr="00214BA1">
        <w:t xml:space="preserve">, los precios del bien manufacturado aumentan en </w:t>
      </w:r>
      <w:r w:rsidRPr="00214BA1">
        <w:rPr>
          <w:i/>
          <w:iCs/>
        </w:rPr>
        <w:t>i</w:t>
      </w:r>
      <w:r>
        <w:t xml:space="preserve"> y disminuyen en </w:t>
      </w:r>
      <w:r>
        <w:rPr>
          <w:i/>
          <w:iCs/>
        </w:rPr>
        <w:t>j</w:t>
      </w:r>
      <w:r>
        <w:t>.</w:t>
      </w:r>
    </w:p>
    <w:p w14:paraId="0494D0E9" w14:textId="77777777" w:rsidR="00393A15" w:rsidRDefault="00393A15" w:rsidP="00393A15">
      <w:pPr>
        <w:pStyle w:val="Nivel4"/>
        <w:spacing w:after="40"/>
        <w:ind w:left="1049"/>
      </w:pPr>
      <w:r>
        <w:t>Lo mismo sucederá con los salarios, que son una proporción constante del precio.</w:t>
      </w:r>
    </w:p>
    <w:p w14:paraId="5C1F36BC" w14:textId="77777777" w:rsidR="00393A15" w:rsidRPr="00214BA1" w:rsidRDefault="00393A15" w:rsidP="00393A15">
      <w:pPr>
        <w:pStyle w:val="Nivel4"/>
        <w:ind w:left="1049"/>
      </w:pPr>
      <w:r>
        <w:t xml:space="preserve">Por lo tanto, </w:t>
      </w:r>
      <w:proofErr w:type="spellStart"/>
      <w:r>
        <w:rPr>
          <w:i/>
          <w:iCs/>
        </w:rPr>
        <w:t>ceteris</w:t>
      </w:r>
      <w:proofErr w:type="spellEnd"/>
      <w:r>
        <w:rPr>
          <w:i/>
          <w:iCs/>
        </w:rPr>
        <w:t xml:space="preserve"> </w:t>
      </w:r>
      <w:proofErr w:type="spellStart"/>
      <w:r>
        <w:rPr>
          <w:i/>
          <w:iCs/>
        </w:rPr>
        <w:t>paribus</w:t>
      </w:r>
      <w:proofErr w:type="spellEnd"/>
      <w:r>
        <w:t xml:space="preserve">, aumenta el diferencial de salarios reales y por lo tanto impulsa una mayor migración hacia </w:t>
      </w:r>
      <w:r>
        <w:rPr>
          <w:i/>
          <w:iCs/>
        </w:rPr>
        <w:t>i</w:t>
      </w:r>
      <w:r>
        <w:t xml:space="preserve"> (</w:t>
      </w:r>
      <m:oMath>
        <m:sSub>
          <m:sSubPr>
            <m:ctrlPr>
              <w:rPr>
                <w:rFonts w:ascii="Cambria Math" w:hAnsi="Cambria Math"/>
                <w:i/>
              </w:rPr>
            </m:ctrlPr>
          </m:sSubPr>
          <m:e>
            <m:r>
              <m:rPr>
                <m:nor/>
              </m:rPr>
              <w:rPr>
                <w:i/>
              </w:rPr>
              <m:t>λ</m:t>
            </m:r>
          </m:e>
          <m:sub>
            <m:r>
              <m:rPr>
                <m:nor/>
              </m:rPr>
              <w:rPr>
                <w:i/>
              </w:rPr>
              <m:t>i</m:t>
            </m:r>
          </m:sub>
        </m:sSub>
      </m:oMath>
      <w:r>
        <w:t xml:space="preserve"> aumenta endógenamente </w:t>
      </w:r>
      <w:r w:rsidRPr="00C251EB">
        <w:rPr>
          <w:rFonts w:ascii="Times New Roman" w:hAnsi="Times New Roman" w:cs="Times New Roman"/>
        </w:rPr>
        <w:t>→</w:t>
      </w:r>
      <w:r>
        <w:rPr>
          <w:rFonts w:ascii="Times New Roman" w:hAnsi="Times New Roman" w:cs="Times New Roman"/>
        </w:rPr>
        <w:t xml:space="preserve"> </w:t>
      </w:r>
      <w:r>
        <w:rPr>
          <w:i/>
          <w:iCs/>
        </w:rPr>
        <w:t>Mecanismo de aglomeración</w:t>
      </w:r>
      <w:r>
        <w:t>)</w:t>
      </w:r>
      <w:r>
        <w:rPr>
          <w:rStyle w:val="Refdenotaalpie"/>
          <w:rFonts w:eastAsiaTheme="minorEastAsia"/>
        </w:rPr>
        <w:footnoteReference w:id="26"/>
      </w:r>
      <w:r>
        <w:t>.</w:t>
      </w:r>
    </w:p>
    <w:p w14:paraId="3483BE10" w14:textId="057B1721" w:rsidR="00393A15" w:rsidRDefault="00393A15">
      <w:pPr>
        <w:pStyle w:val="Prrafodelista"/>
        <w:keepNext/>
        <w:numPr>
          <w:ilvl w:val="0"/>
          <w:numId w:val="17"/>
        </w:numPr>
        <w:spacing w:after="0"/>
        <w:ind w:left="567" w:hanging="113"/>
        <w:contextualSpacing w:val="0"/>
      </w:pPr>
      <w:r w:rsidRPr="00214BA1">
        <w:rPr>
          <w:i/>
          <w:iCs/>
          <w:u w:val="single"/>
        </w:rPr>
        <w:t>Vinculación del coste de vida</w:t>
      </w:r>
      <w:r w:rsidRPr="00214BA1">
        <w:t xml:space="preserve"> (</w:t>
      </w:r>
      <w:proofErr w:type="spellStart"/>
      <w:r w:rsidRPr="00214BA1">
        <w:rPr>
          <w:i/>
          <w:iCs/>
        </w:rPr>
        <w:t>Cost</w:t>
      </w:r>
      <w:proofErr w:type="spellEnd"/>
      <w:r w:rsidRPr="00214BA1">
        <w:rPr>
          <w:i/>
          <w:iCs/>
        </w:rPr>
        <w:t xml:space="preserve"> </w:t>
      </w:r>
      <w:proofErr w:type="spellStart"/>
      <w:r w:rsidRPr="00214BA1">
        <w:rPr>
          <w:i/>
          <w:iCs/>
        </w:rPr>
        <w:t>of</w:t>
      </w:r>
      <w:proofErr w:type="spellEnd"/>
      <w:r w:rsidRPr="00214BA1">
        <w:rPr>
          <w:i/>
          <w:iCs/>
        </w:rPr>
        <w:t xml:space="preserve"> living </w:t>
      </w:r>
      <w:proofErr w:type="spellStart"/>
      <w:r w:rsidRPr="00214BA1">
        <w:rPr>
          <w:i/>
          <w:iCs/>
        </w:rPr>
        <w:t>linkage</w:t>
      </w:r>
      <w:proofErr w:type="spellEnd"/>
      <w:r w:rsidRPr="00214BA1">
        <w:t>):</w:t>
      </w:r>
      <w:r w:rsidRPr="003D3E6F">
        <w:t xml:space="preserve"> </w:t>
      </w:r>
      <w:r>
        <w:t xml:space="preserve">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los precios en la región</w:t>
      </w:r>
      <w:r w:rsidR="003114C5">
        <w:rPr>
          <w:rFonts w:eastAsiaTheme="minorEastAsia"/>
        </w:rPr>
        <w:t> </w:t>
      </w:r>
      <w:r>
        <w:rPr>
          <w:rFonts w:eastAsiaTheme="minorEastAsia"/>
          <w:i/>
          <w:iCs/>
        </w:rPr>
        <w:t>i</w:t>
      </w:r>
      <w:r>
        <w:rPr>
          <w:rFonts w:eastAsiaTheme="minorEastAsia"/>
        </w:rPr>
        <w:t>.</w:t>
      </w:r>
    </w:p>
    <w:p w14:paraId="3D1F37A4" w14:textId="77777777" w:rsidR="00393A15" w:rsidRDefault="00393A15" w:rsidP="00393A15">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71A66185" w14:textId="77777777" w:rsidR="00393A15" w:rsidRDefault="00393A15" w:rsidP="00393A15">
      <w:pPr>
        <w:pStyle w:val="Nivel4"/>
        <w:ind w:left="1049"/>
      </w:pPr>
      <w:r>
        <w:t>Esto causa una disminución del índice de precios en la región </w:t>
      </w:r>
      <w:r>
        <w:rPr>
          <w:i/>
          <w:iCs/>
        </w:rPr>
        <w:t>i</w:t>
      </w:r>
      <w:r>
        <w:t xml:space="preserve"> y un aumento del índice de precios en la región </w:t>
      </w:r>
      <w:r>
        <w:rPr>
          <w:i/>
          <w:iCs/>
        </w:rPr>
        <w:t>j</w:t>
      </w:r>
      <w:r>
        <w:t>.</w:t>
      </w:r>
    </w:p>
    <w:p w14:paraId="16F82E72" w14:textId="77777777" w:rsidR="00393A15" w:rsidRDefault="00393A15" w:rsidP="00393A15">
      <w:pPr>
        <w:pStyle w:val="Nivel4"/>
        <w:spacing w:after="40"/>
        <w:ind w:left="1049"/>
      </w:pPr>
      <w:r>
        <w:t>Esto hace que los salarios reales se muevan en dirección contraria.</w:t>
      </w:r>
    </w:p>
    <w:p w14:paraId="4A1A7A18" w14:textId="77777777" w:rsidR="00393A15" w:rsidRPr="00214BA1" w:rsidRDefault="00393A15" w:rsidP="00393A15">
      <w:pPr>
        <w:pStyle w:val="Nivel4"/>
        <w:ind w:left="1049"/>
      </w:pPr>
      <w:r>
        <w:t xml:space="preserve">Por lo tanto, </w:t>
      </w:r>
      <w:proofErr w:type="spellStart"/>
      <w:r>
        <w:rPr>
          <w:i/>
          <w:iCs/>
        </w:rPr>
        <w:t>ceteris</w:t>
      </w:r>
      <w:proofErr w:type="spellEnd"/>
      <w:r>
        <w:rPr>
          <w:i/>
          <w:iCs/>
        </w:rPr>
        <w:t xml:space="preserve"> </w:t>
      </w:r>
      <w:proofErr w:type="spellStart"/>
      <w:r>
        <w:rPr>
          <w:i/>
          <w:iCs/>
        </w:rPr>
        <w:t>paribus</w:t>
      </w:r>
      <w:proofErr w:type="spellEnd"/>
      <w:r>
        <w:t xml:space="preserve">, el diferencial salarial aumenta causando un mayor flujo migratorio hacia </w:t>
      </w:r>
      <w:r>
        <w:rPr>
          <w:i/>
          <w:iCs/>
        </w:rPr>
        <w:t xml:space="preserve">i </w:t>
      </w:r>
      <w:r>
        <w:t>(</w:t>
      </w:r>
      <m:oMath>
        <m:sSub>
          <m:sSubPr>
            <m:ctrlPr>
              <w:rPr>
                <w:rFonts w:ascii="Cambria Math" w:hAnsi="Cambria Math"/>
                <w:i/>
              </w:rPr>
            </m:ctrlPr>
          </m:sSubPr>
          <m:e>
            <m:r>
              <m:rPr>
                <m:nor/>
              </m:rPr>
              <w:rPr>
                <w:i/>
              </w:rPr>
              <m:t>λ</m:t>
            </m:r>
          </m:e>
          <m:sub>
            <m:r>
              <m:rPr>
                <m:nor/>
              </m:rPr>
              <w:rPr>
                <w:i/>
              </w:rPr>
              <m:t>i</m:t>
            </m:r>
          </m:sub>
        </m:sSub>
      </m:oMath>
      <w:r>
        <w:t xml:space="preserve"> aumenta endógenamente </w:t>
      </w:r>
      <w:r w:rsidRPr="00C251EB">
        <w:rPr>
          <w:rFonts w:ascii="Times New Roman" w:hAnsi="Times New Roman" w:cs="Times New Roman"/>
        </w:rPr>
        <w:t>→</w:t>
      </w:r>
      <w:r>
        <w:rPr>
          <w:rFonts w:ascii="Times New Roman" w:hAnsi="Times New Roman" w:cs="Times New Roman"/>
        </w:rPr>
        <w:t xml:space="preserve"> </w:t>
      </w:r>
      <w:r>
        <w:rPr>
          <w:i/>
          <w:iCs/>
        </w:rPr>
        <w:t>Mecanismo de aglomeración</w:t>
      </w:r>
      <w:r>
        <w:t>).</w:t>
      </w:r>
    </w:p>
    <w:p w14:paraId="74CACAC6" w14:textId="77777777" w:rsidR="00393A15" w:rsidRPr="00C251EB" w:rsidRDefault="00393A15">
      <w:pPr>
        <w:pStyle w:val="Prrafodelista"/>
        <w:keepNext/>
        <w:numPr>
          <w:ilvl w:val="0"/>
          <w:numId w:val="17"/>
        </w:numPr>
        <w:spacing w:after="0"/>
        <w:ind w:left="567" w:hanging="113"/>
      </w:pPr>
      <w:r>
        <w:rPr>
          <w:i/>
          <w:iCs/>
          <w:u w:val="single"/>
        </w:rPr>
        <w:t>Saturación de mercado</w:t>
      </w:r>
      <w:r>
        <w:t xml:space="preserve"> (</w:t>
      </w:r>
      <w:proofErr w:type="spellStart"/>
      <w:r>
        <w:rPr>
          <w:i/>
          <w:iCs/>
        </w:rPr>
        <w:t>Market</w:t>
      </w:r>
      <w:proofErr w:type="spellEnd"/>
      <w:r>
        <w:rPr>
          <w:i/>
          <w:iCs/>
        </w:rPr>
        <w:t xml:space="preserve"> </w:t>
      </w:r>
      <w:proofErr w:type="spellStart"/>
      <w:r>
        <w:rPr>
          <w:i/>
          <w:iCs/>
        </w:rPr>
        <w:t>crowding</w:t>
      </w:r>
      <w:proofErr w:type="spellEnd"/>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la competencia entre empresas por la demanda regional.</w:t>
      </w:r>
    </w:p>
    <w:p w14:paraId="22D208E4" w14:textId="77777777" w:rsidR="00393A15" w:rsidRDefault="00393A15" w:rsidP="00393A15">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6EABC926" w14:textId="77777777" w:rsidR="00393A15" w:rsidRDefault="00393A15" w:rsidP="00393A15">
      <w:pPr>
        <w:pStyle w:val="Nivel4"/>
        <w:ind w:left="1049"/>
      </w:pPr>
      <w:r>
        <w:t>Esto intensifica la competencia para un nivel dado del gasto en la región </w:t>
      </w:r>
      <w:r>
        <w:rPr>
          <w:i/>
          <w:iCs/>
        </w:rPr>
        <w:t>i</w:t>
      </w:r>
      <w:r>
        <w:t xml:space="preserve">, mientras que relaja la competencia en la región </w:t>
      </w:r>
      <w:r>
        <w:rPr>
          <w:i/>
          <w:iCs/>
        </w:rPr>
        <w:t>j</w:t>
      </w:r>
      <w:r>
        <w:t>.</w:t>
      </w:r>
    </w:p>
    <w:p w14:paraId="4F50AB18" w14:textId="77777777" w:rsidR="00393A15" w:rsidRDefault="00393A15" w:rsidP="00393A15">
      <w:pPr>
        <w:pStyle w:val="Nivel4"/>
        <w:spacing w:after="40"/>
        <w:ind w:left="1049"/>
      </w:pPr>
      <w:r>
        <w:t>Como consecuencia los precios tienden a caer en la región </w:t>
      </w:r>
      <w:r>
        <w:rPr>
          <w:i/>
          <w:iCs/>
        </w:rPr>
        <w:t>i</w:t>
      </w:r>
      <w:r>
        <w:t xml:space="preserve"> y a aumentar en la región </w:t>
      </w:r>
      <w:r>
        <w:rPr>
          <w:i/>
          <w:iCs/>
        </w:rPr>
        <w:t>j</w:t>
      </w:r>
    </w:p>
    <w:p w14:paraId="64C08DF6" w14:textId="77777777" w:rsidR="00393A15" w:rsidRDefault="00393A15" w:rsidP="00393A15">
      <w:pPr>
        <w:pStyle w:val="Nivel4"/>
        <w:spacing w:after="40"/>
        <w:ind w:left="1049"/>
      </w:pPr>
      <w:r>
        <w:t>Lo mismo sucederá con los salarios, que son una proporción constante del precio.</w:t>
      </w:r>
    </w:p>
    <w:p w14:paraId="4A12F2D4" w14:textId="77777777" w:rsidR="00393A15" w:rsidRPr="00B379FD" w:rsidRDefault="00393A15" w:rsidP="00393A15">
      <w:pPr>
        <w:pStyle w:val="Nivel4"/>
        <w:spacing w:after="40"/>
        <w:ind w:left="1049"/>
      </w:pPr>
      <w:r>
        <w:t xml:space="preserve">Por lo tanto, </w:t>
      </w:r>
      <w:proofErr w:type="spellStart"/>
      <w:r>
        <w:rPr>
          <w:i/>
          <w:iCs/>
        </w:rPr>
        <w:t>ceteris</w:t>
      </w:r>
      <w:proofErr w:type="spellEnd"/>
      <w:r>
        <w:rPr>
          <w:i/>
          <w:iCs/>
        </w:rPr>
        <w:t xml:space="preserve"> </w:t>
      </w:r>
      <w:proofErr w:type="spellStart"/>
      <w:r>
        <w:rPr>
          <w:i/>
          <w:iCs/>
        </w:rPr>
        <w:t>paribus</w:t>
      </w:r>
      <w:proofErr w:type="spellEnd"/>
      <w:r>
        <w:t>, disminuye el diferencial de salarios reales induciendo a una migración hacia la región </w:t>
      </w:r>
      <w:r>
        <w:rPr>
          <w:i/>
          <w:iCs/>
        </w:rPr>
        <w:t>j</w:t>
      </w:r>
      <w:r>
        <w:t xml:space="preserve"> (</w:t>
      </w:r>
      <m:oMath>
        <m:sSub>
          <m:sSubPr>
            <m:ctrlPr>
              <w:rPr>
                <w:rFonts w:ascii="Cambria Math" w:hAnsi="Cambria Math"/>
                <w:i/>
              </w:rPr>
            </m:ctrlPr>
          </m:sSubPr>
          <m:e>
            <m:r>
              <m:rPr>
                <m:nor/>
              </m:rPr>
              <w:rPr>
                <w:i/>
              </w:rPr>
              <m:t>λ</m:t>
            </m:r>
          </m:e>
          <m:sub>
            <m:r>
              <m:rPr>
                <m:nor/>
              </m:rPr>
              <w:rPr>
                <w:i/>
              </w:rPr>
              <m:t>i</m:t>
            </m:r>
          </m:sub>
        </m:sSub>
      </m:oMath>
      <w:r>
        <w:t xml:space="preserve"> disminuye endógenamente </w:t>
      </w:r>
      <w:r w:rsidRPr="00C251EB">
        <w:rPr>
          <w:rFonts w:ascii="Times New Roman" w:hAnsi="Times New Roman" w:cs="Times New Roman"/>
        </w:rPr>
        <w:t>→</w:t>
      </w:r>
      <w:r>
        <w:rPr>
          <w:rFonts w:ascii="Times New Roman" w:hAnsi="Times New Roman" w:cs="Times New Roman"/>
        </w:rPr>
        <w:t xml:space="preserve"> </w:t>
      </w:r>
      <w:r>
        <w:rPr>
          <w:i/>
          <w:iCs/>
        </w:rPr>
        <w:t>Mecanismo de dispersión</w:t>
      </w:r>
      <w:r>
        <w:t>).</w:t>
      </w:r>
    </w:p>
    <w:tbl>
      <w:tblPr>
        <w:tblStyle w:val="Tablaconcuadrcula"/>
        <w:tblW w:w="9867" w:type="dxa"/>
        <w:tblBorders>
          <w:right w:val="dashed" w:sz="4" w:space="0" w:color="auto"/>
        </w:tblBorders>
        <w:tblLook w:val="04A0" w:firstRow="1" w:lastRow="0" w:firstColumn="1" w:lastColumn="0" w:noHBand="0" w:noVBand="1"/>
      </w:tblPr>
      <w:tblGrid>
        <w:gridCol w:w="2096"/>
        <w:gridCol w:w="5012"/>
        <w:gridCol w:w="1220"/>
        <w:gridCol w:w="1539"/>
      </w:tblGrid>
      <w:tr w:rsidR="00393A15" w14:paraId="4E35C1A9" w14:textId="77777777" w:rsidTr="005D5227">
        <w:trPr>
          <w:trHeight w:val="312"/>
        </w:trPr>
        <w:tc>
          <w:tcPr>
            <w:tcW w:w="9867" w:type="dxa"/>
            <w:gridSpan w:val="4"/>
            <w:tcBorders>
              <w:top w:val="single" w:sz="12" w:space="0" w:color="auto"/>
              <w:left w:val="nil"/>
              <w:right w:val="nil"/>
            </w:tcBorders>
            <w:vAlign w:val="center"/>
          </w:tcPr>
          <w:p w14:paraId="53FA8E66" w14:textId="77777777" w:rsidR="00393A15" w:rsidRPr="00903F06" w:rsidRDefault="00393A15" w:rsidP="005D5227">
            <w:pPr>
              <w:keepNext/>
              <w:spacing w:after="0"/>
              <w:jc w:val="left"/>
              <w:rPr>
                <w:b/>
                <w:bCs/>
              </w:rPr>
            </w:pPr>
            <w:r w:rsidRPr="00903F06">
              <w:rPr>
                <w:b/>
                <w:bCs/>
              </w:rPr>
              <w:lastRenderedPageBreak/>
              <w:t xml:space="preserve">Perturbación exógena </w:t>
            </w:r>
            <m:oMath>
              <m:r>
                <m:rPr>
                  <m:nor/>
                </m:rPr>
                <w:rPr>
                  <w:rFonts w:ascii="Times New Roman" w:eastAsiaTheme="minorEastAsia" w:hAnsi="Times New Roman" w:cs="Times New Roman"/>
                  <w:b/>
                  <w:bCs/>
                </w:rPr>
                <m:t>↑</m:t>
              </m:r>
              <m:sSub>
                <m:sSubPr>
                  <m:ctrlPr>
                    <w:rPr>
                      <w:rFonts w:ascii="Cambria Math" w:eastAsiaTheme="minorEastAsia" w:hAnsi="Cambria Math"/>
                      <w:b/>
                      <w:bCs/>
                      <w:i/>
                    </w:rPr>
                  </m:ctrlPr>
                </m:sSubPr>
                <m:e>
                  <m:r>
                    <m:rPr>
                      <m:nor/>
                    </m:rPr>
                    <w:rPr>
                      <w:rFonts w:eastAsiaTheme="minorEastAsia"/>
                      <w:b/>
                      <w:bCs/>
                      <w:i/>
                    </w:rPr>
                    <m:t>λ</m:t>
                  </m:r>
                </m:e>
                <m:sub>
                  <m:r>
                    <m:rPr>
                      <m:nor/>
                    </m:rPr>
                    <w:rPr>
                      <w:rFonts w:eastAsiaTheme="minorEastAsia"/>
                      <w:b/>
                      <w:bCs/>
                      <w:i/>
                    </w:rPr>
                    <m:t>i</m:t>
                  </m:r>
                </m:sub>
              </m:sSub>
            </m:oMath>
          </w:p>
        </w:tc>
      </w:tr>
      <w:tr w:rsidR="00393A15" w14:paraId="263C9292" w14:textId="77777777" w:rsidTr="005D5227">
        <w:trPr>
          <w:trHeight w:val="312"/>
        </w:trPr>
        <w:tc>
          <w:tcPr>
            <w:tcW w:w="2096" w:type="dxa"/>
            <w:tcBorders>
              <w:top w:val="single" w:sz="2" w:space="0" w:color="auto"/>
              <w:left w:val="nil"/>
            </w:tcBorders>
            <w:vAlign w:val="center"/>
          </w:tcPr>
          <w:p w14:paraId="7F534BBB" w14:textId="77777777" w:rsidR="00393A15" w:rsidRPr="00903F06" w:rsidRDefault="00393A15" w:rsidP="005D5227">
            <w:pPr>
              <w:keepNext/>
              <w:spacing w:after="0"/>
              <w:jc w:val="center"/>
              <w:rPr>
                <w:b/>
                <w:bCs/>
                <w:i/>
                <w:iCs/>
              </w:rPr>
            </w:pPr>
            <w:r w:rsidRPr="00903F06">
              <w:rPr>
                <w:b/>
                <w:bCs/>
                <w:i/>
                <w:iCs/>
              </w:rPr>
              <w:t>Mecanismo</w:t>
            </w:r>
          </w:p>
        </w:tc>
        <w:tc>
          <w:tcPr>
            <w:tcW w:w="5012" w:type="dxa"/>
            <w:vAlign w:val="center"/>
          </w:tcPr>
          <w:p w14:paraId="398D2EE2" w14:textId="77777777" w:rsidR="00393A15" w:rsidRPr="00903F06" w:rsidRDefault="00393A15" w:rsidP="005D5227">
            <w:pPr>
              <w:keepNext/>
              <w:spacing w:after="0"/>
              <w:jc w:val="center"/>
              <w:rPr>
                <w:b/>
                <w:bCs/>
                <w:i/>
                <w:iCs/>
              </w:rPr>
            </w:pPr>
            <w:r w:rsidRPr="00903F06">
              <w:rPr>
                <w:b/>
                <w:bCs/>
                <w:i/>
                <w:iCs/>
              </w:rPr>
              <w:t>Efecto</w:t>
            </w:r>
          </w:p>
        </w:tc>
        <w:tc>
          <w:tcPr>
            <w:tcW w:w="2759" w:type="dxa"/>
            <w:gridSpan w:val="2"/>
            <w:tcBorders>
              <w:right w:val="nil"/>
            </w:tcBorders>
            <w:vAlign w:val="center"/>
          </w:tcPr>
          <w:p w14:paraId="784C67F1" w14:textId="77777777" w:rsidR="00393A15" w:rsidRPr="00B379FD" w:rsidRDefault="00393A15" w:rsidP="005D5227">
            <w:pPr>
              <w:keepNext/>
              <w:spacing w:after="0"/>
              <w:jc w:val="center"/>
              <w:rPr>
                <w:i/>
                <w:iCs/>
              </w:rPr>
            </w:pPr>
            <w:r w:rsidRPr="00903F06">
              <w:rPr>
                <w:b/>
                <w:bCs/>
                <w:i/>
                <w:iCs/>
              </w:rPr>
              <w:t>Resultado</w:t>
            </w:r>
          </w:p>
        </w:tc>
      </w:tr>
      <w:tr w:rsidR="00393A15" w14:paraId="22250AF2" w14:textId="77777777" w:rsidTr="005D5227">
        <w:trPr>
          <w:trHeight w:val="850"/>
        </w:trPr>
        <w:tc>
          <w:tcPr>
            <w:tcW w:w="2096" w:type="dxa"/>
            <w:tcBorders>
              <w:left w:val="nil"/>
            </w:tcBorders>
            <w:vAlign w:val="center"/>
          </w:tcPr>
          <w:p w14:paraId="7CCFB4FD" w14:textId="77777777" w:rsidR="00393A15" w:rsidRPr="00B379FD" w:rsidRDefault="00393A15" w:rsidP="005D5227">
            <w:pPr>
              <w:keepNext/>
              <w:spacing w:after="0"/>
              <w:rPr>
                <w:i/>
                <w:iCs/>
              </w:rPr>
            </w:pPr>
            <w:proofErr w:type="spellStart"/>
            <w:r>
              <w:rPr>
                <w:i/>
                <w:iCs/>
              </w:rPr>
              <w:t>Demand</w:t>
            </w:r>
            <w:proofErr w:type="spellEnd"/>
            <w:r>
              <w:rPr>
                <w:i/>
                <w:iCs/>
              </w:rPr>
              <w:t xml:space="preserve"> </w:t>
            </w:r>
            <w:proofErr w:type="spellStart"/>
            <w:r>
              <w:rPr>
                <w:i/>
                <w:iCs/>
              </w:rPr>
              <w:t>linkage</w:t>
            </w:r>
            <w:proofErr w:type="spellEnd"/>
          </w:p>
        </w:tc>
        <w:tc>
          <w:tcPr>
            <w:tcW w:w="5012" w:type="dxa"/>
            <w:vAlign w:val="center"/>
          </w:tcPr>
          <w:p w14:paraId="475F58D4" w14:textId="77777777" w:rsidR="00393A15" w:rsidRPr="00903F06" w:rsidRDefault="00393A15" w:rsidP="005D5227">
            <w:pPr>
              <w:keepNext/>
              <w:spacing w:after="0"/>
              <w:jc w:val="center"/>
              <w:rPr>
                <w:sz w:val="21"/>
                <w:szCs w:val="21"/>
              </w:rPr>
            </w:pP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i</w:t>
            </w:r>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j</w:t>
            </w:r>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w:r w:rsidRPr="005178CD">
              <w:rPr>
                <w:rFonts w:eastAsiaTheme="minorEastAsia"/>
                <w:sz w:val="15"/>
                <w:szCs w:val="15"/>
              </w:rPr>
              <w:t>Aumenta la demanda de los bienes diferenciados producidos en la región </w:t>
            </w:r>
            <w:r w:rsidRPr="005178CD">
              <w:rPr>
                <w:rFonts w:eastAsiaTheme="minorEastAsia"/>
                <w:i/>
                <w:iCs/>
                <w:sz w:val="15"/>
                <w:szCs w:val="15"/>
              </w:rPr>
              <w:t>i</w:t>
            </w:r>
            <w:r w:rsidRPr="005178CD">
              <w:rPr>
                <w:rFonts w:eastAsiaTheme="minorEastAsia"/>
                <w:sz w:val="15"/>
                <w:szCs w:val="15"/>
              </w:rPr>
              <w:t xml:space="preserve"> y por lo tanto su precio y el salario (lo contrario en la región </w:t>
            </w:r>
            <w:r w:rsidRPr="005178CD">
              <w:rPr>
                <w:rFonts w:eastAsiaTheme="minorEastAsia"/>
                <w:i/>
                <w:iCs/>
                <w:sz w:val="15"/>
                <w:szCs w:val="15"/>
              </w:rPr>
              <w:t>j</w:t>
            </w:r>
            <w:r w:rsidRPr="005178CD">
              <w:rPr>
                <w:rFonts w:eastAsiaTheme="minorEastAsia"/>
                <w:sz w:val="15"/>
                <w:szCs w:val="15"/>
              </w:rPr>
              <w:t>)</w:t>
            </w:r>
            <w:r>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903F06">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right w:val="nil"/>
            </w:tcBorders>
            <w:vAlign w:val="center"/>
          </w:tcPr>
          <w:p w14:paraId="2FDF8DDD" w14:textId="77777777" w:rsidR="00393A15" w:rsidRDefault="00393A15" w:rsidP="005D5227">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val="restart"/>
            <w:tcBorders>
              <w:right w:val="nil"/>
            </w:tcBorders>
            <w:vAlign w:val="center"/>
          </w:tcPr>
          <w:p w14:paraId="2E5230C0" w14:textId="77777777" w:rsidR="00393A15" w:rsidRPr="00903F06" w:rsidRDefault="00393A15" w:rsidP="005D5227">
            <w:pPr>
              <w:keepNext/>
              <w:spacing w:after="0"/>
              <w:jc w:val="center"/>
              <w:rPr>
                <w:rFonts w:eastAsia="Times New Roman" w:cs="Times New Roman"/>
                <w:i/>
                <w:iCs/>
                <w:sz w:val="19"/>
                <w:szCs w:val="19"/>
              </w:rPr>
            </w:pPr>
            <w:r w:rsidRPr="00903F06">
              <w:rPr>
                <w:rFonts w:eastAsia="Times New Roman" w:cs="Times New Roman"/>
                <w:i/>
                <w:iCs/>
                <w:sz w:val="19"/>
                <w:szCs w:val="19"/>
              </w:rPr>
              <w:t xml:space="preserve">Mecanismos de </w:t>
            </w:r>
            <w:r>
              <w:rPr>
                <w:rFonts w:eastAsia="Times New Roman" w:cs="Times New Roman"/>
                <w:i/>
                <w:iCs/>
                <w:sz w:val="19"/>
                <w:szCs w:val="19"/>
              </w:rPr>
              <w:t>aglomeración</w:t>
            </w:r>
          </w:p>
        </w:tc>
      </w:tr>
      <w:tr w:rsidR="00393A15" w14:paraId="1B6E8BE6" w14:textId="77777777" w:rsidTr="005D5227">
        <w:trPr>
          <w:trHeight w:val="850"/>
        </w:trPr>
        <w:tc>
          <w:tcPr>
            <w:tcW w:w="2096" w:type="dxa"/>
            <w:tcBorders>
              <w:left w:val="nil"/>
            </w:tcBorders>
            <w:vAlign w:val="center"/>
          </w:tcPr>
          <w:p w14:paraId="0221AD8D" w14:textId="77777777" w:rsidR="00393A15" w:rsidRPr="00B379FD" w:rsidRDefault="00393A15" w:rsidP="005D5227">
            <w:pPr>
              <w:keepNext/>
              <w:spacing w:after="0"/>
              <w:rPr>
                <w:i/>
                <w:iCs/>
              </w:rPr>
            </w:pPr>
            <w:proofErr w:type="spellStart"/>
            <w:r>
              <w:rPr>
                <w:i/>
                <w:iCs/>
              </w:rPr>
              <w:t>Cost</w:t>
            </w:r>
            <w:proofErr w:type="spellEnd"/>
            <w:r>
              <w:rPr>
                <w:i/>
                <w:iCs/>
              </w:rPr>
              <w:t xml:space="preserve"> </w:t>
            </w:r>
            <w:proofErr w:type="spellStart"/>
            <w:r>
              <w:rPr>
                <w:i/>
                <w:iCs/>
              </w:rPr>
              <w:t>of</w:t>
            </w:r>
            <w:proofErr w:type="spellEnd"/>
            <w:r>
              <w:rPr>
                <w:i/>
                <w:iCs/>
              </w:rPr>
              <w:t xml:space="preserve"> living </w:t>
            </w:r>
            <w:proofErr w:type="spellStart"/>
            <w:r>
              <w:rPr>
                <w:i/>
                <w:iCs/>
              </w:rPr>
              <w:t>linkage</w:t>
            </w:r>
            <w:proofErr w:type="spellEnd"/>
          </w:p>
        </w:tc>
        <w:tc>
          <w:tcPr>
            <w:tcW w:w="5012" w:type="dxa"/>
            <w:vAlign w:val="center"/>
          </w:tcPr>
          <w:p w14:paraId="610BA036" w14:textId="77777777" w:rsidR="00393A15" w:rsidRPr="00903F06" w:rsidRDefault="00393A15" w:rsidP="005D5227">
            <w:pPr>
              <w:keepNext/>
              <w:spacing w:after="0"/>
              <w:jc w:val="center"/>
              <w:rPr>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right w:val="nil"/>
            </w:tcBorders>
            <w:vAlign w:val="center"/>
          </w:tcPr>
          <w:p w14:paraId="160E14FC" w14:textId="77777777" w:rsidR="00393A15" w:rsidRDefault="00393A15" w:rsidP="005D5227">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tcBorders>
              <w:right w:val="nil"/>
            </w:tcBorders>
            <w:vAlign w:val="center"/>
          </w:tcPr>
          <w:p w14:paraId="3547B81A" w14:textId="77777777" w:rsidR="00393A15" w:rsidRPr="00903F06" w:rsidRDefault="00393A15" w:rsidP="005D5227">
            <w:pPr>
              <w:spacing w:after="0"/>
              <w:jc w:val="center"/>
              <w:rPr>
                <w:rFonts w:eastAsia="Calibri" w:cs="Arial"/>
                <w:i/>
                <w:iCs/>
                <w:sz w:val="19"/>
                <w:szCs w:val="19"/>
              </w:rPr>
            </w:pPr>
          </w:p>
        </w:tc>
      </w:tr>
      <w:tr w:rsidR="00393A15" w14:paraId="48044FB3" w14:textId="77777777" w:rsidTr="005D5227">
        <w:trPr>
          <w:trHeight w:val="850"/>
        </w:trPr>
        <w:tc>
          <w:tcPr>
            <w:tcW w:w="2096" w:type="dxa"/>
            <w:tcBorders>
              <w:left w:val="nil"/>
              <w:bottom w:val="single" w:sz="12" w:space="0" w:color="auto"/>
            </w:tcBorders>
            <w:vAlign w:val="center"/>
          </w:tcPr>
          <w:p w14:paraId="7AF9B0D8" w14:textId="77777777" w:rsidR="00393A15" w:rsidRPr="00B379FD" w:rsidRDefault="00393A15" w:rsidP="005D5227">
            <w:pPr>
              <w:keepNext/>
              <w:spacing w:after="0"/>
              <w:rPr>
                <w:i/>
                <w:iCs/>
              </w:rPr>
            </w:pPr>
            <w:proofErr w:type="spellStart"/>
            <w:r w:rsidRPr="00B379FD">
              <w:rPr>
                <w:i/>
                <w:iCs/>
              </w:rPr>
              <w:t>Market</w:t>
            </w:r>
            <w:proofErr w:type="spellEnd"/>
            <w:r w:rsidRPr="00B379FD">
              <w:rPr>
                <w:i/>
                <w:iCs/>
              </w:rPr>
              <w:t xml:space="preserve"> </w:t>
            </w:r>
            <w:proofErr w:type="spellStart"/>
            <w:r w:rsidRPr="00B379FD">
              <w:rPr>
                <w:i/>
                <w:iCs/>
              </w:rPr>
              <w:t>crowding</w:t>
            </w:r>
            <w:proofErr w:type="spellEnd"/>
          </w:p>
        </w:tc>
        <w:tc>
          <w:tcPr>
            <w:tcW w:w="5012" w:type="dxa"/>
            <w:tcBorders>
              <w:bottom w:val="single" w:sz="12" w:space="0" w:color="auto"/>
            </w:tcBorders>
            <w:vAlign w:val="center"/>
          </w:tcPr>
          <w:p w14:paraId="58025ACF" w14:textId="77777777" w:rsidR="00393A15" w:rsidRPr="0085230A" w:rsidRDefault="00393A15" w:rsidP="005D5227">
            <w:pPr>
              <w:spacing w:after="0"/>
              <w:jc w:val="center"/>
              <w:rPr>
                <w:rFonts w:eastAsia="Calibri" w:cs="Arial"/>
                <w:sz w:val="21"/>
                <w:szCs w:val="21"/>
              </w:rPr>
            </w:pPr>
            <m:oMath>
              <m:r>
                <m:rPr>
                  <m:nor/>
                </m:rPr>
                <w:rPr>
                  <w:rFonts w:ascii="Times New Roman" w:eastAsiaTheme="minorEastAsia" w:hAnsi="Times New Roman" w:cs="Times New Roman"/>
                  <w:sz w:val="21"/>
                  <w:szCs w:val="21"/>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rPr>
                        <m:t>n</m:t>
                      </m:r>
                    </m:e>
                    <m:sub>
                      <m:r>
                        <m:rPr>
                          <m:nor/>
                        </m:rPr>
                        <w:rPr>
                          <w:i/>
                          <w:sz w:val="21"/>
                          <w:szCs w:val="21"/>
                        </w:rPr>
                        <m:t>i</m:t>
                      </m:r>
                    </m:sub>
                    <m:sup>
                      <m:r>
                        <m:rPr>
                          <m:nor/>
                        </m:rPr>
                        <w:rPr>
                          <w:i/>
                          <w:sz w:val="21"/>
                          <w:szCs w:val="21"/>
                        </w:rPr>
                        <m:t>*</m:t>
                      </m:r>
                    </m:sup>
                  </m:sSubSup>
                </m:num>
                <m:den>
                  <m:r>
                    <m:rPr>
                      <m:nor/>
                    </m:rPr>
                    <w:rPr>
                      <w:i/>
                      <w:sz w:val="21"/>
                      <w:szCs w:val="21"/>
                    </w:rPr>
                    <m:t>N*</m:t>
                  </m:r>
                </m:den>
              </m:f>
            </m:oMath>
            <w:r w:rsidRPr="0085230A">
              <w:rPr>
                <w:rFonts w:eastAsiaTheme="minorEastAsia"/>
                <w:sz w:val="21"/>
                <w:szCs w:val="21"/>
              </w:rPr>
              <w:t xml:space="preserve"> </w:t>
            </w:r>
            <m:oMath>
              <m:r>
                <w:rPr>
                  <w:rFonts w:ascii="Cambria Math" w:eastAsiaTheme="minorEastAsia" w:hAnsi="Cambria Math"/>
                  <w:sz w:val="21"/>
                  <w:szCs w:val="21"/>
                </w:rPr>
                <m:t>⟹</m:t>
              </m:r>
            </m:oMath>
            <w:r w:rsidRPr="0085230A">
              <w:rPr>
                <w:rFonts w:eastAsiaTheme="minorEastAsia"/>
                <w:sz w:val="21"/>
                <w:szCs w:val="21"/>
              </w:rPr>
              <w:t xml:space="preserve"> Aumenta </w:t>
            </w:r>
            <w:r>
              <w:rPr>
                <w:rFonts w:eastAsiaTheme="minorEastAsia"/>
                <w:sz w:val="21"/>
                <w:szCs w:val="21"/>
              </w:rPr>
              <w:t xml:space="preserve">la </w:t>
            </w:r>
            <w:r w:rsidRPr="0085230A">
              <w:rPr>
                <w:rFonts w:eastAsiaTheme="minorEastAsia"/>
                <w:sz w:val="21"/>
                <w:szCs w:val="21"/>
              </w:rPr>
              <w:t>competencia en</w:t>
            </w:r>
            <w:r>
              <w:rPr>
                <w:rFonts w:eastAsiaTheme="minorEastAsia"/>
                <w:sz w:val="21"/>
                <w:szCs w:val="21"/>
              </w:rPr>
              <w:t xml:space="preserve"> la región </w:t>
            </w:r>
            <w:r w:rsidRPr="0085230A">
              <w:rPr>
                <w:rFonts w:eastAsiaTheme="minorEastAsia"/>
                <w:i/>
                <w:iCs/>
                <w:sz w:val="21"/>
                <w:szCs w:val="21"/>
              </w:rPr>
              <w:t>i</w:t>
            </w:r>
            <w:r w:rsidRPr="0085230A">
              <w:rPr>
                <w:rFonts w:eastAsiaTheme="minorEastAsia"/>
                <w:sz w:val="21"/>
                <w:szCs w:val="21"/>
              </w:rPr>
              <w:t xml:space="preserve"> y</w:t>
            </w:r>
            <w:r>
              <w:rPr>
                <w:rFonts w:eastAsiaTheme="minorEastAsia"/>
                <w:sz w:val="21"/>
                <w:szCs w:val="21"/>
              </w:rPr>
              <w:br/>
            </w:r>
            <w:r w:rsidRPr="0085230A">
              <w:rPr>
                <w:rFonts w:eastAsiaTheme="minorEastAsia"/>
                <w:sz w:val="21"/>
                <w:szCs w:val="21"/>
              </w:rPr>
              <w:t>la reduce en</w:t>
            </w:r>
            <w:r>
              <w:rPr>
                <w:rFonts w:eastAsiaTheme="minorEastAsia"/>
                <w:sz w:val="21"/>
                <w:szCs w:val="21"/>
              </w:rPr>
              <w:t xml:space="preserve"> la región </w:t>
            </w:r>
            <w:r w:rsidRPr="0085230A">
              <w:rPr>
                <w:rFonts w:eastAsiaTheme="minorEastAsia"/>
                <w:i/>
                <w:iCs/>
                <w:sz w:val="21"/>
                <w:szCs w:val="21"/>
              </w:rPr>
              <w:t>j</w:t>
            </w:r>
            <w:r w:rsidRPr="0085230A">
              <w:rPr>
                <w:rFonts w:eastAsiaTheme="minorEastAsia"/>
                <w:sz w:val="21"/>
                <w:szCs w:val="21"/>
              </w:rPr>
              <w:t xml:space="preserve"> </w:t>
            </w:r>
            <m:oMath>
              <m:r>
                <w:rPr>
                  <w:rFonts w:ascii="Cambria Math" w:eastAsiaTheme="minorEastAsia" w:hAnsi="Cambria Math"/>
                  <w:sz w:val="21"/>
                  <w:szCs w:val="21"/>
                </w:rPr>
                <m:t>⟹</m:t>
              </m:r>
            </m:oMath>
            <w:r w:rsidRPr="0085230A">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85230A">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bottom w:val="single" w:sz="12" w:space="0" w:color="auto"/>
              <w:right w:val="nil"/>
            </w:tcBorders>
            <w:vAlign w:val="center"/>
          </w:tcPr>
          <w:p w14:paraId="6D629947" w14:textId="77777777" w:rsidR="00393A15" w:rsidRPr="00214BA1" w:rsidRDefault="00393A15" w:rsidP="005D5227">
            <w:pPr>
              <w:spacing w:after="0"/>
              <w:jc w:val="center"/>
              <w:rPr>
                <w:rFonts w:eastAsia="Calibri" w:cs="Arial"/>
              </w:rP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tcBorders>
              <w:bottom w:val="single" w:sz="12" w:space="0" w:color="auto"/>
              <w:right w:val="nil"/>
            </w:tcBorders>
            <w:vAlign w:val="center"/>
          </w:tcPr>
          <w:p w14:paraId="7A9F3013" w14:textId="77777777" w:rsidR="00393A15" w:rsidRPr="00903F06" w:rsidRDefault="00393A15" w:rsidP="005D5227">
            <w:pPr>
              <w:spacing w:after="0"/>
              <w:jc w:val="center"/>
              <w:rPr>
                <w:rFonts w:eastAsia="Calibri" w:cs="Arial"/>
                <w:i/>
                <w:iCs/>
                <w:sz w:val="19"/>
                <w:szCs w:val="19"/>
              </w:rPr>
            </w:pPr>
            <w:r w:rsidRPr="00903F06">
              <w:rPr>
                <w:rFonts w:eastAsia="Times New Roman" w:cs="Times New Roman"/>
                <w:i/>
                <w:iCs/>
                <w:sz w:val="19"/>
                <w:szCs w:val="19"/>
              </w:rPr>
              <w:t xml:space="preserve">Mecanismo de </w:t>
            </w:r>
            <w:r>
              <w:rPr>
                <w:rFonts w:eastAsia="Times New Roman" w:cs="Times New Roman"/>
                <w:i/>
                <w:iCs/>
                <w:sz w:val="19"/>
                <w:szCs w:val="19"/>
              </w:rPr>
              <w:t>dispers</w:t>
            </w:r>
            <w:r w:rsidRPr="00903F06">
              <w:rPr>
                <w:rFonts w:eastAsia="Times New Roman" w:cs="Times New Roman"/>
                <w:i/>
                <w:iCs/>
                <w:sz w:val="19"/>
                <w:szCs w:val="19"/>
              </w:rPr>
              <w:t>ión</w:t>
            </w:r>
          </w:p>
        </w:tc>
      </w:tr>
    </w:tbl>
    <w:p w14:paraId="6872572C" w14:textId="77777777" w:rsidR="00393A15" w:rsidRDefault="00393A15" w:rsidP="00F3030E">
      <w:pPr>
        <w:pStyle w:val="Nivel1SM"/>
        <w:keepNext/>
        <w:spacing w:before="60" w:after="0"/>
      </w:pPr>
      <w:r>
        <w:t xml:space="preserve">La fuerza relativa de estos mecanismos determinará cual es la dirección que tome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tras el shock y por lo tanto si llegamos a un equilibrio con </w:t>
      </w:r>
      <w:r>
        <w:rPr>
          <w:b/>
          <w:bCs/>
        </w:rPr>
        <w:t>configuración geográfica centro-periferia</w:t>
      </w:r>
      <w:r>
        <w:t xml:space="preserve"> o a un equilibrio con </w:t>
      </w:r>
      <w:r>
        <w:rPr>
          <w:b/>
          <w:bCs/>
        </w:rPr>
        <w:t>configuración geográfica dispersa</w:t>
      </w:r>
      <w:r>
        <w:t>.</w:t>
      </w:r>
    </w:p>
    <w:p w14:paraId="05872853" w14:textId="5A921B9A" w:rsidR="00393A15" w:rsidRDefault="00393A15" w:rsidP="00F3030E">
      <w:pPr>
        <w:pStyle w:val="Nivel2SM"/>
        <w:keepNext/>
        <w:spacing w:after="0"/>
      </w:pPr>
      <w:r>
        <w:t xml:space="preserve">Esto dependerá del valor de </w:t>
      </w:r>
      <w:r w:rsidR="00F3030E">
        <w:rPr>
          <w:i/>
          <w:iCs/>
        </w:rPr>
        <w:t>3 </w:t>
      </w:r>
      <w:r w:rsidRPr="00F6717F">
        <w:rPr>
          <w:i/>
          <w:iCs/>
        </w:rPr>
        <w:t>parámetros fundamentales</w:t>
      </w:r>
      <w:r>
        <w:t xml:space="preserve"> del modelo:</w:t>
      </w:r>
    </w:p>
    <w:p w14:paraId="2D22BCDD" w14:textId="77777777" w:rsidR="00393A15" w:rsidRPr="001E7ADC" w:rsidRDefault="00393A15">
      <w:pPr>
        <w:pStyle w:val="Prrafodelista"/>
        <w:numPr>
          <w:ilvl w:val="0"/>
          <w:numId w:val="18"/>
        </w:numPr>
        <w:spacing w:after="0"/>
        <w:ind w:left="1134" w:hanging="227"/>
        <w:contextualSpacing w:val="0"/>
      </w:pPr>
      <w:r>
        <w:t xml:space="preserve">Los </w:t>
      </w:r>
      <w:r w:rsidRPr="00F6717F">
        <w:rPr>
          <w:u w:val="single"/>
        </w:rPr>
        <w:t>costes de transporte</w:t>
      </w:r>
      <w:r>
        <w:t xml:space="preserve">, representados por </w:t>
      </w:r>
      <m:oMath>
        <m:r>
          <m:rPr>
            <m:nor/>
          </m:rPr>
          <w:rPr>
            <w:i/>
          </w:rPr>
          <m:t>τ</m:t>
        </m:r>
      </m:oMath>
      <w:r>
        <w:rPr>
          <w:rFonts w:eastAsiaTheme="minorEastAsia"/>
        </w:rPr>
        <w:t>;</w:t>
      </w:r>
    </w:p>
    <w:p w14:paraId="28B4336B" w14:textId="2872975B" w:rsidR="00393A15" w:rsidRPr="00F3030E" w:rsidRDefault="00393A15">
      <w:pPr>
        <w:pStyle w:val="Prrafodelista"/>
        <w:numPr>
          <w:ilvl w:val="0"/>
          <w:numId w:val="18"/>
        </w:numPr>
        <w:spacing w:after="0"/>
        <w:ind w:left="1134" w:hanging="227"/>
        <w:contextualSpacing w:val="0"/>
        <w:rPr>
          <w:spacing w:val="-2"/>
        </w:rPr>
      </w:pPr>
      <w:r w:rsidRPr="00F3030E">
        <w:rPr>
          <w:spacing w:val="-2"/>
        </w:rPr>
        <w:t xml:space="preserve">El </w:t>
      </w:r>
      <w:r w:rsidRPr="00F3030E">
        <w:rPr>
          <w:spacing w:val="-2"/>
          <w:u w:val="single"/>
        </w:rPr>
        <w:t>grado de preferencia por la variedad</w:t>
      </w:r>
      <w:r w:rsidRPr="00F3030E">
        <w:rPr>
          <w:spacing w:val="-2"/>
        </w:rPr>
        <w:t xml:space="preserve"> que presenten los individuos, </w:t>
      </w:r>
      <w:r w:rsidR="00F3030E" w:rsidRPr="00F3030E">
        <w:rPr>
          <w:spacing w:val="-2"/>
        </w:rPr>
        <w:t xml:space="preserve">que se verá reflejado en </w:t>
      </w:r>
      <w:r w:rsidRPr="00F3030E">
        <w:rPr>
          <w:rFonts w:eastAsiaTheme="minorEastAsia"/>
          <w:iCs/>
          <w:spacing w:val="-2"/>
        </w:rPr>
        <w:t xml:space="preserve">el </w:t>
      </w:r>
      <w:proofErr w:type="spellStart"/>
      <w:r w:rsidRPr="00F3030E">
        <w:rPr>
          <w:rFonts w:eastAsiaTheme="minorEastAsia"/>
          <w:i/>
          <w:spacing w:val="-2"/>
        </w:rPr>
        <w:t>mark</w:t>
      </w:r>
      <w:proofErr w:type="spellEnd"/>
      <w:r w:rsidRPr="00F3030E">
        <w:rPr>
          <w:rFonts w:eastAsiaTheme="minorEastAsia"/>
          <w:i/>
          <w:spacing w:val="-2"/>
        </w:rPr>
        <w:t>-up</w:t>
      </w:r>
      <w:r w:rsidRPr="00F3030E">
        <w:rPr>
          <w:rFonts w:eastAsiaTheme="minorEastAsia"/>
          <w:iCs/>
          <w:spacing w:val="-2"/>
        </w:rPr>
        <w:t xml:space="preserve"> que fija la empresa </w:t>
      </w:r>
      <w:bookmarkStart w:id="79" w:name="_Hlk129340126"/>
      <m:oMath>
        <m:d>
          <m:dPr>
            <m:ctrlPr>
              <w:rPr>
                <w:rFonts w:ascii="Cambria Math" w:hAnsi="Cambria Math"/>
                <w:i/>
                <w:iCs/>
                <w:spacing w:val="-2"/>
                <w:sz w:val="20"/>
                <w:szCs w:val="20"/>
              </w:rPr>
            </m:ctrlPr>
          </m:dPr>
          <m:e>
            <m:r>
              <m:rPr>
                <m:nor/>
              </m:rPr>
              <w:rPr>
                <w:i/>
                <w:iCs/>
                <w:spacing w:val="-2"/>
                <w:sz w:val="20"/>
                <w:szCs w:val="20"/>
              </w:rPr>
              <m:t>μ</m:t>
            </m:r>
            <m:r>
              <w:rPr>
                <w:rFonts w:ascii="Cambria Math" w:eastAsiaTheme="minorEastAsia" w:hAnsi="Cambria Math"/>
                <w:spacing w:val="-2"/>
              </w:rPr>
              <m:t>=</m:t>
            </m:r>
            <m:f>
              <m:fPr>
                <m:type m:val="lin"/>
                <m:ctrlPr>
                  <w:rPr>
                    <w:rFonts w:ascii="Cambria Math" w:eastAsiaTheme="minorEastAsia" w:hAnsi="Cambria Math"/>
                    <w:i/>
                    <w:iCs/>
                    <w:spacing w:val="-2"/>
                  </w:rPr>
                </m:ctrlPr>
              </m:fPr>
              <m:num>
                <m:r>
                  <m:rPr>
                    <m:nor/>
                  </m:rPr>
                  <w:rPr>
                    <w:rFonts w:eastAsiaTheme="minorEastAsia"/>
                    <w:i/>
                    <w:iCs/>
                    <w:spacing w:val="-2"/>
                  </w:rPr>
                  <m:t>σ</m:t>
                </m:r>
              </m:num>
              <m:den>
                <m:d>
                  <m:dPr>
                    <m:ctrlPr>
                      <w:rPr>
                        <w:rFonts w:ascii="Cambria Math" w:eastAsiaTheme="minorEastAsia" w:hAnsi="Cambria Math"/>
                        <w:i/>
                        <w:iCs/>
                        <w:spacing w:val="-2"/>
                      </w:rPr>
                    </m:ctrlPr>
                  </m:dPr>
                  <m:e>
                    <m:r>
                      <m:rPr>
                        <m:nor/>
                      </m:rPr>
                      <w:rPr>
                        <w:rFonts w:eastAsiaTheme="minorEastAsia"/>
                        <w:i/>
                        <w:iCs/>
                        <w:spacing w:val="-2"/>
                      </w:rPr>
                      <m:t>σ</m:t>
                    </m:r>
                    <m:r>
                      <w:rPr>
                        <w:rFonts w:ascii="Cambria Math" w:eastAsiaTheme="minorEastAsia" w:hAnsi="Cambria Math"/>
                        <w:spacing w:val="-2"/>
                      </w:rPr>
                      <m:t>-</m:t>
                    </m:r>
                    <m:r>
                      <m:rPr>
                        <m:nor/>
                      </m:rPr>
                      <w:rPr>
                        <w:rFonts w:eastAsiaTheme="minorEastAsia"/>
                        <w:i/>
                        <w:iCs/>
                        <w:spacing w:val="-2"/>
                      </w:rPr>
                      <m:t>1</m:t>
                    </m:r>
                  </m:e>
                </m:d>
              </m:den>
            </m:f>
          </m:e>
        </m:d>
      </m:oMath>
      <w:bookmarkEnd w:id="79"/>
      <w:r w:rsidR="00F3030E" w:rsidRPr="00F3030E">
        <w:rPr>
          <w:rFonts w:eastAsiaTheme="minorEastAsia"/>
          <w:iCs/>
          <w:spacing w:val="-2"/>
          <w:sz w:val="20"/>
          <w:szCs w:val="20"/>
        </w:rPr>
        <w:t xml:space="preserve">, </w:t>
      </w:r>
      <w:r w:rsidR="00F3030E" w:rsidRPr="00F3030E">
        <w:rPr>
          <w:spacing w:val="-2"/>
        </w:rPr>
        <w:t xml:space="preserve">el cual depende negativamente de </w:t>
      </w:r>
      <m:oMath>
        <m:r>
          <m:rPr>
            <m:nor/>
          </m:rPr>
          <w:rPr>
            <w:rFonts w:eastAsiaTheme="minorEastAsia"/>
            <w:i/>
            <w:iCs/>
            <w:spacing w:val="-2"/>
          </w:rPr>
          <m:t>σ</m:t>
        </m:r>
      </m:oMath>
      <w:r w:rsidRPr="00F3030E">
        <w:rPr>
          <w:rFonts w:cs="Times New Roman"/>
          <w:noProof/>
          <w:spacing w:val="-2"/>
          <w:lang w:eastAsia="es-ES"/>
        </w:rPr>
        <w:t>; y</w:t>
      </w:r>
    </w:p>
    <w:p w14:paraId="24254E23" w14:textId="77777777" w:rsidR="00393A15" w:rsidRDefault="00393A15">
      <w:pPr>
        <w:pStyle w:val="Prrafodelista"/>
        <w:numPr>
          <w:ilvl w:val="0"/>
          <w:numId w:val="18"/>
        </w:numPr>
        <w:spacing w:after="0"/>
        <w:ind w:left="1134" w:hanging="227"/>
        <w:contextualSpacing w:val="0"/>
      </w:pPr>
      <w:r>
        <w:t xml:space="preserve">La </w:t>
      </w:r>
      <w:r w:rsidRPr="00F6717F">
        <w:rPr>
          <w:u w:val="single"/>
        </w:rPr>
        <w:t>participación del sector manufacturero en la producción total</w:t>
      </w:r>
      <w:r>
        <w:t xml:space="preserve">, representado por </w:t>
      </w:r>
      <m:oMath>
        <m:r>
          <m:rPr>
            <m:nor/>
          </m:rPr>
          <w:rPr>
            <w:rFonts w:eastAsiaTheme="minorEastAsia"/>
            <w:i/>
          </w:rPr>
          <m:t>γ</m:t>
        </m:r>
      </m:oMath>
      <w:r>
        <w:t>.</w:t>
      </w:r>
    </w:p>
    <w:p w14:paraId="46336C62" w14:textId="77777777" w:rsidR="00393A15" w:rsidRDefault="00393A15" w:rsidP="00393A15">
      <w:pPr>
        <w:pStyle w:val="Nivel1SM"/>
      </w:pPr>
      <w:r>
        <w:t>Nos centraremos en el efecto de los costes de transporte, ya que cambios en los costes del comercio pueden ser entendidos como cambios en el grado de integración entre los mercados, que es uno de los principales objetos de estudio del comercio internacional y es de gran relevancia en materia de política económica.</w:t>
      </w:r>
    </w:p>
    <w:p w14:paraId="3DD1B302" w14:textId="77777777" w:rsidR="00393A15" w:rsidRDefault="00393A15" w:rsidP="00393A15">
      <w:pPr>
        <w:pStyle w:val="Ttulo7"/>
      </w:pPr>
      <w:bookmarkStart w:id="80" w:name="_Toc128996532"/>
      <w:bookmarkEnd w:id="78"/>
      <w:r w:rsidRPr="00257742">
        <w:t>Implicaciones</w:t>
      </w:r>
      <w:bookmarkEnd w:id="80"/>
    </w:p>
    <w:p w14:paraId="30CD318A" w14:textId="77777777" w:rsidR="00393A15" w:rsidRDefault="00393A15" w:rsidP="00393A15">
      <w:pPr>
        <w:pStyle w:val="Nivel1SM"/>
        <w:keepNext/>
        <w:spacing w:before="0" w:after="0"/>
      </w:pPr>
      <w:bookmarkStart w:id="81" w:name="_Hlk123291901"/>
      <w:r>
        <w:t>Vamos a discutir el resultado principal del modelo centro-periferia.</w:t>
      </w:r>
    </w:p>
    <w:tbl>
      <w:tblPr>
        <w:tblStyle w:val="Tablaconcuadrcul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1"/>
        <w:gridCol w:w="3617"/>
      </w:tblGrid>
      <w:tr w:rsidR="00393A15" w14:paraId="1F18022E" w14:textId="77777777" w:rsidTr="005D5227">
        <w:tc>
          <w:tcPr>
            <w:tcW w:w="6731" w:type="dxa"/>
            <w:vAlign w:val="center"/>
          </w:tcPr>
          <w:p w14:paraId="4AF23E7E" w14:textId="77777777" w:rsidR="00393A15" w:rsidRPr="0089647D" w:rsidRDefault="00393A15" w:rsidP="005D5227">
            <w:pPr>
              <w:pStyle w:val="Nivel2SM"/>
              <w:ind w:left="284" w:hanging="142"/>
              <w:rPr>
                <w:spacing w:val="-2"/>
              </w:rPr>
            </w:pPr>
            <w:r w:rsidRPr="0089647D">
              <w:rPr>
                <w:spacing w:val="-2"/>
              </w:rPr>
              <w:t xml:space="preserve">Para </w:t>
            </w:r>
            <w:r w:rsidRPr="0089647D">
              <w:rPr>
                <w:i/>
                <w:iCs/>
                <w:spacing w:val="-2"/>
              </w:rPr>
              <w:t>costes de transporte suficientemente elevados</w:t>
            </w:r>
            <w:r w:rsidRPr="0089647D">
              <w:rPr>
                <w:spacing w:val="-2"/>
              </w:rPr>
              <w:t xml:space="preserve">, los mecanismos de aglomeración son más débiles que el mecanismo de dispersión y en el largo plazo se alcanza la </w:t>
            </w:r>
            <w:r w:rsidRPr="0089647D">
              <w:rPr>
                <w:b/>
                <w:bCs/>
                <w:spacing w:val="-2"/>
              </w:rPr>
              <w:t>configuración geográfica dispersa</w:t>
            </w:r>
            <w:r w:rsidRPr="0089647D">
              <w:rPr>
                <w:spacing w:val="-2"/>
              </w:rPr>
              <w:t>.</w:t>
            </w:r>
          </w:p>
        </w:tc>
        <w:tc>
          <w:tcPr>
            <w:tcW w:w="3617" w:type="dxa"/>
            <w:vAlign w:val="center"/>
          </w:tcPr>
          <w:p w14:paraId="4A544CED" w14:textId="77777777" w:rsidR="00393A15" w:rsidRDefault="00393A15" w:rsidP="005D5227">
            <w:pPr>
              <w:jc w:val="center"/>
            </w:pPr>
            <w:r>
              <w:rPr>
                <w:noProof/>
              </w:rPr>
              <w:drawing>
                <wp:inline distT="0" distB="0" distL="0" distR="0" wp14:anchorId="72693E77" wp14:editId="4A8E4C4C">
                  <wp:extent cx="2160000" cy="1419991"/>
                  <wp:effectExtent l="0" t="0" r="0" b="8890"/>
                  <wp:docPr id="23" name="Imagen 2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4" cstate="print">
                            <a:extLst>
                              <a:ext uri="{28A0092B-C50C-407E-A947-70E740481C1C}">
                                <a14:useLocalDpi xmlns:a14="http://schemas.microsoft.com/office/drawing/2010/main" val="0"/>
                              </a:ext>
                            </a:extLst>
                          </a:blip>
                          <a:srcRect b="68067"/>
                          <a:stretch/>
                        </pic:blipFill>
                        <pic:spPr bwMode="auto">
                          <a:xfrm>
                            <a:off x="0" y="0"/>
                            <a:ext cx="2160000" cy="1419991"/>
                          </a:xfrm>
                          <a:prstGeom prst="rect">
                            <a:avLst/>
                          </a:prstGeom>
                          <a:ln>
                            <a:noFill/>
                          </a:ln>
                          <a:extLst>
                            <a:ext uri="{53640926-AAD7-44D8-BBD7-CCE9431645EC}">
                              <a14:shadowObscured xmlns:a14="http://schemas.microsoft.com/office/drawing/2010/main"/>
                            </a:ext>
                          </a:extLst>
                        </pic:spPr>
                      </pic:pic>
                    </a:graphicData>
                  </a:graphic>
                </wp:inline>
              </w:drawing>
            </w:r>
          </w:p>
        </w:tc>
      </w:tr>
      <w:tr w:rsidR="00393A15" w14:paraId="588313AA" w14:textId="77777777" w:rsidTr="005D5227">
        <w:tc>
          <w:tcPr>
            <w:tcW w:w="6731" w:type="dxa"/>
            <w:vAlign w:val="center"/>
          </w:tcPr>
          <w:p w14:paraId="77186FA1" w14:textId="77777777" w:rsidR="00393A15" w:rsidRPr="0089647D" w:rsidRDefault="00393A15" w:rsidP="005D5227">
            <w:pPr>
              <w:pStyle w:val="Nivel2SM"/>
              <w:ind w:left="284" w:hanging="142"/>
              <w:rPr>
                <w:spacing w:val="-2"/>
              </w:rPr>
            </w:pPr>
            <w:r>
              <w:rPr>
                <w:spacing w:val="-2"/>
              </w:rPr>
              <w:t>Para</w:t>
            </w:r>
            <w:r w:rsidRPr="0089647D">
              <w:rPr>
                <w:spacing w:val="-2"/>
              </w:rPr>
              <w:t xml:space="preserve"> </w:t>
            </w:r>
            <w:r w:rsidRPr="0089647D">
              <w:rPr>
                <w:i/>
                <w:iCs/>
                <w:spacing w:val="-2"/>
              </w:rPr>
              <w:t>costes de transporte intermedios</w:t>
            </w:r>
            <w:r w:rsidRPr="0089647D">
              <w:rPr>
                <w:spacing w:val="-2"/>
              </w:rPr>
              <w:t xml:space="preserve">, existen </w:t>
            </w:r>
            <w:r>
              <w:rPr>
                <w:spacing w:val="-2"/>
              </w:rPr>
              <w:t>varias</w:t>
            </w:r>
            <w:r w:rsidRPr="0089647D">
              <w:rPr>
                <w:spacing w:val="-2"/>
              </w:rPr>
              <w:t xml:space="preserve"> configuraci</w:t>
            </w:r>
            <w:r>
              <w:rPr>
                <w:spacing w:val="-2"/>
              </w:rPr>
              <w:t>one</w:t>
            </w:r>
            <w:r w:rsidRPr="0089647D">
              <w:rPr>
                <w:spacing w:val="-2"/>
              </w:rPr>
              <w:t>s disponibles.</w:t>
            </w:r>
          </w:p>
        </w:tc>
        <w:tc>
          <w:tcPr>
            <w:tcW w:w="3617" w:type="dxa"/>
            <w:vAlign w:val="center"/>
          </w:tcPr>
          <w:p w14:paraId="7F7F7A48" w14:textId="77777777" w:rsidR="00393A15" w:rsidRDefault="00393A15" w:rsidP="005D5227">
            <w:pPr>
              <w:jc w:val="center"/>
            </w:pPr>
            <w:r>
              <w:rPr>
                <w:noProof/>
              </w:rPr>
              <w:drawing>
                <wp:inline distT="0" distB="0" distL="0" distR="0" wp14:anchorId="5011DD32" wp14:editId="585F9BFB">
                  <wp:extent cx="2160000" cy="1553838"/>
                  <wp:effectExtent l="0" t="0" r="0" b="8890"/>
                  <wp:docPr id="27" name="Imagen 2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4" cstate="print">
                            <a:extLst>
                              <a:ext uri="{28A0092B-C50C-407E-A947-70E740481C1C}">
                                <a14:useLocalDpi xmlns:a14="http://schemas.microsoft.com/office/drawing/2010/main" val="0"/>
                              </a:ext>
                            </a:extLst>
                          </a:blip>
                          <a:srcRect t="32396" b="32661"/>
                          <a:stretch/>
                        </pic:blipFill>
                        <pic:spPr bwMode="auto">
                          <a:xfrm>
                            <a:off x="0" y="0"/>
                            <a:ext cx="2160000" cy="1553838"/>
                          </a:xfrm>
                          <a:prstGeom prst="rect">
                            <a:avLst/>
                          </a:prstGeom>
                          <a:ln>
                            <a:noFill/>
                          </a:ln>
                          <a:extLst>
                            <a:ext uri="{53640926-AAD7-44D8-BBD7-CCE9431645EC}">
                              <a14:shadowObscured xmlns:a14="http://schemas.microsoft.com/office/drawing/2010/main"/>
                            </a:ext>
                          </a:extLst>
                        </pic:spPr>
                      </pic:pic>
                    </a:graphicData>
                  </a:graphic>
                </wp:inline>
              </w:drawing>
            </w:r>
          </w:p>
        </w:tc>
      </w:tr>
      <w:tr w:rsidR="00393A15" w14:paraId="1E6ABBC5" w14:textId="77777777" w:rsidTr="005D5227">
        <w:tc>
          <w:tcPr>
            <w:tcW w:w="6731" w:type="dxa"/>
            <w:vAlign w:val="center"/>
          </w:tcPr>
          <w:p w14:paraId="3796562C" w14:textId="77777777" w:rsidR="00393A15" w:rsidRPr="00D913A0" w:rsidRDefault="00393A15" w:rsidP="005D5227">
            <w:pPr>
              <w:pStyle w:val="Nivel2SM"/>
              <w:keepNext/>
              <w:ind w:left="284" w:hanging="142"/>
              <w:rPr>
                <w:spacing w:val="-4"/>
              </w:rPr>
            </w:pPr>
            <w:r w:rsidRPr="00D913A0">
              <w:rPr>
                <w:spacing w:val="-4"/>
              </w:rPr>
              <w:lastRenderedPageBreak/>
              <w:t xml:space="preserve">Para </w:t>
            </w:r>
            <w:r w:rsidRPr="00D913A0">
              <w:rPr>
                <w:i/>
                <w:iCs/>
                <w:spacing w:val="-4"/>
              </w:rPr>
              <w:t>costes de transporte suficientemente bajos</w:t>
            </w:r>
            <w:r w:rsidRPr="00D913A0">
              <w:rPr>
                <w:spacing w:val="-4"/>
              </w:rPr>
              <w:t xml:space="preserve">, los mecanismos de aglomeración se imponen sobre el mecanismo de dispersión y en el largo plazo se alcanza la </w:t>
            </w:r>
            <w:r w:rsidRPr="00D913A0">
              <w:rPr>
                <w:b/>
                <w:bCs/>
                <w:spacing w:val="-4"/>
              </w:rPr>
              <w:t>configuración geográfica centro-periferia</w:t>
            </w:r>
            <w:r w:rsidRPr="00D913A0">
              <w:rPr>
                <w:spacing w:val="-4"/>
              </w:rPr>
              <w:t>.</w:t>
            </w:r>
          </w:p>
        </w:tc>
        <w:tc>
          <w:tcPr>
            <w:tcW w:w="3617" w:type="dxa"/>
            <w:vAlign w:val="center"/>
          </w:tcPr>
          <w:p w14:paraId="1D74A1AA" w14:textId="77777777" w:rsidR="00393A15" w:rsidRPr="0089647D" w:rsidRDefault="00393A15" w:rsidP="005D5227">
            <w:pPr>
              <w:keepNext/>
              <w:jc w:val="center"/>
            </w:pPr>
            <w:r>
              <w:rPr>
                <w:noProof/>
              </w:rPr>
              <w:drawing>
                <wp:inline distT="0" distB="0" distL="0" distR="0" wp14:anchorId="66EFDDB3" wp14:editId="1B18FCFD">
                  <wp:extent cx="2160000" cy="1442182"/>
                  <wp:effectExtent l="0" t="0" r="0" b="5715"/>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4" cstate="print">
                            <a:extLst>
                              <a:ext uri="{28A0092B-C50C-407E-A947-70E740481C1C}">
                                <a14:useLocalDpi xmlns:a14="http://schemas.microsoft.com/office/drawing/2010/main" val="0"/>
                              </a:ext>
                            </a:extLst>
                          </a:blip>
                          <a:srcRect t="67568"/>
                          <a:stretch/>
                        </pic:blipFill>
                        <pic:spPr bwMode="auto">
                          <a:xfrm>
                            <a:off x="0" y="0"/>
                            <a:ext cx="2160000" cy="1442182"/>
                          </a:xfrm>
                          <a:prstGeom prst="rect">
                            <a:avLst/>
                          </a:prstGeom>
                          <a:ln>
                            <a:noFill/>
                          </a:ln>
                          <a:extLst>
                            <a:ext uri="{53640926-AAD7-44D8-BBD7-CCE9431645EC}">
                              <a14:shadowObscured xmlns:a14="http://schemas.microsoft.com/office/drawing/2010/main"/>
                            </a:ext>
                          </a:extLst>
                        </pic:spPr>
                      </pic:pic>
                    </a:graphicData>
                  </a:graphic>
                </wp:inline>
              </w:drawing>
            </w:r>
          </w:p>
        </w:tc>
      </w:tr>
      <w:tr w:rsidR="00393A15" w14:paraId="72634C65" w14:textId="77777777" w:rsidTr="005D5227">
        <w:tc>
          <w:tcPr>
            <w:tcW w:w="10348" w:type="dxa"/>
            <w:gridSpan w:val="2"/>
            <w:vAlign w:val="center"/>
          </w:tcPr>
          <w:p w14:paraId="7FB23334" w14:textId="5D678BE0" w:rsidR="00393A15" w:rsidRPr="0089647D" w:rsidRDefault="00393A15" w:rsidP="005D5227">
            <w:pPr>
              <w:pStyle w:val="PiedeImagen"/>
              <w:spacing w:after="0"/>
              <w:rPr>
                <w:i w:val="0"/>
                <w:iCs/>
              </w:rPr>
            </w:pPr>
            <w:r w:rsidRPr="00654197">
              <w:rPr>
                <w:lang w:val="en-US"/>
              </w:rPr>
              <w:t>Fuente</w:t>
            </w:r>
            <w:r w:rsidRPr="00654197">
              <w:rPr>
                <w:i w:val="0"/>
                <w:iCs/>
                <w:lang w:val="en-US"/>
              </w:rPr>
              <w:t xml:space="preserve">: Gandolfo, G. (2014). Globalization and Economic Geography. En G. Gandolfo, </w:t>
            </w:r>
            <w:r w:rsidRPr="00654197">
              <w:rPr>
                <w:lang w:val="en-US"/>
              </w:rPr>
              <w:t>International Trade Theory and Policy</w:t>
            </w:r>
            <w:r w:rsidRPr="00654197">
              <w:rPr>
                <w:i w:val="0"/>
                <w:iCs/>
                <w:lang w:val="en-US"/>
              </w:rPr>
              <w:t xml:space="preserve"> (pp. 337-364). </w:t>
            </w:r>
            <w:r w:rsidRPr="00654197">
              <w:rPr>
                <w:i w:val="0"/>
                <w:iCs/>
              </w:rPr>
              <w:t xml:space="preserve">Springer Berlin Heidelberg. </w:t>
            </w:r>
            <w:hyperlink r:id="rId25" w:history="1">
              <w:r w:rsidRPr="00702765">
                <w:rPr>
                  <w:rStyle w:val="Hipervnculo"/>
                  <w:i w:val="0"/>
                  <w:iCs/>
                </w:rPr>
                <w:t>https://doi.org/10.1007/978-3-642-37314-5_16</w:t>
              </w:r>
            </w:hyperlink>
          </w:p>
        </w:tc>
      </w:tr>
    </w:tbl>
    <w:p w14:paraId="6676BE4B" w14:textId="77777777" w:rsidR="00393A15" w:rsidRDefault="00393A15" w:rsidP="00393A15">
      <w:pPr>
        <w:pStyle w:val="Nivel1SM"/>
        <w:keepNext/>
        <w:spacing w:before="60" w:after="0"/>
      </w:pPr>
      <w:r>
        <w:t xml:space="preserve">Para analizar más en detalle los equilibrios a largo plazo del modelo en función de los costes de transporte podemos recurrir a una medida de libertad comercial, </w:t>
      </w:r>
      <w:proofErr w:type="spellStart"/>
      <w:r>
        <w:rPr>
          <w:i/>
        </w:rPr>
        <w:t>freeness</w:t>
      </w:r>
      <w:proofErr w:type="spellEnd"/>
      <w:r>
        <w:rPr>
          <w:i/>
        </w:rPr>
        <w:t xml:space="preserve"> of </w:t>
      </w:r>
      <w:proofErr w:type="spellStart"/>
      <w:r>
        <w:rPr>
          <w:i/>
        </w:rPr>
        <w:t>trade</w:t>
      </w:r>
      <w:proofErr w:type="spellEnd"/>
      <w:r>
        <w:t xml:space="preserve">, que combina los costes de transporte con la elasticidad de sustitución: </w:t>
      </w:r>
      <m:oMath>
        <m:r>
          <m:rPr>
            <m:nor/>
          </m:rPr>
          <w:rPr>
            <w:i/>
          </w:rPr>
          <m:t>ζ</m:t>
        </m:r>
        <m:r>
          <w:rPr>
            <w:rFonts w:ascii="Cambria Math" w:hAnsi="Cambria Math"/>
          </w:rPr>
          <m:t>≡</m:t>
        </m:r>
        <m:sSup>
          <m:sSupPr>
            <m:ctrlPr>
              <w:rPr>
                <w:rFonts w:ascii="Cambria Math" w:hAnsi="Cambria Math"/>
                <w:i/>
              </w:rPr>
            </m:ctrlPr>
          </m:sSupPr>
          <m:e>
            <m:r>
              <m:rPr>
                <m:nor/>
              </m:rPr>
              <w:rPr>
                <w:i/>
              </w:rPr>
              <m:t>τ</m:t>
            </m:r>
          </m:e>
          <m:sup>
            <m:r>
              <m:rPr>
                <m:nor/>
              </m:rPr>
              <w:rPr>
                <w:i/>
              </w:rPr>
              <m:t>1</m:t>
            </m:r>
            <m:r>
              <w:rPr>
                <w:rFonts w:ascii="Cambria Math" w:hAnsi="Cambria Math"/>
              </w:rPr>
              <m:t>-</m:t>
            </m:r>
            <m:r>
              <m:rPr>
                <m:nor/>
              </m:rPr>
              <w:rPr>
                <w:i/>
              </w:rPr>
              <m:t>σ</m:t>
            </m:r>
          </m:sup>
        </m:sSup>
      </m:oMath>
      <w:r>
        <w:t>. De esta forma, esta medida de libertad comercial está acotada entre 0 y 1, siendo 0 el valor que representa la imposibilidad de comerciar debido a unos costes prohibitivos, y siendo 1 la libertad total debido a la ausencia de costes de transporte.</w:t>
      </w:r>
    </w:p>
    <w:p w14:paraId="746F29F8" w14:textId="77777777" w:rsidR="00393A15" w:rsidRDefault="00393A15" w:rsidP="00393A15">
      <w:pPr>
        <w:pStyle w:val="Nivel2SM"/>
      </w:pPr>
      <w:r>
        <w:t xml:space="preserve">Recurriendo a los costes de transporte </w:t>
      </w:r>
      <m:oMath>
        <m:r>
          <m:rPr>
            <m:nor/>
          </m:rPr>
          <w:rPr>
            <w:i/>
          </w:rPr>
          <m:t>τ</m:t>
        </m:r>
      </m:oMath>
      <w:r>
        <w:t xml:space="preserve"> o a esta medida de libertad comercial, podemos representar gráficamente los equilibrios a largo plazo del modelo recurriendo al gráfico conocido con el nombre de </w:t>
      </w:r>
      <w:r>
        <w:rPr>
          <w:i/>
        </w:rPr>
        <w:t>diagrama de Tomahawk</w:t>
      </w:r>
      <w:r>
        <w:t>.</w:t>
      </w:r>
    </w:p>
    <w:p w14:paraId="67AA106B" w14:textId="274F0519" w:rsidR="00393A15" w:rsidRDefault="00393A15" w:rsidP="00393A15">
      <w:pPr>
        <w:pStyle w:val="Ttuloimagen"/>
      </w:pPr>
      <w:r>
        <w:t>Imagen </w:t>
      </w:r>
      <w:r>
        <w:fldChar w:fldCharType="begin"/>
      </w:r>
      <w:r>
        <w:instrText xml:space="preserve"> SEQ Ilustración \* ARABIC </w:instrText>
      </w:r>
      <w:r>
        <w:fldChar w:fldCharType="separate"/>
      </w:r>
      <w:r w:rsidR="006C02E9">
        <w:t>10</w:t>
      </w:r>
      <w:r>
        <w:fldChar w:fldCharType="end"/>
      </w:r>
      <w:r w:rsidRPr="008F61C1">
        <w:rPr>
          <w:smallCaps w:val="0"/>
        </w:rPr>
        <w:t xml:space="preserve">.– </w:t>
      </w:r>
      <w:r>
        <w:rPr>
          <w:i/>
          <w:iCs/>
          <w:smallCaps w:val="0"/>
        </w:rPr>
        <w:t>Diagrama de Tomahawk para el análisis del modelo centro-periferia</w:t>
      </w:r>
    </w:p>
    <w:p w14:paraId="0244C67F" w14:textId="77777777" w:rsidR="00393A15" w:rsidRDefault="00393A15" w:rsidP="00393A15">
      <w:pPr>
        <w:pStyle w:val="Imagen"/>
      </w:pPr>
      <w:r>
        <w:drawing>
          <wp:inline distT="0" distB="0" distL="0" distR="0" wp14:anchorId="28AE2B09" wp14:editId="3CB5C9CB">
            <wp:extent cx="3840266" cy="2160000"/>
            <wp:effectExtent l="0" t="0" r="8255" b="0"/>
            <wp:docPr id="24" name="Imagen 2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Gráfico&#10;&#10;Descripción generada automáticamente"/>
                    <pic:cNvPicPr/>
                  </pic:nvPicPr>
                  <pic:blipFill>
                    <a:blip r:embed="rId26"/>
                    <a:stretch>
                      <a:fillRect/>
                    </a:stretch>
                  </pic:blipFill>
                  <pic:spPr>
                    <a:xfrm>
                      <a:off x="0" y="0"/>
                      <a:ext cx="3840266" cy="2160000"/>
                    </a:xfrm>
                    <a:prstGeom prst="rect">
                      <a:avLst/>
                    </a:prstGeom>
                  </pic:spPr>
                </pic:pic>
              </a:graphicData>
            </a:graphic>
          </wp:inline>
        </w:drawing>
      </w:r>
    </w:p>
    <w:p w14:paraId="237F9FA6" w14:textId="77777777" w:rsidR="00393A15" w:rsidRPr="008F61C1" w:rsidRDefault="00393A15" w:rsidP="00393A15">
      <w:pPr>
        <w:pStyle w:val="PiedeImagen"/>
        <w:rPr>
          <w:i w:val="0"/>
          <w:iCs/>
        </w:rPr>
      </w:pPr>
      <w:r>
        <w:t>Fuente</w:t>
      </w:r>
      <w:r>
        <w:rPr>
          <w:i w:val="0"/>
          <w:iCs/>
        </w:rPr>
        <w:t>: Elaboración propia</w:t>
      </w:r>
    </w:p>
    <w:p w14:paraId="721C6EE8" w14:textId="77777777" w:rsidR="00393A15" w:rsidRPr="006A607E" w:rsidRDefault="00393A15" w:rsidP="00393A15">
      <w:pPr>
        <w:pStyle w:val="Nivel1SM"/>
        <w:keepNext/>
        <w:spacing w:after="0"/>
      </w:pPr>
      <w:r w:rsidRPr="006A607E">
        <w:t xml:space="preserve">En el eje horizontal se muestra la medida de libertad comercial </w:t>
      </w:r>
      <m:oMath>
        <m:r>
          <m:rPr>
            <m:nor/>
          </m:rPr>
          <w:rPr>
            <w:i/>
          </w:rPr>
          <m:t>ζ</m:t>
        </m:r>
      </m:oMath>
      <w:r w:rsidRPr="006A607E">
        <w:t xml:space="preserve">, mientras que el eje vertical mide la proporción de obreros en cada región, </w:t>
      </w:r>
      <m:oMath>
        <m:sSub>
          <m:sSubPr>
            <m:ctrlPr>
              <w:rPr>
                <w:rFonts w:ascii="Cambria Math" w:hAnsi="Cambria Math"/>
                <w:i/>
              </w:rPr>
            </m:ctrlPr>
          </m:sSubPr>
          <m:e>
            <m:r>
              <m:rPr>
                <m:nor/>
              </m:rPr>
              <w:rPr>
                <w:i/>
              </w:rPr>
              <m:t>λ</m:t>
            </m:r>
          </m:e>
          <m:sub>
            <m:r>
              <m:rPr>
                <m:nor/>
              </m:rPr>
              <w:rPr>
                <w:i/>
              </w:rPr>
              <m:t>i</m:t>
            </m:r>
          </m:sub>
        </m:sSub>
      </m:oMath>
      <w:r w:rsidRPr="006A607E">
        <w:t>. Las líneas sólidas representan equilibrios estables a largo plazo, mientras que las líneas de guiones indican equilibrios inestables a corto plazo.</w:t>
      </w:r>
    </w:p>
    <w:p w14:paraId="47D7B5B0" w14:textId="77777777" w:rsidR="00393A15" w:rsidRPr="006F4E0A" w:rsidRDefault="00393A15" w:rsidP="00393A15">
      <w:pPr>
        <w:pStyle w:val="Nivel2SM"/>
      </w:pPr>
      <w:r w:rsidRPr="006F4E0A">
        <w:rPr>
          <w:i/>
        </w:rPr>
        <w:t>Empezando por la izquierda</w:t>
      </w:r>
      <w:r w:rsidRPr="006F4E0A">
        <w:t xml:space="preserve">, observamos que cuando la libertad comercial es nula, es decir, si </w:t>
      </w:r>
      <m:oMath>
        <m:r>
          <m:rPr>
            <m:nor/>
          </m:rPr>
          <w:rPr>
            <w:i/>
          </w:rPr>
          <m:t>ζ</m:t>
        </m:r>
      </m:oMath>
      <w:r w:rsidRPr="006F4E0A">
        <w:t xml:space="preserve"> es muy reducido, el comercio es prohibitivo, y nos encontramos con el equilibrio simétrico a largo plazo en el que se da una </w:t>
      </w:r>
      <w:r w:rsidRPr="006F4E0A">
        <w:rPr>
          <w:b/>
          <w:bCs/>
        </w:rPr>
        <w:t>configuración geográfica dispersa</w:t>
      </w:r>
      <w:r w:rsidRPr="006F4E0A">
        <w:t xml:space="preserve">. A medida que va aumentando el grado de libertad comercial, hay un punto, denotado por </w:t>
      </w:r>
      <m:oMath>
        <m:sSub>
          <m:sSubPr>
            <m:ctrlPr>
              <w:rPr>
                <w:rFonts w:ascii="Cambria Math" w:hAnsi="Cambria Math"/>
                <w:i/>
              </w:rPr>
            </m:ctrlPr>
          </m:sSubPr>
          <m:e>
            <m:r>
              <m:rPr>
                <m:nor/>
              </m:rPr>
              <w:rPr>
                <w:i/>
              </w:rPr>
              <m:t>ζ</m:t>
            </m:r>
          </m:e>
          <m:sub>
            <m:r>
              <m:rPr>
                <m:nor/>
              </m:rPr>
              <w:rPr>
                <w:i/>
              </w:rPr>
              <m:t>B</m:t>
            </m:r>
          </m:sub>
        </m:sSub>
      </m:oMath>
      <w:r w:rsidRPr="006F4E0A">
        <w:t xml:space="preserve"> (</w:t>
      </w:r>
      <w:r w:rsidRPr="006F4E0A">
        <w:rPr>
          <w:i/>
        </w:rPr>
        <w:t xml:space="preserve">break </w:t>
      </w:r>
      <w:proofErr w:type="spellStart"/>
      <w:r w:rsidRPr="006F4E0A">
        <w:rPr>
          <w:i/>
        </w:rPr>
        <w:t>point</w:t>
      </w:r>
      <w:proofErr w:type="spellEnd"/>
      <w:r w:rsidRPr="006F4E0A">
        <w:t xml:space="preserve">), en el que el equilibrio simétrico pasa a ser inestable. A partir de este punto, ante cualquier perturbación, los obreros se aglomerarán en una región dando lugar a una </w:t>
      </w:r>
      <w:r w:rsidRPr="006F4E0A">
        <w:rPr>
          <w:b/>
          <w:bCs/>
        </w:rPr>
        <w:t>configuración geográfica centro-periferia</w:t>
      </w:r>
      <w:r w:rsidRPr="006F4E0A">
        <w:t>.</w:t>
      </w:r>
    </w:p>
    <w:p w14:paraId="39620112" w14:textId="77777777" w:rsidR="00393A15" w:rsidRPr="006F4E0A" w:rsidRDefault="00393A15" w:rsidP="00393A15">
      <w:pPr>
        <w:pStyle w:val="Nivel2SM"/>
        <w:rPr>
          <w:i/>
        </w:rPr>
      </w:pPr>
      <w:r w:rsidRPr="006F4E0A">
        <w:rPr>
          <w:i/>
        </w:rPr>
        <w:t>Empezando por la derecha</w:t>
      </w:r>
      <w:r w:rsidRPr="006F4E0A">
        <w:t xml:space="preserve">, observamos que cuando la libertad comercial es plena, es decir, si </w:t>
      </w:r>
      <m:oMath>
        <m:r>
          <m:rPr>
            <m:nor/>
          </m:rPr>
          <w:rPr>
            <w:i/>
          </w:rPr>
          <m:t>ζ</m:t>
        </m:r>
      </m:oMath>
      <w:r w:rsidRPr="006F4E0A">
        <w:t xml:space="preserve"> es muy elevado, existe libre comercio, y nos encontramos con una </w:t>
      </w:r>
      <w:r w:rsidRPr="006F4E0A">
        <w:rPr>
          <w:b/>
          <w:bCs/>
        </w:rPr>
        <w:t>configuración geográfica centro-periferia</w:t>
      </w:r>
      <w:r w:rsidRPr="006F4E0A">
        <w:t xml:space="preserve">. A medida que va disminuyendo el grado de libertad comercial, hay un punto, denotado por </w:t>
      </w:r>
      <m:oMath>
        <m:sSub>
          <m:sSubPr>
            <m:ctrlPr>
              <w:rPr>
                <w:rFonts w:ascii="Cambria Math" w:hAnsi="Cambria Math"/>
                <w:i/>
              </w:rPr>
            </m:ctrlPr>
          </m:sSubPr>
          <m:e>
            <m:r>
              <m:rPr>
                <m:nor/>
              </m:rPr>
              <w:rPr>
                <w:i/>
              </w:rPr>
              <m:t>ζ</m:t>
            </m:r>
          </m:e>
          <m:sub>
            <m:r>
              <m:rPr>
                <m:nor/>
              </m:rPr>
              <w:rPr>
                <w:i/>
              </w:rPr>
              <m:t>S</m:t>
            </m:r>
          </m:sub>
        </m:sSub>
      </m:oMath>
      <w:r w:rsidRPr="006F4E0A">
        <w:t xml:space="preserve"> (</w:t>
      </w:r>
      <w:proofErr w:type="spellStart"/>
      <w:r w:rsidRPr="006F4E0A">
        <w:rPr>
          <w:i/>
        </w:rPr>
        <w:t>sustain</w:t>
      </w:r>
      <w:proofErr w:type="spellEnd"/>
      <w:r w:rsidRPr="006F4E0A">
        <w:rPr>
          <w:i/>
        </w:rPr>
        <w:t xml:space="preserve"> </w:t>
      </w:r>
      <w:proofErr w:type="spellStart"/>
      <w:r w:rsidRPr="006F4E0A">
        <w:rPr>
          <w:i/>
        </w:rPr>
        <w:t>point</w:t>
      </w:r>
      <w:proofErr w:type="spellEnd"/>
      <w:r w:rsidRPr="006F4E0A">
        <w:t xml:space="preserve">), en el que el equilibrio de aglomeración pasa a ser inestable. A partir de este punto, ante cualquier perturbación, los obreros se dividirán de forma simétrica entre ambas regiones dando lugar a una </w:t>
      </w:r>
      <w:r w:rsidRPr="006F4E0A">
        <w:rPr>
          <w:b/>
          <w:bCs/>
        </w:rPr>
        <w:t>configuración geográfica dispersa</w:t>
      </w:r>
      <w:r w:rsidRPr="006F4E0A">
        <w:t>.</w:t>
      </w:r>
    </w:p>
    <w:p w14:paraId="7FCFEB19" w14:textId="77777777" w:rsidR="00393A15" w:rsidRDefault="00393A15" w:rsidP="00393A15">
      <w:pPr>
        <w:pStyle w:val="Ttulo6"/>
        <w:tabs>
          <w:tab w:val="left" w:pos="3458"/>
        </w:tabs>
      </w:pPr>
      <w:bookmarkStart w:id="82" w:name="_Toc128996533"/>
      <w:bookmarkStart w:id="83" w:name="_Toc172225511"/>
      <w:r>
        <w:lastRenderedPageBreak/>
        <w:t>Evidencia empírica</w:t>
      </w:r>
      <w:bookmarkEnd w:id="82"/>
      <w:bookmarkEnd w:id="83"/>
    </w:p>
    <w:p w14:paraId="667B1CEF" w14:textId="1F06DE8C" w:rsidR="00393A15" w:rsidRDefault="00393A15" w:rsidP="00393A15">
      <w:pPr>
        <w:pStyle w:val="Nivel1SM"/>
        <w:keepNext/>
        <w:spacing w:before="0" w:after="0"/>
      </w:pPr>
      <w:r w:rsidRPr="00003228">
        <w:rPr>
          <w:smallCaps/>
        </w:rPr>
        <w:t>Richard E. Baldwin</w:t>
      </w:r>
      <w:r w:rsidRPr="00003228">
        <w:t xml:space="preserve"> y </w:t>
      </w:r>
      <w:proofErr w:type="spellStart"/>
      <w:r w:rsidRPr="00003228">
        <w:rPr>
          <w:smallCaps/>
        </w:rPr>
        <w:t>Rikard</w:t>
      </w:r>
      <w:proofErr w:type="spellEnd"/>
      <w:r w:rsidRPr="00003228">
        <w:rPr>
          <w:smallCaps/>
        </w:rPr>
        <w:t xml:space="preserve"> </w:t>
      </w:r>
      <w:proofErr w:type="spellStart"/>
      <w:r w:rsidRPr="00003228">
        <w:rPr>
          <w:smallCaps/>
        </w:rPr>
        <w:t>Forslid</w:t>
      </w:r>
      <w:proofErr w:type="spellEnd"/>
      <w:r w:rsidRPr="00003228">
        <w:t xml:space="preserve">, en su artículo </w:t>
      </w:r>
      <w:r w:rsidRPr="00003228">
        <w:rPr>
          <w:i/>
          <w:iCs/>
        </w:rPr>
        <w:t>“</w:t>
      </w:r>
      <w:proofErr w:type="spellStart"/>
      <w:r w:rsidRPr="00003228">
        <w:rPr>
          <w:i/>
          <w:iCs/>
        </w:rPr>
        <w:t>The</w:t>
      </w:r>
      <w:proofErr w:type="spellEnd"/>
      <w:r w:rsidRPr="00003228">
        <w:rPr>
          <w:i/>
          <w:iCs/>
        </w:rPr>
        <w:t xml:space="preserve"> Core-</w:t>
      </w:r>
      <w:proofErr w:type="spellStart"/>
      <w:r w:rsidRPr="00003228">
        <w:rPr>
          <w:i/>
          <w:iCs/>
        </w:rPr>
        <w:t>Periphery</w:t>
      </w:r>
      <w:proofErr w:type="spellEnd"/>
      <w:r w:rsidRPr="00003228">
        <w:rPr>
          <w:i/>
          <w:iCs/>
        </w:rPr>
        <w:t xml:space="preserve"> </w:t>
      </w:r>
      <w:proofErr w:type="spellStart"/>
      <w:r w:rsidRPr="00003228">
        <w:rPr>
          <w:i/>
          <w:iCs/>
        </w:rPr>
        <w:t>Model</w:t>
      </w:r>
      <w:proofErr w:type="spellEnd"/>
      <w:r w:rsidRPr="00003228">
        <w:rPr>
          <w:i/>
          <w:iCs/>
        </w:rPr>
        <w:t xml:space="preserve"> and </w:t>
      </w:r>
      <w:proofErr w:type="spellStart"/>
      <w:r w:rsidRPr="00003228">
        <w:rPr>
          <w:i/>
          <w:iCs/>
        </w:rPr>
        <w:t>Endogenous</w:t>
      </w:r>
      <w:proofErr w:type="spellEnd"/>
      <w:r w:rsidRPr="00003228">
        <w:rPr>
          <w:i/>
          <w:iCs/>
        </w:rPr>
        <w:t xml:space="preserve"> </w:t>
      </w:r>
      <w:proofErr w:type="spellStart"/>
      <w:r w:rsidRPr="00003228">
        <w:rPr>
          <w:i/>
          <w:iCs/>
        </w:rPr>
        <w:t>Growth</w:t>
      </w:r>
      <w:proofErr w:type="spellEnd"/>
      <w:r w:rsidRPr="00003228">
        <w:rPr>
          <w:i/>
          <w:iCs/>
        </w:rPr>
        <w:t xml:space="preserve">: </w:t>
      </w:r>
      <w:proofErr w:type="spellStart"/>
      <w:r w:rsidRPr="00003228">
        <w:rPr>
          <w:i/>
          <w:iCs/>
        </w:rPr>
        <w:t>Stabilizing</w:t>
      </w:r>
      <w:proofErr w:type="spellEnd"/>
      <w:r w:rsidRPr="00003228">
        <w:rPr>
          <w:i/>
          <w:iCs/>
        </w:rPr>
        <w:t xml:space="preserve"> and De-</w:t>
      </w:r>
      <w:proofErr w:type="spellStart"/>
      <w:r w:rsidRPr="00003228">
        <w:rPr>
          <w:i/>
          <w:iCs/>
        </w:rPr>
        <w:t>Stabilizing</w:t>
      </w:r>
      <w:proofErr w:type="spellEnd"/>
      <w:r w:rsidRPr="00003228">
        <w:rPr>
          <w:i/>
          <w:iCs/>
        </w:rPr>
        <w:t xml:space="preserve"> </w:t>
      </w:r>
      <w:proofErr w:type="spellStart"/>
      <w:r w:rsidRPr="00003228">
        <w:rPr>
          <w:i/>
          <w:iCs/>
        </w:rPr>
        <w:t>Integration</w:t>
      </w:r>
      <w:proofErr w:type="spellEnd"/>
      <w:r w:rsidRPr="00003228">
        <w:rPr>
          <w:i/>
          <w:iCs/>
        </w:rPr>
        <w:t>”</w:t>
      </w:r>
      <w:r w:rsidRPr="00003228">
        <w:t xml:space="preserve"> (2004),</w:t>
      </w:r>
      <w:r>
        <w:t xml:space="preserve"> analizan cómo la integración afecta el crecimiento y la localización industrial (combinando las conclusiones del modelo centro</w:t>
      </w:r>
      <w:r w:rsidR="004B0D3E">
        <w:t>-</w:t>
      </w:r>
      <w:r>
        <w:t xml:space="preserve">periferia de </w:t>
      </w:r>
      <w:r>
        <w:rPr>
          <w:smallCaps/>
        </w:rPr>
        <w:t>Krugman</w:t>
      </w:r>
      <w:r>
        <w:t xml:space="preserve"> (1991) y el modelo de crecimiento endógeno de </w:t>
      </w:r>
      <w:r>
        <w:rPr>
          <w:smallCaps/>
        </w:rPr>
        <w:t>Romer</w:t>
      </w:r>
      <w:r>
        <w:t xml:space="preserve"> (1990) </w:t>
      </w:r>
      <w:r w:rsidRPr="00003228">
        <w:rPr>
          <w:color w:val="767171" w:themeColor="background2" w:themeShade="80"/>
          <w:sz w:val="19"/>
          <w:szCs w:val="19"/>
        </w:rPr>
        <w:t>[</w:t>
      </w:r>
      <w:r>
        <w:rPr>
          <w:color w:val="767171" w:themeColor="background2" w:themeShade="80"/>
          <w:sz w:val="19"/>
          <w:szCs w:val="19"/>
        </w:rPr>
        <w:t>ver tema 3.A.4</w:t>
      </w:r>
      <w:r w:rsidR="00B5019C">
        <w:rPr>
          <w:color w:val="767171" w:themeColor="background2" w:themeShade="80"/>
          <w:sz w:val="19"/>
          <w:szCs w:val="19"/>
        </w:rPr>
        <w:t>4</w:t>
      </w:r>
      <w:r w:rsidRPr="00003228">
        <w:rPr>
          <w:color w:val="767171" w:themeColor="background2" w:themeShade="80"/>
          <w:sz w:val="19"/>
          <w:szCs w:val="19"/>
        </w:rPr>
        <w:t>]</w:t>
      </w:r>
      <w:r>
        <w:t xml:space="preserve"> y proponiendo un modelo en que el crecimiento a largo plazo y la localización endógena son conjuntamente endógenas).</w:t>
      </w:r>
    </w:p>
    <w:p w14:paraId="1C11EA99" w14:textId="77777777" w:rsidR="00393A15" w:rsidRDefault="00393A15" w:rsidP="00393A15">
      <w:pPr>
        <w:pStyle w:val="Nivel2SM"/>
      </w:pPr>
      <w:r>
        <w:t>El artículo presenta un modelo teórico y realiza simulaciones numéricas para ilustrar los efectos de la integración. El artículo contribuye a la literatura sobre la geografía económica y el crecimiento endógeno, y ofrece implicaciones para el diseño de políticas de desarrollo regional. El artículo es relevante para entender los procesos de integración económica y sus consecuencias sobre la distribución del ingreso y el bienestar entre las regiones.</w:t>
      </w:r>
    </w:p>
    <w:p w14:paraId="7661A707" w14:textId="77777777" w:rsidR="00393A15" w:rsidRDefault="00393A15" w:rsidP="00393A15">
      <w:pPr>
        <w:pStyle w:val="Nivel2SM"/>
        <w:keepNext/>
        <w:spacing w:after="0"/>
      </w:pPr>
      <w:r>
        <w:t>Las principales conclusiones y hallazgos del artículo son:</w:t>
      </w:r>
    </w:p>
    <w:p w14:paraId="1B51A145" w14:textId="77777777" w:rsidR="00393A15" w:rsidRDefault="00393A15" w:rsidP="00393A15">
      <w:pPr>
        <w:pStyle w:val="Nivel3SM"/>
      </w:pPr>
      <w:r>
        <w:t>Las políticas de integración que reducen el coste de comerciar bienes favorecen la aglomeración y el crecimiento, mientras que las que reducen el coste de comerciar ideas favorecen la dispersión y la convergencia.</w:t>
      </w:r>
    </w:p>
    <w:p w14:paraId="25A492EF" w14:textId="77777777" w:rsidR="00393A15" w:rsidRDefault="00393A15" w:rsidP="00393A15">
      <w:pPr>
        <w:pStyle w:val="Nivel3SM"/>
      </w:pPr>
      <w:r>
        <w:t>La aglomeración tiene efectos positivos sobre el crecimiento en ambas regiones, ya que aumenta la tasa de innovación y la difusión del conocimiento.</w:t>
      </w:r>
    </w:p>
    <w:p w14:paraId="35A59D83" w14:textId="77777777" w:rsidR="00393A15" w:rsidRDefault="00393A15" w:rsidP="00393A15">
      <w:pPr>
        <w:pStyle w:val="Nivel3SM"/>
      </w:pPr>
      <w:r>
        <w:t>La integración puede tener efectos estabilizadores o desestabilizadores sobre la distribución espacial de la actividad económica y el crecimiento, dependiendo de las condiciones iniciales y de las políticas implementadas.</w:t>
      </w:r>
    </w:p>
    <w:p w14:paraId="2D987765" w14:textId="77777777" w:rsidR="00393A15" w:rsidRDefault="00393A15" w:rsidP="00393A15">
      <w:pPr>
        <w:pStyle w:val="Ttulo6"/>
      </w:pPr>
      <w:bookmarkStart w:id="84" w:name="_Toc128996534"/>
      <w:bookmarkStart w:id="85" w:name="_Toc172225512"/>
      <w:r>
        <w:t>Valoración</w:t>
      </w:r>
      <w:bookmarkEnd w:id="84"/>
      <w:bookmarkEnd w:id="85"/>
    </w:p>
    <w:p w14:paraId="4D291823" w14:textId="77777777" w:rsidR="00393A15" w:rsidRPr="002E727D" w:rsidRDefault="00393A15" w:rsidP="00393A15">
      <w:pPr>
        <w:pStyle w:val="Nivel1SM"/>
        <w:keepNext/>
        <w:spacing w:before="0" w:after="0"/>
        <w:rPr>
          <w:sz w:val="24"/>
          <w:szCs w:val="24"/>
        </w:rPr>
      </w:pPr>
      <w:r>
        <w:t>El modelo centro-periferia es un modelo altamente estilizado.</w:t>
      </w:r>
    </w:p>
    <w:p w14:paraId="3C8FC444" w14:textId="77777777" w:rsidR="00393A15" w:rsidRPr="002E727D" w:rsidRDefault="00393A15" w:rsidP="00393A15">
      <w:pPr>
        <w:pStyle w:val="Nivel2SM"/>
        <w:rPr>
          <w:spacing w:val="-2"/>
          <w:sz w:val="24"/>
          <w:szCs w:val="24"/>
        </w:rPr>
      </w:pPr>
      <w:r w:rsidRPr="002E727D">
        <w:rPr>
          <w:spacing w:val="-2"/>
        </w:rPr>
        <w:t>Su simplicidad tiene la virtud de remarcar los mecanismos clave que determinan si una industria se aglomera. Todos los mecanismos son endógenos y derivados de efecto de la migración en la demanda regional agregada, en los índices de precios y en la demanda por la variedad.</w:t>
      </w:r>
    </w:p>
    <w:p w14:paraId="0FAB8CDE" w14:textId="400FFA1B" w:rsidR="001928AD" w:rsidRDefault="001928AD" w:rsidP="001928AD">
      <w:pPr>
        <w:pStyle w:val="Ttulo2"/>
      </w:pPr>
      <w:bookmarkStart w:id="86" w:name="_Toc172225513"/>
      <w:bookmarkEnd w:id="81"/>
      <w:r>
        <w:t>Determinantes políticos: Economía política de la integración económica</w:t>
      </w:r>
      <w:bookmarkEnd w:id="86"/>
    </w:p>
    <w:p w14:paraId="02DF2479" w14:textId="7AD1B607" w:rsidR="00680265" w:rsidRDefault="00680265" w:rsidP="00701F49">
      <w:pPr>
        <w:pStyle w:val="Nivel1SM"/>
        <w:keepNext/>
        <w:spacing w:before="0" w:after="0"/>
      </w:pPr>
      <w:r>
        <w:t>En el momento de iniciar un proceso de integración el principal, y no tan obvio, elemento a decidir es cu</w:t>
      </w:r>
      <w:r w:rsidR="001025B6">
        <w:t>á</w:t>
      </w:r>
      <w:r>
        <w:t>l</w:t>
      </w:r>
      <w:r w:rsidR="001025B6">
        <w:t>es</w:t>
      </w:r>
      <w:r>
        <w:t xml:space="preserve"> serán los socios (</w:t>
      </w:r>
      <w:proofErr w:type="spellStart"/>
      <w:r>
        <w:rPr>
          <w:i/>
          <w:iCs/>
        </w:rPr>
        <w:t>partners</w:t>
      </w:r>
      <w:proofErr w:type="spellEnd"/>
      <w:r>
        <w:t>) que formarán parte de ese proceso.</w:t>
      </w:r>
    </w:p>
    <w:p w14:paraId="4586EA42" w14:textId="77777777" w:rsidR="00680265" w:rsidRDefault="00680265" w:rsidP="00680265">
      <w:pPr>
        <w:pStyle w:val="Nivel2SM"/>
      </w:pPr>
      <w:r>
        <w:t xml:space="preserve">En multitud de ocasiones los socios se deciden más por </w:t>
      </w:r>
      <w:r w:rsidRPr="006C12B6">
        <w:rPr>
          <w:i/>
          <w:iCs/>
        </w:rPr>
        <w:t>criterios políticos</w:t>
      </w:r>
      <w:r>
        <w:t xml:space="preserve"> que por </w:t>
      </w:r>
      <w:r w:rsidRPr="006C12B6">
        <w:rPr>
          <w:i/>
          <w:iCs/>
        </w:rPr>
        <w:t>motivos económicos</w:t>
      </w:r>
      <w:r>
        <w:t>, de ahí que la teoría de la integración económica vaya ineludiblemente ligada a factores políticos. Con este motivo, este apartado pretende dar un esbozo de los determinantes políticos internos y externos de la integración económica.</w:t>
      </w:r>
    </w:p>
    <w:p w14:paraId="63D5B793" w14:textId="77777777" w:rsidR="00680265" w:rsidRDefault="00680265" w:rsidP="00680265">
      <w:pPr>
        <w:pStyle w:val="Nivel1SM"/>
        <w:keepNext/>
        <w:spacing w:after="0"/>
      </w:pPr>
      <w:r w:rsidRPr="007E5EE8">
        <w:rPr>
          <w:i/>
          <w:iCs/>
          <w:u w:val="single"/>
        </w:rPr>
        <w:t>Desde un punto de vista histórico</w:t>
      </w:r>
      <w:r>
        <w:t>,</w:t>
      </w:r>
    </w:p>
    <w:p w14:paraId="18F06BD4" w14:textId="77777777" w:rsidR="00680265" w:rsidRPr="007E5EE8" w:rsidRDefault="00680265" w:rsidP="00680265">
      <w:pPr>
        <w:pStyle w:val="Nivel2SM"/>
        <w:keepNext/>
        <w:spacing w:after="0"/>
        <w:rPr>
          <w:spacing w:val="-2"/>
        </w:rPr>
      </w:pPr>
      <w:r w:rsidRPr="007E5EE8">
        <w:rPr>
          <w:spacing w:val="-2"/>
        </w:rPr>
        <w:t xml:space="preserve">Los </w:t>
      </w:r>
      <w:r w:rsidRPr="007E5EE8">
        <w:rPr>
          <w:b/>
          <w:bCs/>
          <w:spacing w:val="-2"/>
        </w:rPr>
        <w:t>primeros teóricos de la integración económica</w:t>
      </w:r>
      <w:r w:rsidRPr="007E5EE8">
        <w:rPr>
          <w:spacing w:val="-2"/>
        </w:rPr>
        <w:t xml:space="preserve"> planteaban su análisis dejando de lado todo el espectro de decisiones políticas que conlleva un proceso integrados, ya sea desde sus inicios con un tratado de libre comercio o con avances posteriores una vez el proceso haya sido iniciado.</w:t>
      </w:r>
    </w:p>
    <w:p w14:paraId="5A656D4B" w14:textId="77777777" w:rsidR="00680265" w:rsidRDefault="00680265" w:rsidP="00680265">
      <w:pPr>
        <w:pStyle w:val="Nivel3SM"/>
        <w:keepNext/>
      </w:pPr>
      <w:r>
        <w:t>Por ello, no es de extrañar que la investigación posterior se haya centrado más en incorporar los elementos políticos en el análisis.</w:t>
      </w:r>
    </w:p>
    <w:p w14:paraId="001EC8D1" w14:textId="77777777" w:rsidR="00680265" w:rsidRDefault="00680265" w:rsidP="00680265">
      <w:pPr>
        <w:pStyle w:val="Nivel4"/>
        <w:ind w:left="1474"/>
      </w:pPr>
      <w:r>
        <w:t>Este interés por los factores políticos parte de la idea de que será un político quien finalmente firmará un tratado de libre comercio, pudiendo pesar en éste más los motivos políticos que los económicos a la hora de tomar esa decisión.</w:t>
      </w:r>
    </w:p>
    <w:p w14:paraId="380AA2FD" w14:textId="7490865C" w:rsidR="00680265" w:rsidRDefault="00680265" w:rsidP="00680265">
      <w:pPr>
        <w:pStyle w:val="Nivel3SM"/>
      </w:pPr>
      <w:r>
        <w:t xml:space="preserve">Es más, varios autores argumentan que es precisamente ésta la causa por la que los países no avanzan hacia el libre comercio y han de recurrir hacia instrumentos como los acuerdos comerciales para conseguir potenciar sus relaciones internacionales (en el espíritu del </w:t>
      </w:r>
      <w:proofErr w:type="spellStart"/>
      <w:r w:rsidR="00921BB0">
        <w:rPr>
          <w:i/>
          <w:iCs/>
        </w:rPr>
        <w:t>s</w:t>
      </w:r>
      <w:r w:rsidRPr="006C12B6">
        <w:rPr>
          <w:i/>
          <w:iCs/>
        </w:rPr>
        <w:t>econd</w:t>
      </w:r>
      <w:proofErr w:type="spellEnd"/>
      <w:r w:rsidRPr="006C12B6">
        <w:rPr>
          <w:i/>
          <w:iCs/>
        </w:rPr>
        <w:t xml:space="preserve"> </w:t>
      </w:r>
      <w:proofErr w:type="spellStart"/>
      <w:r w:rsidR="00921BB0">
        <w:rPr>
          <w:i/>
          <w:iCs/>
        </w:rPr>
        <w:t>b</w:t>
      </w:r>
      <w:r w:rsidRPr="006C12B6">
        <w:rPr>
          <w:i/>
          <w:iCs/>
        </w:rPr>
        <w:t>est</w:t>
      </w:r>
      <w:proofErr w:type="spellEnd"/>
      <w:r>
        <w:t>).</w:t>
      </w:r>
    </w:p>
    <w:p w14:paraId="0B1B8C12" w14:textId="77777777" w:rsidR="00680265" w:rsidRPr="00E105A5" w:rsidRDefault="00680265" w:rsidP="00680265">
      <w:pPr>
        <w:pStyle w:val="Nivel3SM"/>
      </w:pPr>
      <w:r>
        <w:lastRenderedPageBreak/>
        <w:t>Quedaría por responder la pregunta: ¿Qué factores políticos incentivan (o desincentivan) a un país a formar parte de un área de negociación?</w:t>
      </w:r>
    </w:p>
    <w:p w14:paraId="4FF835A2" w14:textId="77777777" w:rsidR="00037129" w:rsidRPr="00201384" w:rsidRDefault="001928AD" w:rsidP="00B64819">
      <w:pPr>
        <w:pStyle w:val="Nivel1SM"/>
        <w:keepNext/>
        <w:spacing w:after="0"/>
      </w:pPr>
      <w:r w:rsidRPr="00201384">
        <w:t>Son múltiples los determinantes políticos que pueden incentivar (o desincentivar) a un país a formar parte de un área de integración.</w:t>
      </w:r>
    </w:p>
    <w:p w14:paraId="1314E885" w14:textId="77777777" w:rsidR="00037129" w:rsidRPr="00201384" w:rsidRDefault="001928AD">
      <w:pPr>
        <w:pStyle w:val="Nmero"/>
        <w:keepNext/>
        <w:numPr>
          <w:ilvl w:val="0"/>
          <w:numId w:val="21"/>
        </w:numPr>
        <w:spacing w:after="0"/>
        <w:ind w:left="567" w:hanging="227"/>
      </w:pPr>
      <w:r w:rsidRPr="00201384">
        <w:t xml:space="preserve">En primer lugar, nos encontraríamos con que un país pueda ver que, gracias a pertenecer a una unión, su </w:t>
      </w:r>
      <w:r w:rsidRPr="00201384">
        <w:rPr>
          <w:b/>
          <w:bCs/>
        </w:rPr>
        <w:t>poder de negociación a nivel internacional</w:t>
      </w:r>
      <w:r w:rsidRPr="00201384">
        <w:t xml:space="preserve"> se vería fortalecido, especialmente si es un país pequeño que desea alcanzar acuerdos con un país grande.</w:t>
      </w:r>
    </w:p>
    <w:p w14:paraId="0F866695" w14:textId="77777777" w:rsidR="00037129" w:rsidRPr="00201384" w:rsidRDefault="00037129" w:rsidP="00037129">
      <w:pPr>
        <w:pStyle w:val="Nivel3SM"/>
        <w:keepNext/>
      </w:pPr>
      <w:r w:rsidRPr="00201384">
        <w:t>Cabe mencionar distintos e</w:t>
      </w:r>
      <w:r w:rsidR="001928AD" w:rsidRPr="00201384">
        <w:t>jemplos en este sentido</w:t>
      </w:r>
      <w:r w:rsidRPr="00201384">
        <w:t>:</w:t>
      </w:r>
    </w:p>
    <w:p w14:paraId="2C3D4661" w14:textId="69DEC969" w:rsidR="00037129" w:rsidRPr="00201384" w:rsidRDefault="00037129" w:rsidP="00037129">
      <w:pPr>
        <w:pStyle w:val="Nivel4"/>
        <w:ind w:left="1332"/>
      </w:pPr>
      <w:r w:rsidRPr="00201384">
        <w:t>L</w:t>
      </w:r>
      <w:r w:rsidR="001928AD" w:rsidRPr="00201384">
        <w:t>os países integrantes de la Unión Europea</w:t>
      </w:r>
      <w:r w:rsidRPr="00201384">
        <w:t xml:space="preserve"> </w:t>
      </w:r>
      <w:r w:rsidR="001928AD" w:rsidRPr="00201384">
        <w:t xml:space="preserve">han conseguido mejores condiciones en sus negociaciones con </w:t>
      </w:r>
      <w:r w:rsidRPr="00201384">
        <w:t xml:space="preserve">otro países (p.ej. con </w:t>
      </w:r>
      <w:r w:rsidR="00921BB0">
        <w:t>Estados Unidos</w:t>
      </w:r>
      <w:r w:rsidRPr="00201384">
        <w:t>).</w:t>
      </w:r>
    </w:p>
    <w:p w14:paraId="475BC90A" w14:textId="77777777" w:rsidR="00037129" w:rsidRPr="00201384" w:rsidRDefault="00037129" w:rsidP="00AE2B89">
      <w:pPr>
        <w:pStyle w:val="Nivel4"/>
        <w:ind w:left="1332"/>
      </w:pPr>
      <w:r w:rsidRPr="00201384">
        <w:t>L</w:t>
      </w:r>
      <w:r w:rsidR="001928AD" w:rsidRPr="00201384">
        <w:t>os miembros de la OPEC han podido gestionar de una mejor manera sus estrategias de producción de petróleo.</w:t>
      </w:r>
    </w:p>
    <w:p w14:paraId="254033AC" w14:textId="2FA85ADB" w:rsidR="001928AD" w:rsidRPr="00201384" w:rsidRDefault="00037129" w:rsidP="00AE2B89">
      <w:pPr>
        <w:pStyle w:val="Nmero"/>
        <w:spacing w:after="0"/>
        <w:ind w:left="567"/>
      </w:pPr>
      <w:r w:rsidRPr="00201384">
        <w:t>En segundo lugar</w:t>
      </w:r>
      <w:r w:rsidR="001928AD" w:rsidRPr="00201384">
        <w:t xml:space="preserve">, la propia posibilidad de poder </w:t>
      </w:r>
      <w:r w:rsidR="001928AD" w:rsidRPr="00201384">
        <w:rPr>
          <w:b/>
          <w:bCs/>
        </w:rPr>
        <w:t>reducir conflictos diplomáticos o incluso bélicos con otros países miembros</w:t>
      </w:r>
      <w:r w:rsidR="001928AD" w:rsidRPr="00201384">
        <w:t xml:space="preserve"> puede alentar a que los países quieran iniciar un proceso integrador más allá de sus bases económicas.</w:t>
      </w:r>
    </w:p>
    <w:p w14:paraId="7A9472A5" w14:textId="214B8AA6" w:rsidR="002254F1" w:rsidRPr="00201384" w:rsidRDefault="002254F1" w:rsidP="005E009B">
      <w:pPr>
        <w:pStyle w:val="Nmero"/>
        <w:keepNext/>
        <w:spacing w:after="0"/>
        <w:ind w:left="567"/>
        <w:rPr>
          <w:spacing w:val="-2"/>
        </w:rPr>
      </w:pPr>
      <w:r w:rsidRPr="00201384">
        <w:rPr>
          <w:smallCaps/>
          <w:spacing w:val="-2"/>
        </w:rPr>
        <w:t>Rodrik</w:t>
      </w:r>
      <w:r w:rsidRPr="00201384">
        <w:rPr>
          <w:spacing w:val="-2"/>
        </w:rPr>
        <w:t xml:space="preserve"> </w:t>
      </w:r>
      <w:r w:rsidR="00680265">
        <w:rPr>
          <w:spacing w:val="-2"/>
        </w:rPr>
        <w:t xml:space="preserve">(1995) </w:t>
      </w:r>
      <w:r w:rsidR="00680265" w:rsidRPr="00201384">
        <w:rPr>
          <w:spacing w:val="-2"/>
        </w:rPr>
        <w:t xml:space="preserve">plantea que el nivel de integración que al final llevará a cabo un país con otros es el resultado de múltiples </w:t>
      </w:r>
      <w:r w:rsidR="00680265" w:rsidRPr="00201384">
        <w:rPr>
          <w:b/>
          <w:bCs/>
          <w:spacing w:val="-2"/>
        </w:rPr>
        <w:t>preferencias</w:t>
      </w:r>
      <w:r w:rsidR="00680265" w:rsidRPr="00201384">
        <w:rPr>
          <w:spacing w:val="-2"/>
        </w:rPr>
        <w:t xml:space="preserve"> que se dan tanto por el </w:t>
      </w:r>
      <w:r w:rsidR="00680265" w:rsidRPr="00DA1295">
        <w:rPr>
          <w:i/>
          <w:iCs/>
          <w:spacing w:val="-2"/>
        </w:rPr>
        <w:t>lado de la demanda</w:t>
      </w:r>
      <w:r w:rsidR="00680265">
        <w:rPr>
          <w:spacing w:val="-2"/>
        </w:rPr>
        <w:t xml:space="preserve"> (individuos y </w:t>
      </w:r>
      <w:r w:rsidR="00680265" w:rsidRPr="00201384">
        <w:rPr>
          <w:spacing w:val="-2"/>
        </w:rPr>
        <w:t>grupos de presión</w:t>
      </w:r>
      <w:r w:rsidR="00680265">
        <w:rPr>
          <w:spacing w:val="-2"/>
        </w:rPr>
        <w:t>)</w:t>
      </w:r>
      <w:r w:rsidR="00680265" w:rsidRPr="00201384">
        <w:rPr>
          <w:spacing w:val="-2"/>
        </w:rPr>
        <w:t xml:space="preserve"> </w:t>
      </w:r>
      <w:r w:rsidR="00680265">
        <w:rPr>
          <w:spacing w:val="-2"/>
        </w:rPr>
        <w:t xml:space="preserve">como por el </w:t>
      </w:r>
      <w:r w:rsidR="00680265" w:rsidRPr="00DA1295">
        <w:rPr>
          <w:i/>
          <w:iCs/>
          <w:spacing w:val="-2"/>
        </w:rPr>
        <w:t>lado de la oferta</w:t>
      </w:r>
      <w:r w:rsidR="00680265">
        <w:rPr>
          <w:spacing w:val="-2"/>
        </w:rPr>
        <w:t xml:space="preserve"> (i.e. el </w:t>
      </w:r>
      <w:r w:rsidR="00680265" w:rsidRPr="00201384">
        <w:rPr>
          <w:spacing w:val="-2"/>
        </w:rPr>
        <w:t>legislador</w:t>
      </w:r>
      <w:r w:rsidR="00680265">
        <w:rPr>
          <w:spacing w:val="-2"/>
        </w:rPr>
        <w:t>)</w:t>
      </w:r>
      <w:r w:rsidR="00680265" w:rsidRPr="00201384">
        <w:rPr>
          <w:spacing w:val="-2"/>
        </w:rPr>
        <w:t>.</w:t>
      </w:r>
    </w:p>
    <w:p w14:paraId="2688791A" w14:textId="6318A144" w:rsidR="00692211" w:rsidRPr="00201384" w:rsidRDefault="00692211" w:rsidP="005E009B">
      <w:pPr>
        <w:pStyle w:val="Nivel3SM"/>
        <w:keepNext/>
      </w:pPr>
      <w:r w:rsidRPr="00201384">
        <w:t xml:space="preserve">En relación a las </w:t>
      </w:r>
      <w:r w:rsidRPr="00201384">
        <w:rPr>
          <w:i/>
          <w:iCs/>
        </w:rPr>
        <w:t xml:space="preserve">preferencias de </w:t>
      </w:r>
      <w:r w:rsidR="00201384" w:rsidRPr="00201384">
        <w:rPr>
          <w:i/>
          <w:iCs/>
          <w:spacing w:val="-2"/>
        </w:rPr>
        <w:t>grupos de presión</w:t>
      </w:r>
      <w:r w:rsidR="00F95141">
        <w:rPr>
          <w:i/>
          <w:iCs/>
          <w:spacing w:val="-2"/>
        </w:rPr>
        <w:t xml:space="preserve"> de </w:t>
      </w:r>
      <w:r w:rsidRPr="00201384">
        <w:rPr>
          <w:i/>
          <w:iCs/>
          <w:spacing w:val="-2"/>
        </w:rPr>
        <w:t>consumidores</w:t>
      </w:r>
      <w:r w:rsidR="00F95141">
        <w:rPr>
          <w:i/>
          <w:iCs/>
          <w:spacing w:val="-2"/>
        </w:rPr>
        <w:t xml:space="preserve"> y </w:t>
      </w:r>
      <w:r w:rsidRPr="00201384">
        <w:rPr>
          <w:i/>
          <w:iCs/>
          <w:spacing w:val="-2"/>
        </w:rPr>
        <w:t>productores</w:t>
      </w:r>
      <w:r w:rsidRPr="00201384">
        <w:rPr>
          <w:spacing w:val="-2"/>
        </w:rPr>
        <w:t>:</w:t>
      </w:r>
    </w:p>
    <w:p w14:paraId="43D22AA3" w14:textId="01D00E09" w:rsidR="00692211" w:rsidRPr="00F95141" w:rsidRDefault="00692211" w:rsidP="005E009B">
      <w:pPr>
        <w:pStyle w:val="Nivel4"/>
        <w:keepNext/>
        <w:ind w:left="1332"/>
        <w:rPr>
          <w:spacing w:val="-3"/>
        </w:rPr>
      </w:pPr>
      <w:r w:rsidRPr="00F95141">
        <w:rPr>
          <w:spacing w:val="-3"/>
        </w:rPr>
        <w:t xml:space="preserve">Los </w:t>
      </w:r>
      <w:r w:rsidRPr="00F95141">
        <w:rPr>
          <w:i/>
          <w:iCs/>
          <w:spacing w:val="-3"/>
        </w:rPr>
        <w:t>grupos de presión</w:t>
      </w:r>
      <w:r w:rsidRPr="00F95141">
        <w:rPr>
          <w:spacing w:val="-3"/>
        </w:rPr>
        <w:t xml:space="preserve"> podrían incentivar o desalentar la firma de un tratado si los responsables políticos consideran que podrían ganar su apoyo, especialmente si estos grupos de interés se centran en sectores puramente exportadores o importadores. Además, hay que tener en cuenta que en toda negociación es muy difícil contentar a todos los grupos, de ahí que éstos puedan presionar para que se alarguen en el tiempo la firma de los tratados o incluso queden fuera de la negociación más sensibles a estos grupos.</w:t>
      </w:r>
    </w:p>
    <w:p w14:paraId="60335C98" w14:textId="77777777" w:rsidR="00201384" w:rsidRPr="00201384" w:rsidRDefault="00201384" w:rsidP="00201384">
      <w:pPr>
        <w:pStyle w:val="Nivel5"/>
        <w:ind w:left="1588"/>
      </w:pPr>
      <w:r>
        <w:t>V</w:t>
      </w:r>
      <w:r w:rsidRPr="00201384">
        <w:t xml:space="preserve">arios autores consideran que los </w:t>
      </w:r>
      <w:r w:rsidRPr="00201384">
        <w:rPr>
          <w:i/>
          <w:iCs/>
        </w:rPr>
        <w:t>grupos de productores</w:t>
      </w:r>
      <w:r w:rsidRPr="00201384">
        <w:t xml:space="preserve"> pueden llegar a tener más peso político que los </w:t>
      </w:r>
      <w:r w:rsidRPr="00201384">
        <w:rPr>
          <w:i/>
          <w:iCs/>
        </w:rPr>
        <w:t>grupos de consumidores</w:t>
      </w:r>
      <w:r w:rsidRPr="00201384">
        <w:t xml:space="preserve">. Así, si estos productores producen más ineficientemente (mayores costes de producción) que los productores nacionales, pueden tener el incentivo a realizar una mayor presión para que no se firmen </w:t>
      </w:r>
      <w:proofErr w:type="spellStart"/>
      <w:r w:rsidRPr="00201384">
        <w:t>TLCs</w:t>
      </w:r>
      <w:proofErr w:type="spellEnd"/>
      <w:r w:rsidRPr="00201384">
        <w:t xml:space="preserve"> que engloben un mayor efecto de creación de comercio y sí se firmen </w:t>
      </w:r>
      <w:proofErr w:type="spellStart"/>
      <w:r w:rsidRPr="00201384">
        <w:t>TLCs</w:t>
      </w:r>
      <w:proofErr w:type="spellEnd"/>
      <w:r w:rsidRPr="00201384">
        <w:t xml:space="preserve"> en los que predomine la desviación de comercio, ya que con ello los productores ineficientes podrían conseguir que su socio comercial desvíe comercio hacia el resto del mundo y estos puedan ganar cuota en el mercado del socio comercial.</w:t>
      </w:r>
    </w:p>
    <w:p w14:paraId="3C448106" w14:textId="3F36533D" w:rsidR="00692211" w:rsidRPr="00201384" w:rsidRDefault="00692211" w:rsidP="00692211">
      <w:pPr>
        <w:pStyle w:val="Nivel5"/>
        <w:ind w:left="1588"/>
        <w:rPr>
          <w:spacing w:val="-2"/>
        </w:rPr>
      </w:pPr>
      <w:r w:rsidRPr="00201384">
        <w:t>El poder de los grupos de interés puede ser mayor o menor según la calidad institucional de los países miembros. De este modo, si la calidad institucional llega a ser muy dispar entre los países, la propia integración puede verse dañada, pues podría haber instituciones mucho más permeables que otras a los grupos de interés, haciendo que estos países sean mucho más proclives a tomar posturas proteccionistas en la negociación, o incluso que lleguen a mostrar bajo grado de compromiso en los acuerdos alcanzados. En esto, el hecho de que los países miembros dispongan de regímenes políticos muy distintos puede dinamitar la propia integración, de ahí que se tengan que buscar socios de igual régimen político y con calidad institucional similar.</w:t>
      </w:r>
    </w:p>
    <w:p w14:paraId="2B168C3D" w14:textId="4B96170C" w:rsidR="00692211" w:rsidRPr="00201384" w:rsidRDefault="00692211" w:rsidP="00692211">
      <w:pPr>
        <w:pStyle w:val="Nivel5"/>
        <w:ind w:left="1588"/>
        <w:rPr>
          <w:spacing w:val="-2"/>
        </w:rPr>
      </w:pPr>
      <w:r w:rsidRPr="00201384">
        <w:t>Casos como el origen dispar de los regímenes políticos que conformaban ASEAN son ejemplificadores de esta situación, aunque diversas hipótesis posteriores plantean que, tras un primer intento fallido de integración por motivos políticos, un grupo más reducido de estos países puede verse en la necesidad de relanzar la integración de una manera más eficiente y corrigiendo</w:t>
      </w:r>
      <w:r w:rsidR="003114C5" w:rsidRPr="003114C5">
        <w:rPr>
          <w:highlight w:val="yellow"/>
        </w:rPr>
        <w:t>…</w:t>
      </w:r>
    </w:p>
    <w:p w14:paraId="094757F2" w14:textId="63479F78" w:rsidR="00201384" w:rsidRPr="00201384" w:rsidRDefault="00201384" w:rsidP="00AE2B89">
      <w:pPr>
        <w:pStyle w:val="Nivel3SM"/>
      </w:pPr>
      <w:r w:rsidRPr="00201384">
        <w:lastRenderedPageBreak/>
        <w:t xml:space="preserve">En relación a las </w:t>
      </w:r>
      <w:r w:rsidRPr="00201384">
        <w:rPr>
          <w:i/>
          <w:iCs/>
        </w:rPr>
        <w:t>preferencias de los representantes políticos</w:t>
      </w:r>
      <w:r w:rsidRPr="00201384">
        <w:t xml:space="preserve">, </w:t>
      </w:r>
      <w:r w:rsidR="005E009B">
        <w:t>cabe</w:t>
      </w:r>
      <w:r w:rsidRPr="00201384">
        <w:t xml:space="preserve"> remarcar que en todo este proceso, los representantes políticos se enfrentarían a un </w:t>
      </w:r>
      <w:proofErr w:type="spellStart"/>
      <w:r w:rsidRPr="00201384">
        <w:rPr>
          <w:i/>
          <w:iCs/>
        </w:rPr>
        <w:t>trade</w:t>
      </w:r>
      <w:proofErr w:type="spellEnd"/>
      <w:r w:rsidRPr="00201384">
        <w:rPr>
          <w:i/>
          <w:iCs/>
        </w:rPr>
        <w:t>-off</w:t>
      </w:r>
      <w:r w:rsidRPr="00201384">
        <w:t xml:space="preserve"> continuo entre ganar el favor de los grupos de presión o mejorar el bienestar del país en el largo plazo. De acuerdo a cómo resuelva este </w:t>
      </w:r>
      <w:proofErr w:type="spellStart"/>
      <w:r w:rsidRPr="00201384">
        <w:rPr>
          <w:i/>
          <w:iCs/>
        </w:rPr>
        <w:t>trade</w:t>
      </w:r>
      <w:proofErr w:type="spellEnd"/>
      <w:r w:rsidRPr="00201384">
        <w:rPr>
          <w:i/>
          <w:iCs/>
        </w:rPr>
        <w:t>-off</w:t>
      </w:r>
      <w:r w:rsidRPr="00201384">
        <w:t>, los efectos de la integración serán tanto más cercanos a los potenciales esperados.</w:t>
      </w:r>
    </w:p>
    <w:p w14:paraId="30783C41" w14:textId="77777777" w:rsidR="007E2D48" w:rsidRDefault="00201384" w:rsidP="007E2D48">
      <w:pPr>
        <w:pStyle w:val="Nmero"/>
        <w:keepNext/>
        <w:spacing w:after="0"/>
        <w:ind w:left="567"/>
        <w:rPr>
          <w:spacing w:val="-2"/>
        </w:rPr>
      </w:pPr>
      <w:r w:rsidRPr="00201384">
        <w:rPr>
          <w:spacing w:val="-2"/>
        </w:rPr>
        <w:t xml:space="preserve">Finalmente, la </w:t>
      </w:r>
      <w:r w:rsidRPr="00201384">
        <w:rPr>
          <w:b/>
          <w:bCs/>
          <w:spacing w:val="-2"/>
        </w:rPr>
        <w:t>t</w:t>
      </w:r>
      <w:r w:rsidR="002254F1" w:rsidRPr="00201384">
        <w:rPr>
          <w:b/>
          <w:bCs/>
          <w:spacing w:val="-2"/>
        </w:rPr>
        <w:t>eoría del dominó de la integración</w:t>
      </w:r>
      <w:r w:rsidR="00E94F90" w:rsidRPr="00E94F90">
        <w:rPr>
          <w:rStyle w:val="Refdenotaalpie"/>
          <w:spacing w:val="-2"/>
        </w:rPr>
        <w:footnoteReference w:id="27"/>
      </w:r>
      <w:r w:rsidRPr="00201384">
        <w:rPr>
          <w:spacing w:val="-2"/>
        </w:rPr>
        <w:t xml:space="preserve"> propone que si se </w:t>
      </w:r>
      <w:r w:rsidR="007E2D48">
        <w:rPr>
          <w:spacing w:val="-2"/>
        </w:rPr>
        <w:t>genera</w:t>
      </w:r>
      <w:r w:rsidRPr="00201384">
        <w:rPr>
          <w:spacing w:val="-2"/>
        </w:rPr>
        <w:t xml:space="preserve"> un área de libre comercio, ello motivará que un número</w:t>
      </w:r>
      <w:r w:rsidR="005E009B">
        <w:rPr>
          <w:spacing w:val="-2"/>
        </w:rPr>
        <w:t xml:space="preserve"> cada vez mayor de países solicit</w:t>
      </w:r>
      <w:r w:rsidR="007E2D48">
        <w:rPr>
          <w:spacing w:val="-2"/>
        </w:rPr>
        <w:t>e</w:t>
      </w:r>
      <w:r w:rsidR="005E009B">
        <w:rPr>
          <w:spacing w:val="-2"/>
        </w:rPr>
        <w:t xml:space="preserve"> la adhesión al proceso integrador.</w:t>
      </w:r>
    </w:p>
    <w:p w14:paraId="599FF3BF" w14:textId="32CDACB7" w:rsidR="002254F1" w:rsidRPr="00201384" w:rsidRDefault="005E009B" w:rsidP="007E2D48">
      <w:pPr>
        <w:pStyle w:val="Nivel3SM"/>
      </w:pPr>
      <w:r>
        <w:t>Existirán empresas exportadoras a países del bloque regional que presionarán dado a las potenciales pérdidas de no pertenecer al bloque (</w:t>
      </w:r>
      <w:r w:rsidR="007E2D48">
        <w:t xml:space="preserve">por ejemplo, </w:t>
      </w:r>
      <w:r>
        <w:t>perjudicados por el proceso de desviación de comercio que se genere en el bloque). Por tanto, existirán “efectos de segunda ronda” que aumentarían la actividad política en favor de la integración y favorecerían el crecimiento del bloque regional.</w:t>
      </w:r>
    </w:p>
    <w:p w14:paraId="3412CB11" w14:textId="0663E054" w:rsidR="00E6198A" w:rsidRDefault="00E6198A" w:rsidP="00E6198A">
      <w:pPr>
        <w:pStyle w:val="Ttulo1"/>
      </w:pPr>
      <w:bookmarkStart w:id="87" w:name="_Toc172225514"/>
      <w:r>
        <w:t>METODOLOGÍA EMPÍRICA DE LA INTEGRACIÓN</w:t>
      </w:r>
      <w:bookmarkEnd w:id="87"/>
    </w:p>
    <w:p w14:paraId="669361CF" w14:textId="21784BCB" w:rsidR="00C67ED1" w:rsidRDefault="00C67ED1" w:rsidP="00C67ED1">
      <w:pPr>
        <w:pStyle w:val="Nivel1SM"/>
        <w:spacing w:before="0" w:after="0"/>
      </w:pPr>
      <w:r>
        <w:t xml:space="preserve">Los análisis empíricos en el campo de la teoría del comercio internacional pueden dividirse en </w:t>
      </w:r>
      <w:r w:rsidR="00B46D0D">
        <w:t>2 </w:t>
      </w:r>
      <w:r>
        <w:t>amplias categorías:</w:t>
      </w:r>
    </w:p>
    <w:p w14:paraId="3F1C2AA6" w14:textId="77777777" w:rsidR="00C67ED1" w:rsidRDefault="00C67ED1" w:rsidP="00C67ED1">
      <w:pPr>
        <w:pStyle w:val="Nivel2SM"/>
      </w:pPr>
      <w:r w:rsidRPr="00BB13A0">
        <w:rPr>
          <w:i/>
          <w:iCs/>
        </w:rPr>
        <w:t>Evidencia empírica dedicada al análisis positivo</w:t>
      </w:r>
      <w:r>
        <w:t>: Dedicada al contraste de la validez y la capacidad predictiva de las teorías positivas que buscan explicar los intercambios comerciales.</w:t>
      </w:r>
    </w:p>
    <w:p w14:paraId="369D0416" w14:textId="77777777" w:rsidR="00C67ED1" w:rsidRDefault="00C67ED1" w:rsidP="00AA1C0B">
      <w:pPr>
        <w:pStyle w:val="Nivel2SM"/>
        <w:keepNext/>
        <w:spacing w:after="0"/>
      </w:pPr>
      <w:r w:rsidRPr="00BB13A0">
        <w:rPr>
          <w:i/>
          <w:iCs/>
        </w:rPr>
        <w:t>Evidencia empírica dedicada al análisis normativo</w:t>
      </w:r>
      <w:r>
        <w:t>: Busca conocer el impacto de diferentes hechos, mayoritariamente cambios en la política comercial, sobre variables comerciales relevantes (flujos de comercio e inversiones, PIB o bienestar).</w:t>
      </w:r>
    </w:p>
    <w:p w14:paraId="40B29B68" w14:textId="77777777" w:rsidR="00C67ED1" w:rsidRDefault="00C67ED1" w:rsidP="00AA1C0B">
      <w:pPr>
        <w:pStyle w:val="Nivel3SM"/>
      </w:pPr>
      <w:r>
        <w:t>Aquí nos centraremos en la segunda categoría, pues lo que buscamos es conocer los efectos de cambios en la política comercial.</w:t>
      </w:r>
    </w:p>
    <w:p w14:paraId="1F00AF56" w14:textId="42B086ED" w:rsidR="00C67ED1" w:rsidRPr="004B2F38" w:rsidRDefault="00C67ED1" w:rsidP="00AA1C0B">
      <w:pPr>
        <w:pStyle w:val="Nivel1SM"/>
        <w:keepNext/>
        <w:spacing w:after="0"/>
        <w:rPr>
          <w:spacing w:val="-1"/>
        </w:rPr>
      </w:pPr>
      <w:r w:rsidRPr="004B2F38">
        <w:rPr>
          <w:spacing w:val="-1"/>
        </w:rPr>
        <w:t xml:space="preserve">Numerosos análisis empíricos han tratado de cuantificar los efectos de la política comercial. Como reiteran muchos autores, este análisis cuantitativo se ha acelerado en época reciente gracias no solo a los avances de la teoría económica sino también a una mayor disponibilidad de datos estadísticos y a un significativo aumento en la capacidad de computación de los ordenadores y desarrollo de programas informáticos. Los </w:t>
      </w:r>
      <w:r w:rsidR="002E0EEA" w:rsidRPr="004B2F38">
        <w:rPr>
          <w:spacing w:val="-1"/>
        </w:rPr>
        <w:t>2 </w:t>
      </w:r>
      <w:r w:rsidRPr="004B2F38">
        <w:rPr>
          <w:spacing w:val="-1"/>
        </w:rPr>
        <w:t xml:space="preserve">enfoques de análisis cuantitativo más utilizados hasta fechas recientes para la explotación empírica de políticas comerciales han sido los </w:t>
      </w:r>
      <w:r w:rsidRPr="004B2F38">
        <w:rPr>
          <w:b/>
          <w:bCs/>
          <w:spacing w:val="-1"/>
        </w:rPr>
        <w:t>modelos de equilibrio general computable</w:t>
      </w:r>
      <w:r w:rsidRPr="004B2F38">
        <w:rPr>
          <w:spacing w:val="-1"/>
        </w:rPr>
        <w:t xml:space="preserve"> (</w:t>
      </w:r>
      <w:r w:rsidRPr="004B2F38">
        <w:rPr>
          <w:i/>
          <w:iCs/>
          <w:spacing w:val="-1"/>
        </w:rPr>
        <w:t xml:space="preserve">Computable General </w:t>
      </w:r>
      <w:proofErr w:type="spellStart"/>
      <w:r w:rsidRPr="004B2F38">
        <w:rPr>
          <w:i/>
          <w:iCs/>
          <w:spacing w:val="-1"/>
        </w:rPr>
        <w:t>Equilibrium</w:t>
      </w:r>
      <w:proofErr w:type="spellEnd"/>
      <w:r w:rsidRPr="004B2F38">
        <w:rPr>
          <w:spacing w:val="-1"/>
        </w:rPr>
        <w:t xml:space="preserve">, CGE) y los </w:t>
      </w:r>
      <w:r w:rsidRPr="004B2F38">
        <w:rPr>
          <w:b/>
          <w:bCs/>
          <w:spacing w:val="-1"/>
        </w:rPr>
        <w:t>modelos de gravedad</w:t>
      </w:r>
      <w:r w:rsidRPr="004B2F38">
        <w:rPr>
          <w:spacing w:val="-1"/>
        </w:rPr>
        <w:t xml:space="preserve"> (</w:t>
      </w:r>
      <w:proofErr w:type="spellStart"/>
      <w:r w:rsidRPr="004B2F38">
        <w:rPr>
          <w:i/>
          <w:iCs/>
          <w:spacing w:val="-1"/>
        </w:rPr>
        <w:t>gravity</w:t>
      </w:r>
      <w:proofErr w:type="spellEnd"/>
      <w:r w:rsidRPr="004B2F38">
        <w:rPr>
          <w:i/>
          <w:iCs/>
          <w:spacing w:val="-1"/>
        </w:rPr>
        <w:t xml:space="preserve"> </w:t>
      </w:r>
      <w:proofErr w:type="spellStart"/>
      <w:r w:rsidRPr="004B2F38">
        <w:rPr>
          <w:i/>
          <w:iCs/>
          <w:spacing w:val="-1"/>
        </w:rPr>
        <w:t>models</w:t>
      </w:r>
      <w:proofErr w:type="spellEnd"/>
      <w:r w:rsidRPr="004B2F38">
        <w:rPr>
          <w:spacing w:val="-1"/>
        </w:rPr>
        <w:t>).</w:t>
      </w:r>
    </w:p>
    <w:p w14:paraId="785345D0" w14:textId="77777777" w:rsidR="00C67ED1" w:rsidRDefault="00C67ED1" w:rsidP="00AA1C0B">
      <w:pPr>
        <w:pStyle w:val="Nivel2SM"/>
        <w:keepNext/>
        <w:spacing w:after="0"/>
      </w:pPr>
      <w:r>
        <w:t>Las diferencias principales entre ambos modelos se pueden resumir, de manera muy sucinta:</w:t>
      </w:r>
    </w:p>
    <w:p w14:paraId="2DAA3905" w14:textId="77777777" w:rsidR="00C67ED1" w:rsidRPr="00F503C2" w:rsidRDefault="00C67ED1" w:rsidP="00AA1C0B">
      <w:pPr>
        <w:pStyle w:val="Nivel3SM"/>
      </w:pPr>
      <w:r>
        <w:t xml:space="preserve">Los </w:t>
      </w:r>
      <w:r w:rsidRPr="00AA1C0B">
        <w:rPr>
          <w:i/>
          <w:iCs/>
        </w:rPr>
        <w:t>modelos CGE</w:t>
      </w:r>
      <w:r>
        <w:t xml:space="preserve"> son modelos con una base teórica de equilibrio general que permiten hallar el efecto </w:t>
      </w:r>
      <w:r w:rsidRPr="00F503C2">
        <w:t xml:space="preserve">que tienen perturbaciones (como cambios en la política comercial) sobre un conjunto de variables (endógenas), tanto para un análisis </w:t>
      </w:r>
      <w:proofErr w:type="spellStart"/>
      <w:r w:rsidRPr="00F503C2">
        <w:t>ex-ante</w:t>
      </w:r>
      <w:proofErr w:type="spellEnd"/>
      <w:r w:rsidRPr="00F503C2">
        <w:t xml:space="preserve"> como </w:t>
      </w:r>
      <w:proofErr w:type="spellStart"/>
      <w:r w:rsidRPr="00F503C2">
        <w:t>ex-post</w:t>
      </w:r>
      <w:proofErr w:type="spellEnd"/>
      <w:r w:rsidRPr="00F503C2">
        <w:t xml:space="preserve"> .</w:t>
      </w:r>
    </w:p>
    <w:p w14:paraId="765A436A" w14:textId="77777777" w:rsidR="00C67ED1" w:rsidRDefault="00C67ED1" w:rsidP="00AA1C0B">
      <w:pPr>
        <w:pStyle w:val="Nivel3SM"/>
      </w:pPr>
      <w:r w:rsidRPr="00F503C2">
        <w:t xml:space="preserve">Los </w:t>
      </w:r>
      <w:r w:rsidRPr="00AA1C0B">
        <w:rPr>
          <w:i/>
          <w:iCs/>
        </w:rPr>
        <w:t>modelos de gravedad</w:t>
      </w:r>
      <w:r>
        <w:t xml:space="preserve"> son modelos estadísticos que en principio carecen de un modelo teórico subyacente</w:t>
      </w:r>
      <w:r>
        <w:rPr>
          <w:rStyle w:val="Refdenotaalpie"/>
        </w:rPr>
        <w:footnoteReference w:id="28"/>
      </w:r>
      <w:r>
        <w:t xml:space="preserve">. Sus resultados se refieren al efecto de perturbaciones eminentemente sobre los flujos comerciales en un análisis típicamente </w:t>
      </w:r>
      <w:proofErr w:type="spellStart"/>
      <w:r>
        <w:rPr>
          <w:i/>
          <w:iCs/>
        </w:rPr>
        <w:t>ex-post</w:t>
      </w:r>
      <w:proofErr w:type="spellEnd"/>
      <w:r>
        <w:t>.</w:t>
      </w:r>
    </w:p>
    <w:p w14:paraId="7FD92819" w14:textId="77777777" w:rsidR="00C67ED1" w:rsidRDefault="00C67ED1" w:rsidP="00AA1C0B">
      <w:pPr>
        <w:pStyle w:val="Nivel2SM"/>
        <w:keepNext/>
        <w:spacing w:after="0"/>
      </w:pPr>
      <w:r>
        <w:t xml:space="preserve">Entre la </w:t>
      </w:r>
      <w:r w:rsidRPr="007D2009">
        <w:t>literatura empírica para el caso español</w:t>
      </w:r>
      <w:r>
        <w:t>, cabe destacar:</w:t>
      </w:r>
    </w:p>
    <w:p w14:paraId="48E44B2E" w14:textId="77777777" w:rsidR="00C67ED1" w:rsidRDefault="00C67ED1" w:rsidP="00AA1C0B">
      <w:pPr>
        <w:pStyle w:val="Nivel3SM"/>
      </w:pPr>
      <w:r>
        <w:t xml:space="preserve">Respecto al enfoque de los </w:t>
      </w:r>
      <w:r w:rsidRPr="00C67ED1">
        <w:rPr>
          <w:i/>
          <w:iCs/>
          <w:u w:val="single"/>
        </w:rPr>
        <w:t>modelos CGE</w:t>
      </w:r>
      <w:r>
        <w:t xml:space="preserve">, existen estudios centrados en la liberalización de los aranceles con respecto a la comunidad económica europea. El análisis de </w:t>
      </w:r>
      <w:r>
        <w:rPr>
          <w:smallCaps/>
        </w:rPr>
        <w:t>Bajo Rubio</w:t>
      </w:r>
      <w:r>
        <w:t xml:space="preserve"> y </w:t>
      </w:r>
      <w:r>
        <w:rPr>
          <w:smallCaps/>
        </w:rPr>
        <w:t>Gómez Plana</w:t>
      </w:r>
      <w:r>
        <w:t xml:space="preserve"> (2005), refleja significativos incrementos en el PIB y el bienestar agregados derivados del Mercado Único, así como un efecto positivo en la balanza comercial. No obstante, encuentran efectos contractivos sobre la producción de algunos </w:t>
      </w:r>
      <w:r>
        <w:lastRenderedPageBreak/>
        <w:t>sectores concretos en ciertas simulaciones, así como una reducción del empleo agregado y el consiguiente ligero aumento de la tasa de desempleo, por lo que abogan por las necesarias políticas de acompañamiento que facilite la reasignación de recursos.</w:t>
      </w:r>
    </w:p>
    <w:p w14:paraId="7925068A" w14:textId="77777777" w:rsidR="00C67ED1" w:rsidRDefault="00C67ED1" w:rsidP="00AA1C0B">
      <w:pPr>
        <w:pStyle w:val="Nivel3SM"/>
      </w:pPr>
      <w:r>
        <w:t xml:space="preserve">Respecto al </w:t>
      </w:r>
      <w:r w:rsidRPr="00C67ED1">
        <w:t xml:space="preserve">enfoque de la </w:t>
      </w:r>
      <w:r w:rsidRPr="00C67ED1">
        <w:rPr>
          <w:i/>
          <w:iCs/>
          <w:u w:val="single"/>
        </w:rPr>
        <w:t>ecuación de gravedad</w:t>
      </w:r>
      <w:r>
        <w:t xml:space="preserve">, también han sido aplicados a la integración de España en Europa. </w:t>
      </w:r>
      <w:r>
        <w:rPr>
          <w:smallCaps/>
        </w:rPr>
        <w:t>Sanz</w:t>
      </w:r>
      <w:r>
        <w:t xml:space="preserve"> (2000) halla que la reducción de barreras arancelarias propició un incremento relativamente mayor de las importaciones, lo que no es necesariamente perjudicial para el bienestar general.</w:t>
      </w:r>
    </w:p>
    <w:p w14:paraId="2F395C54" w14:textId="77777777" w:rsidR="00994398" w:rsidRDefault="00994398" w:rsidP="00994398">
      <w:pPr>
        <w:pStyle w:val="Nivel1SM"/>
        <w:keepNext/>
        <w:spacing w:after="0"/>
      </w:pPr>
      <w:r>
        <w:t xml:space="preserve">Más recientemente puede decirse que ha tenido lugar un cierto proceso de convergencia de ambos enfoques empíricos, CGE y gravedad, a través de los denominados </w:t>
      </w:r>
      <w:r w:rsidRPr="001D02C0">
        <w:rPr>
          <w:b/>
          <w:bCs/>
        </w:rPr>
        <w:t>“nuevos modelos cuantitativos de comercio”</w:t>
      </w:r>
      <w:r>
        <w:t xml:space="preserve"> (</w:t>
      </w:r>
      <w:r>
        <w:rPr>
          <w:i/>
          <w:iCs/>
        </w:rPr>
        <w:t xml:space="preserve">new </w:t>
      </w:r>
      <w:proofErr w:type="spellStart"/>
      <w:r>
        <w:rPr>
          <w:i/>
          <w:iCs/>
        </w:rPr>
        <w:t>quantitative</w:t>
      </w:r>
      <w:proofErr w:type="spellEnd"/>
      <w:r>
        <w:rPr>
          <w:i/>
          <w:iCs/>
        </w:rPr>
        <w:t xml:space="preserve"> </w:t>
      </w:r>
      <w:proofErr w:type="spellStart"/>
      <w:r>
        <w:rPr>
          <w:i/>
          <w:iCs/>
        </w:rPr>
        <w:t>trade</w:t>
      </w:r>
      <w:proofErr w:type="spellEnd"/>
      <w:r>
        <w:rPr>
          <w:i/>
          <w:iCs/>
        </w:rPr>
        <w:t xml:space="preserve"> </w:t>
      </w:r>
      <w:proofErr w:type="spellStart"/>
      <w:r>
        <w:rPr>
          <w:i/>
          <w:iCs/>
        </w:rPr>
        <w:t>models</w:t>
      </w:r>
      <w:proofErr w:type="spellEnd"/>
      <w:r>
        <w:t xml:space="preserve"> o NQTM), siguiendo el trabajo teórico de </w:t>
      </w:r>
      <w:proofErr w:type="spellStart"/>
      <w:r>
        <w:rPr>
          <w:smallCaps/>
        </w:rPr>
        <w:t>Arkolakis</w:t>
      </w:r>
      <w:proofErr w:type="spellEnd"/>
      <w:r>
        <w:t xml:space="preserve">, </w:t>
      </w:r>
      <w:proofErr w:type="spellStart"/>
      <w:r>
        <w:rPr>
          <w:smallCaps/>
        </w:rPr>
        <w:t>Costinot</w:t>
      </w:r>
      <w:proofErr w:type="spellEnd"/>
      <w:r>
        <w:t xml:space="preserve"> y </w:t>
      </w:r>
      <w:r>
        <w:rPr>
          <w:smallCaps/>
        </w:rPr>
        <w:t>Rodríguez-Clare</w:t>
      </w:r>
      <w:r>
        <w:t xml:space="preserve"> (2012) y el trabajo empírico de </w:t>
      </w:r>
      <w:proofErr w:type="spellStart"/>
      <w:r>
        <w:rPr>
          <w:smallCaps/>
        </w:rPr>
        <w:t>Costinot</w:t>
      </w:r>
      <w:proofErr w:type="spellEnd"/>
      <w:r>
        <w:t xml:space="preserve"> y </w:t>
      </w:r>
      <w:r>
        <w:rPr>
          <w:smallCaps/>
        </w:rPr>
        <w:t>Rodríguez-Clare</w:t>
      </w:r>
      <w:r>
        <w:t xml:space="preserve"> (2014).</w:t>
      </w:r>
    </w:p>
    <w:p w14:paraId="4697C4FA" w14:textId="77777777" w:rsidR="00994398" w:rsidRDefault="00994398" w:rsidP="00994398">
      <w:pPr>
        <w:pStyle w:val="Nivel2SM"/>
        <w:keepNext/>
        <w:spacing w:after="0"/>
      </w:pPr>
      <w:r>
        <w:t xml:space="preserve">Los “nuevos modelos cuantitativos de comercio” son aquellos modelos de gravedad con </w:t>
      </w:r>
      <w:r w:rsidRPr="00AD7691">
        <w:rPr>
          <w:i/>
          <w:iCs/>
          <w:u w:val="single"/>
        </w:rPr>
        <w:t>fundamentación microeconómica</w:t>
      </w:r>
      <w:r>
        <w:t xml:space="preserve"> que aceptan una amplia </w:t>
      </w:r>
      <w:r w:rsidRPr="00AD7691">
        <w:rPr>
          <w:i/>
          <w:iCs/>
        </w:rPr>
        <w:t xml:space="preserve">diversidad tanto de estructuras de mercado como de otras </w:t>
      </w:r>
      <w:proofErr w:type="spellStart"/>
      <w:r w:rsidRPr="00AD7691">
        <w:rPr>
          <w:i/>
          <w:iCs/>
        </w:rPr>
        <w:t>microespecificaciones</w:t>
      </w:r>
      <w:proofErr w:type="spellEnd"/>
      <w:r w:rsidRPr="00AD7691">
        <w:rPr>
          <w:i/>
          <w:iCs/>
        </w:rPr>
        <w:t xml:space="preserve"> subyacentes</w:t>
      </w:r>
      <w:r>
        <w:t>.</w:t>
      </w:r>
    </w:p>
    <w:p w14:paraId="476C8914" w14:textId="77777777" w:rsidR="00994398" w:rsidRPr="00AD7691" w:rsidRDefault="00994398" w:rsidP="00994398">
      <w:pPr>
        <w:pStyle w:val="Nivel3SM"/>
        <w:rPr>
          <w:spacing w:val="-3"/>
        </w:rPr>
      </w:pPr>
      <w:r w:rsidRPr="00AD7691">
        <w:rPr>
          <w:spacing w:val="-3"/>
        </w:rPr>
        <w:t xml:space="preserve">Su objetivo último de obtener un modelo de tamaño mediano </w:t>
      </w:r>
      <w:r w:rsidRPr="00AD7691">
        <w:rPr>
          <w:spacing w:val="-3"/>
          <w:sz w:val="19"/>
          <w:szCs w:val="19"/>
        </w:rPr>
        <w:t>(ni tan parco como una ecuación de gravedad ni tan prolijo como un CGE)</w:t>
      </w:r>
      <w:r w:rsidRPr="00AD7691">
        <w:rPr>
          <w:spacing w:val="-3"/>
        </w:rPr>
        <w:t xml:space="preserve">, de modo que sea lo </w:t>
      </w:r>
      <w:r w:rsidRPr="00AD7691">
        <w:rPr>
          <w:i/>
          <w:iCs/>
          <w:spacing w:val="-3"/>
        </w:rPr>
        <w:t>suficientemente rico</w:t>
      </w:r>
      <w:r w:rsidRPr="00AD7691">
        <w:rPr>
          <w:spacing w:val="-3"/>
        </w:rPr>
        <w:t xml:space="preserve"> como para contener las características relevantes observadas en los datos pero lo </w:t>
      </w:r>
      <w:r w:rsidRPr="00AD7691">
        <w:rPr>
          <w:i/>
          <w:iCs/>
          <w:spacing w:val="-3"/>
        </w:rPr>
        <w:t>suficientemente sencillo</w:t>
      </w:r>
      <w:r w:rsidRPr="00AD7691">
        <w:rPr>
          <w:spacing w:val="-3"/>
        </w:rPr>
        <w:t xml:space="preserve"> como para identificar creíblemente los parámetros clave y comprender la magnitud de sus efectos.</w:t>
      </w:r>
    </w:p>
    <w:p w14:paraId="29D3B170" w14:textId="77777777" w:rsidR="00994398" w:rsidRDefault="00994398" w:rsidP="00994398">
      <w:pPr>
        <w:pStyle w:val="Nivel3SM"/>
      </w:pPr>
      <w:r>
        <w:t xml:space="preserve">Una característica fundamental de los NQTM que los ha hecho cada vez más utilizados en el análisis empírico es que estos modelos </w:t>
      </w:r>
      <w:r w:rsidRPr="00AD7691">
        <w:rPr>
          <w:i/>
          <w:iCs/>
        </w:rPr>
        <w:t xml:space="preserve">permiten realizar un análisis </w:t>
      </w:r>
      <w:proofErr w:type="spellStart"/>
      <w:r w:rsidRPr="00AD7691">
        <w:rPr>
          <w:i/>
          <w:iCs/>
        </w:rPr>
        <w:t>contrafáctico</w:t>
      </w:r>
      <w:proofErr w:type="spellEnd"/>
      <w:r w:rsidRPr="00AD7691">
        <w:rPr>
          <w:i/>
          <w:iCs/>
        </w:rPr>
        <w:t xml:space="preserve"> de las ganancias del comercio internacional</w:t>
      </w:r>
      <w:r>
        <w:t>.</w:t>
      </w:r>
    </w:p>
    <w:p w14:paraId="6CAFCC31" w14:textId="394AE21D" w:rsidR="00994398" w:rsidRDefault="00994398" w:rsidP="00994398">
      <w:pPr>
        <w:pStyle w:val="Nivel2SM"/>
      </w:pPr>
      <w:r>
        <w:t xml:space="preserve">El trabajo empírico de referencia hasta la fecha para los países de la UE es de </w:t>
      </w:r>
      <w:proofErr w:type="spellStart"/>
      <w:r w:rsidRPr="005744E8">
        <w:rPr>
          <w:smallCaps/>
        </w:rPr>
        <w:t>Costinot</w:t>
      </w:r>
      <w:proofErr w:type="spellEnd"/>
      <w:r>
        <w:t xml:space="preserve"> y </w:t>
      </w:r>
      <w:r w:rsidRPr="005744E8">
        <w:rPr>
          <w:smallCaps/>
        </w:rPr>
        <w:t>Rodríguez-Clare</w:t>
      </w:r>
      <w:r>
        <w:t xml:space="preserve"> (2014). Este análisis permite valorar directamente las ganancias del comercio en términos de bienestar, medidas como cambios porcentuales en el nivel de consumo real</w:t>
      </w:r>
      <w:r>
        <w:rPr>
          <w:rStyle w:val="Refdenotaalpie"/>
        </w:rPr>
        <w:footnoteReference w:id="29"/>
      </w:r>
      <w:r>
        <w:t>, llegando a la conclusión de que en todos los casos la mayor apertura comercial generaría ganancias netas de bienestar para España.</w:t>
      </w:r>
    </w:p>
    <w:p w14:paraId="17F659F7" w14:textId="2A196AB6" w:rsidR="00E17431" w:rsidRPr="00224941" w:rsidRDefault="00E17431" w:rsidP="00E17431">
      <w:pPr>
        <w:pStyle w:val="Notaalopositor"/>
      </w:pPr>
      <w:bookmarkStart w:id="88" w:name="_Toc172225515"/>
      <w:r w:rsidRPr="00224941">
        <w:t>Para ampliar este apartado ver tema Miguel Fabián Salazar.</w:t>
      </w:r>
    </w:p>
    <w:p w14:paraId="1BD1E360" w14:textId="77777777" w:rsidR="00342648" w:rsidRDefault="00342648" w:rsidP="00B9022F">
      <w:pPr>
        <w:pStyle w:val="Introduccinyconclusin"/>
      </w:pPr>
      <w:bookmarkStart w:id="89" w:name="_Toc55381925"/>
      <w:bookmarkStart w:id="90" w:name="_Toc55382060"/>
      <w:bookmarkStart w:id="91" w:name="_Toc55382095"/>
      <w:bookmarkStart w:id="92" w:name="_Toc55382523"/>
      <w:bookmarkEnd w:id="88"/>
      <w:r>
        <w:t>CONCLUSIÓN</w:t>
      </w:r>
      <w:bookmarkEnd w:id="89"/>
      <w:bookmarkEnd w:id="90"/>
      <w:bookmarkEnd w:id="91"/>
      <w:bookmarkEnd w:id="92"/>
    </w:p>
    <w:p w14:paraId="0B19EAD4" w14:textId="77777777" w:rsidR="0098012A" w:rsidRPr="00AC65FF" w:rsidRDefault="0098012A" w:rsidP="00701F49">
      <w:pPr>
        <w:pStyle w:val="Nivel1"/>
        <w:keepNext/>
        <w:spacing w:before="0" w:after="0"/>
        <w:rPr>
          <w:spacing w:val="-4"/>
        </w:rPr>
      </w:pPr>
      <w:r w:rsidRPr="00AC65FF">
        <w:rPr>
          <w:b/>
          <w:bCs/>
          <w:i/>
          <w:iCs/>
          <w:spacing w:val="-4"/>
        </w:rPr>
        <w:t>Recapitulación (Ideas clave)</w:t>
      </w:r>
      <w:r w:rsidRPr="00AC65FF">
        <w:rPr>
          <w:spacing w:val="-4"/>
        </w:rPr>
        <w:t>:</w:t>
      </w:r>
    </w:p>
    <w:p w14:paraId="232270A0" w14:textId="79FEF594" w:rsidR="005E6D9B" w:rsidRDefault="005E6D9B" w:rsidP="00507EC6">
      <w:pPr>
        <w:pStyle w:val="Nivel2"/>
        <w:keepNext/>
        <w:spacing w:after="0"/>
      </w:pPr>
      <w:r>
        <w:t xml:space="preserve">Podemos resumir las ideas de la exposición en que la </w:t>
      </w:r>
      <w:r w:rsidRPr="005E6D9B">
        <w:rPr>
          <w:b/>
          <w:bCs/>
        </w:rPr>
        <w:t>integración económica</w:t>
      </w:r>
      <w:r>
        <w:t xml:space="preserve"> es </w:t>
      </w:r>
      <w:r w:rsidRPr="00FE4361">
        <w:t>el proceso por el cual diferentes países deciden conformar conjuntamente entidades más grandes con el fin de mejorar tanto el bienestar nacional</w:t>
      </w:r>
      <w:r>
        <w:t xml:space="preserve"> c</w:t>
      </w:r>
      <w:r w:rsidRPr="00FE4361">
        <w:t>omo el de</w:t>
      </w:r>
      <w:r>
        <w:t>l grupo en su</w:t>
      </w:r>
      <w:r w:rsidRPr="00FE4361">
        <w:t xml:space="preserve"> conjunto.</w:t>
      </w:r>
    </w:p>
    <w:p w14:paraId="131FA1CD" w14:textId="3F371E0D" w:rsidR="005E6D9B" w:rsidRDefault="005E6D9B" w:rsidP="00507EC6">
      <w:pPr>
        <w:pStyle w:val="Nivel2"/>
        <w:keepNext/>
        <w:spacing w:after="0"/>
      </w:pPr>
      <w:r>
        <w:t xml:space="preserve">Existen múltiples </w:t>
      </w:r>
      <w:r w:rsidRPr="005E6D9B">
        <w:rPr>
          <w:b/>
          <w:bCs/>
        </w:rPr>
        <w:t>efectos</w:t>
      </w:r>
      <w:r>
        <w:t xml:space="preserve"> derivados de la integración que podemos resumir en:</w:t>
      </w:r>
    </w:p>
    <w:p w14:paraId="4088AA78" w14:textId="793B2779" w:rsidR="005E6D9B" w:rsidRDefault="005E6D9B" w:rsidP="00701F49">
      <w:pPr>
        <w:pStyle w:val="Nivel3"/>
        <w:keepNext/>
      </w:pPr>
      <w:r w:rsidRPr="005E6D9B">
        <w:rPr>
          <w:i/>
          <w:iCs/>
          <w:u w:val="single"/>
        </w:rPr>
        <w:t>Efectos positivos</w:t>
      </w:r>
      <w:r>
        <w:t>:</w:t>
      </w:r>
    </w:p>
    <w:p w14:paraId="6D66387A" w14:textId="77777777" w:rsidR="009A403C" w:rsidRDefault="009A403C" w:rsidP="00701F49">
      <w:pPr>
        <w:pStyle w:val="Nivel4"/>
      </w:pPr>
    </w:p>
    <w:p w14:paraId="7322C843" w14:textId="57A11BD7" w:rsidR="005E6D9B" w:rsidRDefault="005E6D9B" w:rsidP="00701F49">
      <w:pPr>
        <w:pStyle w:val="Nivel3"/>
        <w:keepNext/>
      </w:pPr>
      <w:r w:rsidRPr="005E6D9B">
        <w:rPr>
          <w:i/>
          <w:iCs/>
          <w:u w:val="single"/>
        </w:rPr>
        <w:t>Efectos negativos</w:t>
      </w:r>
      <w:r>
        <w:t>:</w:t>
      </w:r>
    </w:p>
    <w:p w14:paraId="5AB5D8ED" w14:textId="5EAAE080" w:rsidR="005E6D9B" w:rsidRDefault="005E6D9B" w:rsidP="00701F49">
      <w:pPr>
        <w:pStyle w:val="Nivel4"/>
        <w:keepNext/>
      </w:pPr>
      <w:r>
        <w:rPr>
          <w:i/>
          <w:iCs/>
        </w:rPr>
        <w:t>Efectos redistributivos</w:t>
      </w:r>
      <w:r w:rsidR="00B648FD">
        <w:t>,</w:t>
      </w:r>
      <w:r>
        <w:t xml:space="preserve"> que se producen a </w:t>
      </w:r>
      <w:r w:rsidR="00B648FD">
        <w:t>3 </w:t>
      </w:r>
      <w:r>
        <w:t>niveles:</w:t>
      </w:r>
    </w:p>
    <w:p w14:paraId="03245B1E" w14:textId="62414AC9" w:rsidR="005E6D9B" w:rsidRPr="003207A4" w:rsidRDefault="005E6D9B" w:rsidP="00701F49">
      <w:pPr>
        <w:pStyle w:val="Nivel5"/>
        <w:rPr>
          <w:highlight w:val="yellow"/>
        </w:rPr>
      </w:pPr>
      <w:r w:rsidRPr="003207A4">
        <w:rPr>
          <w:highlight w:val="yellow"/>
        </w:rPr>
        <w:t xml:space="preserve">Entre factores productivos, tal y como refleja el modelo de </w:t>
      </w:r>
      <w:proofErr w:type="spellStart"/>
      <w:r w:rsidRPr="003207A4">
        <w:rPr>
          <w:smallCaps/>
          <w:highlight w:val="yellow"/>
        </w:rPr>
        <w:t>MacDougall</w:t>
      </w:r>
      <w:proofErr w:type="spellEnd"/>
      <w:r w:rsidRPr="003207A4">
        <w:rPr>
          <w:highlight w:val="yellow"/>
        </w:rPr>
        <w:t>.</w:t>
      </w:r>
    </w:p>
    <w:p w14:paraId="7DDEE113" w14:textId="74A16C73" w:rsidR="005E6D9B" w:rsidRDefault="005E6D9B" w:rsidP="00701F49">
      <w:pPr>
        <w:pStyle w:val="Nivel5"/>
      </w:pPr>
      <w:r>
        <w:t>Entre industrias</w:t>
      </w:r>
      <w:r w:rsidRPr="00BB0972">
        <w:t xml:space="preserve">, </w:t>
      </w:r>
      <w:r w:rsidR="00BB0972" w:rsidRPr="00BB0972">
        <w:t xml:space="preserve">ganando aquellas que sean más competitivas. Los costes serán mayores si el comercio que se intensifica es el </w:t>
      </w:r>
      <w:r w:rsidR="003207A4" w:rsidRPr="00BB0972">
        <w:t>interindustrial</w:t>
      </w:r>
      <w:r w:rsidR="00BB0972" w:rsidRPr="00BB0972">
        <w:t xml:space="preserve"> (las empresas que sobrevivían bajo la protección desaparecerán ahora, produciéndose una reconversión), mientras que si el comercio que se intensifica es el </w:t>
      </w:r>
      <w:proofErr w:type="spellStart"/>
      <w:r w:rsidR="00BB0972" w:rsidRPr="00BB0972">
        <w:t>intra-industrial</w:t>
      </w:r>
      <w:proofErr w:type="spellEnd"/>
      <w:r w:rsidR="00BB0972" w:rsidRPr="00BB0972">
        <w:t xml:space="preserve"> los costes no serán tan acusados (sólo se producirán fusiones y adquisiciones –racionalización del sector–).</w:t>
      </w:r>
    </w:p>
    <w:p w14:paraId="307C46FF" w14:textId="1D9B699A" w:rsidR="005E6D9B" w:rsidRDefault="005E6D9B" w:rsidP="00701F49">
      <w:pPr>
        <w:pStyle w:val="Nivel5"/>
      </w:pPr>
      <w:r>
        <w:lastRenderedPageBreak/>
        <w:t>Entre países</w:t>
      </w:r>
      <w:r w:rsidRPr="00BB0972">
        <w:rPr>
          <w:spacing w:val="-2"/>
        </w:rPr>
        <w:t>, pudiendo darse una concentración internacional de la actividad.</w:t>
      </w:r>
    </w:p>
    <w:p w14:paraId="3F96327D" w14:textId="74D25ED9" w:rsidR="005E6D9B" w:rsidRDefault="005E6D9B" w:rsidP="00701F49">
      <w:pPr>
        <w:pStyle w:val="Nivel4"/>
      </w:pPr>
      <w:r>
        <w:rPr>
          <w:i/>
          <w:iCs/>
        </w:rPr>
        <w:t>Transmisión del ciclo económico más rápida</w:t>
      </w:r>
      <w:r>
        <w:t>, pudiendo acentuar los picos y valles.</w:t>
      </w:r>
    </w:p>
    <w:p w14:paraId="1499E48A" w14:textId="018664C2" w:rsidR="005E6D9B" w:rsidRPr="00701F49" w:rsidRDefault="005E6D9B" w:rsidP="00701F49">
      <w:pPr>
        <w:pStyle w:val="Nivel4"/>
        <w:rPr>
          <w:i/>
          <w:iCs/>
        </w:rPr>
      </w:pPr>
      <w:r>
        <w:rPr>
          <w:i/>
          <w:iCs/>
        </w:rPr>
        <w:t>Efecto desbordamiento</w:t>
      </w:r>
      <w:r>
        <w:t xml:space="preserve"> de las políticas económicas nacionales.</w:t>
      </w:r>
    </w:p>
    <w:p w14:paraId="1BD42053" w14:textId="6043A821" w:rsidR="005E6D9B" w:rsidRDefault="005E6D9B" w:rsidP="00701F49">
      <w:pPr>
        <w:pStyle w:val="Nivel4"/>
      </w:pPr>
      <w:r w:rsidRPr="00701F49">
        <w:rPr>
          <w:i/>
          <w:iCs/>
        </w:rPr>
        <w:t>Pérdida de</w:t>
      </w:r>
      <w:r w:rsidRPr="00701F49">
        <w:rPr>
          <w:rStyle w:val="Nivel4Car"/>
          <w:i/>
          <w:iCs/>
        </w:rPr>
        <w:t xml:space="preserve"> soberanía</w:t>
      </w:r>
      <w:r w:rsidRPr="00701F49">
        <w:rPr>
          <w:i/>
          <w:iCs/>
        </w:rPr>
        <w:t xml:space="preserve"> económica</w:t>
      </w:r>
      <w:r>
        <w:t>.</w:t>
      </w:r>
    </w:p>
    <w:p w14:paraId="40C8A275" w14:textId="77777777" w:rsidR="0098012A" w:rsidRPr="00AC65FF" w:rsidRDefault="0098012A" w:rsidP="00B1548A">
      <w:pPr>
        <w:pStyle w:val="Nivel1"/>
        <w:keepNext/>
        <w:spacing w:after="0"/>
        <w:rPr>
          <w:spacing w:val="-4"/>
        </w:rPr>
      </w:pPr>
      <w:r w:rsidRPr="00AC65FF">
        <w:rPr>
          <w:b/>
          <w:bCs/>
          <w:i/>
          <w:iCs/>
          <w:spacing w:val="-4"/>
        </w:rPr>
        <w:t>Relevancia</w:t>
      </w:r>
      <w:r w:rsidRPr="00AC65FF">
        <w:rPr>
          <w:spacing w:val="-4"/>
        </w:rPr>
        <w:t>:</w:t>
      </w:r>
    </w:p>
    <w:p w14:paraId="6C0D3B4B" w14:textId="027D4D8C" w:rsidR="0098012A" w:rsidRPr="00B04AE2" w:rsidRDefault="003207A4" w:rsidP="0098012A">
      <w:pPr>
        <w:pStyle w:val="Nivel2"/>
        <w:rPr>
          <w:highlight w:val="yellow"/>
        </w:rPr>
      </w:pPr>
      <w:r w:rsidRPr="00B04AE2">
        <w:rPr>
          <w:highlight w:val="yellow"/>
        </w:rPr>
        <w:t>En conclusión, hemos visto cómo en términos generales, los procesos de integración económica tienen efectos positivos sobre el bienestar por cuanto se acercan a la asignación de libre comercio.</w:t>
      </w:r>
    </w:p>
    <w:p w14:paraId="3AE03BB3" w14:textId="69DB8F24" w:rsidR="003207A4" w:rsidRPr="00B04AE2" w:rsidRDefault="003207A4" w:rsidP="0098012A">
      <w:pPr>
        <w:pStyle w:val="Nivel2"/>
        <w:rPr>
          <w:highlight w:val="yellow"/>
        </w:rPr>
      </w:pPr>
      <w:r w:rsidRPr="00B04AE2">
        <w:rPr>
          <w:highlight w:val="yellow"/>
        </w:rPr>
        <w:t xml:space="preserve">No obstante, los acuerdos de integración económica no dejan de </w:t>
      </w:r>
      <w:r w:rsidR="000F1B31" w:rsidRPr="00B04AE2">
        <w:rPr>
          <w:highlight w:val="yellow"/>
        </w:rPr>
        <w:t>constitu</w:t>
      </w:r>
      <w:r w:rsidR="00B04AE2" w:rsidRPr="00B04AE2">
        <w:rPr>
          <w:highlight w:val="yellow"/>
        </w:rPr>
        <w:t>ir</w:t>
      </w:r>
      <w:r w:rsidRPr="00B04AE2">
        <w:rPr>
          <w:highlight w:val="yellow"/>
        </w:rPr>
        <w:t xml:space="preserve"> situaciones de </w:t>
      </w:r>
      <w:proofErr w:type="spellStart"/>
      <w:r w:rsidRPr="00B04AE2">
        <w:rPr>
          <w:highlight w:val="yellow"/>
        </w:rPr>
        <w:t>second</w:t>
      </w:r>
      <w:proofErr w:type="spellEnd"/>
      <w:r w:rsidRPr="00B04AE2">
        <w:rPr>
          <w:highlight w:val="yellow"/>
        </w:rPr>
        <w:t xml:space="preserve"> </w:t>
      </w:r>
      <w:proofErr w:type="spellStart"/>
      <w:r w:rsidRPr="00B04AE2">
        <w:rPr>
          <w:highlight w:val="yellow"/>
        </w:rPr>
        <w:t>best</w:t>
      </w:r>
      <w:proofErr w:type="spellEnd"/>
      <w:r w:rsidRPr="00B04AE2">
        <w:rPr>
          <w:highlight w:val="yellow"/>
        </w:rPr>
        <w:t xml:space="preserve">, puesto que el libre comercio sigue representando la situación de </w:t>
      </w:r>
      <w:proofErr w:type="spellStart"/>
      <w:r w:rsidRPr="00B04AE2">
        <w:rPr>
          <w:highlight w:val="yellow"/>
        </w:rPr>
        <w:t>first</w:t>
      </w:r>
      <w:proofErr w:type="spellEnd"/>
      <w:r w:rsidRPr="00B04AE2">
        <w:rPr>
          <w:highlight w:val="yellow"/>
        </w:rPr>
        <w:t xml:space="preserve"> </w:t>
      </w:r>
      <w:proofErr w:type="spellStart"/>
      <w:r w:rsidRPr="00B04AE2">
        <w:rPr>
          <w:highlight w:val="yellow"/>
        </w:rPr>
        <w:t>best</w:t>
      </w:r>
      <w:proofErr w:type="spellEnd"/>
      <w:r w:rsidRPr="00B04AE2">
        <w:rPr>
          <w:highlight w:val="yellow"/>
        </w:rPr>
        <w:t xml:space="preserve">. </w:t>
      </w:r>
      <w:r w:rsidR="00B04AE2" w:rsidRPr="00B04AE2">
        <w:rPr>
          <w:highlight w:val="yellow"/>
        </w:rPr>
        <w:t>En cualquier caso,</w:t>
      </w:r>
      <w:r w:rsidRPr="00B04AE2">
        <w:rPr>
          <w:highlight w:val="yellow"/>
        </w:rPr>
        <w:t xml:space="preserve"> la dificultad para alcanzar acuerdos multilaterales bajo el auspicio de la OMC ha llevado a esta institución a permitir acuerdos de integración económica como excepción al principio de la Nación Más Favorecida. Acuerdos de integración que en los últimos años han seguido proliferando.</w:t>
      </w:r>
    </w:p>
    <w:p w14:paraId="52A88F73" w14:textId="77777777" w:rsidR="0098012A" w:rsidRPr="00AC65FF" w:rsidRDefault="0098012A" w:rsidP="00B1548A">
      <w:pPr>
        <w:pStyle w:val="Nivel1"/>
        <w:keepNext/>
        <w:spacing w:after="0"/>
        <w:rPr>
          <w:spacing w:val="-4"/>
        </w:rPr>
      </w:pPr>
      <w:r w:rsidRPr="00AC65FF">
        <w:rPr>
          <w:b/>
          <w:bCs/>
          <w:i/>
          <w:iCs/>
          <w:spacing w:val="-4"/>
        </w:rPr>
        <w:t>Extensiones y relación con otras partes del temario</w:t>
      </w:r>
      <w:r w:rsidRPr="00AC65FF">
        <w:rPr>
          <w:spacing w:val="-4"/>
        </w:rPr>
        <w:t>:</w:t>
      </w:r>
    </w:p>
    <w:p w14:paraId="2DDFE189" w14:textId="77777777" w:rsidR="00700ACD" w:rsidRDefault="00700ACD" w:rsidP="00700ACD">
      <w:pPr>
        <w:pStyle w:val="Nivel2"/>
        <w:keepNext/>
        <w:spacing w:after="0"/>
      </w:pPr>
      <w:r>
        <w:t xml:space="preserve">¿Y qué nos dice la </w:t>
      </w:r>
      <w:r>
        <w:rPr>
          <w:b/>
          <w:bCs/>
        </w:rPr>
        <w:t>evidencia empírica</w:t>
      </w:r>
      <w:r>
        <w:t xml:space="preserve"> sobre el caso de la Unión Europea?</w:t>
      </w:r>
    </w:p>
    <w:p w14:paraId="00DC1E2A" w14:textId="77777777" w:rsidR="00700ACD" w:rsidRDefault="00700ACD" w:rsidP="00700ACD">
      <w:pPr>
        <w:pStyle w:val="Nivel3"/>
      </w:pPr>
      <w:r>
        <w:t xml:space="preserve">Los </w:t>
      </w:r>
      <w:r>
        <w:rPr>
          <w:i/>
          <w:iCs/>
        </w:rPr>
        <w:t>primeros estudios</w:t>
      </w:r>
      <w:r w:rsidRPr="00507EC6">
        <w:t xml:space="preserve"> en este ámbito para la UE, realizados en los años 60-70, solían estimar ganancias positivas de la inte</w:t>
      </w:r>
      <w:r>
        <w:t>gración, aunque pequeñas.</w:t>
      </w:r>
    </w:p>
    <w:p w14:paraId="177DD91F" w14:textId="0EC75497" w:rsidR="00700ACD" w:rsidRDefault="00700ACD" w:rsidP="00700ACD">
      <w:pPr>
        <w:pStyle w:val="Nivel3"/>
        <w:keepNext/>
      </w:pPr>
      <w:r>
        <w:rPr>
          <w:i/>
          <w:iCs/>
        </w:rPr>
        <w:t>Posteriormente</w:t>
      </w:r>
      <w:r>
        <w:t xml:space="preserve">, en los años 80, la Comisión Europea encargó a un grupo de expertos dirigido por </w:t>
      </w:r>
      <w:r>
        <w:rPr>
          <w:smallCaps/>
        </w:rPr>
        <w:t xml:space="preserve">Paolo </w:t>
      </w:r>
      <w:proofErr w:type="spellStart"/>
      <w:r>
        <w:rPr>
          <w:smallCaps/>
        </w:rPr>
        <w:t>Cecchini</w:t>
      </w:r>
      <w:proofErr w:type="spellEnd"/>
      <w:r>
        <w:t xml:space="preserve"> la evaluación del coste que supondría para Europa la no consecución del mercado único. A diferencia de los estudios anteriores, este informe sí tuvo en cuenta los </w:t>
      </w:r>
      <w:r>
        <w:rPr>
          <w:i/>
          <w:iCs/>
        </w:rPr>
        <w:t>efectos dinámicos</w:t>
      </w:r>
      <w:r>
        <w:t>, concluyendo en 1988 que la realización del mercado único tendría los siguientes efectos en el plazo de 6</w:t>
      </w:r>
      <w:r w:rsidR="009602EF">
        <w:t> </w:t>
      </w:r>
      <w:r>
        <w:t>años:</w:t>
      </w:r>
    </w:p>
    <w:p w14:paraId="51FF4604" w14:textId="1004EB11" w:rsidR="00700ACD" w:rsidRDefault="00700ACD" w:rsidP="00FE28D5">
      <w:pPr>
        <w:pStyle w:val="Nivel3"/>
        <w:numPr>
          <w:ilvl w:val="3"/>
          <w:numId w:val="1"/>
        </w:numPr>
        <w:ind w:left="2070" w:hanging="227"/>
      </w:pPr>
      <w:r>
        <w:t>Aumento de la actividad económica de un 4-5</w:t>
      </w:r>
      <w:r w:rsidR="009602EF">
        <w:t> </w:t>
      </w:r>
      <w:r>
        <w:t>% del PIB comunitario.</w:t>
      </w:r>
    </w:p>
    <w:p w14:paraId="492DDEEF" w14:textId="3E879147" w:rsidR="00700ACD" w:rsidRDefault="00700ACD" w:rsidP="00FE28D5">
      <w:pPr>
        <w:pStyle w:val="Nivel3"/>
        <w:numPr>
          <w:ilvl w:val="3"/>
          <w:numId w:val="1"/>
        </w:numPr>
        <w:ind w:left="2070" w:hanging="227"/>
      </w:pPr>
      <w:r>
        <w:t>Creación de casi 2</w:t>
      </w:r>
      <w:r w:rsidR="009602EF">
        <w:t> </w:t>
      </w:r>
      <w:r>
        <w:t>millones de puestos de trabajo.</w:t>
      </w:r>
    </w:p>
    <w:p w14:paraId="7FCE3FF3" w14:textId="3F699DAD" w:rsidR="00700ACD" w:rsidRDefault="00700ACD" w:rsidP="00FE28D5">
      <w:pPr>
        <w:pStyle w:val="Nivel3"/>
        <w:numPr>
          <w:ilvl w:val="3"/>
          <w:numId w:val="1"/>
        </w:numPr>
        <w:ind w:left="2070" w:hanging="227"/>
      </w:pPr>
      <w:r>
        <w:t>Disminución de la inflación de 6</w:t>
      </w:r>
      <w:r w:rsidR="009602EF">
        <w:t> </w:t>
      </w:r>
      <w:r>
        <w:t>puntos</w:t>
      </w:r>
      <w:r w:rsidR="009602EF">
        <w:t xml:space="preserve"> porcentuales</w:t>
      </w:r>
      <w:r>
        <w:t>.</w:t>
      </w:r>
    </w:p>
    <w:p w14:paraId="26785845" w14:textId="7C5929F8" w:rsidR="00700ACD" w:rsidRDefault="00700ACD" w:rsidP="00FE28D5">
      <w:pPr>
        <w:pStyle w:val="Nivel3"/>
        <w:numPr>
          <w:ilvl w:val="3"/>
          <w:numId w:val="1"/>
        </w:numPr>
        <w:ind w:left="2070" w:hanging="227"/>
      </w:pPr>
      <w:r>
        <w:t>Impacto positivo sobre el comercio internacional de en torno al 1</w:t>
      </w:r>
      <w:r w:rsidR="009602EF">
        <w:t> </w:t>
      </w:r>
      <w:r>
        <w:t>% del PIB.</w:t>
      </w:r>
    </w:p>
    <w:p w14:paraId="71DF26CE" w14:textId="204B1B0B" w:rsidR="00700ACD" w:rsidRDefault="00700ACD" w:rsidP="00FE28D5">
      <w:pPr>
        <w:pStyle w:val="Nivel3"/>
        <w:numPr>
          <w:ilvl w:val="3"/>
          <w:numId w:val="1"/>
        </w:numPr>
        <w:ind w:left="2070" w:hanging="227"/>
      </w:pPr>
      <w:r>
        <w:t>Reducción de los déficits públicos de en torno a 2</w:t>
      </w:r>
      <w:r w:rsidR="009602EF">
        <w:t> </w:t>
      </w:r>
      <w:r>
        <w:t>puntos porcentuales.</w:t>
      </w:r>
    </w:p>
    <w:p w14:paraId="27941B80" w14:textId="73A0AA27" w:rsidR="0098012A" w:rsidRPr="00700ACD" w:rsidRDefault="00A96378" w:rsidP="0098012A">
      <w:pPr>
        <w:pStyle w:val="Nivel2"/>
        <w:rPr>
          <w:highlight w:val="yellow"/>
        </w:rPr>
      </w:pPr>
      <w:r w:rsidRPr="00700ACD">
        <w:rPr>
          <w:highlight w:val="yellow"/>
        </w:rPr>
        <w:t>[Tema 3.B.1</w:t>
      </w:r>
      <w:r w:rsidR="006B4989">
        <w:rPr>
          <w:highlight w:val="yellow"/>
        </w:rPr>
        <w:t>6</w:t>
      </w:r>
      <w:r w:rsidRPr="00700ACD">
        <w:rPr>
          <w:highlight w:val="yellow"/>
        </w:rPr>
        <w:t>]</w:t>
      </w:r>
    </w:p>
    <w:p w14:paraId="77EFC67A" w14:textId="77777777" w:rsidR="0098012A" w:rsidRPr="00AC65FF" w:rsidRDefault="0098012A" w:rsidP="00B1548A">
      <w:pPr>
        <w:pStyle w:val="Nivel1"/>
        <w:keepNext/>
        <w:spacing w:after="0"/>
        <w:rPr>
          <w:spacing w:val="-4"/>
        </w:rPr>
      </w:pPr>
      <w:r w:rsidRPr="00AC65FF">
        <w:rPr>
          <w:b/>
          <w:bCs/>
          <w:i/>
          <w:iCs/>
          <w:spacing w:val="-4"/>
        </w:rPr>
        <w:t>Opinión</w:t>
      </w:r>
      <w:r w:rsidRPr="00AC65FF">
        <w:rPr>
          <w:spacing w:val="-4"/>
        </w:rPr>
        <w:t>:</w:t>
      </w:r>
    </w:p>
    <w:p w14:paraId="449E3360" w14:textId="77777777" w:rsidR="0098012A" w:rsidRDefault="0098012A" w:rsidP="0098012A">
      <w:pPr>
        <w:pStyle w:val="Nivel2"/>
      </w:pPr>
    </w:p>
    <w:p w14:paraId="5593A9A8" w14:textId="77777777" w:rsidR="003A0359" w:rsidRDefault="0098012A" w:rsidP="00B1548A">
      <w:pPr>
        <w:pStyle w:val="Nivel1"/>
        <w:keepNext/>
        <w:spacing w:after="0"/>
        <w:rPr>
          <w:spacing w:val="-4"/>
        </w:rPr>
      </w:pPr>
      <w:r w:rsidRPr="00AC65FF">
        <w:rPr>
          <w:b/>
          <w:bCs/>
          <w:i/>
          <w:iCs/>
          <w:spacing w:val="-4"/>
        </w:rPr>
        <w:t>Idea final (Salida o cierre)</w:t>
      </w:r>
      <w:r w:rsidRPr="00AC65FF">
        <w:rPr>
          <w:spacing w:val="-4"/>
        </w:rPr>
        <w:t>:</w:t>
      </w:r>
    </w:p>
    <w:p w14:paraId="4E6C5066" w14:textId="14C56E54" w:rsidR="003207A4" w:rsidRPr="003207A4" w:rsidRDefault="00000000" w:rsidP="003A0359">
      <w:pPr>
        <w:pStyle w:val="Nivel2"/>
        <w:rPr>
          <w:rStyle w:val="Hipervnculo"/>
          <w:color w:val="auto"/>
          <w:spacing w:val="-4"/>
          <w:u w:val="none"/>
        </w:rPr>
      </w:pPr>
      <w:hyperlink r:id="rId27" w:history="1">
        <w:r w:rsidR="003A0359" w:rsidRPr="0018712F">
          <w:rPr>
            <w:rStyle w:val="Hipervnculo"/>
          </w:rPr>
          <w:t>https://www.wto.org/english/forums_e/debates_e/debate3_e.htm</w:t>
        </w:r>
      </w:hyperlink>
    </w:p>
    <w:p w14:paraId="72973941" w14:textId="640CBA87" w:rsidR="003207A4" w:rsidRPr="003207A4" w:rsidRDefault="00B04AE2" w:rsidP="003A0359">
      <w:pPr>
        <w:pStyle w:val="Nivel2"/>
        <w:rPr>
          <w:rStyle w:val="Hipervnculo"/>
          <w:color w:val="auto"/>
          <w:spacing w:val="-4"/>
          <w:u w:val="none"/>
        </w:rPr>
      </w:pPr>
      <w:r>
        <w:rPr>
          <w:rStyle w:val="Hipervnculo"/>
          <w:color w:val="auto"/>
          <w:spacing w:val="-4"/>
          <w:u w:val="none"/>
        </w:rPr>
        <w:t>En definitiva, existen muchos determinantes y efectos de la integración económica. Sólo mediante el conocimiento y el estudio de éstos podremos comprender mejor la teoría de la integración económica.</w:t>
      </w:r>
    </w:p>
    <w:p w14:paraId="4CAC8B5F" w14:textId="4E6D33E2" w:rsidR="008233F9" w:rsidRPr="003A0359" w:rsidRDefault="008233F9" w:rsidP="003207A4">
      <w:pPr>
        <w:pStyle w:val="Nivel1"/>
        <w:rPr>
          <w:spacing w:val="-4"/>
        </w:rPr>
      </w:pPr>
      <w:r>
        <w:br w:type="page"/>
      </w:r>
    </w:p>
    <w:p w14:paraId="126BA623" w14:textId="77777777" w:rsidR="00342648" w:rsidRDefault="00342648" w:rsidP="00342648">
      <w:pPr>
        <w:pStyle w:val="Ttulo4"/>
      </w:pPr>
      <w:r>
        <w:lastRenderedPageBreak/>
        <w:t>Bibliografía</w:t>
      </w:r>
    </w:p>
    <w:p w14:paraId="46D15266" w14:textId="08B9C96B" w:rsidR="00342648" w:rsidRDefault="006471F5" w:rsidP="00CE758B">
      <w:pPr>
        <w:keepNext/>
        <w:spacing w:after="0"/>
      </w:pPr>
      <w:r>
        <w:t>Tema ICEX-CECO</w:t>
      </w:r>
    </w:p>
    <w:p w14:paraId="357F24EF" w14:textId="52A1B250" w:rsidR="006B4989" w:rsidRDefault="006B4989" w:rsidP="004727AB">
      <w:r>
        <w:t>Tema Juan Luis Cordero Tarifa</w:t>
      </w:r>
    </w:p>
    <w:p w14:paraId="38679D1B" w14:textId="5A70D3EE" w:rsidR="00A86ADF" w:rsidRPr="00737F3E" w:rsidRDefault="00A86ADF" w:rsidP="004727AB">
      <w:pPr>
        <w:rPr>
          <w:lang w:val="en-US"/>
        </w:rPr>
      </w:pPr>
      <w:r w:rsidRPr="00A86ADF">
        <w:t xml:space="preserve">Camarero, M. &amp; Tamarit, C. (2019). </w:t>
      </w:r>
      <w:r w:rsidRPr="00A86ADF">
        <w:rPr>
          <w:i/>
          <w:iCs/>
        </w:rPr>
        <w:t>Economía de la Unión Europea</w:t>
      </w:r>
      <w:r w:rsidRPr="00A86ADF">
        <w:t xml:space="preserve"> (8ª</w:t>
      </w:r>
      <w:r>
        <w:t xml:space="preserve"> ed.</w:t>
      </w:r>
      <w:r w:rsidRPr="00A86ADF">
        <w:t xml:space="preserve">). </w:t>
      </w:r>
      <w:r w:rsidRPr="00737F3E">
        <w:rPr>
          <w:lang w:val="en-US"/>
        </w:rPr>
        <w:t xml:space="preserve">Editorial </w:t>
      </w:r>
      <w:proofErr w:type="spellStart"/>
      <w:r w:rsidRPr="00737F3E">
        <w:rPr>
          <w:lang w:val="en-US"/>
        </w:rPr>
        <w:t>Aranzadi</w:t>
      </w:r>
      <w:proofErr w:type="spellEnd"/>
      <w:r w:rsidRPr="00737F3E">
        <w:rPr>
          <w:lang w:val="en-US"/>
        </w:rPr>
        <w:t>, S.A.U.</w:t>
      </w:r>
      <w:r w:rsidR="00A972EE" w:rsidRPr="00737F3E">
        <w:rPr>
          <w:lang w:val="en-US"/>
        </w:rPr>
        <w:t xml:space="preserve"> </w:t>
      </w:r>
      <w:proofErr w:type="spellStart"/>
      <w:r w:rsidR="00A972EE" w:rsidRPr="00737F3E">
        <w:rPr>
          <w:lang w:val="en-US"/>
        </w:rPr>
        <w:t>Capítulos</w:t>
      </w:r>
      <w:proofErr w:type="spellEnd"/>
      <w:r w:rsidR="00A972EE" w:rsidRPr="00737F3E">
        <w:rPr>
          <w:lang w:val="en-US"/>
        </w:rPr>
        <w:t xml:space="preserve"> 1 y 4.</w:t>
      </w:r>
    </w:p>
    <w:p w14:paraId="06DF5100" w14:textId="57C80110" w:rsidR="00A86ADF" w:rsidRPr="00A86ADF" w:rsidRDefault="00BD4D6B" w:rsidP="004727AB">
      <w:pPr>
        <w:rPr>
          <w:color w:val="0563C1" w:themeColor="hyperlink"/>
          <w:u w:val="single"/>
          <w:lang w:val="en-US"/>
        </w:rPr>
      </w:pPr>
      <w:r w:rsidRPr="00B1548A">
        <w:rPr>
          <w:lang w:val="en-US"/>
        </w:rPr>
        <w:t xml:space="preserve">Gandolfo, G. (2014). </w:t>
      </w:r>
      <w:r w:rsidRPr="00BD4D6B">
        <w:rPr>
          <w:lang w:val="en-US"/>
        </w:rPr>
        <w:t xml:space="preserve">International Trade Theory and Policy. Springer Berlin Heidelberg. </w:t>
      </w:r>
      <w:r>
        <w:rPr>
          <w:lang w:val="en-US"/>
        </w:rPr>
        <w:t>Chapters 11 y 17 (</w:t>
      </w:r>
      <w:proofErr w:type="spellStart"/>
      <w:r>
        <w:rPr>
          <w:lang w:val="en-US"/>
        </w:rPr>
        <w:t>págs</w:t>
      </w:r>
      <w:proofErr w:type="spellEnd"/>
      <w:r>
        <w:rPr>
          <w:lang w:val="en-US"/>
        </w:rPr>
        <w:t xml:space="preserve">. 263-274; 365-408) </w:t>
      </w:r>
      <w:hyperlink r:id="rId28" w:history="1">
        <w:r w:rsidRPr="00C32465">
          <w:rPr>
            <w:rStyle w:val="Hipervnculo"/>
            <w:lang w:val="en-US"/>
          </w:rPr>
          <w:t>https://doi.org/10.1007/978-3-642-37314-5</w:t>
        </w:r>
      </w:hyperlink>
    </w:p>
    <w:p w14:paraId="6DEF5580" w14:textId="77777777" w:rsidR="0098012A" w:rsidRDefault="0098012A" w:rsidP="0098012A">
      <w:pPr>
        <w:pStyle w:val="Ttulo4"/>
      </w:pPr>
      <w:r>
        <w:t>Preguntas de otros exámenes</w:t>
      </w:r>
    </w:p>
    <w:p w14:paraId="11AFF269" w14:textId="77777777" w:rsidR="0098012A" w:rsidRDefault="0098012A" w:rsidP="0098012A">
      <w:pPr>
        <w:pStyle w:val="Nivel2SM"/>
        <w:ind w:left="0" w:hanging="142"/>
      </w:pPr>
    </w:p>
    <w:p w14:paraId="25F350A1" w14:textId="77777777" w:rsidR="0098012A" w:rsidRDefault="0098012A" w:rsidP="0098012A">
      <w:pPr>
        <w:pStyle w:val="Ttulo4"/>
      </w:pPr>
      <w:r>
        <w:t>Enlace a preguntas tipo test</w:t>
      </w:r>
    </w:p>
    <w:p w14:paraId="026909F5" w14:textId="0B3651A6" w:rsidR="0098012A" w:rsidRPr="000B25BC" w:rsidRDefault="00000000" w:rsidP="0098012A">
      <w:hyperlink r:id="rId29" w:history="1">
        <w:r w:rsidR="0098012A" w:rsidRPr="0018712F">
          <w:rPr>
            <w:rStyle w:val="Hipervnculo"/>
          </w:rPr>
          <w:t>https://www.quia.com/quiz/6562942.html</w:t>
        </w:r>
      </w:hyperlink>
    </w:p>
    <w:p w14:paraId="6752EA0B" w14:textId="2130D71A" w:rsidR="00342648" w:rsidRDefault="00342648" w:rsidP="00342648">
      <w:pPr>
        <w:pStyle w:val="Ttulo4"/>
      </w:pPr>
      <w:r w:rsidRPr="00342648">
        <w:t>Anexos</w:t>
      </w:r>
    </w:p>
    <w:p w14:paraId="43E59B51" w14:textId="0B6353DF" w:rsidR="003207A4" w:rsidRPr="00502A72" w:rsidRDefault="00C97419" w:rsidP="00554614">
      <w:pPr>
        <w:pStyle w:val="Ttulo5"/>
      </w:pPr>
      <w:r w:rsidRPr="009951F4">
        <w:t>Anexo</w:t>
      </w:r>
      <w:r w:rsidR="00743EA6">
        <w:t> </w:t>
      </w:r>
      <w:r>
        <w:t>1</w:t>
      </w:r>
      <w:r w:rsidRPr="009951F4">
        <w:rPr>
          <w:i w:val="0"/>
          <w:iCs w:val="0"/>
          <w:u w:val="none"/>
        </w:rPr>
        <w:t>:</w:t>
      </w:r>
      <w:r>
        <w:rPr>
          <w:i w:val="0"/>
          <w:iCs w:val="0"/>
          <w:u w:val="none"/>
        </w:rPr>
        <w:t xml:space="preserve"> </w:t>
      </w:r>
    </w:p>
    <w:sectPr w:rsidR="003207A4" w:rsidRPr="00502A72" w:rsidSect="009F4859">
      <w:headerReference w:type="even" r:id="rId30"/>
      <w:headerReference w:type="default" r:id="rId31"/>
      <w:footerReference w:type="even" r:id="rId32"/>
      <w:footerReference w:type="default" r:id="rId33"/>
      <w:headerReference w:type="first" r:id="rId34"/>
      <w:footerReference w:type="first" r:id="rId3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C4710" w14:textId="77777777" w:rsidR="007F1342" w:rsidRDefault="007F1342" w:rsidP="00B77C0F">
      <w:r>
        <w:separator/>
      </w:r>
    </w:p>
  </w:endnote>
  <w:endnote w:type="continuationSeparator" w:id="0">
    <w:p w14:paraId="71AEDDB7" w14:textId="77777777" w:rsidR="007F1342" w:rsidRDefault="007F1342"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649F" w:rsidRPr="005D106D" w14:paraId="5A537F95" w14:textId="77777777" w:rsidTr="00B777D0">
      <w:trPr>
        <w:trHeight w:val="138"/>
        <w:jc w:val="center"/>
      </w:trPr>
      <w:tc>
        <w:tcPr>
          <w:tcW w:w="1134" w:type="dxa"/>
        </w:tcPr>
        <w:p w14:paraId="39B13092" w14:textId="77777777" w:rsidR="001F649F" w:rsidRPr="005D106D" w:rsidRDefault="001F649F" w:rsidP="00A725CB">
          <w:pPr>
            <w:pStyle w:val="Encabezado"/>
            <w:tabs>
              <w:tab w:val="clear" w:pos="4252"/>
              <w:tab w:val="clear" w:pos="8504"/>
              <w:tab w:val="right" w:pos="924"/>
              <w:tab w:val="center" w:pos="1310"/>
            </w:tabs>
            <w:spacing w:after="0"/>
            <w:contextualSpacing/>
            <w:jc w:val="left"/>
            <w:rPr>
              <w:i/>
              <w:iCs/>
              <w:color w:val="5F2987"/>
              <w:sz w:val="18"/>
              <w:szCs w:val="18"/>
            </w:rPr>
          </w:pPr>
          <w:r w:rsidRPr="005D106D">
            <w:rPr>
              <w:b/>
              <w:bCs/>
              <w:i/>
              <w:iCs/>
              <w:color w:val="5F2987"/>
              <w:spacing w:val="-6"/>
              <w:sz w:val="18"/>
              <w:szCs w:val="18"/>
            </w:rPr>
            <w:fldChar w:fldCharType="begin"/>
          </w:r>
          <w:r w:rsidRPr="005D106D">
            <w:rPr>
              <w:b/>
              <w:bCs/>
              <w:i/>
              <w:iCs/>
              <w:color w:val="5F2987"/>
              <w:spacing w:val="-6"/>
              <w:sz w:val="18"/>
              <w:szCs w:val="18"/>
            </w:rPr>
            <w:instrText>PAGE  \* Arabic  \* MERGEFORMAT</w:instrText>
          </w:r>
          <w:r w:rsidRPr="005D106D">
            <w:rPr>
              <w:b/>
              <w:bCs/>
              <w:i/>
              <w:iCs/>
              <w:color w:val="5F2987"/>
              <w:spacing w:val="-6"/>
              <w:sz w:val="18"/>
              <w:szCs w:val="18"/>
            </w:rPr>
            <w:fldChar w:fldCharType="separate"/>
          </w:r>
          <w:r w:rsidRPr="005D106D">
            <w:rPr>
              <w:b/>
              <w:bCs/>
              <w:i/>
              <w:iCs/>
              <w:color w:val="5F2987"/>
              <w:spacing w:val="-6"/>
              <w:sz w:val="18"/>
              <w:szCs w:val="18"/>
            </w:rPr>
            <w:t>2</w:t>
          </w:r>
          <w:r w:rsidRPr="005D106D">
            <w:rPr>
              <w:b/>
              <w:bCs/>
              <w:i/>
              <w:iCs/>
              <w:color w:val="5F2987"/>
              <w:spacing w:val="-6"/>
              <w:sz w:val="18"/>
              <w:szCs w:val="18"/>
            </w:rPr>
            <w:fldChar w:fldCharType="end"/>
          </w:r>
          <w:r w:rsidRPr="005D106D">
            <w:rPr>
              <w:b/>
              <w:bCs/>
              <w:i/>
              <w:iCs/>
              <w:color w:val="5F2987"/>
              <w:spacing w:val="-6"/>
              <w:sz w:val="18"/>
              <w:szCs w:val="18"/>
            </w:rPr>
            <w:t>/</w:t>
          </w:r>
          <w:r w:rsidRPr="005D106D">
            <w:rPr>
              <w:b/>
              <w:bCs/>
              <w:i/>
              <w:iCs/>
              <w:color w:val="5F2987"/>
              <w:spacing w:val="-6"/>
              <w:sz w:val="18"/>
              <w:szCs w:val="18"/>
            </w:rPr>
            <w:fldChar w:fldCharType="begin"/>
          </w:r>
          <w:r w:rsidRPr="005D106D">
            <w:rPr>
              <w:b/>
              <w:bCs/>
              <w:i/>
              <w:iCs/>
              <w:color w:val="5F2987"/>
              <w:spacing w:val="-6"/>
              <w:sz w:val="18"/>
              <w:szCs w:val="18"/>
            </w:rPr>
            <w:instrText>NUMPAGES  \* Arabic  \* MERGEFORMAT</w:instrText>
          </w:r>
          <w:r w:rsidRPr="005D106D">
            <w:rPr>
              <w:b/>
              <w:bCs/>
              <w:i/>
              <w:iCs/>
              <w:color w:val="5F2987"/>
              <w:spacing w:val="-6"/>
              <w:sz w:val="18"/>
              <w:szCs w:val="18"/>
            </w:rPr>
            <w:fldChar w:fldCharType="separate"/>
          </w:r>
          <w:r w:rsidRPr="005D106D">
            <w:rPr>
              <w:b/>
              <w:bCs/>
              <w:i/>
              <w:iCs/>
              <w:color w:val="5F2987"/>
              <w:spacing w:val="-6"/>
              <w:sz w:val="18"/>
              <w:szCs w:val="18"/>
            </w:rPr>
            <w:t>9</w:t>
          </w:r>
          <w:r w:rsidRPr="005D106D">
            <w:rPr>
              <w:b/>
              <w:bCs/>
              <w:i/>
              <w:iCs/>
              <w:color w:val="5F2987"/>
              <w:spacing w:val="-6"/>
              <w:sz w:val="18"/>
              <w:szCs w:val="18"/>
            </w:rPr>
            <w:fldChar w:fldCharType="end"/>
          </w:r>
        </w:p>
      </w:tc>
      <w:tc>
        <w:tcPr>
          <w:tcW w:w="7088" w:type="dxa"/>
          <w:vAlign w:val="center"/>
        </w:tcPr>
        <w:p w14:paraId="5DA12CE6" w14:textId="77777777" w:rsidR="001F649F" w:rsidRPr="005D106D" w:rsidRDefault="001F649F" w:rsidP="00A725CB">
          <w:pPr>
            <w:pStyle w:val="Encabezado"/>
            <w:spacing w:after="0"/>
            <w:ind w:right="-110"/>
            <w:contextualSpacing/>
            <w:jc w:val="center"/>
            <w:rPr>
              <w:i/>
              <w:iCs/>
              <w:color w:val="5F2987"/>
              <w:sz w:val="18"/>
              <w:szCs w:val="18"/>
            </w:rPr>
          </w:pPr>
        </w:p>
      </w:tc>
      <w:tc>
        <w:tcPr>
          <w:tcW w:w="2551" w:type="dxa"/>
          <w:vAlign w:val="center"/>
        </w:tcPr>
        <w:p w14:paraId="0B4467EC" w14:textId="77777777" w:rsidR="001F649F" w:rsidRPr="005D106D" w:rsidRDefault="001F649F" w:rsidP="00A725CB">
          <w:pPr>
            <w:pStyle w:val="Encabezado"/>
            <w:spacing w:after="0"/>
            <w:contextualSpacing/>
            <w:jc w:val="right"/>
            <w:rPr>
              <w:b/>
              <w:bCs/>
              <w:i/>
              <w:iCs/>
              <w:color w:val="5F2987"/>
              <w:spacing w:val="-6"/>
              <w:sz w:val="18"/>
              <w:szCs w:val="18"/>
            </w:rPr>
          </w:pPr>
        </w:p>
      </w:tc>
    </w:tr>
  </w:tbl>
  <w:p w14:paraId="50524F78" w14:textId="77777777" w:rsidR="001F649F" w:rsidRPr="00500B85" w:rsidRDefault="001F649F" w:rsidP="00A725CB">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649F" w:rsidRPr="005D106D" w14:paraId="28D60787" w14:textId="77777777" w:rsidTr="0078055F">
          <w:trPr>
            <w:trHeight w:val="138"/>
            <w:jc w:val="center"/>
          </w:trPr>
          <w:tc>
            <w:tcPr>
              <w:tcW w:w="1134" w:type="dxa"/>
              <w:vAlign w:val="center"/>
            </w:tcPr>
            <w:p w14:paraId="2AFD20F3" w14:textId="77777777" w:rsidR="001F649F" w:rsidRPr="005D106D" w:rsidRDefault="001F649F" w:rsidP="00A725C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BE5CC10" w14:textId="77777777" w:rsidR="001F649F" w:rsidRPr="005D106D" w:rsidRDefault="001F649F" w:rsidP="00A725CB">
              <w:pPr>
                <w:pStyle w:val="Encabezado"/>
                <w:spacing w:after="0"/>
                <w:ind w:right="-110"/>
                <w:contextualSpacing/>
                <w:jc w:val="center"/>
                <w:rPr>
                  <w:i/>
                  <w:iCs/>
                  <w:color w:val="5F2987"/>
                  <w:sz w:val="18"/>
                  <w:szCs w:val="18"/>
                </w:rPr>
              </w:pPr>
            </w:p>
          </w:tc>
          <w:tc>
            <w:tcPr>
              <w:tcW w:w="2551" w:type="dxa"/>
              <w:vAlign w:val="center"/>
            </w:tcPr>
            <w:p w14:paraId="49D26E15" w14:textId="77777777" w:rsidR="001F649F" w:rsidRPr="005D106D" w:rsidRDefault="001F649F" w:rsidP="00A725CB">
              <w:pPr>
                <w:pStyle w:val="Encabezado"/>
                <w:spacing w:after="0"/>
                <w:contextualSpacing/>
                <w:jc w:val="right"/>
                <w:rPr>
                  <w:b/>
                  <w:bCs/>
                  <w:i/>
                  <w:iCs/>
                  <w:color w:val="5F2987"/>
                  <w:spacing w:val="-6"/>
                  <w:sz w:val="18"/>
                  <w:szCs w:val="18"/>
                </w:rPr>
              </w:pPr>
              <w:r w:rsidRPr="005D106D">
                <w:rPr>
                  <w:b/>
                  <w:bCs/>
                  <w:i/>
                  <w:iCs/>
                  <w:color w:val="5F2987"/>
                  <w:spacing w:val="-6"/>
                  <w:sz w:val="18"/>
                  <w:szCs w:val="18"/>
                </w:rPr>
                <w:fldChar w:fldCharType="begin"/>
              </w:r>
              <w:r w:rsidRPr="005D106D">
                <w:rPr>
                  <w:b/>
                  <w:bCs/>
                  <w:i/>
                  <w:iCs/>
                  <w:color w:val="5F2987"/>
                  <w:spacing w:val="-6"/>
                  <w:sz w:val="18"/>
                  <w:szCs w:val="18"/>
                </w:rPr>
                <w:instrText>PAGE  \* Arabic  \* MERGEFORMAT</w:instrText>
              </w:r>
              <w:r w:rsidRPr="005D106D">
                <w:rPr>
                  <w:b/>
                  <w:bCs/>
                  <w:i/>
                  <w:iCs/>
                  <w:color w:val="5F2987"/>
                  <w:spacing w:val="-6"/>
                  <w:sz w:val="18"/>
                  <w:szCs w:val="18"/>
                </w:rPr>
                <w:fldChar w:fldCharType="separate"/>
              </w:r>
              <w:r w:rsidRPr="005D106D">
                <w:rPr>
                  <w:b/>
                  <w:bCs/>
                  <w:i/>
                  <w:iCs/>
                  <w:color w:val="5F2987"/>
                  <w:spacing w:val="-6"/>
                  <w:sz w:val="18"/>
                  <w:szCs w:val="18"/>
                </w:rPr>
                <w:t>1</w:t>
              </w:r>
              <w:r w:rsidRPr="005D106D">
                <w:rPr>
                  <w:b/>
                  <w:bCs/>
                  <w:i/>
                  <w:iCs/>
                  <w:color w:val="5F2987"/>
                  <w:spacing w:val="-6"/>
                  <w:sz w:val="18"/>
                  <w:szCs w:val="18"/>
                </w:rPr>
                <w:fldChar w:fldCharType="end"/>
              </w:r>
              <w:r w:rsidRPr="005D106D">
                <w:rPr>
                  <w:b/>
                  <w:bCs/>
                  <w:i/>
                  <w:iCs/>
                  <w:color w:val="5F2987"/>
                  <w:spacing w:val="-6"/>
                  <w:sz w:val="18"/>
                  <w:szCs w:val="18"/>
                </w:rPr>
                <w:t>/</w:t>
              </w:r>
              <w:r w:rsidRPr="005D106D">
                <w:rPr>
                  <w:b/>
                  <w:bCs/>
                  <w:i/>
                  <w:iCs/>
                  <w:color w:val="5F2987"/>
                  <w:spacing w:val="-6"/>
                  <w:sz w:val="18"/>
                  <w:szCs w:val="18"/>
                </w:rPr>
                <w:fldChar w:fldCharType="begin"/>
              </w:r>
              <w:r w:rsidRPr="005D106D">
                <w:rPr>
                  <w:b/>
                  <w:bCs/>
                  <w:i/>
                  <w:iCs/>
                  <w:color w:val="5F2987"/>
                  <w:spacing w:val="-6"/>
                  <w:sz w:val="18"/>
                  <w:szCs w:val="18"/>
                </w:rPr>
                <w:instrText>NUMPAGES  \* Arabic  \* MERGEFORMAT</w:instrText>
              </w:r>
              <w:r w:rsidRPr="005D106D">
                <w:rPr>
                  <w:b/>
                  <w:bCs/>
                  <w:i/>
                  <w:iCs/>
                  <w:color w:val="5F2987"/>
                  <w:spacing w:val="-6"/>
                  <w:sz w:val="18"/>
                  <w:szCs w:val="18"/>
                </w:rPr>
                <w:fldChar w:fldCharType="separate"/>
              </w:r>
              <w:r w:rsidRPr="005D106D">
                <w:rPr>
                  <w:b/>
                  <w:bCs/>
                  <w:i/>
                  <w:iCs/>
                  <w:color w:val="5F2987"/>
                  <w:spacing w:val="-6"/>
                  <w:sz w:val="18"/>
                  <w:szCs w:val="18"/>
                </w:rPr>
                <w:t>2</w:t>
              </w:r>
              <w:r w:rsidRPr="005D106D">
                <w:rPr>
                  <w:b/>
                  <w:bCs/>
                  <w:i/>
                  <w:iCs/>
                  <w:color w:val="5F2987"/>
                  <w:spacing w:val="-6"/>
                  <w:sz w:val="18"/>
                  <w:szCs w:val="18"/>
                </w:rPr>
                <w:fldChar w:fldCharType="end"/>
              </w:r>
            </w:p>
          </w:tc>
        </w:tr>
      </w:tbl>
      <w:p w14:paraId="35EB8F19" w14:textId="77777777" w:rsidR="001F649F" w:rsidRPr="00C80BBD" w:rsidRDefault="00000000" w:rsidP="00A725CB">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207226047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649F" w:rsidRPr="005D106D" w14:paraId="443D74F5" w14:textId="77777777" w:rsidTr="0078055F">
          <w:trPr>
            <w:trHeight w:val="138"/>
            <w:jc w:val="center"/>
          </w:trPr>
          <w:tc>
            <w:tcPr>
              <w:tcW w:w="1134" w:type="dxa"/>
              <w:vAlign w:val="center"/>
            </w:tcPr>
            <w:p w14:paraId="3A45CC96" w14:textId="77777777" w:rsidR="001F649F" w:rsidRPr="005D106D" w:rsidRDefault="001F649F" w:rsidP="00A725C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2C67594" w14:textId="77777777" w:rsidR="001F649F" w:rsidRPr="005D106D" w:rsidRDefault="001F649F" w:rsidP="00A725CB">
              <w:pPr>
                <w:pStyle w:val="Encabezado"/>
                <w:spacing w:after="0"/>
                <w:ind w:right="-110"/>
                <w:contextualSpacing/>
                <w:jc w:val="center"/>
                <w:rPr>
                  <w:i/>
                  <w:iCs/>
                  <w:color w:val="5F2987"/>
                  <w:sz w:val="18"/>
                  <w:szCs w:val="18"/>
                </w:rPr>
              </w:pPr>
            </w:p>
          </w:tc>
          <w:tc>
            <w:tcPr>
              <w:tcW w:w="2551" w:type="dxa"/>
              <w:vAlign w:val="center"/>
            </w:tcPr>
            <w:p w14:paraId="32997580" w14:textId="77777777" w:rsidR="001F649F" w:rsidRPr="005D106D" w:rsidRDefault="001F649F" w:rsidP="00A725CB">
              <w:pPr>
                <w:pStyle w:val="Encabezado"/>
                <w:spacing w:after="0"/>
                <w:contextualSpacing/>
                <w:jc w:val="right"/>
                <w:rPr>
                  <w:b/>
                  <w:bCs/>
                  <w:i/>
                  <w:iCs/>
                  <w:color w:val="5F2987"/>
                  <w:spacing w:val="-6"/>
                  <w:sz w:val="18"/>
                  <w:szCs w:val="18"/>
                </w:rPr>
              </w:pPr>
              <w:r w:rsidRPr="005D106D">
                <w:rPr>
                  <w:b/>
                  <w:bCs/>
                  <w:i/>
                  <w:iCs/>
                  <w:color w:val="5F2987"/>
                  <w:spacing w:val="-6"/>
                  <w:sz w:val="18"/>
                  <w:szCs w:val="18"/>
                </w:rPr>
                <w:fldChar w:fldCharType="begin"/>
              </w:r>
              <w:r w:rsidRPr="005D106D">
                <w:rPr>
                  <w:b/>
                  <w:bCs/>
                  <w:i/>
                  <w:iCs/>
                  <w:color w:val="5F2987"/>
                  <w:spacing w:val="-6"/>
                  <w:sz w:val="18"/>
                  <w:szCs w:val="18"/>
                </w:rPr>
                <w:instrText>PAGE  \* Arabic  \* MERGEFORMAT</w:instrText>
              </w:r>
              <w:r w:rsidRPr="005D106D">
                <w:rPr>
                  <w:b/>
                  <w:bCs/>
                  <w:i/>
                  <w:iCs/>
                  <w:color w:val="5F2987"/>
                  <w:spacing w:val="-6"/>
                  <w:sz w:val="18"/>
                  <w:szCs w:val="18"/>
                </w:rPr>
                <w:fldChar w:fldCharType="separate"/>
              </w:r>
              <w:r w:rsidRPr="005D106D">
                <w:rPr>
                  <w:b/>
                  <w:bCs/>
                  <w:i/>
                  <w:iCs/>
                  <w:color w:val="5F2987"/>
                  <w:spacing w:val="-6"/>
                  <w:sz w:val="18"/>
                  <w:szCs w:val="18"/>
                </w:rPr>
                <w:t>1</w:t>
              </w:r>
              <w:r w:rsidRPr="005D106D">
                <w:rPr>
                  <w:b/>
                  <w:bCs/>
                  <w:i/>
                  <w:iCs/>
                  <w:color w:val="5F2987"/>
                  <w:spacing w:val="-6"/>
                  <w:sz w:val="18"/>
                  <w:szCs w:val="18"/>
                </w:rPr>
                <w:fldChar w:fldCharType="end"/>
              </w:r>
              <w:r w:rsidRPr="005D106D">
                <w:rPr>
                  <w:b/>
                  <w:bCs/>
                  <w:i/>
                  <w:iCs/>
                  <w:color w:val="5F2987"/>
                  <w:spacing w:val="-6"/>
                  <w:sz w:val="18"/>
                  <w:szCs w:val="18"/>
                </w:rPr>
                <w:t>/</w:t>
              </w:r>
              <w:r w:rsidRPr="005D106D">
                <w:rPr>
                  <w:b/>
                  <w:bCs/>
                  <w:i/>
                  <w:iCs/>
                  <w:color w:val="5F2987"/>
                  <w:spacing w:val="-6"/>
                  <w:sz w:val="18"/>
                  <w:szCs w:val="18"/>
                </w:rPr>
                <w:fldChar w:fldCharType="begin"/>
              </w:r>
              <w:r w:rsidRPr="005D106D">
                <w:rPr>
                  <w:b/>
                  <w:bCs/>
                  <w:i/>
                  <w:iCs/>
                  <w:color w:val="5F2987"/>
                  <w:spacing w:val="-6"/>
                  <w:sz w:val="18"/>
                  <w:szCs w:val="18"/>
                </w:rPr>
                <w:instrText>NUMPAGES  \* Arabic  \* MERGEFORMAT</w:instrText>
              </w:r>
              <w:r w:rsidRPr="005D106D">
                <w:rPr>
                  <w:b/>
                  <w:bCs/>
                  <w:i/>
                  <w:iCs/>
                  <w:color w:val="5F2987"/>
                  <w:spacing w:val="-6"/>
                  <w:sz w:val="18"/>
                  <w:szCs w:val="18"/>
                </w:rPr>
                <w:fldChar w:fldCharType="separate"/>
              </w:r>
              <w:r w:rsidRPr="005D106D">
                <w:rPr>
                  <w:b/>
                  <w:bCs/>
                  <w:i/>
                  <w:iCs/>
                  <w:color w:val="5F2987"/>
                  <w:spacing w:val="-6"/>
                  <w:sz w:val="18"/>
                  <w:szCs w:val="18"/>
                </w:rPr>
                <w:t>2</w:t>
              </w:r>
              <w:r w:rsidRPr="005D106D">
                <w:rPr>
                  <w:b/>
                  <w:bCs/>
                  <w:i/>
                  <w:iCs/>
                  <w:color w:val="5F2987"/>
                  <w:spacing w:val="-6"/>
                  <w:sz w:val="18"/>
                  <w:szCs w:val="18"/>
                </w:rPr>
                <w:fldChar w:fldCharType="end"/>
              </w:r>
            </w:p>
          </w:tc>
        </w:tr>
      </w:tbl>
      <w:p w14:paraId="04BCC375" w14:textId="77777777" w:rsidR="001F649F" w:rsidRPr="00C80BBD" w:rsidRDefault="00000000" w:rsidP="00A725CB">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72F201" w14:textId="77777777" w:rsidR="007F1342" w:rsidRPr="00417327" w:rsidRDefault="007F1342" w:rsidP="00417327">
      <w:pPr>
        <w:spacing w:after="0" w:line="240" w:lineRule="auto"/>
        <w:rPr>
          <w:sz w:val="16"/>
          <w:szCs w:val="16"/>
        </w:rPr>
      </w:pPr>
      <w:r w:rsidRPr="00417327">
        <w:rPr>
          <w:sz w:val="16"/>
          <w:szCs w:val="16"/>
        </w:rPr>
        <w:separator/>
      </w:r>
    </w:p>
  </w:footnote>
  <w:footnote w:type="continuationSeparator" w:id="0">
    <w:p w14:paraId="375B4BC2" w14:textId="77777777" w:rsidR="007F1342" w:rsidRPr="00CD3349" w:rsidRDefault="007F1342" w:rsidP="00CD3349">
      <w:pPr>
        <w:spacing w:after="0" w:line="240" w:lineRule="auto"/>
        <w:rPr>
          <w:sz w:val="16"/>
          <w:szCs w:val="16"/>
        </w:rPr>
      </w:pPr>
      <w:r w:rsidRPr="00CD3349">
        <w:rPr>
          <w:sz w:val="16"/>
          <w:szCs w:val="16"/>
        </w:rPr>
        <w:continuationSeparator/>
      </w:r>
    </w:p>
  </w:footnote>
  <w:footnote w:type="continuationNotice" w:id="1">
    <w:p w14:paraId="017775FC" w14:textId="77777777" w:rsidR="007F1342" w:rsidRPr="00CD3349" w:rsidRDefault="007F1342" w:rsidP="00CD3349">
      <w:pPr>
        <w:spacing w:after="0" w:line="192" w:lineRule="auto"/>
        <w:jc w:val="right"/>
        <w:rPr>
          <w:rFonts w:ascii="Arial" w:eastAsia="Times New Roman" w:hAnsi="Arial" w:cs="Arial"/>
          <w:color w:val="202122"/>
          <w:sz w:val="16"/>
          <w:szCs w:val="16"/>
          <w:lang w:eastAsia="es-ES"/>
        </w:rPr>
      </w:pPr>
      <w:r w:rsidRPr="00CD3349">
        <w:rPr>
          <w:rFonts w:ascii="Cambria Math" w:eastAsia="Times New Roman" w:hAnsi="Cambria Math" w:cs="Cambria Math"/>
          <w:color w:val="202122"/>
          <w:sz w:val="16"/>
          <w:szCs w:val="16"/>
          <w:lang w:eastAsia="es-ES"/>
        </w:rPr>
        <w:t>↪</w:t>
      </w:r>
    </w:p>
  </w:footnote>
  <w:footnote w:id="2">
    <w:p w14:paraId="5D3CF28D" w14:textId="77777777" w:rsidR="003E4ED2" w:rsidRPr="00587338" w:rsidRDefault="003E4ED2" w:rsidP="003E4ED2">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 xml:space="preserve">Homo </w:t>
      </w:r>
      <w:proofErr w:type="spellStart"/>
      <w:r w:rsidRPr="00587338">
        <w:rPr>
          <w:i/>
          <w:iCs/>
          <w:spacing w:val="-2"/>
        </w:rPr>
        <w:t>habilis</w:t>
      </w:r>
      <w:proofErr w:type="spellEnd"/>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0631EFB5" w14:textId="77777777" w:rsidR="003E4ED2" w:rsidRPr="00D818C3" w:rsidRDefault="003E4ED2" w:rsidP="003E4ED2">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0CE5A0EC" w14:textId="77777777" w:rsidR="007C3EF2" w:rsidRPr="00F30B25" w:rsidRDefault="007C3EF2" w:rsidP="007C3EF2">
      <w:pPr>
        <w:pStyle w:val="Textonotapie"/>
        <w:keepNext/>
        <w:spacing w:after="0"/>
        <w:rPr>
          <w:spacing w:val="-2"/>
        </w:rPr>
      </w:pPr>
      <w:r w:rsidRPr="00F30B25">
        <w:rPr>
          <w:rStyle w:val="Refdenotaalpie"/>
          <w:spacing w:val="-2"/>
        </w:rPr>
        <w:footnoteRef/>
      </w:r>
      <w:r w:rsidRPr="00F30B25">
        <w:rPr>
          <w:spacing w:val="-2"/>
        </w:rPr>
        <w:t xml:space="preserve"> La teoría de la integración económica se nutre de la teoría del comercio y de la financiación internacional, así como de la macroeconomía de economías abiertas y de la economía industrial, la cual permite analizar el impacto de la integración sobre el funcionamiento de los mercados no competitivos. En efecto, lo que comenzó siendo, con el análisis pionero de </w:t>
      </w:r>
      <w:r w:rsidRPr="00F30B25">
        <w:rPr>
          <w:smallCaps/>
          <w:spacing w:val="-2"/>
        </w:rPr>
        <w:t>Viner</w:t>
      </w:r>
      <w:r w:rsidRPr="00F30B25">
        <w:rPr>
          <w:spacing w:val="-2"/>
        </w:rPr>
        <w:t xml:space="preserve"> (1950), un apéndice de la teoría neoclásica del comercio internacional, dedicado únicamente al tratamiento de los efectos ocasionados por la protección arancelaria </w:t>
      </w:r>
      <w:r w:rsidRPr="00F30B25">
        <w:rPr>
          <w:i/>
          <w:iCs/>
          <w:spacing w:val="-2"/>
        </w:rPr>
        <w:t>discriminatoria</w:t>
      </w:r>
      <w:r w:rsidRPr="00F30B25">
        <w:rPr>
          <w:spacing w:val="-2"/>
        </w:rPr>
        <w:t xml:space="preserve"> en un contexto de </w:t>
      </w:r>
      <w:r w:rsidRPr="00F30B25">
        <w:rPr>
          <w:rFonts w:cs="Times New Roman"/>
          <w:spacing w:val="-2"/>
        </w:rPr>
        <w:t>«segundo óptimo» (la teoría tradicional de las Uniones Aduaneras), ha ido ampliando su campo de análisis con el fin de incluir:</w:t>
      </w:r>
    </w:p>
    <w:p w14:paraId="605B4870" w14:textId="336F931B" w:rsidR="007C3EF2" w:rsidRPr="00A86ADF" w:rsidRDefault="00CD3349">
      <w:pPr>
        <w:pStyle w:val="Textonotapie"/>
        <w:numPr>
          <w:ilvl w:val="0"/>
          <w:numId w:val="22"/>
        </w:numPr>
        <w:spacing w:after="0"/>
        <w:ind w:left="340" w:hanging="170"/>
      </w:pPr>
      <w:r>
        <w:rPr>
          <w:rFonts w:cs="Times New Roman"/>
        </w:rPr>
        <w:t>O</w:t>
      </w:r>
      <w:r w:rsidR="007C3EF2">
        <w:rPr>
          <w:rFonts w:cs="Times New Roman"/>
        </w:rPr>
        <w:t xml:space="preserve">tro tipo de efectos derivados de la liberalización comercial, en especial los llamados </w:t>
      </w:r>
      <w:r w:rsidR="007C3EF2" w:rsidRPr="0042545E">
        <w:rPr>
          <w:rFonts w:cs="Times New Roman"/>
        </w:rPr>
        <w:t>«</w:t>
      </w:r>
      <w:r w:rsidR="007C3EF2">
        <w:rPr>
          <w:rFonts w:cs="Times New Roman"/>
        </w:rPr>
        <w:t>efecto dinámicos</w:t>
      </w:r>
      <w:r w:rsidR="007C3EF2" w:rsidRPr="0042545E">
        <w:rPr>
          <w:rFonts w:cs="Times New Roman"/>
        </w:rPr>
        <w:t>»</w:t>
      </w:r>
      <w:r w:rsidR="007C3EF2">
        <w:rPr>
          <w:rFonts w:cs="Times New Roman"/>
        </w:rPr>
        <w:t>, de mayor relevancia que los estáticos aunque de más difícil cuantificación; y</w:t>
      </w:r>
    </w:p>
    <w:p w14:paraId="37B66FF0" w14:textId="5FCA6099" w:rsidR="007C3EF2" w:rsidRDefault="00CD3349">
      <w:pPr>
        <w:pStyle w:val="Textonotapie"/>
        <w:numPr>
          <w:ilvl w:val="0"/>
          <w:numId w:val="22"/>
        </w:numPr>
        <w:ind w:left="340" w:hanging="170"/>
      </w:pPr>
      <w:r>
        <w:rPr>
          <w:rFonts w:cs="Times New Roman"/>
        </w:rPr>
        <w:t>L</w:t>
      </w:r>
      <w:r w:rsidR="007C3EF2">
        <w:rPr>
          <w:rFonts w:cs="Times New Roman"/>
        </w:rPr>
        <w:t>os efectos que se generan al suprimir barreras no arancelarias y adentrarse en fases más avanzadas de integración económica (mercado común).</w:t>
      </w:r>
    </w:p>
  </w:footnote>
  <w:footnote w:id="4">
    <w:p w14:paraId="5598FEFD" w14:textId="77777777" w:rsidR="00291CBD" w:rsidRDefault="00291CBD" w:rsidP="00291CBD">
      <w:pPr>
        <w:pStyle w:val="Textonotapie"/>
      </w:pPr>
      <w:r>
        <w:rPr>
          <w:rStyle w:val="Refdenotaalpie"/>
        </w:rPr>
        <w:footnoteRef/>
      </w:r>
      <w:r>
        <w:t xml:space="preserve"> Se considera que los procesos de integración eliminan algunas distorsiones pero mantienen otras respecto de la situación de libre comercio, tanto en los países que los llevan a cabo como en países externos a la integración, de ahí que no resulten en óptimos </w:t>
      </w:r>
      <w:proofErr w:type="spellStart"/>
      <w:r>
        <w:t>paretianos</w:t>
      </w:r>
      <w:proofErr w:type="spellEnd"/>
      <w:r>
        <w:t>, es decir, una situación en la que no es posible una reasignación de recursos que beneficie a un país sin perjudicar a ningún otro. Con la integración económica no se puede garantizar una mejora del bienestar de todos los países respecto de la situación de partida.</w:t>
      </w:r>
    </w:p>
  </w:footnote>
  <w:footnote w:id="5">
    <w:p w14:paraId="476269FF" w14:textId="66FB2C93" w:rsidR="00572EDC" w:rsidRDefault="00572EDC" w:rsidP="007B0EB2">
      <w:pPr>
        <w:pStyle w:val="Textonotapie"/>
        <w:keepNext/>
        <w:spacing w:after="0"/>
      </w:pPr>
      <w:r>
        <w:rPr>
          <w:rStyle w:val="Refdenotaalpie"/>
        </w:rPr>
        <w:footnoteRef/>
      </w:r>
      <w:r>
        <w:t xml:space="preserve"> Según </w:t>
      </w:r>
      <w:r>
        <w:rPr>
          <w:smallCaps/>
        </w:rPr>
        <w:t>Tinbergen</w:t>
      </w:r>
      <w:r>
        <w:t> (1954), todo proceso de integración suele comportar dos grupos diferentes de aspectos:</w:t>
      </w:r>
    </w:p>
    <w:p w14:paraId="4CE9EC87" w14:textId="18501613" w:rsidR="00572EDC" w:rsidRPr="00572EDC" w:rsidRDefault="00572EDC">
      <w:pPr>
        <w:pStyle w:val="Textonotapie"/>
        <w:numPr>
          <w:ilvl w:val="0"/>
          <w:numId w:val="19"/>
        </w:numPr>
        <w:spacing w:after="0"/>
        <w:ind w:left="567" w:hanging="170"/>
      </w:pPr>
      <w:r>
        <w:t xml:space="preserve">Una </w:t>
      </w:r>
      <w:r w:rsidRPr="00572EDC">
        <w:rPr>
          <w:rFonts w:cs="Times New Roman"/>
        </w:rPr>
        <w:t>«</w:t>
      </w:r>
      <w:r>
        <w:rPr>
          <w:rFonts w:cs="Times New Roman"/>
        </w:rPr>
        <w:t>integración negativa</w:t>
      </w:r>
      <w:r w:rsidRPr="00572EDC">
        <w:rPr>
          <w:rFonts w:cs="Times New Roman"/>
        </w:rPr>
        <w:t>»</w:t>
      </w:r>
      <w:r>
        <w:rPr>
          <w:rFonts w:cs="Times New Roman"/>
        </w:rPr>
        <w:t>, relativa a la eliminación de obstáculos, restricciones y discriminaciones al movimiento de bienes, servicios y factores productivos (esto es, un proceso de liberalización entre los países que se integran; y</w:t>
      </w:r>
    </w:p>
    <w:p w14:paraId="7A76A3EE" w14:textId="61F5C266" w:rsidR="00572EDC" w:rsidRPr="00572EDC" w:rsidRDefault="007B0EB2">
      <w:pPr>
        <w:pStyle w:val="Textonotapie"/>
        <w:numPr>
          <w:ilvl w:val="0"/>
          <w:numId w:val="19"/>
        </w:numPr>
        <w:ind w:left="567" w:hanging="170"/>
      </w:pPr>
      <w:r>
        <w:rPr>
          <w:rFonts w:cs="Times New Roman"/>
        </w:rPr>
        <w:t xml:space="preserve">Una </w:t>
      </w:r>
      <w:r w:rsidRPr="00572EDC">
        <w:rPr>
          <w:rFonts w:cs="Times New Roman"/>
        </w:rPr>
        <w:t>«</w:t>
      </w:r>
      <w:r>
        <w:rPr>
          <w:rFonts w:cs="Times New Roman"/>
        </w:rPr>
        <w:t>integración positiva</w:t>
      </w:r>
      <w:r w:rsidRPr="00572EDC">
        <w:rPr>
          <w:rFonts w:cs="Times New Roman"/>
        </w:rPr>
        <w:t>»</w:t>
      </w:r>
      <w:r>
        <w:rPr>
          <w:rFonts w:cs="Times New Roman"/>
        </w:rPr>
        <w:t>, relativa a la modificación de instrumentos e instituciones ya existentes, y a la creación de otros nuevos, a nivel supranacional, con el fin de que el mercado funcione con suficiente armonía y se promuevan objetivos más amplios de política económica.</w:t>
      </w:r>
    </w:p>
  </w:footnote>
  <w:footnote w:id="6">
    <w:p w14:paraId="25BA09BA" w14:textId="77777777" w:rsidR="00354E49" w:rsidRDefault="00354E49" w:rsidP="00354E49">
      <w:pPr>
        <w:pStyle w:val="Textonotapie"/>
        <w:spacing w:after="0"/>
      </w:pPr>
      <w:r>
        <w:rPr>
          <w:rStyle w:val="Refdenotaalpie"/>
        </w:rPr>
        <w:footnoteRef/>
      </w:r>
      <w:r>
        <w:t xml:space="preserve"> Esta situación es equivalente al caso en el que originalmente el país importara de </w:t>
      </w:r>
      <w:r>
        <w:rPr>
          <w:i/>
          <w:iCs/>
        </w:rPr>
        <w:t>R</w:t>
      </w:r>
      <w:r>
        <w:t xml:space="preserve"> y lo continuara haciendo tras la integración.</w:t>
      </w:r>
    </w:p>
    <w:p w14:paraId="6D13F0B2" w14:textId="77777777" w:rsidR="00354E49" w:rsidRPr="00BA7C75" w:rsidRDefault="00354E49" w:rsidP="00354E49">
      <w:pPr>
        <w:pStyle w:val="Textonotapie"/>
        <w:spacing w:after="0"/>
        <w:rPr>
          <w:spacing w:val="-2"/>
        </w:rPr>
      </w:pPr>
      <w:r w:rsidRPr="00BA7C75">
        <w:rPr>
          <w:spacing w:val="-2"/>
        </w:rPr>
        <w:t xml:space="preserve">Es más, esto sería igual incluso en el caso en el que importara de </w:t>
      </w:r>
      <w:r w:rsidRPr="00BA7C75">
        <w:rPr>
          <w:i/>
          <w:iCs/>
          <w:spacing w:val="-2"/>
        </w:rPr>
        <w:t>B</w:t>
      </w:r>
      <w:r w:rsidRPr="00BA7C75">
        <w:rPr>
          <w:spacing w:val="-2"/>
        </w:rPr>
        <w:t xml:space="preserve"> antes de la unión y lo continuara haciendo. Esto es así a pesar de importar a un precio más bajo tras la reducción de aranceles, pues se ha supuesto demanda perfectamente inelástica, es decir, la cantidad importada no variará a pesar del cambio en el precio y en este análisis estamos considerando los efectos desde el punto de vista de la producción.</w:t>
      </w:r>
    </w:p>
  </w:footnote>
  <w:footnote w:id="7">
    <w:p w14:paraId="100C8DAC" w14:textId="77777777" w:rsidR="00321EE2" w:rsidRDefault="00321EE2" w:rsidP="00321EE2">
      <w:pPr>
        <w:pStyle w:val="Textonotapie"/>
      </w:pPr>
      <w:r>
        <w:rPr>
          <w:rStyle w:val="Refdenotaalpie"/>
        </w:rPr>
        <w:footnoteRef/>
      </w:r>
      <w:r>
        <w:t xml:space="preserve"> La teoría del </w:t>
      </w:r>
      <w:proofErr w:type="spellStart"/>
      <w:r>
        <w:rPr>
          <w:i/>
          <w:iCs/>
        </w:rPr>
        <w:t>second</w:t>
      </w:r>
      <w:proofErr w:type="spellEnd"/>
      <w:r>
        <w:rPr>
          <w:i/>
          <w:iCs/>
        </w:rPr>
        <w:t xml:space="preserve"> </w:t>
      </w:r>
      <w:proofErr w:type="spellStart"/>
      <w:r>
        <w:rPr>
          <w:i/>
          <w:iCs/>
        </w:rPr>
        <w:t>best</w:t>
      </w:r>
      <w:proofErr w:type="spellEnd"/>
      <w:r>
        <w:t xml:space="preserve">, fue propuesta por </w:t>
      </w:r>
      <w:proofErr w:type="spellStart"/>
      <w:r>
        <w:rPr>
          <w:smallCaps/>
        </w:rPr>
        <w:t>Lipsey</w:t>
      </w:r>
      <w:proofErr w:type="spellEnd"/>
      <w:r>
        <w:t xml:space="preserve"> y </w:t>
      </w:r>
      <w:r>
        <w:rPr>
          <w:smallCaps/>
        </w:rPr>
        <w:t>Lancaster</w:t>
      </w:r>
      <w:r>
        <w:t xml:space="preserve"> (1956) en el contexto de la teoría del comercio internacional. Concretamente en el contexto del debate de libre comercio vs proteccionismo. Muchos autores opinaban que el libre comercio sería mejor que el comercio con restricciones y que, si un país quiere defender sus industrias nacientes o corregir los efectos de distorsiones, debería considerar usar impuestos o subsidios antes que aranceles. Esta opinión, debe ser matizada, ya que su validez solo ha sido demostrada en una situación de competencia perfecta tanto en mercados nacionales como internacionales (tanto de bienes como de factores).</w:t>
      </w:r>
    </w:p>
    <w:p w14:paraId="4CA3AEEA" w14:textId="77777777" w:rsidR="00321EE2" w:rsidRDefault="00321EE2" w:rsidP="00321EE2">
      <w:pPr>
        <w:pStyle w:val="Textonotapie"/>
      </w:pPr>
      <w:r>
        <w:t xml:space="preserve">Cuando esta situación no se dé (y como regla general, no se dará), el problema es bastante diferente y debemos recurrir a la teoría del </w:t>
      </w:r>
      <w:proofErr w:type="spellStart"/>
      <w:r>
        <w:t>second</w:t>
      </w:r>
      <w:proofErr w:type="spellEnd"/>
      <w:r>
        <w:t xml:space="preserve"> </w:t>
      </w:r>
      <w:proofErr w:type="spellStart"/>
      <w:r>
        <w:t>best</w:t>
      </w:r>
      <w:proofErr w:type="spellEnd"/>
      <w:r>
        <w:t>. Esta teoría se propone encontrar la mejor situación posible cuando, debido a distorsiones, no es posible cumplir todas las condiciones para un óptimo de Pareto (</w:t>
      </w:r>
      <w:proofErr w:type="spellStart"/>
      <w:r>
        <w:rPr>
          <w:i/>
          <w:iCs/>
        </w:rPr>
        <w:t>first</w:t>
      </w:r>
      <w:proofErr w:type="spellEnd"/>
      <w:r>
        <w:rPr>
          <w:i/>
          <w:iCs/>
        </w:rPr>
        <w:t xml:space="preserve"> </w:t>
      </w:r>
      <w:proofErr w:type="spellStart"/>
      <w:r>
        <w:rPr>
          <w:i/>
          <w:iCs/>
        </w:rPr>
        <w:t>best</w:t>
      </w:r>
      <w:proofErr w:type="spellEnd"/>
      <w:r>
        <w:t xml:space="preserve">). El principio fundamental de esta teoría es que </w:t>
      </w:r>
      <w:r>
        <w:rPr>
          <w:i/>
          <w:iCs/>
        </w:rPr>
        <w:t>una vez que se hallan incumplido una o varias condiciones para que se dé el óptimo de Pareto, no es necesariamente verdad que la segunda mejor situación (</w:t>
      </w:r>
      <w:proofErr w:type="spellStart"/>
      <w:r>
        <w:rPr>
          <w:i/>
          <w:iCs/>
        </w:rPr>
        <w:t>second</w:t>
      </w:r>
      <w:proofErr w:type="spellEnd"/>
      <w:r>
        <w:rPr>
          <w:i/>
          <w:iCs/>
        </w:rPr>
        <w:t xml:space="preserve"> </w:t>
      </w:r>
      <w:proofErr w:type="spellStart"/>
      <w:r>
        <w:rPr>
          <w:i/>
          <w:iCs/>
        </w:rPr>
        <w:t>best</w:t>
      </w:r>
      <w:proofErr w:type="spellEnd"/>
      <w:r>
        <w:rPr>
          <w:i/>
          <w:iCs/>
        </w:rPr>
        <w:t>) sea aquella en la que todas las condiciones restantes se cumplan</w:t>
      </w:r>
      <w:r>
        <w:t>.</w:t>
      </w:r>
    </w:p>
    <w:p w14:paraId="3E7A2006" w14:textId="77777777" w:rsidR="00321EE2" w:rsidRDefault="00321EE2" w:rsidP="00321EE2">
      <w:pPr>
        <w:pStyle w:val="Textonotapie"/>
      </w:pPr>
      <w:r>
        <w:t xml:space="preserve">Un corolario de este principio es que una vez se incumplen las condiciones </w:t>
      </w:r>
      <w:proofErr w:type="spellStart"/>
      <w:r>
        <w:t>paretianas</w:t>
      </w:r>
      <w:proofErr w:type="spellEnd"/>
      <w:r>
        <w:t xml:space="preserve"> no es posible afirmar que añadir distorsiones adicionales vaya a mejorar o a empeorar la situación.</w:t>
      </w:r>
    </w:p>
    <w:p w14:paraId="6E2B57ED" w14:textId="77777777" w:rsidR="00321EE2" w:rsidRDefault="00321EE2" w:rsidP="00321EE2">
      <w:pPr>
        <w:pStyle w:val="Textonotapie"/>
      </w:pPr>
      <w:r>
        <w:t xml:space="preserve">Podemos estudiar esto mediante la siguiente analogía propuesta por </w:t>
      </w:r>
      <w:r>
        <w:rPr>
          <w:smallCaps/>
        </w:rPr>
        <w:t>Meade</w:t>
      </w:r>
      <w:r>
        <w:t xml:space="preserve"> (1955). Imaginemos que una persona quiere alcanzar el punto más alto de una cadena montañosa. Tratando de conseguir su objetivo, esta persona deberá subir y bajar montañas, por lo que no es verdad que para alcanzar este objetivo nuestro individuo tenga que andar siempre hacia arriba. Además, como el monte más elevado está rodeado de montañas más bajas de diferentes alturas, después de a ver subido una montaña, nuestro individuo posiblemente tendrá que trepar una montaña más baja. Por lo tanto, no es cierto que cualquier movimiento hacia el objetivo final consiga que nuestro trepador esté en un punto más elaborado.</w:t>
      </w:r>
    </w:p>
    <w:p w14:paraId="0FD8FF75" w14:textId="77777777" w:rsidR="00321EE2" w:rsidRDefault="00321EE2" w:rsidP="00321EE2">
      <w:pPr>
        <w:pStyle w:val="Textonotapie"/>
        <w:keepNext/>
        <w:spacing w:after="0"/>
      </w:pPr>
      <w:r>
        <w:t>Esto puede ser representado mediante el siguiente diagrama:</w:t>
      </w:r>
    </w:p>
    <w:p w14:paraId="12CCF5C3" w14:textId="77777777" w:rsidR="00321EE2" w:rsidRDefault="00321EE2" w:rsidP="00321EE2">
      <w:pPr>
        <w:pStyle w:val="Textonotapie"/>
        <w:spacing w:after="0"/>
        <w:jc w:val="center"/>
      </w:pPr>
      <w:r>
        <w:rPr>
          <w:noProof/>
        </w:rPr>
        <w:drawing>
          <wp:inline distT="0" distB="0" distL="0" distR="0" wp14:anchorId="1131ADB6" wp14:editId="39E1EC25">
            <wp:extent cx="1879600" cy="1002453"/>
            <wp:effectExtent l="0" t="0" r="6350" b="7620"/>
            <wp:docPr id="34" name="Imagen 34"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que contiene Diagra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885171" cy="1005424"/>
                    </a:xfrm>
                    <a:prstGeom prst="rect">
                      <a:avLst/>
                    </a:prstGeom>
                  </pic:spPr>
                </pic:pic>
              </a:graphicData>
            </a:graphic>
          </wp:inline>
        </w:drawing>
      </w:r>
    </w:p>
    <w:p w14:paraId="5BFCED8A" w14:textId="77777777" w:rsidR="00321EE2" w:rsidRPr="004423AC" w:rsidRDefault="00321EE2" w:rsidP="00321EE2">
      <w:pPr>
        <w:pStyle w:val="Textonotapie"/>
      </w:pPr>
      <w:r>
        <w:t xml:space="preserve">Si suponemos, por ejemplo, que nuestro individuo se encuentra con un obstáculo insuperable en </w:t>
      </w:r>
      <w:r w:rsidRPr="009C4D8A">
        <w:rPr>
          <w:i/>
          <w:iCs/>
        </w:rPr>
        <w:t>D</w:t>
      </w:r>
      <w:r>
        <w:t xml:space="preserve"> que le impide alcanzar la cumbre </w:t>
      </w:r>
      <w:r>
        <w:rPr>
          <w:i/>
          <w:iCs/>
        </w:rPr>
        <w:t>V</w:t>
      </w:r>
      <w:r>
        <w:t xml:space="preserve"> el objetivo de nuestro agente será alcanzar el punto más alto posible, </w:t>
      </w:r>
      <w:r>
        <w:rPr>
          <w:i/>
          <w:iCs/>
        </w:rPr>
        <w:t>A</w:t>
      </w:r>
      <w:r>
        <w:t xml:space="preserve">. Si al llegar a </w:t>
      </w:r>
      <w:r>
        <w:rPr>
          <w:i/>
          <w:iCs/>
        </w:rPr>
        <w:t>B</w:t>
      </w:r>
      <w:r>
        <w:t xml:space="preserve"> se da cuenta de que no podrá pasar de </w:t>
      </w:r>
      <w:r>
        <w:rPr>
          <w:i/>
          <w:iCs/>
        </w:rPr>
        <w:t>D</w:t>
      </w:r>
      <w:r>
        <w:t xml:space="preserve"> en vez de quedarse en </w:t>
      </w:r>
      <w:r w:rsidRPr="006A2432">
        <w:rPr>
          <w:i/>
          <w:iCs/>
        </w:rPr>
        <w:t>B</w:t>
      </w:r>
      <w:r>
        <w:t xml:space="preserve"> o, peor aún, </w:t>
      </w:r>
      <w:r w:rsidRPr="006A2432">
        <w:t>continuar</w:t>
      </w:r>
      <w:r>
        <w:t xml:space="preserve"> andando hacia </w:t>
      </w:r>
      <w:r>
        <w:rPr>
          <w:i/>
          <w:iCs/>
        </w:rPr>
        <w:t>V</w:t>
      </w:r>
      <w:r>
        <w:t xml:space="preserve"> para quedarse atascado en </w:t>
      </w:r>
      <w:r>
        <w:rPr>
          <w:i/>
          <w:iCs/>
        </w:rPr>
        <w:t>D</w:t>
      </w:r>
      <w:r>
        <w:t xml:space="preserve">, nuestro escalador retrocederá hasta </w:t>
      </w:r>
      <w:r>
        <w:rPr>
          <w:i/>
          <w:iCs/>
        </w:rPr>
        <w:t>A</w:t>
      </w:r>
      <w:r>
        <w:t xml:space="preserve"> y alcanzará el segundo punto más alto.</w:t>
      </w:r>
    </w:p>
  </w:footnote>
  <w:footnote w:id="8">
    <w:p w14:paraId="3ACBA103" w14:textId="214BEE3F" w:rsidR="004D4DA7" w:rsidRDefault="004D4DA7">
      <w:pPr>
        <w:pStyle w:val="Textonotapie"/>
      </w:pPr>
      <w:r>
        <w:rPr>
          <w:rStyle w:val="Refdenotaalpie"/>
        </w:rPr>
        <w:footnoteRef/>
      </w:r>
      <w:r>
        <w:t xml:space="preserve"> Se asume que la recaudación del gobierno se destina íntegramente a transferencias de suma fija a los consumidores con preferencias homotéticas idénticas (esto hace que el patrón de consumo no se vea afectado por el efecto redistributivo que cause la recaudación del impuesto y su reasignación en forma de transferencias).</w:t>
      </w:r>
    </w:p>
  </w:footnote>
  <w:footnote w:id="9">
    <w:p w14:paraId="2FE52BC1" w14:textId="77777777" w:rsidR="00C02FB6" w:rsidRPr="000107BF" w:rsidRDefault="00C02FB6" w:rsidP="00C02FB6">
      <w:pPr>
        <w:pStyle w:val="Textonotapie"/>
      </w:pPr>
      <w:r>
        <w:rPr>
          <w:rStyle w:val="Refdenotaalpie"/>
        </w:rPr>
        <w:footnoteRef/>
      </w:r>
      <w:r>
        <w:t xml:space="preserve"> En realidad, </w:t>
      </w:r>
      <w:proofErr w:type="spellStart"/>
      <w:r>
        <w:rPr>
          <w:smallCaps/>
        </w:rPr>
        <w:t>Lipsey</w:t>
      </w:r>
      <w:proofErr w:type="spellEnd"/>
      <w:r>
        <w:t xml:space="preserve"> considera una FPP recta. En nuestro análisis utilizamos una FPP cóncava por sencillez ya que estamos más familiarizados a este análisis.</w:t>
      </w:r>
    </w:p>
  </w:footnote>
  <w:footnote w:id="10">
    <w:p w14:paraId="05CC669B" w14:textId="77777777" w:rsidR="00C02FB6" w:rsidRDefault="00C02FB6" w:rsidP="00C02FB6">
      <w:pPr>
        <w:pStyle w:val="Textonotapie"/>
      </w:pPr>
      <w:r>
        <w:rPr>
          <w:rStyle w:val="Refdenotaalpie"/>
        </w:rPr>
        <w:footnoteRef/>
      </w:r>
      <w:r>
        <w:t xml:space="preserve"> Nótese que, aunque el precio relativo de </w:t>
      </w:r>
      <w:r>
        <w:rPr>
          <w:i/>
          <w:iCs/>
        </w:rPr>
        <w:t>Y</w:t>
      </w:r>
      <w:r>
        <w:t xml:space="preserve"> haya aumentado, no es necesario que la cantidad consumida de </w:t>
      </w:r>
      <w:r>
        <w:rPr>
          <w:i/>
          <w:iCs/>
        </w:rPr>
        <w:t>Y</w:t>
      </w:r>
      <w:r>
        <w:t xml:space="preserve"> disminuya y la de </w:t>
      </w:r>
      <w:r>
        <w:rPr>
          <w:i/>
          <w:iCs/>
        </w:rPr>
        <w:t>X</w:t>
      </w:r>
      <w:r>
        <w:t xml:space="preserve"> aumente, pues ello dependerá de los efectos renta y sustitución (concretamente, ello sólo ocurrirá cuando ambos bienes sean </w:t>
      </w:r>
      <w:r>
        <w:rPr>
          <w:i/>
          <w:iCs/>
        </w:rPr>
        <w:t>ordinarios</w:t>
      </w:r>
      <w:r>
        <w:t>). Lo que sí se exige es que el nuevo punto de consumo se sitúe en una curva de indiferencia inferior.</w:t>
      </w:r>
    </w:p>
    <w:tbl>
      <w:tblPr>
        <w:tblStyle w:val="Tablaconcuadrcula"/>
        <w:tblW w:w="5612" w:type="dxa"/>
        <w:jc w:val="center"/>
        <w:tblLook w:val="04A0" w:firstRow="1" w:lastRow="0" w:firstColumn="1" w:lastColumn="0" w:noHBand="0" w:noVBand="1"/>
      </w:tblPr>
      <w:tblGrid>
        <w:gridCol w:w="1134"/>
        <w:gridCol w:w="850"/>
        <w:gridCol w:w="850"/>
        <w:gridCol w:w="850"/>
        <w:gridCol w:w="1928"/>
      </w:tblGrid>
      <w:tr w:rsidR="00C02FB6" w14:paraId="455BA779" w14:textId="77777777" w:rsidTr="00EB7D5A">
        <w:trPr>
          <w:jc w:val="center"/>
        </w:trPr>
        <w:tc>
          <w:tcPr>
            <w:tcW w:w="1134" w:type="dxa"/>
            <w:tcBorders>
              <w:top w:val="nil"/>
              <w:left w:val="nil"/>
            </w:tcBorders>
            <w:vAlign w:val="center"/>
          </w:tcPr>
          <w:p w14:paraId="0D88F378" w14:textId="77777777" w:rsidR="00C02FB6" w:rsidRDefault="00C02FB6" w:rsidP="00EB7D5A">
            <w:pPr>
              <w:pStyle w:val="Textonotapie"/>
              <w:spacing w:after="0"/>
              <w:jc w:val="center"/>
            </w:pPr>
          </w:p>
        </w:tc>
        <w:tc>
          <w:tcPr>
            <w:tcW w:w="850" w:type="dxa"/>
            <w:vAlign w:val="center"/>
          </w:tcPr>
          <w:p w14:paraId="59F10E0C" w14:textId="77777777" w:rsidR="00C02FB6" w:rsidRPr="00EB7D5A" w:rsidRDefault="00C02FB6" w:rsidP="00EB7D5A">
            <w:pPr>
              <w:pStyle w:val="Textonotapie"/>
              <w:spacing w:after="0"/>
              <w:jc w:val="center"/>
              <w:rPr>
                <w:i/>
                <w:iCs/>
              </w:rPr>
            </w:pPr>
            <w:r w:rsidRPr="00EB7D5A">
              <w:rPr>
                <w:i/>
                <w:iCs/>
              </w:rPr>
              <w:t>ES</w:t>
            </w:r>
          </w:p>
        </w:tc>
        <w:tc>
          <w:tcPr>
            <w:tcW w:w="850" w:type="dxa"/>
            <w:vAlign w:val="center"/>
          </w:tcPr>
          <w:p w14:paraId="0FB4B8D4" w14:textId="77777777" w:rsidR="00C02FB6" w:rsidRPr="00EB7D5A" w:rsidRDefault="00C02FB6" w:rsidP="00EB7D5A">
            <w:pPr>
              <w:pStyle w:val="Textonotapie"/>
              <w:spacing w:after="0"/>
              <w:jc w:val="center"/>
              <w:rPr>
                <w:i/>
                <w:iCs/>
              </w:rPr>
            </w:pPr>
            <w:r w:rsidRPr="00EB7D5A">
              <w:rPr>
                <w:i/>
                <w:iCs/>
              </w:rPr>
              <w:t>ER</w:t>
            </w:r>
          </w:p>
        </w:tc>
        <w:tc>
          <w:tcPr>
            <w:tcW w:w="850" w:type="dxa"/>
            <w:vAlign w:val="center"/>
          </w:tcPr>
          <w:p w14:paraId="23236805" w14:textId="77777777" w:rsidR="00C02FB6" w:rsidRPr="00EB7D5A" w:rsidRDefault="00C02FB6" w:rsidP="00EB7D5A">
            <w:pPr>
              <w:pStyle w:val="Textonotapie"/>
              <w:spacing w:after="0"/>
              <w:jc w:val="center"/>
              <w:rPr>
                <w:i/>
                <w:iCs/>
              </w:rPr>
            </w:pPr>
            <w:r w:rsidRPr="00EB7D5A">
              <w:rPr>
                <w:i/>
                <w:iCs/>
              </w:rPr>
              <w:t>ET</w:t>
            </w:r>
          </w:p>
        </w:tc>
        <w:tc>
          <w:tcPr>
            <w:tcW w:w="1928" w:type="dxa"/>
            <w:tcBorders>
              <w:top w:val="nil"/>
              <w:right w:val="nil"/>
            </w:tcBorders>
            <w:vAlign w:val="center"/>
          </w:tcPr>
          <w:p w14:paraId="205A5AD7" w14:textId="77777777" w:rsidR="00C02FB6" w:rsidRDefault="00C02FB6" w:rsidP="00EB7D5A">
            <w:pPr>
              <w:pStyle w:val="Textonotapie"/>
              <w:spacing w:after="0"/>
              <w:jc w:val="center"/>
            </w:pPr>
          </w:p>
        </w:tc>
      </w:tr>
      <w:tr w:rsidR="00C02FB6" w14:paraId="72EA9055" w14:textId="77777777" w:rsidTr="00EB7D5A">
        <w:trPr>
          <w:trHeight w:val="425"/>
          <w:jc w:val="center"/>
        </w:trPr>
        <w:tc>
          <w:tcPr>
            <w:tcW w:w="1134" w:type="dxa"/>
            <w:vAlign w:val="center"/>
          </w:tcPr>
          <w:p w14:paraId="68349DBA" w14:textId="77777777" w:rsidR="00C02FB6" w:rsidRPr="00EB7D5A" w:rsidRDefault="00C02FB6" w:rsidP="00EB7D5A">
            <w:pPr>
              <w:pStyle w:val="Textonotapie"/>
              <w:spacing w:after="0"/>
              <w:jc w:val="center"/>
              <w:rPr>
                <w:i/>
                <w:iCs/>
              </w:rPr>
            </w:pPr>
            <w:r w:rsidRPr="00EB7D5A">
              <w:rPr>
                <w:i/>
                <w:iCs/>
              </w:rPr>
              <w:t>Bien normal</w:t>
            </w:r>
          </w:p>
        </w:tc>
        <w:tc>
          <w:tcPr>
            <w:tcW w:w="850" w:type="dxa"/>
            <w:vAlign w:val="center"/>
          </w:tcPr>
          <w:p w14:paraId="4593E16E" w14:textId="77777777" w:rsidR="00C02FB6" w:rsidRDefault="00C02FB6"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553C1246" w14:textId="77777777" w:rsidR="00C02FB6" w:rsidRDefault="00C02FB6"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7C95F50C" w14:textId="77777777" w:rsidR="00C02FB6" w:rsidRDefault="00C02FB6"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1928" w:type="dxa"/>
            <w:vMerge w:val="restart"/>
            <w:vAlign w:val="center"/>
          </w:tcPr>
          <w:p w14:paraId="1FE6C399" w14:textId="77777777" w:rsidR="00C02FB6" w:rsidRDefault="00C02FB6" w:rsidP="00EB7D5A">
            <w:pPr>
              <w:pStyle w:val="Textonotapie"/>
              <w:spacing w:after="0"/>
              <w:jc w:val="center"/>
            </w:pPr>
            <w:r w:rsidRPr="00EB7D5A">
              <w:rPr>
                <w:i/>
                <w:iCs/>
              </w:rPr>
              <w:t>Bienes ordinarios</w:t>
            </w:r>
            <w:r>
              <w:br/>
            </w:r>
            <w:r w:rsidRPr="00EB7D5A">
              <w:rPr>
                <w:sz w:val="14"/>
                <w:szCs w:val="14"/>
              </w:rPr>
              <w:t xml:space="preserve">(Elasticidad precio, </w:t>
            </w:r>
            <m:oMath>
              <m:sSub>
                <m:sSubPr>
                  <m:ctrlPr>
                    <w:rPr>
                      <w:rFonts w:ascii="Cambria Math" w:hAnsi="Cambria Math"/>
                      <w:i/>
                      <w:sz w:val="14"/>
                      <w:szCs w:val="14"/>
                    </w:rPr>
                  </m:ctrlPr>
                </m:sSubPr>
                <m:e>
                  <m:r>
                    <m:rPr>
                      <m:nor/>
                    </m:rPr>
                    <w:rPr>
                      <w:i/>
                      <w:iCs/>
                      <w:sz w:val="14"/>
                      <w:szCs w:val="14"/>
                    </w:rPr>
                    <m:t>ε</m:t>
                  </m:r>
                </m:e>
                <m:sub>
                  <m:r>
                    <m:rPr>
                      <m:nor/>
                    </m:rPr>
                    <w:rPr>
                      <w:i/>
                      <w:iCs/>
                      <w:sz w:val="14"/>
                      <w:szCs w:val="14"/>
                    </w:rPr>
                    <m:t>P</m:t>
                  </m:r>
                </m:sub>
              </m:sSub>
              <m:r>
                <w:rPr>
                  <w:rFonts w:ascii="Cambria Math"/>
                  <w:sz w:val="14"/>
                  <w:szCs w:val="14"/>
                </w:rPr>
                <m:t>&lt;</m:t>
              </m:r>
              <m:r>
                <m:rPr>
                  <m:nor/>
                </m:rPr>
                <w:rPr>
                  <w:i/>
                  <w:iCs/>
                  <w:sz w:val="14"/>
                  <w:szCs w:val="14"/>
                </w:rPr>
                <m:t>0</m:t>
              </m:r>
            </m:oMath>
            <w:r w:rsidRPr="00EB7D5A">
              <w:rPr>
                <w:sz w:val="14"/>
                <w:szCs w:val="14"/>
              </w:rPr>
              <w:t>)</w:t>
            </w:r>
          </w:p>
        </w:tc>
      </w:tr>
      <w:tr w:rsidR="00C02FB6" w14:paraId="0D94D27F" w14:textId="77777777" w:rsidTr="00EB7D5A">
        <w:trPr>
          <w:trHeight w:val="425"/>
          <w:jc w:val="center"/>
        </w:trPr>
        <w:tc>
          <w:tcPr>
            <w:tcW w:w="1134" w:type="dxa"/>
            <w:vMerge w:val="restart"/>
            <w:vAlign w:val="center"/>
          </w:tcPr>
          <w:p w14:paraId="2BAFFF39" w14:textId="77777777" w:rsidR="00C02FB6" w:rsidRPr="00EB7D5A" w:rsidRDefault="00C02FB6" w:rsidP="00EB7D5A">
            <w:pPr>
              <w:pStyle w:val="Textonotapie"/>
              <w:spacing w:after="0"/>
              <w:jc w:val="center"/>
              <w:rPr>
                <w:i/>
                <w:iCs/>
              </w:rPr>
            </w:pPr>
            <w:r w:rsidRPr="00EB7D5A">
              <w:rPr>
                <w:i/>
                <w:iCs/>
              </w:rPr>
              <w:t>Bien inferior</w:t>
            </w:r>
          </w:p>
        </w:tc>
        <w:tc>
          <w:tcPr>
            <w:tcW w:w="850" w:type="dxa"/>
            <w:vAlign w:val="center"/>
          </w:tcPr>
          <w:p w14:paraId="19DEE861" w14:textId="77777777" w:rsidR="00C02FB6" w:rsidRDefault="00C02FB6"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17858D55" w14:textId="77777777" w:rsidR="00C02FB6" w:rsidRDefault="00C02FB6" w:rsidP="00EB7D5A">
            <w:pPr>
              <w:pStyle w:val="Textonotapie"/>
              <w:spacing w:after="0"/>
              <w:jc w:val="center"/>
            </w:pPr>
            <m:oMathPara>
              <m:oMath>
                <m:r>
                  <w:rPr>
                    <w:rFonts w:ascii="Cambria Math"/>
                    <w:sz w:val="14"/>
                    <w:szCs w:val="14"/>
                  </w:rPr>
                  <m:t>&lt;</m:t>
                </m:r>
                <m:r>
                  <m:rPr>
                    <m:nor/>
                  </m:rPr>
                  <w:rPr>
                    <w:i/>
                    <w:iCs/>
                    <w:sz w:val="14"/>
                    <w:szCs w:val="14"/>
                  </w:rPr>
                  <m:t>0</m:t>
                </m:r>
              </m:oMath>
            </m:oMathPara>
          </w:p>
        </w:tc>
        <w:tc>
          <w:tcPr>
            <w:tcW w:w="850" w:type="dxa"/>
            <w:vAlign w:val="center"/>
          </w:tcPr>
          <w:p w14:paraId="798BC347" w14:textId="77777777" w:rsidR="00C02FB6" w:rsidRDefault="00C02FB6"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1928" w:type="dxa"/>
            <w:vMerge/>
            <w:vAlign w:val="center"/>
          </w:tcPr>
          <w:p w14:paraId="01CF6CFD" w14:textId="77777777" w:rsidR="00C02FB6" w:rsidRDefault="00C02FB6" w:rsidP="00EB7D5A">
            <w:pPr>
              <w:pStyle w:val="Textonotapie"/>
              <w:spacing w:after="0"/>
              <w:jc w:val="center"/>
            </w:pPr>
          </w:p>
        </w:tc>
      </w:tr>
      <w:tr w:rsidR="00C02FB6" w14:paraId="7BD8EAFB" w14:textId="77777777" w:rsidTr="00EB7D5A">
        <w:trPr>
          <w:trHeight w:val="425"/>
          <w:jc w:val="center"/>
        </w:trPr>
        <w:tc>
          <w:tcPr>
            <w:tcW w:w="1134" w:type="dxa"/>
            <w:vMerge/>
            <w:vAlign w:val="center"/>
          </w:tcPr>
          <w:p w14:paraId="215C088A" w14:textId="77777777" w:rsidR="00C02FB6" w:rsidRDefault="00C02FB6" w:rsidP="00EB7D5A">
            <w:pPr>
              <w:pStyle w:val="Textonotapie"/>
              <w:spacing w:after="0"/>
              <w:jc w:val="center"/>
            </w:pPr>
          </w:p>
        </w:tc>
        <w:tc>
          <w:tcPr>
            <w:tcW w:w="850" w:type="dxa"/>
            <w:vAlign w:val="center"/>
          </w:tcPr>
          <w:p w14:paraId="62C05BAA" w14:textId="77777777" w:rsidR="00C02FB6" w:rsidRDefault="00C02FB6"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0889782E" w14:textId="77777777" w:rsidR="00C02FB6" w:rsidRDefault="00C02FB6" w:rsidP="00EB7D5A">
            <w:pPr>
              <w:pStyle w:val="Textonotapie"/>
              <w:spacing w:after="0"/>
              <w:jc w:val="center"/>
            </w:pPr>
            <m:oMathPara>
              <m:oMath>
                <m:r>
                  <w:rPr>
                    <w:rFonts w:ascii="Cambria Math"/>
                    <w:sz w:val="14"/>
                    <w:szCs w:val="14"/>
                  </w:rPr>
                  <m:t>&lt;</m:t>
                </m:r>
                <m:r>
                  <m:rPr>
                    <m:nor/>
                  </m:rPr>
                  <w:rPr>
                    <w:i/>
                    <w:iCs/>
                    <w:sz w:val="14"/>
                    <w:szCs w:val="14"/>
                  </w:rPr>
                  <m:t>0</m:t>
                </m:r>
              </m:oMath>
            </m:oMathPara>
          </w:p>
        </w:tc>
        <w:tc>
          <w:tcPr>
            <w:tcW w:w="850" w:type="dxa"/>
            <w:vAlign w:val="center"/>
          </w:tcPr>
          <w:p w14:paraId="1CD43403" w14:textId="77777777" w:rsidR="00C02FB6" w:rsidRDefault="00C02FB6" w:rsidP="00EB7D5A">
            <w:pPr>
              <w:pStyle w:val="Textonotapie"/>
              <w:spacing w:after="0"/>
              <w:jc w:val="center"/>
            </w:pPr>
            <m:oMathPara>
              <m:oMath>
                <m:r>
                  <w:rPr>
                    <w:rFonts w:ascii="Cambria Math"/>
                    <w:sz w:val="14"/>
                    <w:szCs w:val="14"/>
                  </w:rPr>
                  <m:t>&lt;</m:t>
                </m:r>
                <m:r>
                  <m:rPr>
                    <m:nor/>
                  </m:rPr>
                  <w:rPr>
                    <w:i/>
                    <w:iCs/>
                    <w:sz w:val="14"/>
                    <w:szCs w:val="14"/>
                  </w:rPr>
                  <m:t>0</m:t>
                </m:r>
              </m:oMath>
            </m:oMathPara>
          </w:p>
        </w:tc>
        <w:tc>
          <w:tcPr>
            <w:tcW w:w="1928" w:type="dxa"/>
            <w:vAlign w:val="center"/>
          </w:tcPr>
          <w:p w14:paraId="13DC0C84" w14:textId="77777777" w:rsidR="00C02FB6" w:rsidRDefault="00C02FB6" w:rsidP="00EB7D5A">
            <w:pPr>
              <w:pStyle w:val="Textonotapie"/>
              <w:spacing w:after="0"/>
              <w:jc w:val="center"/>
            </w:pPr>
            <w:r w:rsidRPr="00EB7D5A">
              <w:rPr>
                <w:i/>
                <w:iCs/>
              </w:rPr>
              <w:t>Bienes Giffen</w:t>
            </w:r>
            <w:r>
              <w:br/>
            </w:r>
            <w:r w:rsidRPr="00EB7D5A">
              <w:rPr>
                <w:sz w:val="14"/>
                <w:szCs w:val="14"/>
              </w:rPr>
              <w:t xml:space="preserve">(Elasticidad precio, </w:t>
            </w:r>
            <m:oMath>
              <m:sSub>
                <m:sSubPr>
                  <m:ctrlPr>
                    <w:rPr>
                      <w:rFonts w:ascii="Cambria Math" w:hAnsi="Cambria Math"/>
                      <w:i/>
                      <w:sz w:val="14"/>
                      <w:szCs w:val="14"/>
                    </w:rPr>
                  </m:ctrlPr>
                </m:sSubPr>
                <m:e>
                  <m:r>
                    <m:rPr>
                      <m:nor/>
                    </m:rPr>
                    <w:rPr>
                      <w:i/>
                      <w:iCs/>
                      <w:sz w:val="14"/>
                      <w:szCs w:val="14"/>
                    </w:rPr>
                    <m:t>ε</m:t>
                  </m:r>
                </m:e>
                <m:sub>
                  <m:r>
                    <m:rPr>
                      <m:nor/>
                    </m:rPr>
                    <w:rPr>
                      <w:i/>
                      <w:iCs/>
                      <w:sz w:val="14"/>
                      <w:szCs w:val="14"/>
                    </w:rPr>
                    <m:t>P</m:t>
                  </m:r>
                </m:sub>
              </m:sSub>
              <m:r>
                <w:rPr>
                  <w:rFonts w:ascii="Cambria Math"/>
                  <w:sz w:val="14"/>
                  <w:szCs w:val="14"/>
                </w:rPr>
                <m:t>&gt;</m:t>
              </m:r>
              <m:r>
                <m:rPr>
                  <m:nor/>
                </m:rPr>
                <w:rPr>
                  <w:i/>
                  <w:iCs/>
                  <w:sz w:val="14"/>
                  <w:szCs w:val="14"/>
                </w:rPr>
                <m:t>0</m:t>
              </m:r>
            </m:oMath>
            <w:r w:rsidRPr="00EB7D5A">
              <w:rPr>
                <w:sz w:val="14"/>
                <w:szCs w:val="14"/>
              </w:rPr>
              <w:t>)</w:t>
            </w:r>
          </w:p>
        </w:tc>
      </w:tr>
    </w:tbl>
    <w:p w14:paraId="4BBBA6E1" w14:textId="77777777" w:rsidR="00C02FB6" w:rsidRPr="00EB7D5A" w:rsidRDefault="00C02FB6" w:rsidP="00C02FB6">
      <w:pPr>
        <w:pStyle w:val="Textonotapie"/>
      </w:pPr>
      <w:r>
        <w:t xml:space="preserve">Si sube el precio relativo de </w:t>
      </w:r>
      <w:r>
        <w:rPr>
          <w:i/>
          <w:iCs/>
        </w:rPr>
        <w:t>Y</w:t>
      </w:r>
      <w:r w:rsidRPr="00EB7D5A">
        <w:t xml:space="preserve"> </w:t>
      </w:r>
      <w:r>
        <w:t xml:space="preserve">baja el precio relativo de </w:t>
      </w:r>
      <w:r>
        <w:rPr>
          <w:i/>
          <w:iCs/>
        </w:rPr>
        <w:t>X</w:t>
      </w:r>
      <w:r>
        <w:t>, pero el razonamiento es el mismo.</w:t>
      </w:r>
    </w:p>
  </w:footnote>
  <w:footnote w:id="11">
    <w:p w14:paraId="04458EE9" w14:textId="31232613" w:rsidR="00624AB0" w:rsidRPr="00624AB0" w:rsidRDefault="00624AB0" w:rsidP="00624AB0">
      <w:pPr>
        <w:pStyle w:val="Textonotapie"/>
        <w:keepNext/>
        <w:spacing w:after="0"/>
      </w:pPr>
      <w:r>
        <w:rPr>
          <w:rStyle w:val="Refdenotaalpie"/>
        </w:rPr>
        <w:footnoteRef/>
      </w:r>
      <w:r>
        <w:t xml:space="preserve"> En términos gráficos, nótese c</w:t>
      </w:r>
      <w:r w:rsidR="00BA7C75">
        <w:t>ó</w:t>
      </w:r>
      <w:r>
        <w:t xml:space="preserve">mo cuanto más elásticas sean las curvas de oferta y demanda, más grandes serán las áreas </w:t>
      </w:r>
      <w:r>
        <w:rPr>
          <w:i/>
          <w:iCs/>
        </w:rPr>
        <w:t>b</w:t>
      </w:r>
      <w:r>
        <w:t xml:space="preserve"> y </w:t>
      </w:r>
      <w:r>
        <w:rPr>
          <w:i/>
          <w:iCs/>
        </w:rPr>
        <w:t>d</w:t>
      </w:r>
      <w:r>
        <w:t xml:space="preserve"> respectivamente, y por lo tanto, mayores son las ganancias de la integración.</w:t>
      </w:r>
    </w:p>
    <w:p w14:paraId="7B808483" w14:textId="29C66F81" w:rsidR="00624AB0" w:rsidRDefault="00624AB0" w:rsidP="00624AB0">
      <w:pPr>
        <w:pStyle w:val="Textonotapie"/>
        <w:jc w:val="center"/>
      </w:pPr>
      <w:r>
        <w:rPr>
          <w:noProof/>
        </w:rPr>
        <w:drawing>
          <wp:inline distT="0" distB="0" distL="0" distR="0" wp14:anchorId="3CB05F29" wp14:editId="553F83AE">
            <wp:extent cx="1751330" cy="1301115"/>
            <wp:effectExtent l="0" t="0" r="1270" b="0"/>
            <wp:docPr id="26" name="Imagen 2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a:picLocks noChangeAspect="1"/>
                    </pic:cNvPicPr>
                  </pic:nvPicPr>
                  <pic:blipFill rotWithShape="1">
                    <a:blip r:embed="rId2"/>
                    <a:srcRect l="10973" r="13295"/>
                    <a:stretch/>
                  </pic:blipFill>
                  <pic:spPr bwMode="auto">
                    <a:xfrm>
                      <a:off x="0" y="0"/>
                      <a:ext cx="1751330" cy="1301115"/>
                    </a:xfrm>
                    <a:prstGeom prst="rect">
                      <a:avLst/>
                    </a:prstGeom>
                    <a:ln>
                      <a:noFill/>
                    </a:ln>
                    <a:extLst>
                      <a:ext uri="{53640926-AAD7-44D8-BBD7-CCE9431645EC}">
                        <a14:shadowObscured xmlns:a14="http://schemas.microsoft.com/office/drawing/2010/main"/>
                      </a:ext>
                    </a:extLst>
                  </pic:spPr>
                </pic:pic>
              </a:graphicData>
            </a:graphic>
          </wp:inline>
        </w:drawing>
      </w:r>
    </w:p>
  </w:footnote>
  <w:footnote w:id="12">
    <w:p w14:paraId="3323A89B" w14:textId="2A10F6E6" w:rsidR="00173E34" w:rsidRPr="00173E34" w:rsidRDefault="00173E34">
      <w:pPr>
        <w:pStyle w:val="Textonotapie"/>
      </w:pPr>
      <w:r>
        <w:rPr>
          <w:rStyle w:val="Refdenotaalpie"/>
        </w:rPr>
        <w:footnoteRef/>
      </w:r>
      <w:r>
        <w:t xml:space="preserve"> Los propios </w:t>
      </w:r>
      <w:r>
        <w:rPr>
          <w:smallCaps/>
        </w:rPr>
        <w:t>Cooper</w:t>
      </w:r>
      <w:r>
        <w:t xml:space="preserve"> y </w:t>
      </w:r>
      <w:proofErr w:type="spellStart"/>
      <w:r>
        <w:rPr>
          <w:smallCaps/>
        </w:rPr>
        <w:t>Massell</w:t>
      </w:r>
      <w:proofErr w:type="spellEnd"/>
      <w:r>
        <w:t xml:space="preserve"> terminan reconociendo que la creación de una </w:t>
      </w:r>
      <w:r w:rsidR="00514B9A">
        <w:t>u</w:t>
      </w:r>
      <w:r>
        <w:t xml:space="preserve">nión </w:t>
      </w:r>
      <w:r w:rsidR="00514B9A">
        <w:t>a</w:t>
      </w:r>
      <w:r>
        <w:t>duanera podría tener efectos positivos a causa de otros canales. En su artículo argumentan que la desviación de comercio entre los miembros de una unión aduanera, puede permitir aumentar la producción industrial de los socios, lo cual podría llevar a posibles externalidades positivas derivadas de dicha producción.</w:t>
      </w:r>
    </w:p>
  </w:footnote>
  <w:footnote w:id="13">
    <w:p w14:paraId="496D0BA7" w14:textId="77777777" w:rsidR="000F007A" w:rsidRDefault="000F007A" w:rsidP="000F007A">
      <w:pPr>
        <w:pStyle w:val="Textonotapie"/>
        <w:keepNext/>
        <w:spacing w:after="0"/>
      </w:pPr>
      <w:r>
        <w:rPr>
          <w:rStyle w:val="Refdenotaalpie"/>
        </w:rPr>
        <w:footnoteRef/>
      </w:r>
      <w:r>
        <w:t xml:space="preserve"> A modo de ejemplo:</w:t>
      </w:r>
    </w:p>
    <w:p w14:paraId="7764F3BC" w14:textId="79AEFA06" w:rsidR="000F007A" w:rsidRDefault="000F007A">
      <w:pPr>
        <w:pStyle w:val="Textonotapie"/>
        <w:numPr>
          <w:ilvl w:val="0"/>
          <w:numId w:val="20"/>
        </w:numPr>
        <w:spacing w:after="0"/>
        <w:ind w:left="426" w:hanging="142"/>
      </w:pPr>
      <w:r>
        <w:t>Los acuerdos del GATT, en su artículo</w:t>
      </w:r>
      <w:r w:rsidR="00901D40">
        <w:t> </w:t>
      </w:r>
      <w:r>
        <w:t>XXIV, establecen que las barreras al comercio con Estados no miembros no sean incrementadas con el proceso de la integración.</w:t>
      </w:r>
    </w:p>
    <w:p w14:paraId="76E76CFA" w14:textId="2DF31E36" w:rsidR="000F007A" w:rsidRDefault="000F007A">
      <w:pPr>
        <w:pStyle w:val="Textonotapie"/>
        <w:numPr>
          <w:ilvl w:val="0"/>
          <w:numId w:val="20"/>
        </w:numPr>
        <w:ind w:left="426" w:hanging="142"/>
      </w:pPr>
      <w:r>
        <w:t>La Comunidad Andina desarrolló mecanismos para com</w:t>
      </w:r>
      <w:r w:rsidR="00AD1191">
        <w:t>p</w:t>
      </w:r>
      <w:r>
        <w:t>en</w:t>
      </w:r>
      <w:r w:rsidR="00AD1191">
        <w:t>s</w:t>
      </w:r>
      <w:r>
        <w:t>ar a los países pequeños que salieran perjudicados.</w:t>
      </w:r>
    </w:p>
    <w:p w14:paraId="274CB26D" w14:textId="77777777" w:rsidR="000F007A" w:rsidRPr="00E97CB6" w:rsidRDefault="000F007A" w:rsidP="000F007A">
      <w:pPr>
        <w:pStyle w:val="Textonotapie"/>
      </w:pPr>
      <w:proofErr w:type="spellStart"/>
      <w:r>
        <w:rPr>
          <w:smallCaps/>
        </w:rPr>
        <w:t>Bhagwati</w:t>
      </w:r>
      <w:proofErr w:type="spellEnd"/>
      <w:r>
        <w:t xml:space="preserve"> critica que es poco probable que las compensaciones se lleven a cabo en la práctica.</w:t>
      </w:r>
    </w:p>
  </w:footnote>
  <w:footnote w:id="14">
    <w:p w14:paraId="2DDF712C" w14:textId="5533752A" w:rsidR="006B6420" w:rsidRDefault="006B6420" w:rsidP="006B6420">
      <w:pPr>
        <w:pStyle w:val="Textonotapie"/>
        <w:keepNext/>
        <w:spacing w:after="0"/>
      </w:pPr>
      <w:r>
        <w:rPr>
          <w:rStyle w:val="Refdenotaalpie"/>
        </w:rPr>
        <w:footnoteRef/>
      </w:r>
      <w:r>
        <w:t xml:space="preserve"> Nótese que aquí la clave es, más que los costes marginales decrecientes, las economías de escala. Y es que puede </w:t>
      </w:r>
      <w:r w:rsidR="000740E1">
        <w:t>h</w:t>
      </w:r>
      <w:r>
        <w:t>a</w:t>
      </w:r>
      <w:r w:rsidR="000740E1">
        <w:t>b</w:t>
      </w:r>
      <w:r>
        <w:t>er economías de escala con costes marginales crecientes.</w:t>
      </w:r>
    </w:p>
    <w:p w14:paraId="70056AAA" w14:textId="77777777" w:rsidR="006B6420" w:rsidRDefault="006B6420" w:rsidP="006B6420">
      <w:pPr>
        <w:pStyle w:val="Textonotapie"/>
        <w:jc w:val="center"/>
      </w:pPr>
      <w:r>
        <w:rPr>
          <w:noProof/>
        </w:rPr>
        <w:drawing>
          <wp:inline distT="0" distB="0" distL="0" distR="0" wp14:anchorId="4482C206" wp14:editId="675A2975">
            <wp:extent cx="939800" cy="719455"/>
            <wp:effectExtent l="0" t="0" r="0" b="4445"/>
            <wp:docPr id="1929514458" name="Imagen 192951445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10;&#10;Descripción generada automáticament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939800" cy="719455"/>
                    </a:xfrm>
                    <a:prstGeom prst="rect">
                      <a:avLst/>
                    </a:prstGeom>
                  </pic:spPr>
                </pic:pic>
              </a:graphicData>
            </a:graphic>
          </wp:inline>
        </w:drawing>
      </w:r>
    </w:p>
  </w:footnote>
  <w:footnote w:id="15">
    <w:p w14:paraId="1AD9F91E" w14:textId="77777777" w:rsidR="006B6420" w:rsidRDefault="006B6420" w:rsidP="006B6420">
      <w:pPr>
        <w:pStyle w:val="Textonotapie"/>
      </w:pPr>
      <w:r>
        <w:rPr>
          <w:rStyle w:val="Refdenotaalpie"/>
        </w:rPr>
        <w:footnoteRef/>
      </w:r>
      <w:r>
        <w:t xml:space="preserve"> Al haber economías de escala, los precios fijados para este bien guardarán relación con los costes medios y no con los costes marginales, pues en este último caso las empresas sufrirían pérdidas, al ser los costes marginales inferiores a los costes medios. Así pues, la curva de costes medios corresponde a la curva de oferta.</w:t>
      </w:r>
    </w:p>
  </w:footnote>
  <w:footnote w:id="16">
    <w:p w14:paraId="3736A307" w14:textId="29AF3B1F" w:rsidR="006B6420" w:rsidRPr="002D7554" w:rsidRDefault="006B6420" w:rsidP="006B6420">
      <w:pPr>
        <w:pStyle w:val="Textonotapie"/>
      </w:pPr>
      <w:r>
        <w:rPr>
          <w:rStyle w:val="Refdenotaalpie"/>
        </w:rPr>
        <w:footnoteRef/>
      </w:r>
      <w:r>
        <w:t xml:space="preserve"> Además, cuando se forme la unión aduanera tendremos que </w:t>
      </w:r>
      <m:oMath>
        <m:sSub>
          <m:sSubPr>
            <m:ctrlPr>
              <w:rPr>
                <w:rFonts w:ascii="Cambria Math" w:hAnsi="Cambria Math"/>
              </w:rPr>
            </m:ctrlPr>
          </m:sSubPr>
          <m:e>
            <m:r>
              <m:rPr>
                <m:nor/>
              </m:rPr>
              <w:rPr>
                <w:i/>
              </w:rPr>
              <m:t>P</m:t>
            </m:r>
          </m:e>
          <m:sub>
            <m:r>
              <m:rPr>
                <m:nor/>
              </m:rPr>
              <w:rPr>
                <w:i/>
              </w:rPr>
              <m:t>R</m:t>
            </m:r>
          </m:sub>
        </m:sSub>
        <m:r>
          <w:rPr>
            <w:rFonts w:ascii="Cambria Math" w:hAnsi="Cambria Math"/>
          </w:rPr>
          <m:t>&lt;</m:t>
        </m:r>
        <m:sSub>
          <m:sSubPr>
            <m:ctrlPr>
              <w:rPr>
                <w:rFonts w:ascii="Cambria Math" w:hAnsi="Cambria Math"/>
              </w:rPr>
            </m:ctrlPr>
          </m:sSubPr>
          <m:e>
            <m:r>
              <m:rPr>
                <m:nor/>
              </m:rPr>
              <w:rPr>
                <w:i/>
              </w:rPr>
              <m:t>P</m:t>
            </m:r>
          </m:e>
          <m:sub>
            <m:r>
              <m:rPr>
                <m:nor/>
              </m:rPr>
              <w:rPr>
                <w:i/>
              </w:rPr>
              <m:t>UA</m:t>
            </m:r>
          </m:sub>
        </m:sSub>
        <m:r>
          <w:rPr>
            <w:rFonts w:ascii="Cambria Math" w:hAnsi="Cambria Math"/>
          </w:rPr>
          <m:t>&lt;</m:t>
        </m:r>
        <m:sSub>
          <m:sSubPr>
            <m:ctrlPr>
              <w:rPr>
                <w:rFonts w:ascii="Cambria Math" w:hAnsi="Cambria Math"/>
              </w:rPr>
            </m:ctrlPr>
          </m:sSubPr>
          <m:e>
            <m:r>
              <m:rPr>
                <m:nor/>
              </m:rPr>
              <w:rPr>
                <w:i/>
              </w:rPr>
              <m:t>P</m:t>
            </m:r>
          </m:e>
          <m:sub>
            <m:r>
              <m:rPr>
                <m:nor/>
              </m:rPr>
              <w:rPr>
                <w:i/>
              </w:rPr>
              <m:t>B</m:t>
            </m:r>
          </m:sub>
        </m:sSub>
        <m:r>
          <w:rPr>
            <w:rFonts w:ascii="Cambria Math" w:hAnsi="Cambria Math"/>
          </w:rPr>
          <m:t>&lt;</m:t>
        </m:r>
        <m:d>
          <m:dPr>
            <m:ctrlPr>
              <w:rPr>
                <w:rFonts w:ascii="Cambria Math" w:hAnsi="Cambria Math"/>
              </w:rPr>
            </m:ctrlPr>
          </m:dPr>
          <m:e>
            <m:sSub>
              <m:sSubPr>
                <m:ctrlPr>
                  <w:rPr>
                    <w:rFonts w:ascii="Cambria Math" w:hAnsi="Cambria Math"/>
                  </w:rPr>
                </m:ctrlPr>
              </m:sSubPr>
              <m:e>
                <m:r>
                  <m:rPr>
                    <m:nor/>
                  </m:rPr>
                  <w:rPr>
                    <w:i/>
                  </w:rPr>
                  <m:t>P</m:t>
                </m:r>
              </m:e>
              <m:sub>
                <m:r>
                  <m:rPr>
                    <m:nor/>
                  </m:rPr>
                  <w:rPr>
                    <w:i/>
                  </w:rPr>
                  <m:t>R</m:t>
                </m:r>
              </m:sub>
            </m:sSub>
            <m:r>
              <w:rPr>
                <w:rFonts w:ascii="Cambria Math" w:hAnsi="Cambria Math"/>
              </w:rPr>
              <m:t>+</m:t>
            </m:r>
            <m:r>
              <m:rPr>
                <m:nor/>
              </m:rPr>
              <w:rPr>
                <w:i/>
              </w:rPr>
              <m:t>t</m:t>
            </m:r>
          </m:e>
        </m:d>
        <m:r>
          <w:rPr>
            <w:rFonts w:ascii="Cambria Math" w:hAnsi="Cambria Math"/>
          </w:rPr>
          <m:t>&lt;</m:t>
        </m:r>
        <m:sSub>
          <m:sSubPr>
            <m:ctrlPr>
              <w:rPr>
                <w:rFonts w:ascii="Cambria Math" w:hAnsi="Cambria Math"/>
              </w:rPr>
            </m:ctrlPr>
          </m:sSubPr>
          <m:e>
            <m:r>
              <m:rPr>
                <m:nor/>
              </m:rPr>
              <w:rPr>
                <w:i/>
              </w:rPr>
              <m:t>P</m:t>
            </m:r>
          </m:e>
          <m:sub>
            <m:r>
              <m:rPr>
                <m:nor/>
              </m:rPr>
              <w:rPr>
                <w:i/>
              </w:rPr>
              <m:t>A</m:t>
            </m:r>
          </m:sub>
        </m:sSub>
      </m:oMath>
      <w:r w:rsidR="007A6DDB">
        <w:rPr>
          <w:rFonts w:eastAsiaTheme="minorEastAsia"/>
        </w:rPr>
        <w:t>.</w:t>
      </w:r>
    </w:p>
  </w:footnote>
  <w:footnote w:id="17">
    <w:p w14:paraId="4619270C" w14:textId="77777777" w:rsidR="006B6420" w:rsidRDefault="006B6420" w:rsidP="006B6420">
      <w:pPr>
        <w:pStyle w:val="Textonotapie"/>
      </w:pPr>
      <w:r>
        <w:rPr>
          <w:rStyle w:val="Refdenotaalpie"/>
        </w:rPr>
        <w:footnoteRef/>
      </w:r>
      <w:r>
        <w:t xml:space="preserve"> Nótese que no nos planteamos el escenario de varios productores en algún mercado, ya que al haber economías de escala, sólo podrá existir, a lo sumo, un productor en cada mercado.</w:t>
      </w:r>
    </w:p>
  </w:footnote>
  <w:footnote w:id="18">
    <w:p w14:paraId="4DFBD997" w14:textId="77777777" w:rsidR="006B6420" w:rsidRDefault="006B6420" w:rsidP="006B6420">
      <w:pPr>
        <w:pStyle w:val="Textonotapie"/>
      </w:pPr>
      <w:r>
        <w:rPr>
          <w:rStyle w:val="Refdenotaalpie"/>
        </w:rPr>
        <w:footnoteRef/>
      </w:r>
      <w:r>
        <w:t xml:space="preserve"> Los efectos en el caso de que </w:t>
      </w:r>
      <w:r>
        <w:rPr>
          <w:i/>
          <w:iCs/>
        </w:rPr>
        <w:t>ambos países tuvieran un productor antes de formar la unión aduanera</w:t>
      </w:r>
      <w:r w:rsidRPr="002E091F">
        <w:t xml:space="preserve"> </w:t>
      </w:r>
      <w:r>
        <w:t>serían:</w:t>
      </w:r>
    </w:p>
    <w:tbl>
      <w:tblPr>
        <w:tblStyle w:val="Tablaconcuadrcula"/>
        <w:tblW w:w="9924" w:type="dxa"/>
        <w:tblBorders>
          <w:top w:val="dashed" w:sz="4"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2552"/>
        <w:gridCol w:w="6946"/>
        <w:gridCol w:w="426"/>
      </w:tblGrid>
      <w:tr w:rsidR="006B6420" w14:paraId="0A53D7AA" w14:textId="77777777" w:rsidTr="00FE368C">
        <w:tc>
          <w:tcPr>
            <w:tcW w:w="2552" w:type="dxa"/>
            <w:vAlign w:val="center"/>
          </w:tcPr>
          <w:p w14:paraId="51D754B7" w14:textId="77777777" w:rsidR="006B6420" w:rsidRDefault="006B6420">
            <w:pPr>
              <w:pStyle w:val="Textonotapie"/>
              <w:numPr>
                <w:ilvl w:val="0"/>
                <w:numId w:val="14"/>
              </w:numPr>
              <w:spacing w:after="0"/>
              <w:ind w:left="482" w:hanging="198"/>
              <w:jc w:val="left"/>
            </w:pPr>
            <w:r w:rsidRPr="002E091F">
              <w:rPr>
                <w:i/>
                <w:iCs/>
              </w:rPr>
              <w:t>Creación de comercio</w:t>
            </w:r>
            <w:r>
              <w:t xml:space="preserve"> (</w:t>
            </w:r>
            <m:oMath>
              <m:r>
                <w:rPr>
                  <w:rFonts w:ascii="Cambria Math" w:hAnsi="Cambria Math"/>
                </w:rPr>
                <m:t>+</m:t>
              </m:r>
            </m:oMath>
            <w:r>
              <w:t>):</w:t>
            </w:r>
          </w:p>
        </w:tc>
        <w:tc>
          <w:tcPr>
            <w:tcW w:w="6946" w:type="dxa"/>
          </w:tcPr>
          <w:p w14:paraId="4CD9C8AC" w14:textId="77777777" w:rsidR="006B6420" w:rsidRPr="002E091F" w:rsidRDefault="006B6420" w:rsidP="002E091F">
            <w:pPr>
              <w:pStyle w:val="Textonotapie"/>
            </w:pPr>
            <w:r>
              <w:rPr>
                <w:i/>
                <w:iCs/>
              </w:rPr>
              <w:t>Sí</w:t>
            </w:r>
            <w:r w:rsidRPr="00FE368C">
              <w:rPr>
                <w:i/>
                <w:iCs/>
              </w:rPr>
              <w:t xml:space="preserve"> hay</w:t>
            </w:r>
            <w:r w:rsidRPr="00FE368C">
              <w:rPr>
                <w:sz w:val="14"/>
                <w:szCs w:val="14"/>
              </w:rPr>
              <w:t xml:space="preserve">, </w:t>
            </w:r>
            <w:r>
              <w:rPr>
                <w:sz w:val="14"/>
                <w:szCs w:val="14"/>
              </w:rPr>
              <w:t xml:space="preserve">ya que </w:t>
            </w:r>
            <w:r>
              <w:rPr>
                <w:i/>
                <w:iCs/>
                <w:sz w:val="14"/>
                <w:szCs w:val="14"/>
              </w:rPr>
              <w:t>A</w:t>
            </w:r>
            <w:r>
              <w:rPr>
                <w:sz w:val="14"/>
                <w:szCs w:val="14"/>
              </w:rPr>
              <w:t xml:space="preserve"> deja de producir y comienza a exportar de </w:t>
            </w:r>
            <w:r>
              <w:rPr>
                <w:i/>
                <w:iCs/>
                <w:sz w:val="14"/>
                <w:szCs w:val="14"/>
              </w:rPr>
              <w:t>B</w:t>
            </w:r>
            <w:r>
              <w:rPr>
                <w:sz w:val="14"/>
                <w:szCs w:val="14"/>
              </w:rPr>
              <w:t>..</w:t>
            </w:r>
          </w:p>
        </w:tc>
        <w:tc>
          <w:tcPr>
            <w:tcW w:w="426" w:type="dxa"/>
            <w:vAlign w:val="center"/>
          </w:tcPr>
          <w:p w14:paraId="59F4404E" w14:textId="77777777" w:rsidR="006B6420" w:rsidRPr="00FE368C" w:rsidRDefault="006B6420" w:rsidP="00FE368C">
            <w:pPr>
              <w:pStyle w:val="Textonotapie"/>
              <w:jc w:val="center"/>
              <w:rPr>
                <w:rFonts w:ascii="Wingdings" w:hAnsi="Wingdings"/>
                <w:color w:val="00B050"/>
              </w:rPr>
            </w:pPr>
            <w:r w:rsidRPr="00FE368C">
              <w:rPr>
                <w:rFonts w:ascii="Wingdings" w:hAnsi="Wingdings"/>
                <w:color w:val="00B050"/>
              </w:rPr>
              <w:t>ü</w:t>
            </w:r>
          </w:p>
        </w:tc>
      </w:tr>
      <w:tr w:rsidR="006B6420" w14:paraId="024BE6DC" w14:textId="77777777" w:rsidTr="00FE368C">
        <w:tc>
          <w:tcPr>
            <w:tcW w:w="2552" w:type="dxa"/>
            <w:vAlign w:val="center"/>
          </w:tcPr>
          <w:p w14:paraId="4D855ABE" w14:textId="77777777" w:rsidR="006B6420" w:rsidRDefault="006B6420">
            <w:pPr>
              <w:pStyle w:val="Textonotapie"/>
              <w:numPr>
                <w:ilvl w:val="0"/>
                <w:numId w:val="14"/>
              </w:numPr>
              <w:spacing w:after="0"/>
              <w:ind w:left="482" w:hanging="198"/>
              <w:jc w:val="left"/>
            </w:pPr>
            <w:r w:rsidRPr="002E091F">
              <w:rPr>
                <w:i/>
                <w:iCs/>
              </w:rPr>
              <w:t>Desviación de comercio</w:t>
            </w:r>
            <w:r>
              <w:t xml:space="preserve"> (</w:t>
            </w:r>
            <m:oMath>
              <m:r>
                <w:rPr>
                  <w:rFonts w:ascii="Cambria Math" w:hAnsi="Cambria Math"/>
                </w:rPr>
                <m:t>-</m:t>
              </m:r>
            </m:oMath>
            <w:r>
              <w:t>):</w:t>
            </w:r>
          </w:p>
        </w:tc>
        <w:tc>
          <w:tcPr>
            <w:tcW w:w="6946" w:type="dxa"/>
          </w:tcPr>
          <w:p w14:paraId="0FF6F787" w14:textId="77777777" w:rsidR="006B6420" w:rsidRPr="00055B12" w:rsidRDefault="006B6420" w:rsidP="002E091F">
            <w:pPr>
              <w:pStyle w:val="Textonotapie"/>
            </w:pPr>
            <w:r>
              <w:rPr>
                <w:i/>
                <w:iCs/>
              </w:rPr>
              <w:t>No</w:t>
            </w:r>
            <w:r w:rsidRPr="00FE368C">
              <w:rPr>
                <w:i/>
                <w:iCs/>
              </w:rPr>
              <w:t xml:space="preserve"> hay</w:t>
            </w:r>
            <w:r w:rsidRPr="00FE368C">
              <w:rPr>
                <w:sz w:val="14"/>
                <w:szCs w:val="14"/>
              </w:rPr>
              <w:t xml:space="preserve">, ya que </w:t>
            </w:r>
            <w:r w:rsidRPr="00055B12">
              <w:rPr>
                <w:i/>
                <w:iCs/>
                <w:sz w:val="14"/>
                <w:szCs w:val="14"/>
              </w:rPr>
              <w:t>A</w:t>
            </w:r>
            <w:r>
              <w:rPr>
                <w:sz w:val="14"/>
                <w:szCs w:val="14"/>
              </w:rPr>
              <w:t xml:space="preserve"> no importaba de </w:t>
            </w:r>
            <w:r>
              <w:rPr>
                <w:i/>
                <w:iCs/>
                <w:sz w:val="14"/>
                <w:szCs w:val="14"/>
              </w:rPr>
              <w:t>R</w:t>
            </w:r>
            <w:r>
              <w:rPr>
                <w:sz w:val="14"/>
                <w:szCs w:val="14"/>
              </w:rPr>
              <w:t>.</w:t>
            </w:r>
          </w:p>
        </w:tc>
        <w:tc>
          <w:tcPr>
            <w:tcW w:w="426" w:type="dxa"/>
            <w:vAlign w:val="center"/>
          </w:tcPr>
          <w:p w14:paraId="1082BAFB" w14:textId="77777777" w:rsidR="006B6420" w:rsidRPr="00FE368C" w:rsidRDefault="006B6420" w:rsidP="00FE368C">
            <w:pPr>
              <w:pStyle w:val="Textonotapie"/>
              <w:jc w:val="center"/>
              <w:rPr>
                <w:color w:val="00B050"/>
              </w:rPr>
            </w:pPr>
            <w:r w:rsidRPr="00FE368C">
              <w:rPr>
                <w:rFonts w:ascii="Wingdings 2" w:hAnsi="Wingdings 2"/>
                <w:color w:val="00B050"/>
              </w:rPr>
              <w:t>O</w:t>
            </w:r>
          </w:p>
        </w:tc>
      </w:tr>
      <w:tr w:rsidR="006B6420" w14:paraId="00BBEEA3" w14:textId="77777777" w:rsidTr="00FE368C">
        <w:tc>
          <w:tcPr>
            <w:tcW w:w="2552" w:type="dxa"/>
            <w:vAlign w:val="center"/>
          </w:tcPr>
          <w:p w14:paraId="34E437D3" w14:textId="77777777" w:rsidR="006B6420" w:rsidRDefault="006B6420">
            <w:pPr>
              <w:pStyle w:val="Textonotapie"/>
              <w:numPr>
                <w:ilvl w:val="0"/>
                <w:numId w:val="14"/>
              </w:numPr>
              <w:spacing w:after="0"/>
              <w:ind w:left="482" w:hanging="198"/>
              <w:jc w:val="left"/>
            </w:pPr>
            <w:r w:rsidRPr="002E091F">
              <w:rPr>
                <w:i/>
                <w:iCs/>
              </w:rPr>
              <w:t>Reducción de costes</w:t>
            </w:r>
            <w:r>
              <w:t xml:space="preserve"> (</w:t>
            </w:r>
            <m:oMath>
              <m:r>
                <w:rPr>
                  <w:rFonts w:ascii="Cambria Math" w:hAnsi="Cambria Math"/>
                </w:rPr>
                <m:t>+</m:t>
              </m:r>
            </m:oMath>
            <w:r>
              <w:t>):</w:t>
            </w:r>
          </w:p>
        </w:tc>
        <w:tc>
          <w:tcPr>
            <w:tcW w:w="6946" w:type="dxa"/>
          </w:tcPr>
          <w:p w14:paraId="323E7272" w14:textId="77777777" w:rsidR="006B6420" w:rsidRPr="00FE368C" w:rsidRDefault="006B6420" w:rsidP="002E091F">
            <w:pPr>
              <w:pStyle w:val="Textonotapie"/>
            </w:pPr>
            <w:r w:rsidRPr="00FE368C">
              <w:rPr>
                <w:i/>
                <w:iCs/>
              </w:rPr>
              <w:t>Sí hay</w:t>
            </w:r>
            <w:r w:rsidRPr="00FE368C">
              <w:rPr>
                <w:sz w:val="14"/>
                <w:szCs w:val="14"/>
              </w:rPr>
              <w:t xml:space="preserve">, pues se concentra la producción al producir todo en </w:t>
            </w:r>
            <w:r w:rsidRPr="00FE368C">
              <w:rPr>
                <w:i/>
                <w:iCs/>
                <w:sz w:val="14"/>
                <w:szCs w:val="14"/>
              </w:rPr>
              <w:t>B</w:t>
            </w:r>
            <w:r w:rsidRPr="00FE368C">
              <w:rPr>
                <w:sz w:val="14"/>
                <w:szCs w:val="14"/>
              </w:rPr>
              <w:t>, lo que permite explotar economías de escala.</w:t>
            </w:r>
          </w:p>
        </w:tc>
        <w:tc>
          <w:tcPr>
            <w:tcW w:w="426" w:type="dxa"/>
            <w:vAlign w:val="center"/>
          </w:tcPr>
          <w:p w14:paraId="20B95343" w14:textId="77777777" w:rsidR="006B6420" w:rsidRPr="00FE368C" w:rsidRDefault="006B6420" w:rsidP="00FE368C">
            <w:pPr>
              <w:pStyle w:val="Textonotapie"/>
              <w:jc w:val="center"/>
              <w:rPr>
                <w:color w:val="00B050"/>
              </w:rPr>
            </w:pPr>
            <w:r w:rsidRPr="00FE368C">
              <w:rPr>
                <w:rFonts w:ascii="Wingdings" w:hAnsi="Wingdings"/>
                <w:color w:val="00B050"/>
              </w:rPr>
              <w:t>ü</w:t>
            </w:r>
          </w:p>
        </w:tc>
      </w:tr>
      <w:tr w:rsidR="006B6420" w14:paraId="537035E1" w14:textId="77777777" w:rsidTr="00FE368C">
        <w:tc>
          <w:tcPr>
            <w:tcW w:w="2552" w:type="dxa"/>
            <w:vAlign w:val="center"/>
          </w:tcPr>
          <w:p w14:paraId="44BE86A8" w14:textId="77777777" w:rsidR="006B6420" w:rsidRDefault="006B6420">
            <w:pPr>
              <w:pStyle w:val="Textonotapie"/>
              <w:numPr>
                <w:ilvl w:val="0"/>
                <w:numId w:val="14"/>
              </w:numPr>
              <w:spacing w:after="0"/>
              <w:ind w:left="482" w:hanging="198"/>
              <w:jc w:val="left"/>
            </w:pPr>
            <w:r w:rsidRPr="002E091F">
              <w:rPr>
                <w:i/>
                <w:iCs/>
              </w:rPr>
              <w:t>Supresión de costes</w:t>
            </w:r>
            <w:r>
              <w:t xml:space="preserve"> (</w:t>
            </w:r>
            <m:oMath>
              <m:r>
                <w:rPr>
                  <w:rFonts w:ascii="Cambria Math" w:hAnsi="Cambria Math"/>
                </w:rPr>
                <m:t>-</m:t>
              </m:r>
            </m:oMath>
            <w:r>
              <w:t>):</w:t>
            </w:r>
          </w:p>
        </w:tc>
        <w:tc>
          <w:tcPr>
            <w:tcW w:w="6946" w:type="dxa"/>
          </w:tcPr>
          <w:p w14:paraId="5C40B1A6" w14:textId="77777777" w:rsidR="006B6420" w:rsidRDefault="006B6420" w:rsidP="002E091F">
            <w:pPr>
              <w:pStyle w:val="Textonotapie"/>
            </w:pPr>
            <w:r w:rsidRPr="00FE368C">
              <w:rPr>
                <w:i/>
                <w:iCs/>
              </w:rPr>
              <w:t>No hay</w:t>
            </w:r>
            <w:r w:rsidRPr="00FE368C">
              <w:rPr>
                <w:sz w:val="14"/>
                <w:szCs w:val="14"/>
              </w:rPr>
              <w:t>, ya que no se crea ninguna empresa nueva al amparo de la unión aduanera.</w:t>
            </w:r>
          </w:p>
        </w:tc>
        <w:tc>
          <w:tcPr>
            <w:tcW w:w="426" w:type="dxa"/>
            <w:vAlign w:val="center"/>
          </w:tcPr>
          <w:p w14:paraId="38EC11B6" w14:textId="77777777" w:rsidR="006B6420" w:rsidRPr="00FE368C" w:rsidRDefault="006B6420" w:rsidP="00FE368C">
            <w:pPr>
              <w:pStyle w:val="Textonotapie"/>
              <w:jc w:val="center"/>
              <w:rPr>
                <w:rFonts w:ascii="Wingdings 2" w:hAnsi="Wingdings 2"/>
                <w:color w:val="00B050"/>
              </w:rPr>
            </w:pPr>
            <w:r w:rsidRPr="00FE368C">
              <w:rPr>
                <w:rFonts w:ascii="Wingdings 2" w:hAnsi="Wingdings 2"/>
                <w:color w:val="00B050"/>
              </w:rPr>
              <w:t>O</w:t>
            </w:r>
          </w:p>
        </w:tc>
      </w:tr>
    </w:tbl>
    <w:p w14:paraId="12CFCC83" w14:textId="77777777" w:rsidR="006B6420" w:rsidRPr="00FE368C" w:rsidRDefault="006B6420" w:rsidP="006B6420">
      <w:pPr>
        <w:pStyle w:val="Textonotapie"/>
      </w:pPr>
      <w:r>
        <w:t xml:space="preserve">Los efectos serán, por tanto, inequívocamente </w:t>
      </w:r>
      <w:r>
        <w:rPr>
          <w:i/>
          <w:iCs/>
        </w:rPr>
        <w:t>positivos</w:t>
      </w:r>
      <w:r>
        <w:t>.</w:t>
      </w:r>
    </w:p>
  </w:footnote>
  <w:footnote w:id="19">
    <w:p w14:paraId="48E573EA" w14:textId="77777777" w:rsidR="006B6420" w:rsidRDefault="006B6420" w:rsidP="006B6420">
      <w:pPr>
        <w:pStyle w:val="Textonotapie"/>
      </w:pPr>
      <w:r>
        <w:rPr>
          <w:rStyle w:val="Refdenotaalpie"/>
        </w:rPr>
        <w:footnoteRef/>
      </w:r>
      <w:r>
        <w:t xml:space="preserve"> Los efectos en el caso de que </w:t>
      </w:r>
      <w:r>
        <w:rPr>
          <w:i/>
          <w:iCs/>
        </w:rPr>
        <w:t>sólo un país de la unión aduanera tuviera un productor antes de formar la unión aduanera</w:t>
      </w:r>
      <w:r w:rsidRPr="002E091F">
        <w:t xml:space="preserve"> </w:t>
      </w:r>
      <w:r>
        <w:t>serían:</w:t>
      </w:r>
    </w:p>
    <w:tbl>
      <w:tblPr>
        <w:tblStyle w:val="Tablaconcuadrcula"/>
        <w:tblW w:w="9924" w:type="dxa"/>
        <w:tblBorders>
          <w:top w:val="dashed" w:sz="4"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2552"/>
        <w:gridCol w:w="6946"/>
        <w:gridCol w:w="426"/>
      </w:tblGrid>
      <w:tr w:rsidR="006B6420" w14:paraId="32A36C9A" w14:textId="77777777" w:rsidTr="00FE368C">
        <w:tc>
          <w:tcPr>
            <w:tcW w:w="2552" w:type="dxa"/>
            <w:vAlign w:val="center"/>
          </w:tcPr>
          <w:p w14:paraId="259CA5EF" w14:textId="77777777" w:rsidR="006B6420" w:rsidRDefault="006B6420">
            <w:pPr>
              <w:pStyle w:val="Textonotapie"/>
              <w:numPr>
                <w:ilvl w:val="0"/>
                <w:numId w:val="15"/>
              </w:numPr>
              <w:spacing w:after="0"/>
              <w:ind w:left="482" w:hanging="198"/>
              <w:jc w:val="left"/>
            </w:pPr>
            <w:r w:rsidRPr="002E091F">
              <w:rPr>
                <w:i/>
                <w:iCs/>
              </w:rPr>
              <w:t>Creación de comercio</w:t>
            </w:r>
            <w:r>
              <w:t xml:space="preserve"> (</w:t>
            </w:r>
            <m:oMath>
              <m:r>
                <w:rPr>
                  <w:rFonts w:ascii="Cambria Math" w:hAnsi="Cambria Math"/>
                </w:rPr>
                <m:t>+</m:t>
              </m:r>
            </m:oMath>
            <w:r>
              <w:t>):</w:t>
            </w:r>
          </w:p>
        </w:tc>
        <w:tc>
          <w:tcPr>
            <w:tcW w:w="6946" w:type="dxa"/>
          </w:tcPr>
          <w:p w14:paraId="05969812" w14:textId="77777777" w:rsidR="006B6420" w:rsidRPr="002E091F" w:rsidRDefault="006B6420" w:rsidP="002E091F">
            <w:pPr>
              <w:pStyle w:val="Textonotapie"/>
            </w:pPr>
            <w:r w:rsidRPr="00FE368C">
              <w:rPr>
                <w:i/>
                <w:iCs/>
              </w:rPr>
              <w:t>No hay</w:t>
            </w:r>
            <w:r w:rsidRPr="00FE368C">
              <w:rPr>
                <w:sz w:val="14"/>
                <w:szCs w:val="14"/>
              </w:rPr>
              <w:t xml:space="preserve">, ya que </w:t>
            </w:r>
            <w:r w:rsidRPr="00FE368C">
              <w:rPr>
                <w:i/>
                <w:iCs/>
                <w:sz w:val="14"/>
                <w:szCs w:val="14"/>
              </w:rPr>
              <w:t>A</w:t>
            </w:r>
            <w:r w:rsidRPr="00FE368C">
              <w:rPr>
                <w:sz w:val="14"/>
                <w:szCs w:val="14"/>
              </w:rPr>
              <w:t xml:space="preserve"> no producía</w:t>
            </w:r>
            <w:r>
              <w:rPr>
                <w:sz w:val="14"/>
                <w:szCs w:val="14"/>
              </w:rPr>
              <w:t>.</w:t>
            </w:r>
          </w:p>
        </w:tc>
        <w:tc>
          <w:tcPr>
            <w:tcW w:w="426" w:type="dxa"/>
            <w:vAlign w:val="center"/>
          </w:tcPr>
          <w:p w14:paraId="7D54A0A2" w14:textId="77777777" w:rsidR="006B6420" w:rsidRPr="00FE368C" w:rsidRDefault="006B6420" w:rsidP="00FE368C">
            <w:pPr>
              <w:pStyle w:val="Textonotapie"/>
              <w:jc w:val="center"/>
              <w:rPr>
                <w:rFonts w:ascii="Wingdings" w:hAnsi="Wingdings"/>
                <w:color w:val="C00000"/>
              </w:rPr>
            </w:pPr>
            <w:r w:rsidRPr="00FE368C">
              <w:rPr>
                <w:rFonts w:ascii="Wingdings 2" w:hAnsi="Wingdings 2"/>
                <w:color w:val="C00000"/>
              </w:rPr>
              <w:t>O</w:t>
            </w:r>
          </w:p>
        </w:tc>
      </w:tr>
      <w:tr w:rsidR="006B6420" w14:paraId="5CBCA4A2" w14:textId="77777777" w:rsidTr="00FE368C">
        <w:tc>
          <w:tcPr>
            <w:tcW w:w="2552" w:type="dxa"/>
            <w:vAlign w:val="center"/>
          </w:tcPr>
          <w:p w14:paraId="428A0C43" w14:textId="77777777" w:rsidR="006B6420" w:rsidRDefault="006B6420">
            <w:pPr>
              <w:pStyle w:val="Textonotapie"/>
              <w:numPr>
                <w:ilvl w:val="0"/>
                <w:numId w:val="15"/>
              </w:numPr>
              <w:spacing w:after="0"/>
              <w:ind w:left="482" w:hanging="198"/>
              <w:jc w:val="left"/>
            </w:pPr>
            <w:r w:rsidRPr="002E091F">
              <w:rPr>
                <w:i/>
                <w:iCs/>
              </w:rPr>
              <w:t>Desviación de comercio</w:t>
            </w:r>
            <w:r>
              <w:t xml:space="preserve"> (</w:t>
            </w:r>
            <m:oMath>
              <m:r>
                <w:rPr>
                  <w:rFonts w:ascii="Cambria Math" w:hAnsi="Cambria Math"/>
                </w:rPr>
                <m:t>-</m:t>
              </m:r>
            </m:oMath>
            <w:r>
              <w:t>):</w:t>
            </w:r>
          </w:p>
        </w:tc>
        <w:tc>
          <w:tcPr>
            <w:tcW w:w="6946" w:type="dxa"/>
          </w:tcPr>
          <w:p w14:paraId="450548A5" w14:textId="77777777" w:rsidR="006B6420" w:rsidRPr="00FE368C" w:rsidRDefault="006B6420" w:rsidP="002E091F">
            <w:pPr>
              <w:pStyle w:val="Textonotapie"/>
            </w:pPr>
            <w:r w:rsidRPr="00FE368C">
              <w:rPr>
                <w:i/>
                <w:iCs/>
              </w:rPr>
              <w:t>Sí hay</w:t>
            </w:r>
            <w:r w:rsidRPr="00FE368C">
              <w:rPr>
                <w:sz w:val="14"/>
                <w:szCs w:val="14"/>
              </w:rPr>
              <w:t xml:space="preserve">, ya que las importaciones de </w:t>
            </w:r>
            <w:r w:rsidRPr="00FE368C">
              <w:rPr>
                <w:i/>
                <w:iCs/>
                <w:sz w:val="14"/>
                <w:szCs w:val="14"/>
              </w:rPr>
              <w:t>A</w:t>
            </w:r>
            <w:r w:rsidRPr="00FE368C">
              <w:rPr>
                <w:sz w:val="14"/>
                <w:szCs w:val="14"/>
              </w:rPr>
              <w:t xml:space="preserve"> pasan de estar producidas en </w:t>
            </w:r>
            <w:r w:rsidRPr="00FE368C">
              <w:rPr>
                <w:i/>
                <w:iCs/>
                <w:sz w:val="14"/>
                <w:szCs w:val="14"/>
              </w:rPr>
              <w:t>R</w:t>
            </w:r>
            <w:r w:rsidRPr="00FE368C">
              <w:rPr>
                <w:sz w:val="14"/>
                <w:szCs w:val="14"/>
              </w:rPr>
              <w:t xml:space="preserve"> (más eficiente) a estar producidas en </w:t>
            </w:r>
            <w:r w:rsidRPr="00FE368C">
              <w:rPr>
                <w:i/>
                <w:iCs/>
                <w:sz w:val="14"/>
                <w:szCs w:val="14"/>
              </w:rPr>
              <w:t>B</w:t>
            </w:r>
            <w:r w:rsidRPr="00FE368C">
              <w:rPr>
                <w:sz w:val="14"/>
                <w:szCs w:val="14"/>
              </w:rPr>
              <w:t>.</w:t>
            </w:r>
          </w:p>
        </w:tc>
        <w:tc>
          <w:tcPr>
            <w:tcW w:w="426" w:type="dxa"/>
            <w:vAlign w:val="center"/>
          </w:tcPr>
          <w:p w14:paraId="76C0C7C4" w14:textId="77777777" w:rsidR="006B6420" w:rsidRPr="00FE368C" w:rsidRDefault="006B6420" w:rsidP="00FE368C">
            <w:pPr>
              <w:pStyle w:val="Textonotapie"/>
              <w:jc w:val="center"/>
              <w:rPr>
                <w:color w:val="C00000"/>
              </w:rPr>
            </w:pPr>
            <w:r w:rsidRPr="00FE368C">
              <w:rPr>
                <w:rFonts w:ascii="Wingdings" w:hAnsi="Wingdings"/>
                <w:color w:val="C00000"/>
              </w:rPr>
              <w:t>ü</w:t>
            </w:r>
          </w:p>
        </w:tc>
      </w:tr>
      <w:tr w:rsidR="006B6420" w14:paraId="08231EAD" w14:textId="77777777" w:rsidTr="00FE368C">
        <w:tc>
          <w:tcPr>
            <w:tcW w:w="2552" w:type="dxa"/>
            <w:vAlign w:val="center"/>
          </w:tcPr>
          <w:p w14:paraId="4C04D390" w14:textId="77777777" w:rsidR="006B6420" w:rsidRDefault="006B6420">
            <w:pPr>
              <w:pStyle w:val="Textonotapie"/>
              <w:numPr>
                <w:ilvl w:val="0"/>
                <w:numId w:val="15"/>
              </w:numPr>
              <w:spacing w:after="0"/>
              <w:ind w:left="482" w:hanging="198"/>
              <w:jc w:val="left"/>
            </w:pPr>
            <w:r w:rsidRPr="002E091F">
              <w:rPr>
                <w:i/>
                <w:iCs/>
              </w:rPr>
              <w:t>Reducción de costes</w:t>
            </w:r>
            <w:r>
              <w:t xml:space="preserve"> (</w:t>
            </w:r>
            <m:oMath>
              <m:r>
                <w:rPr>
                  <w:rFonts w:ascii="Cambria Math" w:hAnsi="Cambria Math"/>
                </w:rPr>
                <m:t>+</m:t>
              </m:r>
            </m:oMath>
            <w:r>
              <w:t>):</w:t>
            </w:r>
          </w:p>
        </w:tc>
        <w:tc>
          <w:tcPr>
            <w:tcW w:w="6946" w:type="dxa"/>
          </w:tcPr>
          <w:p w14:paraId="703506B0" w14:textId="77777777" w:rsidR="006B6420" w:rsidRPr="00FE368C" w:rsidRDefault="006B6420" w:rsidP="002E091F">
            <w:pPr>
              <w:pStyle w:val="Textonotapie"/>
            </w:pPr>
            <w:r w:rsidRPr="00FE368C">
              <w:rPr>
                <w:i/>
                <w:iCs/>
              </w:rPr>
              <w:t>Sí hay</w:t>
            </w:r>
            <w:r w:rsidRPr="00FE368C">
              <w:rPr>
                <w:sz w:val="14"/>
                <w:szCs w:val="14"/>
              </w:rPr>
              <w:t xml:space="preserve">, pues se concentra la producción al producir todo en </w:t>
            </w:r>
            <w:r w:rsidRPr="00FE368C">
              <w:rPr>
                <w:i/>
                <w:iCs/>
                <w:sz w:val="14"/>
                <w:szCs w:val="14"/>
              </w:rPr>
              <w:t>B</w:t>
            </w:r>
            <w:r w:rsidRPr="00FE368C">
              <w:rPr>
                <w:sz w:val="14"/>
                <w:szCs w:val="14"/>
              </w:rPr>
              <w:t>, lo que permite explotar economías de escala.</w:t>
            </w:r>
          </w:p>
        </w:tc>
        <w:tc>
          <w:tcPr>
            <w:tcW w:w="426" w:type="dxa"/>
            <w:vAlign w:val="center"/>
          </w:tcPr>
          <w:p w14:paraId="3D4E83CD" w14:textId="77777777" w:rsidR="006B6420" w:rsidRPr="00FE368C" w:rsidRDefault="006B6420" w:rsidP="00FE368C">
            <w:pPr>
              <w:pStyle w:val="Textonotapie"/>
              <w:jc w:val="center"/>
              <w:rPr>
                <w:color w:val="00B050"/>
              </w:rPr>
            </w:pPr>
            <w:r w:rsidRPr="00FE368C">
              <w:rPr>
                <w:rFonts w:ascii="Wingdings" w:hAnsi="Wingdings"/>
                <w:color w:val="00B050"/>
              </w:rPr>
              <w:t>ü</w:t>
            </w:r>
          </w:p>
        </w:tc>
      </w:tr>
      <w:tr w:rsidR="006B6420" w14:paraId="0F70C29E" w14:textId="77777777" w:rsidTr="00FE368C">
        <w:tc>
          <w:tcPr>
            <w:tcW w:w="2552" w:type="dxa"/>
            <w:vAlign w:val="center"/>
          </w:tcPr>
          <w:p w14:paraId="465C8619" w14:textId="77777777" w:rsidR="006B6420" w:rsidRDefault="006B6420">
            <w:pPr>
              <w:pStyle w:val="Textonotapie"/>
              <w:numPr>
                <w:ilvl w:val="0"/>
                <w:numId w:val="15"/>
              </w:numPr>
              <w:spacing w:after="0"/>
              <w:ind w:left="482" w:hanging="198"/>
              <w:jc w:val="left"/>
            </w:pPr>
            <w:r w:rsidRPr="002E091F">
              <w:rPr>
                <w:i/>
                <w:iCs/>
              </w:rPr>
              <w:t>Supresión de costes</w:t>
            </w:r>
            <w:r>
              <w:t xml:space="preserve"> (</w:t>
            </w:r>
            <m:oMath>
              <m:r>
                <w:rPr>
                  <w:rFonts w:ascii="Cambria Math" w:hAnsi="Cambria Math"/>
                </w:rPr>
                <m:t>-</m:t>
              </m:r>
            </m:oMath>
            <w:r>
              <w:t>):</w:t>
            </w:r>
          </w:p>
        </w:tc>
        <w:tc>
          <w:tcPr>
            <w:tcW w:w="6946" w:type="dxa"/>
          </w:tcPr>
          <w:p w14:paraId="66915036" w14:textId="77777777" w:rsidR="006B6420" w:rsidRDefault="006B6420" w:rsidP="002E091F">
            <w:pPr>
              <w:pStyle w:val="Textonotapie"/>
            </w:pPr>
            <w:r w:rsidRPr="00FE368C">
              <w:rPr>
                <w:i/>
                <w:iCs/>
              </w:rPr>
              <w:t>No hay</w:t>
            </w:r>
            <w:r w:rsidRPr="00FE368C">
              <w:rPr>
                <w:sz w:val="14"/>
                <w:szCs w:val="14"/>
              </w:rPr>
              <w:t>, ya que no se crea ninguna empresa nueva al amparo de la unión aduanera.</w:t>
            </w:r>
          </w:p>
        </w:tc>
        <w:tc>
          <w:tcPr>
            <w:tcW w:w="426" w:type="dxa"/>
            <w:vAlign w:val="center"/>
          </w:tcPr>
          <w:p w14:paraId="6FBF0D5E" w14:textId="77777777" w:rsidR="006B6420" w:rsidRPr="00FE368C" w:rsidRDefault="006B6420" w:rsidP="00FE368C">
            <w:pPr>
              <w:pStyle w:val="Textonotapie"/>
              <w:jc w:val="center"/>
              <w:rPr>
                <w:rFonts w:ascii="Wingdings 2" w:hAnsi="Wingdings 2"/>
                <w:color w:val="00B050"/>
              </w:rPr>
            </w:pPr>
            <w:r w:rsidRPr="00FE368C">
              <w:rPr>
                <w:rFonts w:ascii="Wingdings 2" w:hAnsi="Wingdings 2"/>
                <w:color w:val="00B050"/>
              </w:rPr>
              <w:t>O</w:t>
            </w:r>
          </w:p>
        </w:tc>
      </w:tr>
    </w:tbl>
    <w:p w14:paraId="73E6D76D" w14:textId="77777777" w:rsidR="006B6420" w:rsidRPr="00FE368C" w:rsidRDefault="006B6420" w:rsidP="006B6420">
      <w:pPr>
        <w:pStyle w:val="Textonotapie"/>
      </w:pPr>
      <w:r>
        <w:t xml:space="preserve">Los efectos serán, por tanto, </w:t>
      </w:r>
      <w:r>
        <w:rPr>
          <w:i/>
          <w:iCs/>
        </w:rPr>
        <w:t>ambiguos</w:t>
      </w:r>
      <w:r>
        <w:t>.</w:t>
      </w:r>
    </w:p>
  </w:footnote>
  <w:footnote w:id="20">
    <w:p w14:paraId="79E35AFE" w14:textId="77777777" w:rsidR="006B6420" w:rsidRDefault="006B6420" w:rsidP="006B6420">
      <w:pPr>
        <w:pStyle w:val="Textonotapie"/>
      </w:pPr>
      <w:r>
        <w:rPr>
          <w:rStyle w:val="Refdenotaalpie"/>
        </w:rPr>
        <w:footnoteRef/>
      </w:r>
      <w:r>
        <w:t xml:space="preserve"> Los efectos en el caso de que </w:t>
      </w:r>
      <w:r>
        <w:rPr>
          <w:i/>
          <w:iCs/>
        </w:rPr>
        <w:t>ningún país de la unión aduanera tuviera un productor antes de formar la unión aduanera</w:t>
      </w:r>
      <w:r w:rsidRPr="002E091F">
        <w:t xml:space="preserve"> </w:t>
      </w:r>
      <w:r>
        <w:t>serían:</w:t>
      </w:r>
    </w:p>
    <w:tbl>
      <w:tblPr>
        <w:tblStyle w:val="Tablaconcuadrcula"/>
        <w:tblW w:w="9924" w:type="dxa"/>
        <w:tblBorders>
          <w:top w:val="dashed" w:sz="4"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2552"/>
        <w:gridCol w:w="6946"/>
        <w:gridCol w:w="426"/>
      </w:tblGrid>
      <w:tr w:rsidR="006B6420" w14:paraId="42F77A93" w14:textId="77777777" w:rsidTr="00FE368C">
        <w:tc>
          <w:tcPr>
            <w:tcW w:w="2552" w:type="dxa"/>
            <w:vAlign w:val="center"/>
          </w:tcPr>
          <w:p w14:paraId="2226BFC8" w14:textId="77777777" w:rsidR="006B6420" w:rsidRDefault="006B6420">
            <w:pPr>
              <w:pStyle w:val="Textonotapie"/>
              <w:numPr>
                <w:ilvl w:val="0"/>
                <w:numId w:val="16"/>
              </w:numPr>
              <w:spacing w:after="0"/>
              <w:ind w:left="482" w:hanging="198"/>
              <w:jc w:val="left"/>
            </w:pPr>
            <w:r w:rsidRPr="002E091F">
              <w:rPr>
                <w:i/>
                <w:iCs/>
              </w:rPr>
              <w:t>Creación de comercio</w:t>
            </w:r>
            <w:r>
              <w:t xml:space="preserve"> (</w:t>
            </w:r>
            <m:oMath>
              <m:r>
                <w:rPr>
                  <w:rFonts w:ascii="Cambria Math" w:hAnsi="Cambria Math"/>
                </w:rPr>
                <m:t>+</m:t>
              </m:r>
            </m:oMath>
            <w:r>
              <w:t>):</w:t>
            </w:r>
          </w:p>
        </w:tc>
        <w:tc>
          <w:tcPr>
            <w:tcW w:w="6946" w:type="dxa"/>
          </w:tcPr>
          <w:p w14:paraId="439818B9" w14:textId="77777777" w:rsidR="006B6420" w:rsidRPr="002E091F" w:rsidRDefault="006B6420" w:rsidP="002E091F">
            <w:pPr>
              <w:pStyle w:val="Textonotapie"/>
            </w:pPr>
            <w:r w:rsidRPr="00FE368C">
              <w:rPr>
                <w:i/>
                <w:iCs/>
              </w:rPr>
              <w:t>No hay</w:t>
            </w:r>
            <w:r w:rsidRPr="00FE368C">
              <w:rPr>
                <w:sz w:val="14"/>
                <w:szCs w:val="14"/>
              </w:rPr>
              <w:t xml:space="preserve">, ya que </w:t>
            </w:r>
            <w:r w:rsidRPr="00FE368C">
              <w:rPr>
                <w:i/>
                <w:iCs/>
                <w:sz w:val="14"/>
                <w:szCs w:val="14"/>
              </w:rPr>
              <w:t>A</w:t>
            </w:r>
            <w:r w:rsidRPr="00FE368C">
              <w:rPr>
                <w:sz w:val="14"/>
                <w:szCs w:val="14"/>
              </w:rPr>
              <w:t xml:space="preserve"> no producía</w:t>
            </w:r>
            <w:r>
              <w:rPr>
                <w:sz w:val="14"/>
                <w:szCs w:val="14"/>
              </w:rPr>
              <w:t>.</w:t>
            </w:r>
          </w:p>
        </w:tc>
        <w:tc>
          <w:tcPr>
            <w:tcW w:w="426" w:type="dxa"/>
            <w:vAlign w:val="center"/>
          </w:tcPr>
          <w:p w14:paraId="3CF94C78" w14:textId="77777777" w:rsidR="006B6420" w:rsidRPr="00FE368C" w:rsidRDefault="006B6420" w:rsidP="00FE368C">
            <w:pPr>
              <w:pStyle w:val="Textonotapie"/>
              <w:jc w:val="center"/>
              <w:rPr>
                <w:rFonts w:ascii="Wingdings" w:hAnsi="Wingdings"/>
                <w:color w:val="C00000"/>
              </w:rPr>
            </w:pPr>
            <w:r w:rsidRPr="00FE368C">
              <w:rPr>
                <w:rFonts w:ascii="Wingdings 2" w:hAnsi="Wingdings 2"/>
                <w:color w:val="C00000"/>
              </w:rPr>
              <w:t>O</w:t>
            </w:r>
          </w:p>
        </w:tc>
      </w:tr>
      <w:tr w:rsidR="006B6420" w14:paraId="5102367C" w14:textId="77777777" w:rsidTr="00FE368C">
        <w:tc>
          <w:tcPr>
            <w:tcW w:w="2552" w:type="dxa"/>
            <w:vAlign w:val="center"/>
          </w:tcPr>
          <w:p w14:paraId="2B263138" w14:textId="77777777" w:rsidR="006B6420" w:rsidRDefault="006B6420">
            <w:pPr>
              <w:pStyle w:val="Textonotapie"/>
              <w:numPr>
                <w:ilvl w:val="0"/>
                <w:numId w:val="16"/>
              </w:numPr>
              <w:spacing w:after="0"/>
              <w:ind w:left="482" w:hanging="198"/>
              <w:jc w:val="left"/>
            </w:pPr>
            <w:r w:rsidRPr="002E091F">
              <w:rPr>
                <w:i/>
                <w:iCs/>
              </w:rPr>
              <w:t>Desviación de comercio</w:t>
            </w:r>
            <w:r>
              <w:t xml:space="preserve"> (</w:t>
            </w:r>
            <m:oMath>
              <m:r>
                <w:rPr>
                  <w:rFonts w:ascii="Cambria Math" w:hAnsi="Cambria Math"/>
                </w:rPr>
                <m:t>-</m:t>
              </m:r>
            </m:oMath>
            <w:r>
              <w:t>):</w:t>
            </w:r>
          </w:p>
        </w:tc>
        <w:tc>
          <w:tcPr>
            <w:tcW w:w="6946" w:type="dxa"/>
          </w:tcPr>
          <w:p w14:paraId="733B06AF" w14:textId="77777777" w:rsidR="006B6420" w:rsidRPr="00FE368C" w:rsidRDefault="006B6420" w:rsidP="002E091F">
            <w:pPr>
              <w:pStyle w:val="Textonotapie"/>
            </w:pPr>
            <w:r w:rsidRPr="00FE368C">
              <w:rPr>
                <w:i/>
                <w:iCs/>
              </w:rPr>
              <w:t>Sí hay</w:t>
            </w:r>
            <w:r w:rsidRPr="00FE368C">
              <w:rPr>
                <w:sz w:val="14"/>
                <w:szCs w:val="14"/>
              </w:rPr>
              <w:t xml:space="preserve">, ya que las importaciones de </w:t>
            </w:r>
            <w:r w:rsidRPr="00FE368C">
              <w:rPr>
                <w:i/>
                <w:iCs/>
                <w:sz w:val="14"/>
                <w:szCs w:val="14"/>
              </w:rPr>
              <w:t>A</w:t>
            </w:r>
            <w:r w:rsidRPr="00FE368C">
              <w:rPr>
                <w:sz w:val="14"/>
                <w:szCs w:val="14"/>
              </w:rPr>
              <w:t xml:space="preserve"> pasan de estar producidas en </w:t>
            </w:r>
            <w:r w:rsidRPr="00FE368C">
              <w:rPr>
                <w:i/>
                <w:iCs/>
                <w:sz w:val="14"/>
                <w:szCs w:val="14"/>
              </w:rPr>
              <w:t>R</w:t>
            </w:r>
            <w:r w:rsidRPr="00FE368C">
              <w:rPr>
                <w:sz w:val="14"/>
                <w:szCs w:val="14"/>
              </w:rPr>
              <w:t xml:space="preserve"> (más eficiente) a estar producidas en </w:t>
            </w:r>
            <w:r w:rsidRPr="00FE368C">
              <w:rPr>
                <w:i/>
                <w:iCs/>
                <w:sz w:val="14"/>
                <w:szCs w:val="14"/>
              </w:rPr>
              <w:t>B</w:t>
            </w:r>
            <w:r w:rsidRPr="00FE368C">
              <w:rPr>
                <w:sz w:val="14"/>
                <w:szCs w:val="14"/>
              </w:rPr>
              <w:t>.</w:t>
            </w:r>
          </w:p>
        </w:tc>
        <w:tc>
          <w:tcPr>
            <w:tcW w:w="426" w:type="dxa"/>
            <w:vAlign w:val="center"/>
          </w:tcPr>
          <w:p w14:paraId="3A7C6382" w14:textId="77777777" w:rsidR="006B6420" w:rsidRPr="00FE368C" w:rsidRDefault="006B6420" w:rsidP="00FE368C">
            <w:pPr>
              <w:pStyle w:val="Textonotapie"/>
              <w:jc w:val="center"/>
              <w:rPr>
                <w:color w:val="C00000"/>
              </w:rPr>
            </w:pPr>
            <w:r w:rsidRPr="00FE368C">
              <w:rPr>
                <w:rFonts w:ascii="Wingdings" w:hAnsi="Wingdings"/>
                <w:color w:val="C00000"/>
              </w:rPr>
              <w:t>ü</w:t>
            </w:r>
          </w:p>
        </w:tc>
      </w:tr>
      <w:tr w:rsidR="006B6420" w14:paraId="5D7CF54E" w14:textId="77777777" w:rsidTr="00FE368C">
        <w:tc>
          <w:tcPr>
            <w:tcW w:w="2552" w:type="dxa"/>
            <w:vAlign w:val="center"/>
          </w:tcPr>
          <w:p w14:paraId="5CF11F18" w14:textId="77777777" w:rsidR="006B6420" w:rsidRDefault="006B6420">
            <w:pPr>
              <w:pStyle w:val="Textonotapie"/>
              <w:numPr>
                <w:ilvl w:val="0"/>
                <w:numId w:val="16"/>
              </w:numPr>
              <w:spacing w:after="0"/>
              <w:ind w:left="482" w:hanging="198"/>
              <w:jc w:val="left"/>
            </w:pPr>
            <w:r w:rsidRPr="002E091F">
              <w:rPr>
                <w:i/>
                <w:iCs/>
              </w:rPr>
              <w:t>Reducción de costes</w:t>
            </w:r>
            <w:r>
              <w:t xml:space="preserve"> (</w:t>
            </w:r>
            <m:oMath>
              <m:r>
                <w:rPr>
                  <w:rFonts w:ascii="Cambria Math" w:hAnsi="Cambria Math"/>
                </w:rPr>
                <m:t>+</m:t>
              </m:r>
            </m:oMath>
            <w:r>
              <w:t>):</w:t>
            </w:r>
          </w:p>
        </w:tc>
        <w:tc>
          <w:tcPr>
            <w:tcW w:w="6946" w:type="dxa"/>
          </w:tcPr>
          <w:p w14:paraId="2942B2B6" w14:textId="77777777" w:rsidR="006B6420" w:rsidRPr="00FE368C" w:rsidRDefault="006B6420" w:rsidP="00055B12">
            <w:pPr>
              <w:pStyle w:val="Textonotapie"/>
            </w:pPr>
            <w:r>
              <w:rPr>
                <w:i/>
                <w:iCs/>
              </w:rPr>
              <w:t>No</w:t>
            </w:r>
            <w:r w:rsidRPr="00FE368C">
              <w:rPr>
                <w:i/>
                <w:iCs/>
              </w:rPr>
              <w:t xml:space="preserve"> hay</w:t>
            </w:r>
            <w:r w:rsidRPr="00FE368C">
              <w:rPr>
                <w:sz w:val="14"/>
                <w:szCs w:val="14"/>
              </w:rPr>
              <w:t xml:space="preserve">, </w:t>
            </w:r>
            <w:r>
              <w:rPr>
                <w:sz w:val="14"/>
                <w:szCs w:val="14"/>
              </w:rPr>
              <w:t xml:space="preserve">pues la producción no se concentra más, sino que pasa de estar toda producida en </w:t>
            </w:r>
            <w:r>
              <w:rPr>
                <w:i/>
                <w:iCs/>
                <w:sz w:val="14"/>
                <w:szCs w:val="14"/>
              </w:rPr>
              <w:t>R</w:t>
            </w:r>
            <w:r>
              <w:rPr>
                <w:sz w:val="14"/>
                <w:szCs w:val="14"/>
              </w:rPr>
              <w:t xml:space="preserve"> a estar toda producida en </w:t>
            </w:r>
            <w:r>
              <w:rPr>
                <w:i/>
                <w:iCs/>
                <w:sz w:val="14"/>
                <w:szCs w:val="14"/>
              </w:rPr>
              <w:t>B</w:t>
            </w:r>
            <w:r w:rsidRPr="00FE368C">
              <w:rPr>
                <w:sz w:val="14"/>
                <w:szCs w:val="14"/>
              </w:rPr>
              <w:t>.</w:t>
            </w:r>
          </w:p>
        </w:tc>
        <w:tc>
          <w:tcPr>
            <w:tcW w:w="426" w:type="dxa"/>
            <w:vAlign w:val="center"/>
          </w:tcPr>
          <w:p w14:paraId="7ECEC588" w14:textId="77777777" w:rsidR="006B6420" w:rsidRPr="00055B12" w:rsidRDefault="006B6420" w:rsidP="00055B12">
            <w:pPr>
              <w:pStyle w:val="Textonotapie"/>
              <w:jc w:val="center"/>
              <w:rPr>
                <w:color w:val="C00000"/>
              </w:rPr>
            </w:pPr>
            <w:r w:rsidRPr="00055B12">
              <w:rPr>
                <w:rFonts w:ascii="Wingdings 2" w:hAnsi="Wingdings 2"/>
                <w:color w:val="C00000"/>
              </w:rPr>
              <w:t>O</w:t>
            </w:r>
          </w:p>
        </w:tc>
      </w:tr>
      <w:tr w:rsidR="006B6420" w14:paraId="6C5DBD8B" w14:textId="77777777" w:rsidTr="00FE368C">
        <w:tc>
          <w:tcPr>
            <w:tcW w:w="2552" w:type="dxa"/>
            <w:vAlign w:val="center"/>
          </w:tcPr>
          <w:p w14:paraId="1DDB97C4" w14:textId="77777777" w:rsidR="006B6420" w:rsidRDefault="006B6420">
            <w:pPr>
              <w:pStyle w:val="Textonotapie"/>
              <w:numPr>
                <w:ilvl w:val="0"/>
                <w:numId w:val="16"/>
              </w:numPr>
              <w:spacing w:after="0"/>
              <w:ind w:left="482" w:hanging="198"/>
              <w:jc w:val="left"/>
            </w:pPr>
            <w:r w:rsidRPr="002E091F">
              <w:rPr>
                <w:i/>
                <w:iCs/>
              </w:rPr>
              <w:t>Supresión de costes</w:t>
            </w:r>
            <w:r>
              <w:t xml:space="preserve"> (</w:t>
            </w:r>
            <m:oMath>
              <m:r>
                <w:rPr>
                  <w:rFonts w:ascii="Cambria Math" w:hAnsi="Cambria Math"/>
                </w:rPr>
                <m:t>-</m:t>
              </m:r>
            </m:oMath>
            <w:r>
              <w:t>):</w:t>
            </w:r>
          </w:p>
        </w:tc>
        <w:tc>
          <w:tcPr>
            <w:tcW w:w="6946" w:type="dxa"/>
          </w:tcPr>
          <w:p w14:paraId="0C59F94C" w14:textId="77777777" w:rsidR="006B6420" w:rsidRDefault="006B6420" w:rsidP="00055B12">
            <w:pPr>
              <w:pStyle w:val="Textonotapie"/>
            </w:pPr>
            <w:r>
              <w:rPr>
                <w:i/>
                <w:iCs/>
              </w:rPr>
              <w:t>Sí</w:t>
            </w:r>
            <w:r w:rsidRPr="00FE368C">
              <w:rPr>
                <w:i/>
                <w:iCs/>
              </w:rPr>
              <w:t xml:space="preserve"> hay</w:t>
            </w:r>
            <w:r w:rsidRPr="00FE368C">
              <w:rPr>
                <w:sz w:val="14"/>
                <w:szCs w:val="14"/>
              </w:rPr>
              <w:t>, ya que al amparo de la unión aduanera</w:t>
            </w:r>
            <w:r>
              <w:rPr>
                <w:sz w:val="14"/>
                <w:szCs w:val="14"/>
              </w:rPr>
              <w:t>, se crea y sobrevive una empresa que, sin la unión, sería desplazada por la producción del resto del mundo</w:t>
            </w:r>
            <w:r w:rsidRPr="00FE368C">
              <w:rPr>
                <w:sz w:val="14"/>
                <w:szCs w:val="14"/>
              </w:rPr>
              <w:t>.</w:t>
            </w:r>
          </w:p>
        </w:tc>
        <w:tc>
          <w:tcPr>
            <w:tcW w:w="426" w:type="dxa"/>
            <w:vAlign w:val="center"/>
          </w:tcPr>
          <w:p w14:paraId="72BD89D6" w14:textId="77777777" w:rsidR="006B6420" w:rsidRPr="00055B12" w:rsidRDefault="006B6420" w:rsidP="00055B12">
            <w:pPr>
              <w:pStyle w:val="Textonotapie"/>
              <w:jc w:val="center"/>
              <w:rPr>
                <w:rFonts w:ascii="Wingdings 2" w:hAnsi="Wingdings 2"/>
                <w:color w:val="C00000"/>
              </w:rPr>
            </w:pPr>
            <w:r w:rsidRPr="00055B12">
              <w:rPr>
                <w:rFonts w:ascii="Wingdings" w:hAnsi="Wingdings"/>
                <w:color w:val="C00000"/>
              </w:rPr>
              <w:t>ü</w:t>
            </w:r>
          </w:p>
        </w:tc>
      </w:tr>
    </w:tbl>
    <w:p w14:paraId="633D5F6D" w14:textId="77777777" w:rsidR="006B6420" w:rsidRPr="00FE368C" w:rsidRDefault="006B6420" w:rsidP="006B6420">
      <w:pPr>
        <w:pStyle w:val="Textonotapie"/>
      </w:pPr>
      <w:r>
        <w:t xml:space="preserve">Los efectos serán, por tanto, inequívocamente </w:t>
      </w:r>
      <w:r>
        <w:rPr>
          <w:i/>
          <w:iCs/>
        </w:rPr>
        <w:t>negativos</w:t>
      </w:r>
      <w:r>
        <w:t>.</w:t>
      </w:r>
    </w:p>
  </w:footnote>
  <w:footnote w:id="21">
    <w:p w14:paraId="52C9A566" w14:textId="77777777" w:rsidR="007D1A4F" w:rsidRDefault="007D1A4F" w:rsidP="007D1A4F">
      <w:pPr>
        <w:pStyle w:val="Textonotapie"/>
      </w:pPr>
      <w:r>
        <w:rPr>
          <w:rStyle w:val="Refdenotaalpie"/>
        </w:rPr>
        <w:footnoteRef/>
      </w:r>
      <w:r>
        <w:t xml:space="preserve"> </w:t>
      </w:r>
      <w:r w:rsidRPr="00A02994">
        <w:rPr>
          <w:spacing w:val="-1"/>
        </w:rPr>
        <w:t xml:space="preserve">Las ubicaciones originales de la industria pesada (Pittsburgh en </w:t>
      </w:r>
      <w:r>
        <w:rPr>
          <w:spacing w:val="-1"/>
        </w:rPr>
        <w:t>Estados Unidos</w:t>
      </w:r>
      <w:r w:rsidRPr="00A02994">
        <w:rPr>
          <w:spacing w:val="-1"/>
        </w:rPr>
        <w:t xml:space="preserve">, Birmingham en Inglaterra y la cuenca del </w:t>
      </w:r>
      <w:proofErr w:type="spellStart"/>
      <w:r w:rsidRPr="00A02994">
        <w:rPr>
          <w:spacing w:val="-1"/>
        </w:rPr>
        <w:t>Rühr</w:t>
      </w:r>
      <w:proofErr w:type="spellEnd"/>
      <w:r w:rsidRPr="00A02994">
        <w:rPr>
          <w:spacing w:val="-1"/>
        </w:rPr>
        <w:t xml:space="preserve"> en Alemania)</w:t>
      </w:r>
      <w:r>
        <w:t>, reflejan la necesidad de que la producción de hierro y acero tenga lugar cerca de yacimientos de carbón y mineral ferruginoso.</w:t>
      </w:r>
    </w:p>
  </w:footnote>
  <w:footnote w:id="22">
    <w:p w14:paraId="1CDB2EF2" w14:textId="77777777" w:rsidR="007D1A4F" w:rsidRPr="00063095" w:rsidRDefault="007D1A4F" w:rsidP="007D1A4F">
      <w:pPr>
        <w:pStyle w:val="Textonotapie"/>
      </w:pPr>
      <w:r>
        <w:rPr>
          <w:rStyle w:val="Refdenotaalpie"/>
        </w:rPr>
        <w:footnoteRef/>
      </w:r>
      <w:r>
        <w:t xml:space="preserve"> Se denomina Nueva Geografía Económica ya que </w:t>
      </w:r>
      <w:r w:rsidRPr="008D08C0">
        <w:rPr>
          <w:smallCaps/>
        </w:rPr>
        <w:t>Bertil</w:t>
      </w:r>
      <w:r>
        <w:t xml:space="preserve"> </w:t>
      </w:r>
      <w:r>
        <w:rPr>
          <w:smallCaps/>
        </w:rPr>
        <w:t>Ohlin</w:t>
      </w:r>
      <w:r>
        <w:t xml:space="preserve"> (1933) ya hablaba de </w:t>
      </w:r>
      <w:r w:rsidRPr="008D08C0">
        <w:rPr>
          <w:i/>
          <w:iCs/>
        </w:rPr>
        <w:t>teoría de la localización</w:t>
      </w:r>
      <w:r>
        <w:t xml:space="preserve"> y consideraba el papel de la localización y los costes de transporte tanto en el comercio doméstico como en el comercio internacional. Por otra parte, </w:t>
      </w:r>
      <w:proofErr w:type="spellStart"/>
      <w:r>
        <w:rPr>
          <w:smallCaps/>
        </w:rPr>
        <w:t>von</w:t>
      </w:r>
      <w:proofErr w:type="spellEnd"/>
      <w:r>
        <w:rPr>
          <w:smallCaps/>
        </w:rPr>
        <w:t xml:space="preserve"> </w:t>
      </w:r>
      <w:proofErr w:type="spellStart"/>
      <w:r>
        <w:rPr>
          <w:smallCaps/>
        </w:rPr>
        <w:t>Thünen</w:t>
      </w:r>
      <w:proofErr w:type="spellEnd"/>
      <w:r>
        <w:t xml:space="preserve"> fue pionero en el análisis de la localización óptima de ciudades y </w:t>
      </w:r>
      <w:r>
        <w:rPr>
          <w:smallCaps/>
        </w:rPr>
        <w:t>Hotelling</w:t>
      </w:r>
      <w:r>
        <w:t xml:space="preserve"> en el análisis de la localización de empresas.</w:t>
      </w:r>
    </w:p>
    <w:p w14:paraId="1FA4BB2E" w14:textId="39FF615F" w:rsidR="007D1A4F" w:rsidRPr="008D08C0" w:rsidRDefault="007D1A4F" w:rsidP="007D1A4F">
      <w:pPr>
        <w:pStyle w:val="Textonotapie"/>
      </w:pPr>
      <w:r>
        <w:t xml:space="preserve">El tema fue retomado por </w:t>
      </w:r>
      <w:proofErr w:type="spellStart"/>
      <w:r>
        <w:rPr>
          <w:smallCaps/>
        </w:rPr>
        <w:t>Fujita</w:t>
      </w:r>
      <w:proofErr w:type="spellEnd"/>
      <w:r>
        <w:t xml:space="preserve">, </w:t>
      </w:r>
      <w:r>
        <w:rPr>
          <w:smallCaps/>
        </w:rPr>
        <w:t>Krugman</w:t>
      </w:r>
      <w:r>
        <w:t xml:space="preserve"> y </w:t>
      </w:r>
      <w:r>
        <w:rPr>
          <w:smallCaps/>
        </w:rPr>
        <w:t>Venables</w:t>
      </w:r>
      <w:r>
        <w:t xml:space="preserve"> a finales del siglo</w:t>
      </w:r>
      <w:r w:rsidR="00393A15">
        <w:t> </w:t>
      </w:r>
      <w:r>
        <w:t xml:space="preserve">XX. </w:t>
      </w:r>
      <w:r w:rsidRPr="00ED2612">
        <w:rPr>
          <w:smallCaps/>
        </w:rPr>
        <w:t>Krugman</w:t>
      </w:r>
      <w:r>
        <w:t xml:space="preserve"> (1991) definió </w:t>
      </w:r>
      <w:r w:rsidRPr="00ED2612">
        <w:t>la</w:t>
      </w:r>
      <w:r>
        <w:t xml:space="preserve"> </w:t>
      </w:r>
      <w:r>
        <w:rPr>
          <w:i/>
          <w:iCs/>
        </w:rPr>
        <w:t>geografía económica</w:t>
      </w:r>
      <w:r>
        <w:t xml:space="preserve"> como “la localización de la producción en el espacio; esto es, la rama de la economía que se preocupa de donde ocurren las cosas en relación unos con otras”. Bajo esta definición, la </w:t>
      </w:r>
      <w:r w:rsidRPr="008D08C0">
        <w:rPr>
          <w:i/>
          <w:iCs/>
        </w:rPr>
        <w:t>teoría de la localización</w:t>
      </w:r>
      <w:r>
        <w:t xml:space="preserve"> forma parte del amplio campo de la </w:t>
      </w:r>
      <w:r>
        <w:rPr>
          <w:i/>
          <w:iCs/>
        </w:rPr>
        <w:t>geografía económica</w:t>
      </w:r>
      <w:r>
        <w:t>, un campo que también incluiría la teoría del comercio internacional como un caso especial.</w:t>
      </w:r>
    </w:p>
  </w:footnote>
  <w:footnote w:id="23">
    <w:p w14:paraId="250B3C33" w14:textId="77777777" w:rsidR="00393A15" w:rsidRDefault="00393A15" w:rsidP="00393A15">
      <w:pPr>
        <w:pStyle w:val="Textonotapie"/>
        <w:keepNext/>
        <w:spacing w:after="0"/>
      </w:pPr>
      <w:r>
        <w:rPr>
          <w:rStyle w:val="Refdenotaalpie"/>
        </w:rPr>
        <w:footnoteRef/>
      </w:r>
      <w:r>
        <w:t xml:space="preserve"> Por simplicidad, suponemos que el gasto en cada bien es igual a la proporción de personas que trabajan en ese sector.</w:t>
      </w:r>
    </w:p>
    <w:p w14:paraId="3B1146FF" w14:textId="70E33852" w:rsidR="00393A15" w:rsidRPr="00CF39C5" w:rsidRDefault="00393A15" w:rsidP="00393A15">
      <w:pPr>
        <w:pStyle w:val="Textonotapie"/>
        <w:keepNext/>
        <w:spacing w:after="0"/>
      </w:pPr>
      <w:r>
        <w:t>Podríamos representar las preferencias mediante la siguie</w:t>
      </w:r>
      <w:r w:rsidRPr="00CF39C5">
        <w:t>nte función de utilidad</w:t>
      </w:r>
      <w:r>
        <w:t xml:space="preserve"> </w:t>
      </w:r>
      <w:r w:rsidRPr="003A4664">
        <w:rPr>
          <w:color w:val="767171" w:themeColor="background2" w:themeShade="80"/>
          <w:sz w:val="14"/>
          <w:szCs w:val="18"/>
        </w:rPr>
        <w:t>[ver tema 3.A.1</w:t>
      </w:r>
      <w:r w:rsidR="00A75C8D">
        <w:rPr>
          <w:color w:val="767171" w:themeColor="background2" w:themeShade="80"/>
          <w:sz w:val="14"/>
          <w:szCs w:val="18"/>
        </w:rPr>
        <w:t>8</w:t>
      </w:r>
      <w:r w:rsidRPr="003A4664">
        <w:rPr>
          <w:color w:val="767171" w:themeColor="background2" w:themeShade="80"/>
          <w:sz w:val="14"/>
          <w:szCs w:val="18"/>
        </w:rPr>
        <w:t>]</w:t>
      </w:r>
      <w:r w:rsidRPr="00CF39C5">
        <w:t>:</w:t>
      </w:r>
    </w:p>
    <w:p w14:paraId="20DD6FA4" w14:textId="7A9B9AD2" w:rsidR="00393A15" w:rsidRPr="00CF39C5" w:rsidRDefault="00393A15" w:rsidP="00393A15">
      <w:pPr>
        <w:pStyle w:val="Textonotapie"/>
      </w:pPr>
      <m:oMathPara>
        <m:oMath>
          <m:r>
            <w:rPr>
              <w:rFonts w:ascii="Cambria Math" w:eastAsiaTheme="minorEastAsia" w:hAnsi="Cambria Math"/>
            </w:rPr>
            <m:t xml:space="preserve"> </m:t>
          </m:r>
          <m:r>
            <m:rPr>
              <m:nor/>
            </m:rPr>
            <w:rPr>
              <w:i/>
              <w:iCs/>
            </w:rPr>
            <m:t>u</m:t>
          </m:r>
          <m:r>
            <w:rPr>
              <w:rFonts w:ascii="Cambria Math" w:hAnsi="Cambria Math"/>
            </w:rPr>
            <m:t>=</m:t>
          </m:r>
          <w:bookmarkStart w:id="70" w:name="_Hlk74514480"/>
          <m:r>
            <m:rPr>
              <m:nor/>
            </m:rPr>
            <w:rPr>
              <w:i/>
              <w:iCs/>
            </w:rPr>
            <m:t>U</m:t>
          </m:r>
          <m:d>
            <m:dPr>
              <m:ctrlPr>
                <w:rPr>
                  <w:rFonts w:ascii="Cambria Math" w:hAnsi="Cambria Math"/>
                  <w:i/>
                  <w:iCs/>
                </w:rPr>
              </m:ctrlPr>
            </m:dPr>
            <m:e>
              <m:r>
                <m:rPr>
                  <m:nor/>
                </m:rPr>
                <w:rPr>
                  <w:rFonts w:eastAsiaTheme="minorEastAsia"/>
                  <w:i/>
                </w:rPr>
                <m:t>X</m:t>
              </m:r>
              <m:r>
                <w:rPr>
                  <w:rFonts w:ascii="Cambria Math"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d>
          <w:bookmarkEnd w:id="70"/>
          <m:r>
            <w:rPr>
              <w:rFonts w:ascii="Cambria Math" w:hAnsi="Cambria Math"/>
            </w:rPr>
            <m:t>=</m:t>
          </m:r>
          <m:sSup>
            <m:sSupPr>
              <m:ctrlPr>
                <w:rPr>
                  <w:rFonts w:ascii="Cambria Math" w:eastAsiaTheme="minorEastAsia" w:hAnsi="Cambria Math"/>
                  <w:i/>
                  <w:iCs/>
                </w:rPr>
              </m:ctrlPr>
            </m:sSupPr>
            <m:e>
              <m:r>
                <m:rPr>
                  <m:nor/>
                </m:rPr>
                <w:rPr>
                  <w:rFonts w:eastAsiaTheme="minorEastAsia"/>
                  <w:i/>
                </w:rPr>
                <m:t>X</m:t>
              </m:r>
            </m:e>
            <m:sup>
              <m:r>
                <m:rPr>
                  <m:nor/>
                </m:rPr>
                <w:rPr>
                  <w:rFonts w:eastAsiaTheme="minorEastAsia"/>
                  <w:i/>
                  <w:iCs/>
                </w:rPr>
                <m:t>α</m:t>
              </m:r>
            </m:sup>
          </m:sSup>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groupChr>
                    </m:e>
                    <m:lim>
                      <m:r>
                        <m:rPr>
                          <m:nor/>
                        </m:rPr>
                        <w:rPr>
                          <w:rFonts w:eastAsiaTheme="minorEastAsia"/>
                          <w:i/>
                        </w:rPr>
                        <m:t>Y</m:t>
                      </m:r>
                    </m:lim>
                  </m:limLow>
                </m:e>
              </m:d>
            </m:e>
            <m:sup>
              <m:r>
                <m:rPr>
                  <m:nor/>
                </m:rPr>
                <w:rPr>
                  <w:rFonts w:eastAsiaTheme="minorEastAsia"/>
                  <w:i/>
                  <w:iCs/>
                </w:rPr>
                <m:t>1</m:t>
              </m:r>
              <m:r>
                <w:rPr>
                  <w:rFonts w:ascii="Cambria Math" w:eastAsiaTheme="minorEastAsia" w:hAnsi="Cambria Math"/>
                </w:rPr>
                <m:t>-</m:t>
              </m:r>
              <m:r>
                <m:rPr>
                  <m:nor/>
                </m:rPr>
                <w:rPr>
                  <w:rFonts w:eastAsiaTheme="minorEastAsia"/>
                  <w:i/>
                  <w:iCs/>
                </w:rPr>
                <m:t>α</m:t>
              </m:r>
            </m:sup>
          </m:sSup>
        </m:oMath>
      </m:oMathPara>
    </w:p>
  </w:footnote>
  <w:footnote w:id="24">
    <w:p w14:paraId="6A10B999" w14:textId="77777777" w:rsidR="00393A15" w:rsidRDefault="00393A15" w:rsidP="00393A15">
      <w:pPr>
        <w:pStyle w:val="Textonotapie"/>
        <w:keepNext/>
        <w:spacing w:after="0"/>
        <w:rPr>
          <w:szCs w:val="16"/>
        </w:rPr>
      </w:pPr>
      <w:r w:rsidRPr="00EB02A8">
        <w:rPr>
          <w:rStyle w:val="Refdenotaalpie"/>
          <w:szCs w:val="16"/>
        </w:rPr>
        <w:footnoteRef/>
      </w:r>
      <w:r>
        <w:rPr>
          <w:szCs w:val="16"/>
        </w:rPr>
        <w:t xml:space="preserve"> Esta condición sale de las siguientes operaciones:</w:t>
      </w:r>
    </w:p>
    <w:p w14:paraId="1EAD0650" w14:textId="77777777" w:rsidR="00393A15" w:rsidRPr="006A6B37" w:rsidRDefault="00393A15" w:rsidP="00393A15">
      <w:pPr>
        <w:pStyle w:val="Textonotapie"/>
        <w:spacing w:after="0"/>
        <w:rPr>
          <w:szCs w:val="16"/>
        </w:rPr>
      </w:pPr>
      <m:oMathPara>
        <m:oMath>
          <m:r>
            <m:rPr>
              <m:nor/>
            </m:rPr>
            <w:rPr>
              <w:rFonts w:ascii="Cambria Math"/>
              <w:szCs w:val="16"/>
            </w:rPr>
            <m:t xml:space="preserve"> </m:t>
          </m:r>
          <m:r>
            <m:rPr>
              <m:nor/>
            </m:rPr>
            <w:rPr>
              <w:i/>
              <w:iCs/>
              <w:szCs w:val="16"/>
            </w:rPr>
            <m:t>π</m:t>
          </m:r>
          <m:r>
            <w:rPr>
              <w:rFonts w:ascii="Cambria Math" w:hAnsi="Cambria Math"/>
              <w:szCs w:val="16"/>
            </w:rPr>
            <m:t>=</m:t>
          </m:r>
          <m:r>
            <m:rPr>
              <m:nor/>
            </m:rPr>
            <w:rPr>
              <w:i/>
              <w:iCs/>
              <w:szCs w:val="16"/>
            </w:rPr>
            <m:t>p</m:t>
          </m:r>
          <m:r>
            <w:rPr>
              <w:rFonts w:ascii="Cambria Math" w:hAnsi="Cambria Math"/>
              <w:szCs w:val="16"/>
            </w:rPr>
            <m:t>∙</m:t>
          </m:r>
          <m:r>
            <m:rPr>
              <m:nor/>
            </m:rPr>
            <w:rPr>
              <w:i/>
              <w:iCs/>
              <w:szCs w:val="16"/>
            </w:rPr>
            <m:t>q</m:t>
          </m:r>
          <m:r>
            <w:rPr>
              <w:rFonts w:ascii="Cambria Math" w:eastAsiaTheme="minorEastAsia" w:hAnsi="Cambria Math"/>
              <w:szCs w:val="16"/>
            </w:rPr>
            <m:t>-</m:t>
          </m:r>
          <m:d>
            <m:dPr>
              <m:ctrlPr>
                <w:rPr>
                  <w:rFonts w:ascii="Cambria Math" w:hAnsi="Cambria Math"/>
                  <w:i/>
                  <w:iCs/>
                  <w:szCs w:val="16"/>
                </w:rPr>
              </m:ctrlPr>
            </m:dPr>
            <m:e>
              <m:r>
                <m:rPr>
                  <m:nor/>
                </m:rPr>
                <w:rPr>
                  <w:i/>
                  <w:iCs/>
                  <w:szCs w:val="16"/>
                </w:rPr>
                <m:t>c</m:t>
              </m:r>
              <m:r>
                <w:rPr>
                  <w:rFonts w:ascii="Cambria Math" w:hAnsi="Cambria Math"/>
                  <w:szCs w:val="16"/>
                </w:rPr>
                <m:t>∙</m:t>
              </m:r>
              <m:r>
                <m:rPr>
                  <m:nor/>
                </m:rPr>
                <w:rPr>
                  <w:i/>
                  <w:iCs/>
                  <w:szCs w:val="16"/>
                </w:rPr>
                <m:t>q</m:t>
              </m:r>
              <m:r>
                <w:rPr>
                  <w:rFonts w:ascii="Cambria Math" w:eastAsiaTheme="minorEastAsia" w:hAnsi="Cambria Math"/>
                  <w:szCs w:val="16"/>
                </w:rPr>
                <m:t>+</m:t>
              </m:r>
              <m:r>
                <m:rPr>
                  <m:nor/>
                </m:rPr>
                <w:rPr>
                  <w:i/>
                  <w:iCs/>
                  <w:szCs w:val="16"/>
                </w:rPr>
                <m:t>F</m:t>
              </m:r>
            </m:e>
          </m:d>
          <m:r>
            <w:rPr>
              <w:rFonts w:ascii="Cambria Math" w:hAnsi="Cambria Math"/>
              <w:szCs w:val="16"/>
            </w:rPr>
            <m:t>∙</m:t>
          </m:r>
          <m:r>
            <m:rPr>
              <m:nor/>
            </m:rPr>
            <w:rPr>
              <w:i/>
              <w:iCs/>
              <w:szCs w:val="16"/>
            </w:rPr>
            <m:t>w</m:t>
          </m:r>
          <m:r>
            <w:rPr>
              <w:rFonts w:ascii="Cambria Math" w:hAnsi="Cambria Math"/>
              <w:szCs w:val="16"/>
            </w:rPr>
            <m:t>=</m:t>
          </m:r>
          <m:r>
            <m:rPr>
              <m:nor/>
            </m:rPr>
            <w:rPr>
              <w:i/>
              <w:iCs/>
              <w:szCs w:val="16"/>
            </w:rPr>
            <m:t>0</m:t>
          </m:r>
          <m:r>
            <w:rPr>
              <w:rFonts w:ascii="Cambria Math" w:eastAsiaTheme="minorEastAsia" w:hAnsi="Cambria Math"/>
              <w:szCs w:val="16"/>
            </w:rPr>
            <m:t>⟹</m:t>
          </m:r>
          <m:r>
            <m:rPr>
              <m:nor/>
            </m:rPr>
            <w:rPr>
              <w:i/>
              <w:iCs/>
              <w:szCs w:val="16"/>
            </w:rPr>
            <m:t>q</m:t>
          </m:r>
          <m:r>
            <w:rPr>
              <w:rFonts w:ascii="Cambria Math" w:hAnsi="Cambria Math"/>
              <w:szCs w:val="16"/>
            </w:rPr>
            <m:t>∙</m:t>
          </m:r>
          <m:d>
            <m:dPr>
              <m:ctrlPr>
                <w:rPr>
                  <w:rFonts w:ascii="Cambria Math" w:hAnsi="Cambria Math"/>
                  <w:i/>
                  <w:szCs w:val="16"/>
                </w:rPr>
              </m:ctrlPr>
            </m:dPr>
            <m:e>
              <m:r>
                <m:rPr>
                  <m:nor/>
                </m:rPr>
                <w:rPr>
                  <w:i/>
                  <w:iCs/>
                  <w:szCs w:val="16"/>
                </w:rPr>
                <m:t>p</m:t>
              </m:r>
              <m:r>
                <w:rPr>
                  <w:rFonts w:ascii="Cambria Math" w:eastAsiaTheme="minorEastAsia" w:hAnsi="Cambria Math"/>
                  <w:szCs w:val="16"/>
                </w:rPr>
                <m:t>-</m:t>
              </m:r>
              <m:r>
                <m:rPr>
                  <m:nor/>
                </m:rPr>
                <w:rPr>
                  <w:i/>
                  <w:iCs/>
                  <w:szCs w:val="16"/>
                </w:rPr>
                <m:t>c</m:t>
              </m:r>
              <m:r>
                <w:rPr>
                  <w:rFonts w:ascii="Cambria Math" w:hAnsi="Cambria Math"/>
                  <w:szCs w:val="16"/>
                </w:rPr>
                <m:t>∙</m:t>
              </m:r>
              <m:r>
                <m:rPr>
                  <m:nor/>
                </m:rPr>
                <w:rPr>
                  <w:i/>
                  <w:iCs/>
                  <w:szCs w:val="16"/>
                </w:rPr>
                <m:t>w</m:t>
              </m:r>
            </m:e>
          </m:d>
          <m:r>
            <w:rPr>
              <w:rFonts w:ascii="Cambria Math" w:hAnsi="Cambria Math"/>
              <w:szCs w:val="16"/>
            </w:rPr>
            <m:t>=</m:t>
          </m:r>
          <m:r>
            <m:rPr>
              <m:nor/>
            </m:rPr>
            <w:rPr>
              <w:i/>
              <w:iCs/>
              <w:szCs w:val="16"/>
            </w:rPr>
            <m:t>F</m:t>
          </m:r>
          <m:r>
            <w:rPr>
              <w:rFonts w:ascii="Cambria Math" w:hAnsi="Cambria Math"/>
              <w:szCs w:val="16"/>
            </w:rPr>
            <m:t>∙</m:t>
          </m:r>
          <m:r>
            <m:rPr>
              <m:nor/>
            </m:rPr>
            <w:rPr>
              <w:i/>
              <w:iCs/>
              <w:szCs w:val="16"/>
            </w:rPr>
            <m:t>w</m:t>
          </m:r>
          <m:r>
            <w:rPr>
              <w:rFonts w:ascii="Cambria Math" w:eastAsiaTheme="minorEastAsia" w:hAnsi="Cambria Math"/>
              <w:szCs w:val="16"/>
            </w:rPr>
            <m:t>⟹</m:t>
          </m:r>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d>
                <m:dPr>
                  <m:ctrlPr>
                    <w:rPr>
                      <w:rFonts w:ascii="Cambria Math" w:hAnsi="Cambria Math"/>
                      <w:i/>
                      <w:iCs/>
                      <w:szCs w:val="16"/>
                    </w:rPr>
                  </m:ctrlPr>
                </m:dPr>
                <m:e>
                  <m:r>
                    <m:rPr>
                      <m:nor/>
                    </m:rPr>
                    <w:rPr>
                      <w:i/>
                      <w:iCs/>
                      <w:szCs w:val="16"/>
                    </w:rPr>
                    <m:t>F</m:t>
                  </m:r>
                  <m:r>
                    <w:rPr>
                      <w:rFonts w:ascii="Cambria Math" w:hAnsi="Cambria Math"/>
                      <w:szCs w:val="16"/>
                    </w:rPr>
                    <m:t>∙</m:t>
                  </m:r>
                  <m:r>
                    <m:rPr>
                      <m:nor/>
                    </m:rPr>
                    <w:rPr>
                      <w:i/>
                      <w:iCs/>
                      <w:szCs w:val="16"/>
                    </w:rPr>
                    <m:t>w</m:t>
                  </m:r>
                </m:e>
              </m:d>
            </m:num>
            <m:den>
              <m:d>
                <m:dPr>
                  <m:ctrlPr>
                    <w:rPr>
                      <w:rFonts w:ascii="Cambria Math" w:hAnsi="Cambria Math"/>
                      <w:i/>
                      <w:iCs/>
                      <w:szCs w:val="16"/>
                    </w:rPr>
                  </m:ctrlPr>
                </m:dPr>
                <m:e>
                  <m:limLow>
                    <m:limLowPr>
                      <m:ctrlPr>
                        <w:rPr>
                          <w:rFonts w:ascii="Cambria Math" w:hAnsi="Cambria Math"/>
                          <w:i/>
                          <w:iCs/>
                          <w:szCs w:val="16"/>
                        </w:rPr>
                      </m:ctrlPr>
                    </m:limLowPr>
                    <m:e>
                      <m:groupChr>
                        <m:groupChrPr>
                          <m:ctrlPr>
                            <w:rPr>
                              <w:rFonts w:ascii="Cambria Math" w:hAnsi="Cambria Math"/>
                              <w:i/>
                              <w:iCs/>
                              <w:szCs w:val="16"/>
                            </w:rPr>
                          </m:ctrlPr>
                        </m:groupChrPr>
                        <m:e>
                          <m:r>
                            <m:rPr>
                              <m:nor/>
                            </m:rPr>
                            <w:rPr>
                              <w:i/>
                              <w:iCs/>
                              <w:szCs w:val="16"/>
                            </w:rPr>
                            <m:t>p</m:t>
                          </m:r>
                        </m:e>
                      </m:groupChr>
                    </m:e>
                    <m:lim>
                      <m:f>
                        <m:fPr>
                          <m:ctrlPr>
                            <w:rPr>
                              <w:rFonts w:ascii="Cambria Math" w:eastAsiaTheme="minorEastAsia" w:hAnsi="Cambria Math"/>
                              <w:i/>
                              <w:iCs/>
                              <w:szCs w:val="16"/>
                            </w:rPr>
                          </m:ctrlPr>
                        </m:fPr>
                        <m:num>
                          <m:r>
                            <m:rPr>
                              <m:nor/>
                            </m:rPr>
                            <w:rPr>
                              <w:rFonts w:eastAsiaTheme="minorEastAsia"/>
                              <w:i/>
                              <w:iCs/>
                              <w:szCs w:val="16"/>
                            </w:rPr>
                            <m:t>σ</m:t>
                          </m:r>
                        </m:num>
                        <m:den>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den>
                      </m:f>
                      <m:r>
                        <w:rPr>
                          <w:rFonts w:ascii="Cambria Math" w:hAnsi="Cambria Math"/>
                          <w:szCs w:val="16"/>
                        </w:rPr>
                        <m:t>∙</m:t>
                      </m:r>
                      <m:r>
                        <m:rPr>
                          <m:nor/>
                        </m:rPr>
                        <w:rPr>
                          <w:i/>
                          <w:iCs/>
                          <w:szCs w:val="16"/>
                        </w:rPr>
                        <m:t>c</m:t>
                      </m:r>
                      <m:r>
                        <w:rPr>
                          <w:rFonts w:ascii="Cambria Math" w:hAnsi="Cambria Math"/>
                          <w:szCs w:val="16"/>
                        </w:rPr>
                        <m:t>∙</m:t>
                      </m:r>
                      <m:r>
                        <m:rPr>
                          <m:nor/>
                        </m:rPr>
                        <w:rPr>
                          <w:i/>
                          <w:szCs w:val="16"/>
                        </w:rPr>
                        <m:t>w</m:t>
                      </m:r>
                    </m:lim>
                  </m:limLow>
                  <m:r>
                    <w:rPr>
                      <w:rFonts w:ascii="Cambria Math" w:eastAsiaTheme="minorEastAsia" w:hAnsi="Cambria Math"/>
                      <w:szCs w:val="16"/>
                    </w:rPr>
                    <m:t>-</m:t>
                  </m:r>
                  <m:r>
                    <m:rPr>
                      <m:nor/>
                    </m:rPr>
                    <w:rPr>
                      <w:i/>
                      <w:iCs/>
                      <w:szCs w:val="16"/>
                    </w:rPr>
                    <m:t>c</m:t>
                  </m:r>
                  <m:r>
                    <w:rPr>
                      <w:rFonts w:ascii="Cambria Math" w:hAnsi="Cambria Math"/>
                      <w:szCs w:val="16"/>
                    </w:rPr>
                    <m:t>∙</m:t>
                  </m:r>
                  <m:r>
                    <m:rPr>
                      <m:nor/>
                    </m:rPr>
                    <w:rPr>
                      <w:i/>
                      <w:iCs/>
                      <w:szCs w:val="16"/>
                    </w:rPr>
                    <m:t>w</m:t>
                  </m:r>
                </m:e>
              </m:d>
            </m:den>
          </m:f>
          <m:r>
            <w:rPr>
              <w:rFonts w:ascii="Cambria Math" w:eastAsiaTheme="minorEastAsia" w:hAnsi="Cambria Math"/>
              <w:szCs w:val="16"/>
            </w:rPr>
            <m:t>⟹</m:t>
          </m:r>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d>
                <m:dPr>
                  <m:ctrlPr>
                    <w:rPr>
                      <w:rFonts w:ascii="Cambria Math" w:hAnsi="Cambria Math"/>
                      <w:i/>
                      <w:iCs/>
                      <w:szCs w:val="16"/>
                    </w:rPr>
                  </m:ctrlPr>
                </m:dPr>
                <m:e>
                  <m:r>
                    <m:rPr>
                      <m:nor/>
                    </m:rPr>
                    <w:rPr>
                      <w:i/>
                      <w:iCs/>
                      <w:szCs w:val="16"/>
                    </w:rPr>
                    <m:t>F</m:t>
                  </m:r>
                  <m:r>
                    <w:rPr>
                      <w:rFonts w:ascii="Cambria Math" w:hAnsi="Cambria Math"/>
                      <w:szCs w:val="16"/>
                    </w:rPr>
                    <m:t>∙</m:t>
                  </m:r>
                  <m:r>
                    <m:rPr>
                      <m:nor/>
                    </m:rPr>
                    <w:rPr>
                      <w:i/>
                      <w:iCs/>
                      <w:szCs w:val="16"/>
                    </w:rPr>
                    <m:t>w</m:t>
                  </m:r>
                </m:e>
              </m:d>
            </m:num>
            <m:den>
              <m:d>
                <m:dPr>
                  <m:ctrlPr>
                    <w:rPr>
                      <w:rFonts w:ascii="Cambria Math" w:hAnsi="Cambria Math"/>
                      <w:i/>
                      <w:iCs/>
                      <w:szCs w:val="16"/>
                    </w:rPr>
                  </m:ctrlPr>
                </m:dPr>
                <m:e>
                  <m:r>
                    <m:rPr>
                      <m:nor/>
                    </m:rPr>
                    <w:rPr>
                      <w:i/>
                      <w:iCs/>
                      <w:szCs w:val="16"/>
                    </w:rPr>
                    <m:t>c</m:t>
                  </m:r>
                  <m:r>
                    <w:rPr>
                      <w:rFonts w:ascii="Cambria Math" w:hAnsi="Cambria Math"/>
                      <w:szCs w:val="16"/>
                    </w:rPr>
                    <m:t>∙</m:t>
                  </m:r>
                  <m:r>
                    <m:rPr>
                      <m:nor/>
                    </m:rPr>
                    <w:rPr>
                      <w:i/>
                      <w:szCs w:val="16"/>
                    </w:rPr>
                    <m:t>w</m:t>
                  </m:r>
                  <m:r>
                    <w:rPr>
                      <w:rFonts w:ascii="Cambria Math" w:hAnsi="Cambria Math"/>
                      <w:szCs w:val="16"/>
                    </w:rPr>
                    <m:t>∙</m:t>
                  </m:r>
                  <m:d>
                    <m:dPr>
                      <m:ctrlPr>
                        <w:rPr>
                          <w:rFonts w:ascii="Cambria Math" w:hAnsi="Cambria Math"/>
                          <w:i/>
                          <w:iCs/>
                          <w:szCs w:val="16"/>
                        </w:rPr>
                      </m:ctrlPr>
                    </m:dPr>
                    <m:e>
                      <m:f>
                        <m:fPr>
                          <m:ctrlPr>
                            <w:rPr>
                              <w:rFonts w:ascii="Cambria Math" w:eastAsiaTheme="minorEastAsia" w:hAnsi="Cambria Math"/>
                              <w:i/>
                              <w:iCs/>
                              <w:szCs w:val="16"/>
                            </w:rPr>
                          </m:ctrlPr>
                        </m:fPr>
                        <m:num>
                          <m:r>
                            <m:rPr>
                              <m:nor/>
                            </m:rPr>
                            <w:rPr>
                              <w:rFonts w:eastAsiaTheme="minorEastAsia"/>
                              <w:i/>
                              <w:iCs/>
                              <w:szCs w:val="16"/>
                            </w:rPr>
                            <m:t>σ</m:t>
                          </m:r>
                        </m:num>
                        <m:den>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den>
                      </m:f>
                      <m:r>
                        <w:rPr>
                          <w:rFonts w:ascii="Cambria Math" w:eastAsiaTheme="minorEastAsia" w:hAnsi="Cambria Math"/>
                          <w:szCs w:val="16"/>
                        </w:rPr>
                        <m:t>-</m:t>
                      </m:r>
                      <m:r>
                        <m:rPr>
                          <m:nor/>
                        </m:rPr>
                        <w:rPr>
                          <w:i/>
                          <w:iCs/>
                          <w:szCs w:val="16"/>
                        </w:rPr>
                        <m:t>1</m:t>
                      </m:r>
                    </m:e>
                  </m:d>
                </m:e>
              </m:d>
            </m:den>
          </m:f>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borderBox>
            <m:borderBoxPr>
              <m:ctrlPr>
                <w:rPr>
                  <w:rFonts w:ascii="Cambria Math" w:hAnsi="Cambria Math"/>
                  <w:i/>
                  <w:iCs/>
                  <w:szCs w:val="16"/>
                </w:rPr>
              </m:ctrlPr>
            </m:borderBoxPr>
            <m:e>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r>
                    <m:rPr>
                      <m:nor/>
                    </m:rPr>
                    <w:rPr>
                      <w:i/>
                      <w:iCs/>
                      <w:szCs w:val="16"/>
                    </w:rPr>
                    <m:t>F</m:t>
                  </m:r>
                </m:num>
                <m:den>
                  <m:r>
                    <m:rPr>
                      <m:nor/>
                    </m:rPr>
                    <w:rPr>
                      <w:i/>
                      <w:iCs/>
                      <w:szCs w:val="16"/>
                    </w:rPr>
                    <m:t>c</m:t>
                  </m:r>
                </m:den>
              </m:f>
              <m:r>
                <w:rPr>
                  <w:rFonts w:ascii="Cambria Math" w:hAnsi="Cambria Math"/>
                  <w:szCs w:val="16"/>
                </w:rPr>
                <m:t>∙</m:t>
              </m:r>
              <m:d>
                <m:dPr>
                  <m:ctrlPr>
                    <w:rPr>
                      <w:rFonts w:ascii="Cambria Math" w:hAnsi="Cambria Math"/>
                      <w:i/>
                      <w:iCs/>
                      <w:szCs w:val="16"/>
                    </w:rPr>
                  </m:ctrlPr>
                </m:dPr>
                <m:e>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e>
              </m:d>
            </m:e>
          </m:borderBox>
        </m:oMath>
      </m:oMathPara>
    </w:p>
    <w:p w14:paraId="6ED7FBD5" w14:textId="77777777" w:rsidR="00393A15" w:rsidRDefault="00393A15" w:rsidP="00393A15">
      <w:pPr>
        <w:pStyle w:val="Textonotapie"/>
      </w:pPr>
      <w:r w:rsidRPr="00CF39C5">
        <w:t>El nivel de producción es el mismo para todas las empresas en cua</w:t>
      </w:r>
      <w:r>
        <w:t>lquier región, por lo que hemos obviado el subíndice.</w:t>
      </w:r>
    </w:p>
  </w:footnote>
  <w:footnote w:id="25">
    <w:p w14:paraId="6EE5133C" w14:textId="285EAE29" w:rsidR="00393A15" w:rsidRPr="009405FD" w:rsidRDefault="00393A15" w:rsidP="00393A15">
      <w:pPr>
        <w:pStyle w:val="Textonotapie"/>
        <w:keepNext/>
        <w:spacing w:after="0"/>
      </w:pPr>
      <w:r>
        <w:rPr>
          <w:rStyle w:val="Refdenotaalpie"/>
        </w:rPr>
        <w:footnoteRef/>
      </w:r>
      <w:r w:rsidRPr="009405FD">
        <w:t xml:space="preserve"> </w:t>
      </w:r>
      <m:oMath>
        <m:sSub>
          <m:sSubPr>
            <m:ctrlPr>
              <w:rPr>
                <w:rFonts w:ascii="Cambria Math" w:hAnsi="Cambria Math"/>
                <w:i/>
              </w:rPr>
            </m:ctrlPr>
          </m:sSubPr>
          <m:e>
            <m:r>
              <m:rPr>
                <m:nor/>
              </m:rPr>
              <w:rPr>
                <w:i/>
                <w:iCs/>
                <w:lang w:val="en-US"/>
              </w:rPr>
              <m:t>ω</m:t>
            </m:r>
          </m:e>
          <m:sub>
            <m:r>
              <m:rPr>
                <m:nor/>
              </m:rPr>
              <w:rPr>
                <w:i/>
              </w:rPr>
              <m:t>i</m:t>
            </m:r>
          </m:sub>
        </m:sSub>
      </m:oMath>
      <w:r>
        <w:rPr>
          <w:rFonts w:eastAsiaTheme="minorEastAsia"/>
        </w:rPr>
        <w:t xml:space="preserve"> e</w:t>
      </w:r>
      <w:r w:rsidRPr="009405FD">
        <w:t>s el salario real en la región</w:t>
      </w:r>
      <w:r w:rsidR="003114C5">
        <w:t> </w:t>
      </w:r>
      <w:r w:rsidRPr="009405FD">
        <w:rPr>
          <w:i/>
          <w:iCs/>
        </w:rPr>
        <w:t>i</w:t>
      </w:r>
      <w:r w:rsidRPr="009405FD">
        <w:t>:</w:t>
      </w:r>
    </w:p>
    <w:p w14:paraId="651FE48C" w14:textId="77777777" w:rsidR="00393A15" w:rsidRPr="00A344DE" w:rsidRDefault="00000000" w:rsidP="00393A15">
      <w:pPr>
        <w:pStyle w:val="Textonotapie"/>
        <w:keepNext/>
        <w:spacing w:after="0"/>
        <w:rPr>
          <w:rFonts w:eastAsiaTheme="minorEastAsia"/>
          <w:lang w:val="en-US"/>
        </w:rPr>
      </w:pPr>
      <m:oMathPara>
        <m:oMath>
          <m:sSub>
            <m:sSubPr>
              <m:ctrlPr>
                <w:rPr>
                  <w:rFonts w:ascii="Cambria Math" w:hAnsi="Cambria Math"/>
                  <w:i/>
                </w:rPr>
              </m:ctrlPr>
            </m:sSubPr>
            <m:e>
              <m:r>
                <m:rPr>
                  <m:nor/>
                </m:rPr>
                <w:rPr>
                  <w:i/>
                  <w:iCs/>
                  <w:lang w:val="en-US"/>
                </w:rPr>
                <m:t>ω</m:t>
              </m:r>
            </m:e>
            <m:sub>
              <m:r>
                <m:rPr>
                  <m:nor/>
                </m:rPr>
                <w:rPr>
                  <w:i/>
                  <w:lang w:val="en-US"/>
                </w:rPr>
                <m:t>i</m:t>
              </m:r>
            </m:sub>
          </m:sSub>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iCs/>
                      <w:lang w:val="en-US"/>
                    </w:rPr>
                    <m:t>w</m:t>
                  </m:r>
                </m:e>
                <m:sub>
                  <m:r>
                    <m:rPr>
                      <m:nor/>
                    </m:rPr>
                    <w:rPr>
                      <w:i/>
                      <w:lang w:val="en-US"/>
                    </w:rPr>
                    <m:t>i</m:t>
                  </m:r>
                </m:sub>
              </m:sSub>
            </m:num>
            <m:den>
              <m:sSup>
                <m:sSupPr>
                  <m:ctrlPr>
                    <w:rPr>
                      <w:rFonts w:ascii="Cambria Math" w:hAnsi="Cambria Math"/>
                      <w:i/>
                    </w:rPr>
                  </m:ctrlPr>
                </m:sSupPr>
                <m:e>
                  <m:sSub>
                    <m:sSubPr>
                      <m:ctrlPr>
                        <w:rPr>
                          <w:rFonts w:ascii="Cambria Math" w:hAnsi="Cambria Math"/>
                          <w:i/>
                        </w:rPr>
                      </m:ctrlPr>
                    </m:sSubPr>
                    <m:e>
                      <m:r>
                        <m:rPr>
                          <m:nor/>
                        </m:rPr>
                        <w:rPr>
                          <w:i/>
                          <w:iCs/>
                          <w:lang w:val="en-US"/>
                        </w:rPr>
                        <m:t>P</m:t>
                      </m:r>
                    </m:e>
                    <m:sub>
                      <m:r>
                        <m:rPr>
                          <m:nor/>
                        </m:rPr>
                        <w:rPr>
                          <w:i/>
                          <w:lang w:val="en-US"/>
                        </w:rPr>
                        <m:t>X</m:t>
                      </m:r>
                    </m:sub>
                  </m:sSub>
                </m:e>
                <m:sup>
                  <m:d>
                    <m:dPr>
                      <m:ctrlPr>
                        <w:rPr>
                          <w:rFonts w:ascii="Cambria Math" w:eastAsiaTheme="minorEastAsia" w:hAnsi="Cambria Math"/>
                          <w:i/>
                        </w:rPr>
                      </m:ctrlPr>
                    </m:dPr>
                    <m:e>
                      <m:r>
                        <m:rPr>
                          <m:nor/>
                        </m:rPr>
                        <w:rPr>
                          <w:rFonts w:eastAsiaTheme="minorEastAsia"/>
                          <w:i/>
                          <w:lang w:val="en-US"/>
                        </w:rPr>
                        <m:t>1</m:t>
                      </m:r>
                      <m:r>
                        <w:rPr>
                          <w:rFonts w:ascii="Cambria Math" w:eastAsiaTheme="minorEastAsia" w:hAnsi="Cambria Math"/>
                          <w:lang w:val="en-US"/>
                        </w:rPr>
                        <m:t>-</m:t>
                      </m:r>
                      <m:r>
                        <m:rPr>
                          <m:nor/>
                        </m:rPr>
                        <w:rPr>
                          <w:rFonts w:eastAsiaTheme="minorEastAsia"/>
                          <w:i/>
                        </w:rPr>
                        <m:t>γ</m:t>
                      </m:r>
                    </m:e>
                  </m:d>
                </m:sup>
              </m:sSup>
              <m:r>
                <w:rPr>
                  <w:rFonts w:ascii="Cambria Math" w:hAnsi="Cambria Math"/>
                  <w:lang w:val="en-US"/>
                </w:rPr>
                <m:t>∙</m:t>
              </m:r>
              <m:sSup>
                <m:sSupPr>
                  <m:ctrlPr>
                    <w:rPr>
                      <w:rFonts w:ascii="Cambria Math" w:hAnsi="Cambria Math"/>
                      <w:i/>
                    </w:rPr>
                  </m:ctrlPr>
                </m:sSupPr>
                <m:e>
                  <m:sSub>
                    <m:sSubPr>
                      <m:ctrlPr>
                        <w:rPr>
                          <w:rFonts w:ascii="Cambria Math" w:hAnsi="Cambria Math"/>
                          <w:i/>
                        </w:rPr>
                      </m:ctrlPr>
                    </m:sSubPr>
                    <m:e>
                      <m:r>
                        <m:rPr>
                          <m:nor/>
                        </m:rPr>
                        <w:rPr>
                          <w:i/>
                          <w:iCs/>
                          <w:lang w:val="en-US"/>
                        </w:rPr>
                        <m:t>P</m:t>
                      </m:r>
                    </m:e>
                    <m:sub>
                      <m:r>
                        <m:rPr>
                          <m:nor/>
                        </m:rPr>
                        <w:rPr>
                          <w:i/>
                          <w:lang w:val="en-US"/>
                        </w:rPr>
                        <m:t>i</m:t>
                      </m:r>
                    </m:sub>
                  </m:sSub>
                </m:e>
                <m:sup>
                  <m:r>
                    <m:rPr>
                      <m:nor/>
                    </m:rPr>
                    <w:rPr>
                      <w:rFonts w:eastAsiaTheme="minorEastAsia"/>
                      <w:i/>
                    </w:rPr>
                    <m:t>γ</m:t>
                  </m:r>
                </m:sup>
              </m:sSup>
            </m:den>
          </m:f>
        </m:oMath>
      </m:oMathPara>
    </w:p>
    <w:p w14:paraId="138FC387" w14:textId="6AE33CEE" w:rsidR="00393A15" w:rsidRPr="006A6B37" w:rsidRDefault="00393A15" w:rsidP="00393A15">
      <w:pPr>
        <w:pStyle w:val="Textonotapie"/>
        <w:rPr>
          <w:rFonts w:eastAsiaTheme="minorEastAsia"/>
        </w:rPr>
      </w:pPr>
      <w:r w:rsidRPr="009405FD">
        <w:rPr>
          <w:rFonts w:eastAsiaTheme="minorEastAsia"/>
        </w:rPr>
        <w:t xml:space="preserve">donde </w:t>
      </w:r>
      <m:oMath>
        <m:sSub>
          <m:sSubPr>
            <m:ctrlPr>
              <w:rPr>
                <w:rFonts w:ascii="Cambria Math" w:hAnsi="Cambria Math"/>
                <w:i/>
              </w:rPr>
            </m:ctrlPr>
          </m:sSubPr>
          <m:e>
            <m:r>
              <m:rPr>
                <m:nor/>
              </m:rPr>
              <w:rPr>
                <w:i/>
                <w:iCs/>
              </w:rPr>
              <m:t>P</m:t>
            </m:r>
          </m:e>
          <m:sub>
            <m:r>
              <m:rPr>
                <m:nor/>
              </m:rPr>
              <w:rPr>
                <w:i/>
              </w:rPr>
              <m:t>i</m:t>
            </m:r>
          </m:sub>
        </m:sSub>
      </m:oMath>
      <w:r w:rsidRPr="009405FD">
        <w:rPr>
          <w:rFonts w:eastAsiaTheme="minorEastAsia"/>
        </w:rPr>
        <w:t xml:space="preserve"> es el índice de</w:t>
      </w:r>
      <w:r>
        <w:rPr>
          <w:rFonts w:eastAsiaTheme="minorEastAsia"/>
        </w:rPr>
        <w:t xml:space="preserve"> precios de todas las variedades en la región</w:t>
      </w:r>
      <w:r w:rsidR="003114C5">
        <w:rPr>
          <w:rFonts w:eastAsiaTheme="minorEastAsia"/>
        </w:rPr>
        <w:t> </w:t>
      </w:r>
      <w:r>
        <w:rPr>
          <w:rFonts w:eastAsiaTheme="minorEastAsia"/>
          <w:i/>
          <w:iCs/>
        </w:rPr>
        <w:t>i</w:t>
      </w:r>
      <w:r>
        <w:rPr>
          <w:rFonts w:eastAsiaTheme="minorEastAsia"/>
        </w:rPr>
        <w:t>.</w:t>
      </w:r>
    </w:p>
  </w:footnote>
  <w:footnote w:id="26">
    <w:p w14:paraId="0D4CBE67" w14:textId="77777777" w:rsidR="00393A15" w:rsidRDefault="00393A15" w:rsidP="00393A15">
      <w:pPr>
        <w:pStyle w:val="Textonotapie"/>
        <w:spacing w:after="0"/>
      </w:pPr>
      <w:r>
        <w:rPr>
          <w:rStyle w:val="Refdenotaalpie"/>
        </w:rPr>
        <w:footnoteRef/>
      </w:r>
      <w:r>
        <w:t xml:space="preserve"> </w:t>
      </w:r>
      <w:r>
        <w:rPr>
          <w:rFonts w:eastAsiaTheme="minorEastAsia"/>
        </w:rPr>
        <w:t>Los costes de transporte generan una causación circular entre el tamaño de la demanda y la localización de las empresas. A mayor número de empresas en una región mayor demanda de sus bienes, y a mayor demanda de los bienes de una región, mayor número de empresas se mueven a esa región.</w:t>
      </w:r>
    </w:p>
  </w:footnote>
  <w:footnote w:id="27">
    <w:p w14:paraId="49DA78A5" w14:textId="0B4CAC91" w:rsidR="00E94F90" w:rsidRDefault="00E94F90">
      <w:pPr>
        <w:pStyle w:val="Textonotapie"/>
      </w:pPr>
      <w:r>
        <w:rPr>
          <w:rStyle w:val="Refdenotaalpie"/>
        </w:rPr>
        <w:footnoteRef/>
      </w:r>
      <w:r>
        <w:t xml:space="preserve"> La teoría del dominó también es a veces conocido como efecto bola de nieve.</w:t>
      </w:r>
    </w:p>
  </w:footnote>
  <w:footnote w:id="28">
    <w:p w14:paraId="119CD1E0" w14:textId="25680FA3" w:rsidR="00C67ED1" w:rsidRPr="007D2009" w:rsidRDefault="00C67ED1" w:rsidP="00C67ED1">
      <w:pPr>
        <w:pStyle w:val="Textonotapie"/>
      </w:pPr>
      <w:r>
        <w:rPr>
          <w:rStyle w:val="Refdenotaalpie"/>
        </w:rPr>
        <w:footnoteRef/>
      </w:r>
      <w:r>
        <w:t xml:space="preserve"> No obstante, como señalan </w:t>
      </w:r>
      <w:proofErr w:type="spellStart"/>
      <w:r>
        <w:rPr>
          <w:smallCaps/>
        </w:rPr>
        <w:t>Costinot</w:t>
      </w:r>
      <w:proofErr w:type="spellEnd"/>
      <w:r>
        <w:t xml:space="preserve"> y </w:t>
      </w:r>
      <w:r>
        <w:rPr>
          <w:smallCaps/>
        </w:rPr>
        <w:t>Rodríguez-Clare</w:t>
      </w:r>
      <w:r>
        <w:t xml:space="preserve"> (2014), </w:t>
      </w:r>
      <w:r>
        <w:rPr>
          <w:i/>
          <w:iCs/>
        </w:rPr>
        <w:t>“</w:t>
      </w:r>
      <w:proofErr w:type="spellStart"/>
      <w:r>
        <w:rPr>
          <w:i/>
          <w:iCs/>
        </w:rPr>
        <w:t>the</w:t>
      </w:r>
      <w:proofErr w:type="spellEnd"/>
      <w:r>
        <w:rPr>
          <w:i/>
          <w:iCs/>
        </w:rPr>
        <w:t xml:space="preserve"> times are a-</w:t>
      </w:r>
      <w:proofErr w:type="spellStart"/>
      <w:r>
        <w:rPr>
          <w:i/>
          <w:iCs/>
        </w:rPr>
        <w:t>changin</w:t>
      </w:r>
      <w:proofErr w:type="spellEnd"/>
      <w:r>
        <w:rPr>
          <w:i/>
          <w:iCs/>
        </w:rPr>
        <w:t>”</w:t>
      </w:r>
      <w:r>
        <w:t xml:space="preserve">, es decir, si bien los modelos de gravedad surgieron, con la aportación seminal de </w:t>
      </w:r>
      <w:r>
        <w:rPr>
          <w:smallCaps/>
        </w:rPr>
        <w:t>Tinbergen</w:t>
      </w:r>
      <w:r>
        <w:t xml:space="preserve"> (1962), como “ateóricos”, meramente descriptivos o carentes de un modelo económico subyacente, en la actualidad se ha demostrado a partir del análisis de </w:t>
      </w:r>
      <w:r>
        <w:rPr>
          <w:smallCaps/>
        </w:rPr>
        <w:t>Eaton</w:t>
      </w:r>
      <w:r>
        <w:t xml:space="preserve"> y </w:t>
      </w:r>
      <w:proofErr w:type="spellStart"/>
      <w:r>
        <w:rPr>
          <w:smallCaps/>
        </w:rPr>
        <w:t>Kortum</w:t>
      </w:r>
      <w:proofErr w:type="spellEnd"/>
      <w:r>
        <w:t xml:space="preserve"> (2002) que pueden inferirse fundamentos microeconómicos de las ecuaciones de gravedad.</w:t>
      </w:r>
    </w:p>
  </w:footnote>
  <w:footnote w:id="29">
    <w:p w14:paraId="08D156DE" w14:textId="77777777" w:rsidR="00994398" w:rsidRDefault="00994398" w:rsidP="00994398">
      <w:pPr>
        <w:pStyle w:val="Textonotapie"/>
      </w:pPr>
      <w:r>
        <w:rPr>
          <w:rStyle w:val="Refdenotaalpie"/>
        </w:rPr>
        <w:footnoteRef/>
      </w:r>
      <w:r>
        <w:t xml:space="preserve"> Se trata de modelos de consumidor representativo cuyos cambios de bienestar se cuantifican a través de cambios porcentuales en el nivel de consumo real, puesto que estos cambios representan la variación equivalente del shock de política comercial, en términos de porcentaje del gasto en consumo previo al shock. Esto es, el cambio en el bienestar se expresa como cambios porcentuales de renta real que el consumidor representativo estaría dispuesto a aceptar en lugar de la realización del shock.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649F" w:rsidRPr="00C44422" w14:paraId="120F4BA2"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A2A6322" w14:textId="6089AE42" w:rsidR="001F649F" w:rsidRPr="00C44422" w:rsidRDefault="001F649F" w:rsidP="00A725C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3.B.10</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3729CAD8" w14:textId="65592C69" w:rsidR="001F649F" w:rsidRPr="00C44422" w:rsidRDefault="00F63F27" w:rsidP="00A725CB">
              <w:pPr>
                <w:pStyle w:val="Encabezado"/>
                <w:spacing w:after="0"/>
                <w:ind w:right="-110"/>
                <w:contextualSpacing/>
                <w:jc w:val="center"/>
                <w:rPr>
                  <w:i/>
                  <w:iCs/>
                  <w:color w:val="5F2987"/>
                  <w:sz w:val="18"/>
                  <w:szCs w:val="18"/>
                </w:rPr>
              </w:pPr>
              <w:r>
                <w:rPr>
                  <w:i/>
                  <w:iCs/>
                  <w:color w:val="5F2987"/>
                  <w:sz w:val="18"/>
                  <w:szCs w:val="18"/>
                </w:rPr>
                <w:t>Teoría de la integración económica.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957A2D9" w14:textId="77777777" w:rsidR="001F649F" w:rsidRPr="00C44422" w:rsidRDefault="001F649F" w:rsidP="00A725C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6B161A8" w14:textId="77777777" w:rsidR="002756C0" w:rsidRPr="00B70943" w:rsidRDefault="002756C0" w:rsidP="00A725CB">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F649F" w:rsidRPr="00C44422" w14:paraId="7A88ED62" w14:textId="77777777" w:rsidTr="0078055F">
      <w:trPr>
        <w:trHeight w:val="136"/>
        <w:jc w:val="center"/>
      </w:trPr>
      <w:bookmarkStart w:id="93" w:name="_Hlk72149218" w:displacedByCustomXml="next"/>
      <w:sdt>
        <w:sdtPr>
          <w:rPr>
            <w:b/>
            <w:bCs/>
            <w:i/>
            <w:iCs/>
            <w:caps/>
            <w:color w:val="5F2987"/>
            <w:sz w:val="18"/>
            <w:szCs w:val="18"/>
          </w:rPr>
          <w:alias w:val="Title"/>
          <w:tag w:val=""/>
          <w:id w:val="603226961"/>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26C8CED" w14:textId="32DF3C5B" w:rsidR="001F649F" w:rsidRPr="00C44422" w:rsidRDefault="001F649F" w:rsidP="00A725C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3.B.10</w:t>
              </w:r>
            </w:p>
          </w:tc>
        </w:sdtContent>
      </w:sdt>
      <w:tc>
        <w:tcPr>
          <w:tcW w:w="7088" w:type="dxa"/>
          <w:vAlign w:val="center"/>
        </w:tcPr>
        <w:sdt>
          <w:sdtPr>
            <w:rPr>
              <w:i/>
              <w:iCs/>
              <w:color w:val="5F2987"/>
              <w:sz w:val="18"/>
              <w:szCs w:val="18"/>
            </w:rPr>
            <w:alias w:val="Subject"/>
            <w:tag w:val=""/>
            <w:id w:val="174930378"/>
            <w:dataBinding w:prefixMappings="xmlns:ns0='http://purl.org/dc/elements/1.1/' xmlns:ns1='http://schemas.openxmlformats.org/package/2006/metadata/core-properties' " w:xpath="/ns1:coreProperties[1]/ns0:subject[1]" w:storeItemID="{6C3C8BC8-F283-45AE-878A-BAB7291924A1}"/>
            <w:text/>
          </w:sdtPr>
          <w:sdtContent>
            <w:p w14:paraId="19670E08" w14:textId="74C6E1F1" w:rsidR="001F649F" w:rsidRPr="00C44422" w:rsidRDefault="00F63F27" w:rsidP="00A725CB">
              <w:pPr>
                <w:pStyle w:val="Encabezado"/>
                <w:spacing w:after="0"/>
                <w:ind w:right="-110"/>
                <w:contextualSpacing/>
                <w:jc w:val="center"/>
                <w:rPr>
                  <w:i/>
                  <w:iCs/>
                  <w:color w:val="5F2987"/>
                  <w:sz w:val="18"/>
                  <w:szCs w:val="18"/>
                </w:rPr>
              </w:pPr>
              <w:r>
                <w:rPr>
                  <w:i/>
                  <w:iCs/>
                  <w:color w:val="5F2987"/>
                  <w:sz w:val="18"/>
                  <w:szCs w:val="18"/>
                </w:rPr>
                <w:t>Teoría de la integración económica.</w:t>
              </w:r>
            </w:p>
          </w:sdtContent>
        </w:sdt>
      </w:tc>
      <w:sdt>
        <w:sdtPr>
          <w:rPr>
            <w:b/>
            <w:bCs/>
            <w:i/>
            <w:iCs/>
            <w:color w:val="5F2987"/>
            <w:spacing w:val="-6"/>
            <w:sz w:val="18"/>
            <w:szCs w:val="18"/>
          </w:rPr>
          <w:alias w:val="Author"/>
          <w:tag w:val=""/>
          <w:id w:val="134944164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19209A6" w14:textId="77777777" w:rsidR="001F649F" w:rsidRPr="00C44422" w:rsidRDefault="001F649F" w:rsidP="00A725C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93"/>
  </w:tbl>
  <w:p w14:paraId="3BEC07A7" w14:textId="77777777" w:rsidR="008274D7" w:rsidRPr="004C465C" w:rsidRDefault="008274D7" w:rsidP="00A725CB">
    <w:pPr>
      <w:pStyle w:val="Encabezado"/>
      <w:spacing w:after="0" w:line="240" w:lineRule="auto"/>
      <w:contextualSpacing/>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F649F" w:rsidRPr="00BE1B62" w14:paraId="6E6C9F54" w14:textId="77777777" w:rsidTr="006D2CA3">
      <w:tc>
        <w:tcPr>
          <w:tcW w:w="3261" w:type="dxa"/>
          <w:tcBorders>
            <w:bottom w:val="thickThinSmallGap" w:sz="12" w:space="0" w:color="5F2987"/>
          </w:tcBorders>
        </w:tcPr>
        <w:p w14:paraId="1FF07C70" w14:textId="45D31204" w:rsidR="001F649F" w:rsidRPr="00BE1B62" w:rsidRDefault="001F649F" w:rsidP="00A725CB">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6C02E9">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7E2A130" w14:textId="77777777" w:rsidR="001F649F" w:rsidRPr="00BE1B62" w:rsidRDefault="001F649F" w:rsidP="00A725CB">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EB72299B900549FFACA26DD38E8B1F0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C4E99BB" w14:textId="29557789" w:rsidR="001F649F" w:rsidRPr="00BE1B62" w:rsidRDefault="001F649F" w:rsidP="00A725CB">
              <w:pPr>
                <w:pStyle w:val="Encabezado"/>
                <w:spacing w:after="0"/>
                <w:jc w:val="right"/>
                <w:rPr>
                  <w:i/>
                  <w:iCs/>
                  <w:color w:val="5F2987"/>
                  <w:spacing w:val="-6"/>
                  <w:sz w:val="18"/>
                  <w:szCs w:val="18"/>
                </w:rPr>
              </w:pPr>
              <w:r>
                <w:rPr>
                  <w:i/>
                  <w:iCs/>
                  <w:color w:val="5F2987"/>
                  <w:spacing w:val="-6"/>
                  <w:sz w:val="20"/>
                  <w:szCs w:val="20"/>
                </w:rPr>
                <w:t>3.B.10</w:t>
              </w:r>
            </w:p>
          </w:tc>
        </w:sdtContent>
      </w:sdt>
    </w:tr>
  </w:tbl>
  <w:p w14:paraId="58295838" w14:textId="77777777" w:rsidR="001F649F" w:rsidRPr="00C80BBD" w:rsidRDefault="001F649F" w:rsidP="00A725CB">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B788D"/>
    <w:multiLevelType w:val="hybridMultilevel"/>
    <w:tmpl w:val="217ACBB8"/>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0B26E3C"/>
    <w:multiLevelType w:val="hybridMultilevel"/>
    <w:tmpl w:val="F78094FC"/>
    <w:lvl w:ilvl="0" w:tplc="26B65744">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2E121FB"/>
    <w:multiLevelType w:val="hybridMultilevel"/>
    <w:tmpl w:val="85E64928"/>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07BC658B"/>
    <w:multiLevelType w:val="hybridMultilevel"/>
    <w:tmpl w:val="396C4F5C"/>
    <w:lvl w:ilvl="0" w:tplc="24F2A39C">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D764FA"/>
    <w:multiLevelType w:val="hybridMultilevel"/>
    <w:tmpl w:val="8514AF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A9591F"/>
    <w:multiLevelType w:val="hybridMultilevel"/>
    <w:tmpl w:val="8E361B3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2" w15:restartNumberingAfterBreak="0">
    <w:nsid w:val="27EA6725"/>
    <w:multiLevelType w:val="hybridMultilevel"/>
    <w:tmpl w:val="95E03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4487936"/>
    <w:multiLevelType w:val="hybridMultilevel"/>
    <w:tmpl w:val="9D9634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8490413"/>
    <w:multiLevelType w:val="hybridMultilevel"/>
    <w:tmpl w:val="DB666BE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C4B4D04"/>
    <w:multiLevelType w:val="hybridMultilevel"/>
    <w:tmpl w:val="07E08FFE"/>
    <w:lvl w:ilvl="0" w:tplc="6EEAA08E">
      <w:numFmt w:val="bullet"/>
      <w:lvlText w:val="-"/>
      <w:lvlJc w:val="left"/>
      <w:pPr>
        <w:ind w:left="1713" w:hanging="360"/>
      </w:pPr>
      <w:rPr>
        <w:rFonts w:ascii="Garamond" w:eastAsiaTheme="minorHAnsi" w:hAnsi="Garamond" w:cstheme="minorBidi" w:hint="default"/>
        <w:sz w:val="22"/>
        <w:szCs w:val="22"/>
      </w:rPr>
    </w:lvl>
    <w:lvl w:ilvl="1" w:tplc="0C0A0005">
      <w:start w:val="1"/>
      <w:numFmt w:val="bullet"/>
      <w:lvlText w:val=""/>
      <w:lvlJc w:val="left"/>
      <w:pPr>
        <w:ind w:left="2433" w:hanging="360"/>
      </w:pPr>
      <w:rPr>
        <w:rFonts w:ascii="Wingdings" w:hAnsi="Wingdings" w:hint="default"/>
      </w:rPr>
    </w:lvl>
    <w:lvl w:ilvl="2" w:tplc="AC640682">
      <w:start w:val="1"/>
      <w:numFmt w:val="decimal"/>
      <w:lvlText w:val="%3)"/>
      <w:lvlJc w:val="left"/>
      <w:pPr>
        <w:ind w:left="3153" w:hanging="360"/>
      </w:pPr>
      <w:rPr>
        <w:sz w:val="22"/>
        <w:szCs w:val="22"/>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AA27D68"/>
    <w:multiLevelType w:val="hybridMultilevel"/>
    <w:tmpl w:val="88A80A5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FB7C1A"/>
    <w:multiLevelType w:val="multilevel"/>
    <w:tmpl w:val="0809001D"/>
    <w:numStyleLink w:val="Lista1"/>
  </w:abstractNum>
  <w:abstractNum w:abstractNumId="3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1E288B"/>
    <w:multiLevelType w:val="hybridMultilevel"/>
    <w:tmpl w:val="8514AF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4E614D"/>
    <w:multiLevelType w:val="hybridMultilevel"/>
    <w:tmpl w:val="55F2808A"/>
    <w:lvl w:ilvl="0" w:tplc="83AA74DA">
      <w:start w:val="1"/>
      <w:numFmt w:val="decimal"/>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3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0635A8"/>
    <w:multiLevelType w:val="hybridMultilevel"/>
    <w:tmpl w:val="E4808E20"/>
    <w:lvl w:ilvl="0" w:tplc="2026A480">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5227CD6"/>
    <w:multiLevelType w:val="hybridMultilevel"/>
    <w:tmpl w:val="467454AE"/>
    <w:lvl w:ilvl="0" w:tplc="30AA33CC">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77232E6"/>
    <w:multiLevelType w:val="hybridMultilevel"/>
    <w:tmpl w:val="338AB47C"/>
    <w:lvl w:ilvl="0" w:tplc="CF4E9088">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2"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4" w15:restartNumberingAfterBreak="0">
    <w:nsid w:val="7B566F66"/>
    <w:multiLevelType w:val="hybridMultilevel"/>
    <w:tmpl w:val="8514AF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8938773">
    <w:abstractNumId w:val="15"/>
  </w:num>
  <w:num w:numId="2" w16cid:durableId="807015323">
    <w:abstractNumId w:val="42"/>
  </w:num>
  <w:num w:numId="3" w16cid:durableId="450172563">
    <w:abstractNumId w:val="20"/>
  </w:num>
  <w:num w:numId="4" w16cid:durableId="879123891">
    <w:abstractNumId w:val="35"/>
  </w:num>
  <w:num w:numId="5" w16cid:durableId="1560046818">
    <w:abstractNumId w:val="21"/>
  </w:num>
  <w:num w:numId="6" w16cid:durableId="107969397">
    <w:abstractNumId w:val="27"/>
  </w:num>
  <w:num w:numId="7" w16cid:durableId="582884236">
    <w:abstractNumId w:val="21"/>
    <w:lvlOverride w:ilvl="0">
      <w:startOverride w:val="1"/>
    </w:lvlOverride>
  </w:num>
  <w:num w:numId="8" w16cid:durableId="607541742">
    <w:abstractNumId w:val="13"/>
    <w:lvlOverride w:ilvl="0">
      <w:startOverride w:val="1"/>
    </w:lvlOverride>
  </w:num>
  <w:num w:numId="9" w16cid:durableId="1620986660">
    <w:abstractNumId w:val="23"/>
  </w:num>
  <w:num w:numId="10" w16cid:durableId="785539252">
    <w:abstractNumId w:val="16"/>
  </w:num>
  <w:num w:numId="11" w16cid:durableId="276497090">
    <w:abstractNumId w:val="26"/>
  </w:num>
  <w:num w:numId="12" w16cid:durableId="1765030252">
    <w:abstractNumId w:val="13"/>
    <w:lvlOverride w:ilvl="0">
      <w:startOverride w:val="1"/>
    </w:lvlOverride>
  </w:num>
  <w:num w:numId="13" w16cid:durableId="173156123">
    <w:abstractNumId w:val="14"/>
  </w:num>
  <w:num w:numId="14" w16cid:durableId="1959144686">
    <w:abstractNumId w:val="31"/>
  </w:num>
  <w:num w:numId="15" w16cid:durableId="1809398423">
    <w:abstractNumId w:val="44"/>
  </w:num>
  <w:num w:numId="16" w16cid:durableId="1424299863">
    <w:abstractNumId w:val="17"/>
  </w:num>
  <w:num w:numId="17" w16cid:durableId="200171775">
    <w:abstractNumId w:val="38"/>
  </w:num>
  <w:num w:numId="18" w16cid:durableId="315916278">
    <w:abstractNumId w:val="39"/>
  </w:num>
  <w:num w:numId="19" w16cid:durableId="2064017710">
    <w:abstractNumId w:val="11"/>
  </w:num>
  <w:num w:numId="20" w16cid:durableId="133108697">
    <w:abstractNumId w:val="22"/>
  </w:num>
  <w:num w:numId="21" w16cid:durableId="1863588849">
    <w:abstractNumId w:val="21"/>
    <w:lvlOverride w:ilvl="0">
      <w:startOverride w:val="1"/>
    </w:lvlOverride>
  </w:num>
  <w:num w:numId="22" w16cid:durableId="218176491">
    <w:abstractNumId w:val="24"/>
  </w:num>
  <w:num w:numId="23" w16cid:durableId="1381781275">
    <w:abstractNumId w:val="12"/>
  </w:num>
  <w:num w:numId="24" w16cid:durableId="576092546">
    <w:abstractNumId w:val="28"/>
  </w:num>
  <w:num w:numId="25" w16cid:durableId="1267036298">
    <w:abstractNumId w:val="10"/>
  </w:num>
  <w:num w:numId="26" w16cid:durableId="528684363">
    <w:abstractNumId w:val="18"/>
  </w:num>
  <w:num w:numId="27" w16cid:durableId="262037653">
    <w:abstractNumId w:val="40"/>
  </w:num>
  <w:num w:numId="28" w16cid:durableId="1972587685">
    <w:abstractNumId w:val="33"/>
  </w:num>
  <w:num w:numId="29" w16cid:durableId="807281990">
    <w:abstractNumId w:val="34"/>
  </w:num>
  <w:num w:numId="30" w16cid:durableId="181676059">
    <w:abstractNumId w:val="36"/>
  </w:num>
  <w:num w:numId="31" w16cid:durableId="1281767471">
    <w:abstractNumId w:val="37"/>
  </w:num>
  <w:num w:numId="32" w16cid:durableId="259066400">
    <w:abstractNumId w:val="43"/>
  </w:num>
  <w:num w:numId="33" w16cid:durableId="373384582">
    <w:abstractNumId w:val="19"/>
  </w:num>
  <w:num w:numId="34" w16cid:durableId="829365101">
    <w:abstractNumId w:val="32"/>
  </w:num>
  <w:num w:numId="35" w16cid:durableId="25372873">
    <w:abstractNumId w:val="29"/>
  </w:num>
  <w:num w:numId="36" w16cid:durableId="159583792">
    <w:abstractNumId w:val="9"/>
  </w:num>
  <w:num w:numId="37" w16cid:durableId="1412461012">
    <w:abstractNumId w:val="7"/>
  </w:num>
  <w:num w:numId="38" w16cid:durableId="1049498149">
    <w:abstractNumId w:val="6"/>
  </w:num>
  <w:num w:numId="39" w16cid:durableId="480776684">
    <w:abstractNumId w:val="5"/>
  </w:num>
  <w:num w:numId="40" w16cid:durableId="1221096349">
    <w:abstractNumId w:val="4"/>
  </w:num>
  <w:num w:numId="41" w16cid:durableId="1127814330">
    <w:abstractNumId w:val="8"/>
  </w:num>
  <w:num w:numId="42" w16cid:durableId="953441926">
    <w:abstractNumId w:val="3"/>
  </w:num>
  <w:num w:numId="43" w16cid:durableId="1642999023">
    <w:abstractNumId w:val="2"/>
  </w:num>
  <w:num w:numId="44" w16cid:durableId="327173804">
    <w:abstractNumId w:val="1"/>
  </w:num>
  <w:num w:numId="45" w16cid:durableId="434401366">
    <w:abstractNumId w:val="0"/>
  </w:num>
  <w:num w:numId="46" w16cid:durableId="1051079801">
    <w:abstractNumId w:val="41"/>
  </w:num>
  <w:num w:numId="47" w16cid:durableId="623118318">
    <w:abstractNumId w:val="25"/>
  </w:num>
  <w:num w:numId="48" w16cid:durableId="766539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79938890">
    <w:abstractNumId w:val="30"/>
  </w:num>
  <w:num w:numId="50" w16cid:durableId="494882035">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D4"/>
    <w:rsid w:val="000002B3"/>
    <w:rsid w:val="00002AC1"/>
    <w:rsid w:val="000107BF"/>
    <w:rsid w:val="00016F97"/>
    <w:rsid w:val="00020AB8"/>
    <w:rsid w:val="0002549F"/>
    <w:rsid w:val="00027230"/>
    <w:rsid w:val="000301CB"/>
    <w:rsid w:val="00031D43"/>
    <w:rsid w:val="00037129"/>
    <w:rsid w:val="00040EEE"/>
    <w:rsid w:val="00044055"/>
    <w:rsid w:val="0004465A"/>
    <w:rsid w:val="00052305"/>
    <w:rsid w:val="0005504D"/>
    <w:rsid w:val="000558A2"/>
    <w:rsid w:val="00055B12"/>
    <w:rsid w:val="00064D7B"/>
    <w:rsid w:val="0006593D"/>
    <w:rsid w:val="000740E1"/>
    <w:rsid w:val="00076178"/>
    <w:rsid w:val="000776E9"/>
    <w:rsid w:val="000A3137"/>
    <w:rsid w:val="000B1D8C"/>
    <w:rsid w:val="000B38E0"/>
    <w:rsid w:val="000B6FB0"/>
    <w:rsid w:val="000C2E17"/>
    <w:rsid w:val="000C456D"/>
    <w:rsid w:val="000C65CD"/>
    <w:rsid w:val="000D1ACD"/>
    <w:rsid w:val="000D1E52"/>
    <w:rsid w:val="000D6DBA"/>
    <w:rsid w:val="000E0B9F"/>
    <w:rsid w:val="000E18C8"/>
    <w:rsid w:val="000E3517"/>
    <w:rsid w:val="000E3963"/>
    <w:rsid w:val="000E58A2"/>
    <w:rsid w:val="000E7DED"/>
    <w:rsid w:val="000F007A"/>
    <w:rsid w:val="000F1B31"/>
    <w:rsid w:val="000F28CC"/>
    <w:rsid w:val="001025B6"/>
    <w:rsid w:val="00105005"/>
    <w:rsid w:val="00111208"/>
    <w:rsid w:val="0011213F"/>
    <w:rsid w:val="00114E5C"/>
    <w:rsid w:val="00115F31"/>
    <w:rsid w:val="00120486"/>
    <w:rsid w:val="0012388B"/>
    <w:rsid w:val="001324DA"/>
    <w:rsid w:val="00134A52"/>
    <w:rsid w:val="001354F0"/>
    <w:rsid w:val="001355B7"/>
    <w:rsid w:val="001403DA"/>
    <w:rsid w:val="00140C4D"/>
    <w:rsid w:val="00141A20"/>
    <w:rsid w:val="00142C41"/>
    <w:rsid w:val="0015013E"/>
    <w:rsid w:val="00154CF2"/>
    <w:rsid w:val="00160C77"/>
    <w:rsid w:val="00167622"/>
    <w:rsid w:val="0016795D"/>
    <w:rsid w:val="00173E34"/>
    <w:rsid w:val="00183D55"/>
    <w:rsid w:val="001847A1"/>
    <w:rsid w:val="001869B6"/>
    <w:rsid w:val="00191EC4"/>
    <w:rsid w:val="001928AD"/>
    <w:rsid w:val="001957CC"/>
    <w:rsid w:val="001A7825"/>
    <w:rsid w:val="001B138B"/>
    <w:rsid w:val="001C2665"/>
    <w:rsid w:val="001C70DC"/>
    <w:rsid w:val="001C7437"/>
    <w:rsid w:val="001D1C3C"/>
    <w:rsid w:val="001D37B7"/>
    <w:rsid w:val="001D3BB6"/>
    <w:rsid w:val="001E0C30"/>
    <w:rsid w:val="001E5881"/>
    <w:rsid w:val="001F6175"/>
    <w:rsid w:val="001F649F"/>
    <w:rsid w:val="00200802"/>
    <w:rsid w:val="00201384"/>
    <w:rsid w:val="002023A6"/>
    <w:rsid w:val="00211A4A"/>
    <w:rsid w:val="00215122"/>
    <w:rsid w:val="00217578"/>
    <w:rsid w:val="0021774E"/>
    <w:rsid w:val="00220D22"/>
    <w:rsid w:val="00224941"/>
    <w:rsid w:val="002254F1"/>
    <w:rsid w:val="00227D12"/>
    <w:rsid w:val="0023031D"/>
    <w:rsid w:val="00232CE4"/>
    <w:rsid w:val="00234412"/>
    <w:rsid w:val="002539E0"/>
    <w:rsid w:val="00254714"/>
    <w:rsid w:val="00261D18"/>
    <w:rsid w:val="002632B5"/>
    <w:rsid w:val="00270E15"/>
    <w:rsid w:val="0027214D"/>
    <w:rsid w:val="00273B3A"/>
    <w:rsid w:val="00274A2F"/>
    <w:rsid w:val="002756C0"/>
    <w:rsid w:val="00283986"/>
    <w:rsid w:val="00287286"/>
    <w:rsid w:val="00287C4E"/>
    <w:rsid w:val="00291CBD"/>
    <w:rsid w:val="0029394F"/>
    <w:rsid w:val="00294AD7"/>
    <w:rsid w:val="0029731B"/>
    <w:rsid w:val="002A1386"/>
    <w:rsid w:val="002A17D0"/>
    <w:rsid w:val="002A3679"/>
    <w:rsid w:val="002A3B5B"/>
    <w:rsid w:val="002A64C1"/>
    <w:rsid w:val="002A7603"/>
    <w:rsid w:val="002B4E86"/>
    <w:rsid w:val="002B4E98"/>
    <w:rsid w:val="002C111E"/>
    <w:rsid w:val="002C6439"/>
    <w:rsid w:val="002C6568"/>
    <w:rsid w:val="002C71F6"/>
    <w:rsid w:val="002D0786"/>
    <w:rsid w:val="002D1278"/>
    <w:rsid w:val="002D7554"/>
    <w:rsid w:val="002D77AA"/>
    <w:rsid w:val="002E091F"/>
    <w:rsid w:val="002E0C48"/>
    <w:rsid w:val="002E0EEA"/>
    <w:rsid w:val="002E277D"/>
    <w:rsid w:val="002E5169"/>
    <w:rsid w:val="002E5F5F"/>
    <w:rsid w:val="002F11DC"/>
    <w:rsid w:val="002F7FA3"/>
    <w:rsid w:val="00302A0E"/>
    <w:rsid w:val="00307C23"/>
    <w:rsid w:val="003114C5"/>
    <w:rsid w:val="00316DBA"/>
    <w:rsid w:val="0031762E"/>
    <w:rsid w:val="003207A4"/>
    <w:rsid w:val="00321EE2"/>
    <w:rsid w:val="00322094"/>
    <w:rsid w:val="00326185"/>
    <w:rsid w:val="003304DA"/>
    <w:rsid w:val="00335A63"/>
    <w:rsid w:val="00336402"/>
    <w:rsid w:val="003404A5"/>
    <w:rsid w:val="00342648"/>
    <w:rsid w:val="00345238"/>
    <w:rsid w:val="00354E49"/>
    <w:rsid w:val="00355D40"/>
    <w:rsid w:val="00360542"/>
    <w:rsid w:val="00366D44"/>
    <w:rsid w:val="00370380"/>
    <w:rsid w:val="003739F7"/>
    <w:rsid w:val="00376124"/>
    <w:rsid w:val="0038044E"/>
    <w:rsid w:val="003805D0"/>
    <w:rsid w:val="003847B1"/>
    <w:rsid w:val="00393A15"/>
    <w:rsid w:val="00393BEC"/>
    <w:rsid w:val="0039453F"/>
    <w:rsid w:val="003A0359"/>
    <w:rsid w:val="003A114A"/>
    <w:rsid w:val="003A2AB4"/>
    <w:rsid w:val="003A5B5A"/>
    <w:rsid w:val="003A7933"/>
    <w:rsid w:val="003B04F7"/>
    <w:rsid w:val="003B294B"/>
    <w:rsid w:val="003B679E"/>
    <w:rsid w:val="003B7137"/>
    <w:rsid w:val="003C2FEA"/>
    <w:rsid w:val="003C4DE9"/>
    <w:rsid w:val="003D167C"/>
    <w:rsid w:val="003D2603"/>
    <w:rsid w:val="003E1B90"/>
    <w:rsid w:val="003E36F1"/>
    <w:rsid w:val="003E4ED2"/>
    <w:rsid w:val="003E6032"/>
    <w:rsid w:val="003E66E4"/>
    <w:rsid w:val="003E77BB"/>
    <w:rsid w:val="003F529B"/>
    <w:rsid w:val="004005AD"/>
    <w:rsid w:val="00402860"/>
    <w:rsid w:val="00403D5C"/>
    <w:rsid w:val="00414A2E"/>
    <w:rsid w:val="00417327"/>
    <w:rsid w:val="004201D1"/>
    <w:rsid w:val="00422AC6"/>
    <w:rsid w:val="00423A0E"/>
    <w:rsid w:val="0042545E"/>
    <w:rsid w:val="004263AB"/>
    <w:rsid w:val="00431AE3"/>
    <w:rsid w:val="00433A4E"/>
    <w:rsid w:val="004356DF"/>
    <w:rsid w:val="0043723B"/>
    <w:rsid w:val="004423AC"/>
    <w:rsid w:val="004464AC"/>
    <w:rsid w:val="00447376"/>
    <w:rsid w:val="00452E65"/>
    <w:rsid w:val="00455DAB"/>
    <w:rsid w:val="004567F5"/>
    <w:rsid w:val="004618DD"/>
    <w:rsid w:val="00471FE8"/>
    <w:rsid w:val="004727AB"/>
    <w:rsid w:val="004775DA"/>
    <w:rsid w:val="00481E21"/>
    <w:rsid w:val="00497340"/>
    <w:rsid w:val="004A58B0"/>
    <w:rsid w:val="004A6BE1"/>
    <w:rsid w:val="004B0B47"/>
    <w:rsid w:val="004B0D3E"/>
    <w:rsid w:val="004B1050"/>
    <w:rsid w:val="004B2F38"/>
    <w:rsid w:val="004C0C34"/>
    <w:rsid w:val="004C465C"/>
    <w:rsid w:val="004C5DE5"/>
    <w:rsid w:val="004D2FE2"/>
    <w:rsid w:val="004D4DA7"/>
    <w:rsid w:val="004E125B"/>
    <w:rsid w:val="004E2561"/>
    <w:rsid w:val="004F27DD"/>
    <w:rsid w:val="005021B1"/>
    <w:rsid w:val="00502A72"/>
    <w:rsid w:val="00504EDE"/>
    <w:rsid w:val="00507EC6"/>
    <w:rsid w:val="00510FB5"/>
    <w:rsid w:val="00514B9A"/>
    <w:rsid w:val="00520564"/>
    <w:rsid w:val="0052273D"/>
    <w:rsid w:val="00527D49"/>
    <w:rsid w:val="00536EFA"/>
    <w:rsid w:val="005404FD"/>
    <w:rsid w:val="00542C96"/>
    <w:rsid w:val="00545F81"/>
    <w:rsid w:val="00550E4F"/>
    <w:rsid w:val="00554E7A"/>
    <w:rsid w:val="0055663E"/>
    <w:rsid w:val="00556F6E"/>
    <w:rsid w:val="00570882"/>
    <w:rsid w:val="00572EDC"/>
    <w:rsid w:val="00575CEF"/>
    <w:rsid w:val="005814D6"/>
    <w:rsid w:val="00585BE3"/>
    <w:rsid w:val="0058641E"/>
    <w:rsid w:val="00587D9C"/>
    <w:rsid w:val="00591EC1"/>
    <w:rsid w:val="00594683"/>
    <w:rsid w:val="00596634"/>
    <w:rsid w:val="005A0192"/>
    <w:rsid w:val="005A4A31"/>
    <w:rsid w:val="005A6DCD"/>
    <w:rsid w:val="005B31CE"/>
    <w:rsid w:val="005B4FE2"/>
    <w:rsid w:val="005B6B1A"/>
    <w:rsid w:val="005B7681"/>
    <w:rsid w:val="005C131B"/>
    <w:rsid w:val="005C1A96"/>
    <w:rsid w:val="005C1F4A"/>
    <w:rsid w:val="005D106D"/>
    <w:rsid w:val="005D1B3B"/>
    <w:rsid w:val="005D5635"/>
    <w:rsid w:val="005D7D9D"/>
    <w:rsid w:val="005E009B"/>
    <w:rsid w:val="005E53B9"/>
    <w:rsid w:val="005E6D9B"/>
    <w:rsid w:val="005F0C11"/>
    <w:rsid w:val="005F108E"/>
    <w:rsid w:val="00600C39"/>
    <w:rsid w:val="00602888"/>
    <w:rsid w:val="00605308"/>
    <w:rsid w:val="0060664A"/>
    <w:rsid w:val="00606E13"/>
    <w:rsid w:val="006071C5"/>
    <w:rsid w:val="00614459"/>
    <w:rsid w:val="006149F7"/>
    <w:rsid w:val="006177D3"/>
    <w:rsid w:val="0062040F"/>
    <w:rsid w:val="00621392"/>
    <w:rsid w:val="006225DE"/>
    <w:rsid w:val="00624AB0"/>
    <w:rsid w:val="00626E8A"/>
    <w:rsid w:val="00630D0B"/>
    <w:rsid w:val="00636938"/>
    <w:rsid w:val="00637FAA"/>
    <w:rsid w:val="00642A55"/>
    <w:rsid w:val="00646104"/>
    <w:rsid w:val="006471F5"/>
    <w:rsid w:val="00651CB4"/>
    <w:rsid w:val="00654197"/>
    <w:rsid w:val="00657B1A"/>
    <w:rsid w:val="00661086"/>
    <w:rsid w:val="0066173A"/>
    <w:rsid w:val="006626B1"/>
    <w:rsid w:val="00670102"/>
    <w:rsid w:val="006703CD"/>
    <w:rsid w:val="00671AC5"/>
    <w:rsid w:val="00674F18"/>
    <w:rsid w:val="00680265"/>
    <w:rsid w:val="006805D4"/>
    <w:rsid w:val="00684229"/>
    <w:rsid w:val="0068426C"/>
    <w:rsid w:val="0069080C"/>
    <w:rsid w:val="00692211"/>
    <w:rsid w:val="00693B21"/>
    <w:rsid w:val="00693E74"/>
    <w:rsid w:val="006A69E0"/>
    <w:rsid w:val="006B224B"/>
    <w:rsid w:val="006B27E8"/>
    <w:rsid w:val="006B295A"/>
    <w:rsid w:val="006B4989"/>
    <w:rsid w:val="006B6420"/>
    <w:rsid w:val="006B66DE"/>
    <w:rsid w:val="006B70B0"/>
    <w:rsid w:val="006C02E9"/>
    <w:rsid w:val="006C3004"/>
    <w:rsid w:val="006C64EB"/>
    <w:rsid w:val="006C69B3"/>
    <w:rsid w:val="006D2CA3"/>
    <w:rsid w:val="006D4C44"/>
    <w:rsid w:val="006D7ADC"/>
    <w:rsid w:val="006E1CC7"/>
    <w:rsid w:val="006E2AAB"/>
    <w:rsid w:val="006E44B0"/>
    <w:rsid w:val="006F4925"/>
    <w:rsid w:val="006F67F7"/>
    <w:rsid w:val="00700ACD"/>
    <w:rsid w:val="00701F49"/>
    <w:rsid w:val="00713634"/>
    <w:rsid w:val="00715748"/>
    <w:rsid w:val="0071785D"/>
    <w:rsid w:val="0072252F"/>
    <w:rsid w:val="00723FFF"/>
    <w:rsid w:val="00733902"/>
    <w:rsid w:val="00737D2D"/>
    <w:rsid w:val="00737F3E"/>
    <w:rsid w:val="00741B8A"/>
    <w:rsid w:val="00743EA6"/>
    <w:rsid w:val="00745FA6"/>
    <w:rsid w:val="00751AD4"/>
    <w:rsid w:val="007550F0"/>
    <w:rsid w:val="007620CE"/>
    <w:rsid w:val="007671B7"/>
    <w:rsid w:val="0077152D"/>
    <w:rsid w:val="00784FC4"/>
    <w:rsid w:val="007854C7"/>
    <w:rsid w:val="00787300"/>
    <w:rsid w:val="0079058C"/>
    <w:rsid w:val="00792DAF"/>
    <w:rsid w:val="00795969"/>
    <w:rsid w:val="00796A29"/>
    <w:rsid w:val="007A0162"/>
    <w:rsid w:val="007A52E1"/>
    <w:rsid w:val="007A6DDB"/>
    <w:rsid w:val="007B00E8"/>
    <w:rsid w:val="007B0EB2"/>
    <w:rsid w:val="007B44F9"/>
    <w:rsid w:val="007B45B0"/>
    <w:rsid w:val="007C0FD6"/>
    <w:rsid w:val="007C3EF2"/>
    <w:rsid w:val="007D1A4F"/>
    <w:rsid w:val="007D717E"/>
    <w:rsid w:val="007D7B56"/>
    <w:rsid w:val="007E2D48"/>
    <w:rsid w:val="007E4A7C"/>
    <w:rsid w:val="007E69EF"/>
    <w:rsid w:val="007E756C"/>
    <w:rsid w:val="007F039B"/>
    <w:rsid w:val="007F056C"/>
    <w:rsid w:val="007F1342"/>
    <w:rsid w:val="007F4801"/>
    <w:rsid w:val="00805A5D"/>
    <w:rsid w:val="00806751"/>
    <w:rsid w:val="0080696D"/>
    <w:rsid w:val="00811C86"/>
    <w:rsid w:val="00812700"/>
    <w:rsid w:val="00813C7B"/>
    <w:rsid w:val="008142B0"/>
    <w:rsid w:val="00815321"/>
    <w:rsid w:val="0081544B"/>
    <w:rsid w:val="00821445"/>
    <w:rsid w:val="008233F9"/>
    <w:rsid w:val="00824AB5"/>
    <w:rsid w:val="008274D7"/>
    <w:rsid w:val="00827955"/>
    <w:rsid w:val="00827E5A"/>
    <w:rsid w:val="008316FE"/>
    <w:rsid w:val="00832BC1"/>
    <w:rsid w:val="00833987"/>
    <w:rsid w:val="0084221B"/>
    <w:rsid w:val="0084265E"/>
    <w:rsid w:val="0084277E"/>
    <w:rsid w:val="00847859"/>
    <w:rsid w:val="00856C38"/>
    <w:rsid w:val="00860000"/>
    <w:rsid w:val="00860B9D"/>
    <w:rsid w:val="008614D7"/>
    <w:rsid w:val="008653F0"/>
    <w:rsid w:val="00874129"/>
    <w:rsid w:val="008764F9"/>
    <w:rsid w:val="00880683"/>
    <w:rsid w:val="008813C4"/>
    <w:rsid w:val="0088508A"/>
    <w:rsid w:val="008937DA"/>
    <w:rsid w:val="00893EA1"/>
    <w:rsid w:val="008A1939"/>
    <w:rsid w:val="008A5C1A"/>
    <w:rsid w:val="008A6619"/>
    <w:rsid w:val="008A75A3"/>
    <w:rsid w:val="008B6D48"/>
    <w:rsid w:val="008C0C5B"/>
    <w:rsid w:val="008C2065"/>
    <w:rsid w:val="008D08C0"/>
    <w:rsid w:val="008D19BE"/>
    <w:rsid w:val="008E2DA4"/>
    <w:rsid w:val="008E4741"/>
    <w:rsid w:val="008E5500"/>
    <w:rsid w:val="008E65AB"/>
    <w:rsid w:val="008E7F73"/>
    <w:rsid w:val="008F225C"/>
    <w:rsid w:val="008F3898"/>
    <w:rsid w:val="008F608F"/>
    <w:rsid w:val="008F70D4"/>
    <w:rsid w:val="008F7674"/>
    <w:rsid w:val="008F7E4B"/>
    <w:rsid w:val="00900D26"/>
    <w:rsid w:val="00901D40"/>
    <w:rsid w:val="00905494"/>
    <w:rsid w:val="00912B01"/>
    <w:rsid w:val="00917FCF"/>
    <w:rsid w:val="00920E59"/>
    <w:rsid w:val="00921BB0"/>
    <w:rsid w:val="00933302"/>
    <w:rsid w:val="0093553B"/>
    <w:rsid w:val="00935706"/>
    <w:rsid w:val="00952142"/>
    <w:rsid w:val="0095292D"/>
    <w:rsid w:val="009602EF"/>
    <w:rsid w:val="00961E64"/>
    <w:rsid w:val="0096481D"/>
    <w:rsid w:val="00970AB5"/>
    <w:rsid w:val="00971031"/>
    <w:rsid w:val="00971C08"/>
    <w:rsid w:val="0098012A"/>
    <w:rsid w:val="00981A85"/>
    <w:rsid w:val="00982C69"/>
    <w:rsid w:val="00983F46"/>
    <w:rsid w:val="0098566E"/>
    <w:rsid w:val="00994398"/>
    <w:rsid w:val="009972CF"/>
    <w:rsid w:val="00997647"/>
    <w:rsid w:val="009A403C"/>
    <w:rsid w:val="009B13BC"/>
    <w:rsid w:val="009B252F"/>
    <w:rsid w:val="009B7CCA"/>
    <w:rsid w:val="009C3A5A"/>
    <w:rsid w:val="009C69E8"/>
    <w:rsid w:val="009D2B8E"/>
    <w:rsid w:val="009D535A"/>
    <w:rsid w:val="009E25C7"/>
    <w:rsid w:val="009F013F"/>
    <w:rsid w:val="009F27F6"/>
    <w:rsid w:val="009F2F46"/>
    <w:rsid w:val="009F3A73"/>
    <w:rsid w:val="009F4859"/>
    <w:rsid w:val="00A01639"/>
    <w:rsid w:val="00A016D9"/>
    <w:rsid w:val="00A02416"/>
    <w:rsid w:val="00A02994"/>
    <w:rsid w:val="00A071E4"/>
    <w:rsid w:val="00A116B6"/>
    <w:rsid w:val="00A222B5"/>
    <w:rsid w:val="00A234D9"/>
    <w:rsid w:val="00A27D2D"/>
    <w:rsid w:val="00A40D0F"/>
    <w:rsid w:val="00A42512"/>
    <w:rsid w:val="00A42628"/>
    <w:rsid w:val="00A4391B"/>
    <w:rsid w:val="00A443E0"/>
    <w:rsid w:val="00A4503B"/>
    <w:rsid w:val="00A51B24"/>
    <w:rsid w:val="00A54398"/>
    <w:rsid w:val="00A55A02"/>
    <w:rsid w:val="00A615F6"/>
    <w:rsid w:val="00A6505E"/>
    <w:rsid w:val="00A655EA"/>
    <w:rsid w:val="00A668CB"/>
    <w:rsid w:val="00A67F5C"/>
    <w:rsid w:val="00A725CB"/>
    <w:rsid w:val="00A73A52"/>
    <w:rsid w:val="00A75C8D"/>
    <w:rsid w:val="00A77BAC"/>
    <w:rsid w:val="00A86ADF"/>
    <w:rsid w:val="00A951EF"/>
    <w:rsid w:val="00A96378"/>
    <w:rsid w:val="00A9663F"/>
    <w:rsid w:val="00A9705F"/>
    <w:rsid w:val="00A972EE"/>
    <w:rsid w:val="00AA1C0B"/>
    <w:rsid w:val="00AA66D7"/>
    <w:rsid w:val="00AA7151"/>
    <w:rsid w:val="00AA79B2"/>
    <w:rsid w:val="00AB22B5"/>
    <w:rsid w:val="00AB52BE"/>
    <w:rsid w:val="00AB7CA7"/>
    <w:rsid w:val="00AC16AC"/>
    <w:rsid w:val="00AC4985"/>
    <w:rsid w:val="00AC639A"/>
    <w:rsid w:val="00AC67DB"/>
    <w:rsid w:val="00AD1191"/>
    <w:rsid w:val="00AD472E"/>
    <w:rsid w:val="00AD4844"/>
    <w:rsid w:val="00AD5A8C"/>
    <w:rsid w:val="00AD5F70"/>
    <w:rsid w:val="00AE03B3"/>
    <w:rsid w:val="00AE0A73"/>
    <w:rsid w:val="00AE2B89"/>
    <w:rsid w:val="00AE5E85"/>
    <w:rsid w:val="00AE65CF"/>
    <w:rsid w:val="00AE71A2"/>
    <w:rsid w:val="00AF1571"/>
    <w:rsid w:val="00AF2B6D"/>
    <w:rsid w:val="00AF3684"/>
    <w:rsid w:val="00AF79A2"/>
    <w:rsid w:val="00B0080A"/>
    <w:rsid w:val="00B02935"/>
    <w:rsid w:val="00B04AE2"/>
    <w:rsid w:val="00B10010"/>
    <w:rsid w:val="00B1384D"/>
    <w:rsid w:val="00B1548A"/>
    <w:rsid w:val="00B2049F"/>
    <w:rsid w:val="00B2149A"/>
    <w:rsid w:val="00B25083"/>
    <w:rsid w:val="00B2627D"/>
    <w:rsid w:val="00B26E64"/>
    <w:rsid w:val="00B35BDC"/>
    <w:rsid w:val="00B46D0D"/>
    <w:rsid w:val="00B5019C"/>
    <w:rsid w:val="00B50D06"/>
    <w:rsid w:val="00B51E4E"/>
    <w:rsid w:val="00B525A5"/>
    <w:rsid w:val="00B56D86"/>
    <w:rsid w:val="00B57E55"/>
    <w:rsid w:val="00B64156"/>
    <w:rsid w:val="00B64819"/>
    <w:rsid w:val="00B648FD"/>
    <w:rsid w:val="00B70943"/>
    <w:rsid w:val="00B72662"/>
    <w:rsid w:val="00B73D66"/>
    <w:rsid w:val="00B75046"/>
    <w:rsid w:val="00B77C0F"/>
    <w:rsid w:val="00B805B7"/>
    <w:rsid w:val="00B9022F"/>
    <w:rsid w:val="00B91E19"/>
    <w:rsid w:val="00B92E4C"/>
    <w:rsid w:val="00B939A3"/>
    <w:rsid w:val="00B949A4"/>
    <w:rsid w:val="00BA51C4"/>
    <w:rsid w:val="00BA62AC"/>
    <w:rsid w:val="00BA7C75"/>
    <w:rsid w:val="00BB0972"/>
    <w:rsid w:val="00BC445D"/>
    <w:rsid w:val="00BC48E8"/>
    <w:rsid w:val="00BC4A0E"/>
    <w:rsid w:val="00BC769E"/>
    <w:rsid w:val="00BD21FA"/>
    <w:rsid w:val="00BD4D6B"/>
    <w:rsid w:val="00BD7170"/>
    <w:rsid w:val="00BE19B4"/>
    <w:rsid w:val="00BE4393"/>
    <w:rsid w:val="00BE6026"/>
    <w:rsid w:val="00BF0154"/>
    <w:rsid w:val="00C01223"/>
    <w:rsid w:val="00C02FB6"/>
    <w:rsid w:val="00C146F5"/>
    <w:rsid w:val="00C1675C"/>
    <w:rsid w:val="00C173D5"/>
    <w:rsid w:val="00C20A3C"/>
    <w:rsid w:val="00C250AD"/>
    <w:rsid w:val="00C354DF"/>
    <w:rsid w:val="00C3718B"/>
    <w:rsid w:val="00C412A6"/>
    <w:rsid w:val="00C4210F"/>
    <w:rsid w:val="00C43EF6"/>
    <w:rsid w:val="00C5086A"/>
    <w:rsid w:val="00C5299E"/>
    <w:rsid w:val="00C557E5"/>
    <w:rsid w:val="00C60723"/>
    <w:rsid w:val="00C61632"/>
    <w:rsid w:val="00C66727"/>
    <w:rsid w:val="00C67ED1"/>
    <w:rsid w:val="00C71C0B"/>
    <w:rsid w:val="00C7258C"/>
    <w:rsid w:val="00C73466"/>
    <w:rsid w:val="00C74B31"/>
    <w:rsid w:val="00C81078"/>
    <w:rsid w:val="00C851DA"/>
    <w:rsid w:val="00C9162F"/>
    <w:rsid w:val="00C918EB"/>
    <w:rsid w:val="00C96F65"/>
    <w:rsid w:val="00C97419"/>
    <w:rsid w:val="00C97CE0"/>
    <w:rsid w:val="00CA02F9"/>
    <w:rsid w:val="00CA197F"/>
    <w:rsid w:val="00CA6123"/>
    <w:rsid w:val="00CA6A8D"/>
    <w:rsid w:val="00CA6BEA"/>
    <w:rsid w:val="00CA7BF2"/>
    <w:rsid w:val="00CB14FE"/>
    <w:rsid w:val="00CC3749"/>
    <w:rsid w:val="00CC4102"/>
    <w:rsid w:val="00CD2C1E"/>
    <w:rsid w:val="00CD3349"/>
    <w:rsid w:val="00CD6EDF"/>
    <w:rsid w:val="00CE01DE"/>
    <w:rsid w:val="00CE0A9F"/>
    <w:rsid w:val="00CE3518"/>
    <w:rsid w:val="00CE7571"/>
    <w:rsid w:val="00CE758B"/>
    <w:rsid w:val="00CF6BBD"/>
    <w:rsid w:val="00CF6FE1"/>
    <w:rsid w:val="00D02093"/>
    <w:rsid w:val="00D04A1E"/>
    <w:rsid w:val="00D0520D"/>
    <w:rsid w:val="00D05D2C"/>
    <w:rsid w:val="00D0680A"/>
    <w:rsid w:val="00D10C46"/>
    <w:rsid w:val="00D1262F"/>
    <w:rsid w:val="00D12B45"/>
    <w:rsid w:val="00D15548"/>
    <w:rsid w:val="00D17DA2"/>
    <w:rsid w:val="00D20488"/>
    <w:rsid w:val="00D2293D"/>
    <w:rsid w:val="00D243B4"/>
    <w:rsid w:val="00D34916"/>
    <w:rsid w:val="00D351E9"/>
    <w:rsid w:val="00D373C7"/>
    <w:rsid w:val="00D471AC"/>
    <w:rsid w:val="00D53570"/>
    <w:rsid w:val="00D564BC"/>
    <w:rsid w:val="00D56615"/>
    <w:rsid w:val="00D64D05"/>
    <w:rsid w:val="00D72764"/>
    <w:rsid w:val="00D7667E"/>
    <w:rsid w:val="00D814F3"/>
    <w:rsid w:val="00D852AF"/>
    <w:rsid w:val="00D875B4"/>
    <w:rsid w:val="00D913A0"/>
    <w:rsid w:val="00DA1D4C"/>
    <w:rsid w:val="00DA6CCE"/>
    <w:rsid w:val="00DA723A"/>
    <w:rsid w:val="00DB0E16"/>
    <w:rsid w:val="00DB3942"/>
    <w:rsid w:val="00DB561B"/>
    <w:rsid w:val="00DB61EA"/>
    <w:rsid w:val="00DC117D"/>
    <w:rsid w:val="00DC3375"/>
    <w:rsid w:val="00DC5462"/>
    <w:rsid w:val="00DC6F40"/>
    <w:rsid w:val="00DD24B0"/>
    <w:rsid w:val="00DE07CE"/>
    <w:rsid w:val="00DE664B"/>
    <w:rsid w:val="00DF0246"/>
    <w:rsid w:val="00DF0C7F"/>
    <w:rsid w:val="00E03BBC"/>
    <w:rsid w:val="00E105A5"/>
    <w:rsid w:val="00E11728"/>
    <w:rsid w:val="00E14EF3"/>
    <w:rsid w:val="00E17431"/>
    <w:rsid w:val="00E23CDC"/>
    <w:rsid w:val="00E448EB"/>
    <w:rsid w:val="00E45FB8"/>
    <w:rsid w:val="00E5554C"/>
    <w:rsid w:val="00E6198A"/>
    <w:rsid w:val="00E6544F"/>
    <w:rsid w:val="00E72E29"/>
    <w:rsid w:val="00E7487F"/>
    <w:rsid w:val="00E75230"/>
    <w:rsid w:val="00E76555"/>
    <w:rsid w:val="00E76BFD"/>
    <w:rsid w:val="00E94BD7"/>
    <w:rsid w:val="00E94F90"/>
    <w:rsid w:val="00E962E8"/>
    <w:rsid w:val="00E97CB6"/>
    <w:rsid w:val="00EA2C3D"/>
    <w:rsid w:val="00EA4AC0"/>
    <w:rsid w:val="00EA71AE"/>
    <w:rsid w:val="00EB35D3"/>
    <w:rsid w:val="00EB46EE"/>
    <w:rsid w:val="00EB707E"/>
    <w:rsid w:val="00EC1BF3"/>
    <w:rsid w:val="00EC3F7B"/>
    <w:rsid w:val="00EC6648"/>
    <w:rsid w:val="00EC693D"/>
    <w:rsid w:val="00EC729C"/>
    <w:rsid w:val="00ED0FFE"/>
    <w:rsid w:val="00ED2612"/>
    <w:rsid w:val="00ED646B"/>
    <w:rsid w:val="00ED7809"/>
    <w:rsid w:val="00EE335A"/>
    <w:rsid w:val="00EE4723"/>
    <w:rsid w:val="00EE5911"/>
    <w:rsid w:val="00EE771E"/>
    <w:rsid w:val="00EF69E9"/>
    <w:rsid w:val="00F01008"/>
    <w:rsid w:val="00F018F3"/>
    <w:rsid w:val="00F0375E"/>
    <w:rsid w:val="00F070EA"/>
    <w:rsid w:val="00F10CA1"/>
    <w:rsid w:val="00F11B8C"/>
    <w:rsid w:val="00F12AB6"/>
    <w:rsid w:val="00F17F8F"/>
    <w:rsid w:val="00F2467B"/>
    <w:rsid w:val="00F26B46"/>
    <w:rsid w:val="00F3030E"/>
    <w:rsid w:val="00F30B25"/>
    <w:rsid w:val="00F31E37"/>
    <w:rsid w:val="00F32023"/>
    <w:rsid w:val="00F328E2"/>
    <w:rsid w:val="00F32C24"/>
    <w:rsid w:val="00F369D9"/>
    <w:rsid w:val="00F63F27"/>
    <w:rsid w:val="00F64039"/>
    <w:rsid w:val="00F670CF"/>
    <w:rsid w:val="00F67A50"/>
    <w:rsid w:val="00F7127F"/>
    <w:rsid w:val="00F720DE"/>
    <w:rsid w:val="00F758B7"/>
    <w:rsid w:val="00F810B2"/>
    <w:rsid w:val="00F81B3F"/>
    <w:rsid w:val="00F83BA1"/>
    <w:rsid w:val="00F87AD1"/>
    <w:rsid w:val="00F90F91"/>
    <w:rsid w:val="00F91416"/>
    <w:rsid w:val="00F919B8"/>
    <w:rsid w:val="00F91ADD"/>
    <w:rsid w:val="00F95141"/>
    <w:rsid w:val="00F96245"/>
    <w:rsid w:val="00FA2A6D"/>
    <w:rsid w:val="00FA5E56"/>
    <w:rsid w:val="00FA73CB"/>
    <w:rsid w:val="00FB006D"/>
    <w:rsid w:val="00FB2D5A"/>
    <w:rsid w:val="00FB379F"/>
    <w:rsid w:val="00FB54EF"/>
    <w:rsid w:val="00FB7C13"/>
    <w:rsid w:val="00FC04E8"/>
    <w:rsid w:val="00FC3724"/>
    <w:rsid w:val="00FD06B7"/>
    <w:rsid w:val="00FD095D"/>
    <w:rsid w:val="00FE0280"/>
    <w:rsid w:val="00FE0542"/>
    <w:rsid w:val="00FE28D5"/>
    <w:rsid w:val="00FE368C"/>
    <w:rsid w:val="00FE4055"/>
    <w:rsid w:val="00FE4361"/>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281B3"/>
  <w14:defaultImageDpi w14:val="32767"/>
  <w15:chartTrackingRefBased/>
  <w15:docId w15:val="{200490FC-C6CA-4AEB-AC3D-877A83D8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5DA"/>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775DA"/>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775D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775D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775D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775DA"/>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775D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775D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775DA"/>
    <w:pPr>
      <w:ind w:left="993"/>
      <w:outlineLvl w:val="7"/>
    </w:pPr>
    <w:rPr>
      <w:color w:val="321547"/>
      <w:szCs w:val="22"/>
      <w:u w:val="dotDotDash"/>
    </w:rPr>
  </w:style>
  <w:style w:type="paragraph" w:styleId="Ttulo9">
    <w:name w:val="heading 9"/>
    <w:basedOn w:val="Ttulo8"/>
    <w:next w:val="Normal"/>
    <w:link w:val="Ttulo9Car"/>
    <w:uiPriority w:val="9"/>
    <w:unhideWhenUsed/>
    <w:qFormat/>
    <w:rsid w:val="004775D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775D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775DA"/>
  </w:style>
  <w:style w:type="paragraph" w:styleId="Encabezado">
    <w:name w:val="header"/>
    <w:basedOn w:val="Normal"/>
    <w:link w:val="EncabezadoCar"/>
    <w:uiPriority w:val="99"/>
    <w:unhideWhenUsed/>
    <w:rsid w:val="004775DA"/>
    <w:pPr>
      <w:tabs>
        <w:tab w:val="center" w:pos="4252"/>
        <w:tab w:val="right" w:pos="8504"/>
      </w:tabs>
    </w:pPr>
  </w:style>
  <w:style w:type="character" w:customStyle="1" w:styleId="HeaderChar">
    <w:name w:val="Header Char"/>
    <w:basedOn w:val="Fuentedeprrafopredeter"/>
    <w:uiPriority w:val="99"/>
    <w:rsid w:val="004775DA"/>
    <w:rPr>
      <w:rFonts w:ascii="Garamond" w:hAnsi="Garamond"/>
      <w:lang w:val="es-ES"/>
    </w:rPr>
  </w:style>
  <w:style w:type="character" w:customStyle="1" w:styleId="FooterChar">
    <w:name w:val="Footer Char"/>
    <w:basedOn w:val="Fuentedeprrafopredeter"/>
    <w:uiPriority w:val="99"/>
    <w:rsid w:val="004775DA"/>
    <w:rPr>
      <w:rFonts w:ascii="Garamond" w:hAnsi="Garamond"/>
      <w:lang w:val="es-ES"/>
    </w:rPr>
  </w:style>
  <w:style w:type="table" w:styleId="Tablaconcuadrcula">
    <w:name w:val="Table Grid"/>
    <w:basedOn w:val="Tablanormal"/>
    <w:uiPriority w:val="39"/>
    <w:rsid w:val="00477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775DA"/>
    <w:rPr>
      <w:color w:val="808080"/>
    </w:rPr>
  </w:style>
  <w:style w:type="paragraph" w:styleId="Ttulo">
    <w:name w:val="Title"/>
    <w:basedOn w:val="Normal"/>
    <w:next w:val="Normal"/>
    <w:link w:val="TtuloCar"/>
    <w:uiPriority w:val="10"/>
    <w:qFormat/>
    <w:rsid w:val="004775D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4775D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775DA"/>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775DA"/>
    <w:pPr>
      <w:numPr>
        <w:ilvl w:val="1"/>
        <w:numId w:val="1"/>
      </w:numPr>
      <w:spacing w:after="100"/>
      <w:ind w:left="1049" w:hanging="198"/>
      <w:contextualSpacing/>
    </w:pPr>
  </w:style>
  <w:style w:type="character" w:customStyle="1" w:styleId="Heading2Char">
    <w:name w:val="Heading 2 Char"/>
    <w:basedOn w:val="Fuentedeprrafopredeter"/>
    <w:uiPriority w:val="9"/>
    <w:rsid w:val="004775DA"/>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775DA"/>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4775D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775DA"/>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775DA"/>
    <w:rPr>
      <w:color w:val="0563C1" w:themeColor="hyperlink"/>
      <w:u w:val="single"/>
    </w:rPr>
  </w:style>
  <w:style w:type="character" w:customStyle="1" w:styleId="Heading3Char">
    <w:name w:val="Heading 3 Char"/>
    <w:basedOn w:val="Fuentedeprrafopredeter"/>
    <w:uiPriority w:val="9"/>
    <w:rsid w:val="004775DA"/>
    <w:rPr>
      <w:rFonts w:ascii="Garamond" w:hAnsi="Garamond"/>
      <w:i/>
      <w:iCs/>
      <w:color w:val="5F2987"/>
      <w:u w:val="single"/>
      <w:lang w:val="es-ES"/>
    </w:rPr>
  </w:style>
  <w:style w:type="paragraph" w:styleId="TDC3">
    <w:name w:val="toc 3"/>
    <w:basedOn w:val="Normal"/>
    <w:next w:val="FinTDC"/>
    <w:autoRedefine/>
    <w:uiPriority w:val="39"/>
    <w:unhideWhenUsed/>
    <w:rsid w:val="004775DA"/>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775D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775DA"/>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775DA"/>
    <w:rPr>
      <w:color w:val="FFFFFF" w:themeColor="text1" w:themeTint="80"/>
      <w:sz w:val="16"/>
    </w:rPr>
  </w:style>
  <w:style w:type="character" w:customStyle="1" w:styleId="NocantarChar">
    <w:name w:val="No cantar Char"/>
    <w:basedOn w:val="Fuentedeprrafopredeter"/>
    <w:link w:val="Nocantar"/>
    <w:rsid w:val="004775DA"/>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4775DA"/>
    <w:pPr>
      <w:numPr>
        <w:numId w:val="0"/>
      </w:numPr>
      <w:ind w:firstLine="142"/>
    </w:pPr>
  </w:style>
  <w:style w:type="character" w:customStyle="1" w:styleId="IntroduccinyconclusinChar">
    <w:name w:val="Introducción y conclusión Char"/>
    <w:basedOn w:val="Ttulo1Car"/>
    <w:link w:val="Introduccinyconclusin"/>
    <w:rsid w:val="004775DA"/>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4775DA"/>
    <w:pPr>
      <w:numPr>
        <w:numId w:val="3"/>
      </w:numPr>
    </w:pPr>
  </w:style>
  <w:style w:type="paragraph" w:customStyle="1" w:styleId="Nivel1">
    <w:name w:val="Nivel 1"/>
    <w:basedOn w:val="Normal"/>
    <w:qFormat/>
    <w:rsid w:val="004775DA"/>
    <w:pPr>
      <w:numPr>
        <w:numId w:val="1"/>
      </w:numPr>
      <w:spacing w:before="100" w:after="100"/>
      <w:ind w:left="623" w:hanging="198"/>
    </w:pPr>
  </w:style>
  <w:style w:type="paragraph" w:customStyle="1" w:styleId="Nivel3">
    <w:name w:val="Nivel 3"/>
    <w:basedOn w:val="Nivel2"/>
    <w:link w:val="Nivel3Car"/>
    <w:qFormat/>
    <w:rsid w:val="004775DA"/>
    <w:pPr>
      <w:numPr>
        <w:ilvl w:val="2"/>
      </w:numPr>
      <w:spacing w:after="0"/>
      <w:ind w:left="1474" w:hanging="198"/>
    </w:pPr>
  </w:style>
  <w:style w:type="paragraph" w:customStyle="1" w:styleId="Letra">
    <w:name w:val="Letra"/>
    <w:basedOn w:val="Nivel1"/>
    <w:qFormat/>
    <w:rsid w:val="004775DA"/>
    <w:pPr>
      <w:numPr>
        <w:numId w:val="4"/>
      </w:numPr>
      <w:spacing w:before="0" w:after="40"/>
      <w:ind w:left="936" w:hanging="227"/>
    </w:pPr>
  </w:style>
  <w:style w:type="paragraph" w:customStyle="1" w:styleId="Nmero">
    <w:name w:val="Número"/>
    <w:basedOn w:val="Normal"/>
    <w:qFormat/>
    <w:rsid w:val="004775DA"/>
    <w:pPr>
      <w:numPr>
        <w:numId w:val="5"/>
      </w:numPr>
      <w:spacing w:after="40"/>
      <w:ind w:left="936" w:hanging="227"/>
    </w:pPr>
  </w:style>
  <w:style w:type="paragraph" w:styleId="Textodeglobo">
    <w:name w:val="Balloon Text"/>
    <w:basedOn w:val="Normal"/>
    <w:link w:val="TextodegloboCar"/>
    <w:uiPriority w:val="99"/>
    <w:semiHidden/>
    <w:unhideWhenUsed/>
    <w:rsid w:val="004775DA"/>
    <w:rPr>
      <w:rFonts w:ascii="Segoe UI" w:hAnsi="Segoe UI" w:cs="Segoe UI"/>
      <w:sz w:val="18"/>
      <w:szCs w:val="18"/>
    </w:rPr>
  </w:style>
  <w:style w:type="character" w:customStyle="1" w:styleId="BalloonTextChar">
    <w:name w:val="Balloon Text Char"/>
    <w:basedOn w:val="Fuentedeprrafopredeter"/>
    <w:uiPriority w:val="99"/>
    <w:semiHidden/>
    <w:rsid w:val="004775DA"/>
    <w:rPr>
      <w:rFonts w:ascii="Segoe UI" w:hAnsi="Segoe UI" w:cs="Segoe UI"/>
      <w:sz w:val="18"/>
      <w:szCs w:val="18"/>
      <w:lang w:val="es-ES"/>
    </w:rPr>
  </w:style>
  <w:style w:type="paragraph" w:customStyle="1" w:styleId="Notaalopositor">
    <w:name w:val="Nota al opositor"/>
    <w:basedOn w:val="Normal"/>
    <w:link w:val="NotaalopositorChar"/>
    <w:qFormat/>
    <w:rsid w:val="004775D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775DA"/>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775DA"/>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4775DA"/>
    <w:rPr>
      <w:rFonts w:ascii="Garamond" w:hAnsi="Garamond"/>
      <w:sz w:val="16"/>
      <w:szCs w:val="20"/>
      <w:lang w:val="es-ES"/>
    </w:rPr>
  </w:style>
  <w:style w:type="character" w:styleId="Refdenotaalpie">
    <w:name w:val="footnote reference"/>
    <w:basedOn w:val="Fuentedeprrafopredeter"/>
    <w:uiPriority w:val="99"/>
    <w:unhideWhenUsed/>
    <w:rsid w:val="004775DA"/>
    <w:rPr>
      <w:vertAlign w:val="superscript"/>
    </w:rPr>
  </w:style>
  <w:style w:type="character" w:customStyle="1" w:styleId="Heading6Char">
    <w:name w:val="Heading 6 Char"/>
    <w:basedOn w:val="Fuentedeprrafopredeter"/>
    <w:uiPriority w:val="9"/>
    <w:semiHidden/>
    <w:rsid w:val="004775DA"/>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775DA"/>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4775DA"/>
    <w:rPr>
      <w:rFonts w:ascii="Garamond" w:eastAsiaTheme="minorEastAsia" w:hAnsi="Garamond"/>
      <w:smallCaps/>
      <w:color w:val="FFFFFF" w:themeColor="text1" w:themeTint="A5"/>
      <w:lang w:val="es-ES"/>
    </w:rPr>
  </w:style>
  <w:style w:type="paragraph" w:customStyle="1" w:styleId="Nivel1SM">
    <w:name w:val="Nivel 1 SM"/>
    <w:basedOn w:val="Nivel1"/>
    <w:qFormat/>
    <w:rsid w:val="004775DA"/>
    <w:pPr>
      <w:ind w:left="0"/>
    </w:pPr>
  </w:style>
  <w:style w:type="paragraph" w:customStyle="1" w:styleId="Nivel2SM">
    <w:name w:val="Nivel 2 SM"/>
    <w:basedOn w:val="Nivel2"/>
    <w:qFormat/>
    <w:rsid w:val="004775DA"/>
    <w:pPr>
      <w:ind w:left="567"/>
    </w:pPr>
  </w:style>
  <w:style w:type="paragraph" w:customStyle="1" w:styleId="Nivel3SM">
    <w:name w:val="Nivel 3 SM"/>
    <w:basedOn w:val="Nivel3"/>
    <w:qFormat/>
    <w:rsid w:val="004775DA"/>
    <w:pPr>
      <w:ind w:left="963"/>
    </w:pPr>
  </w:style>
  <w:style w:type="paragraph" w:styleId="Encabezadodelista">
    <w:name w:val="toa heading"/>
    <w:basedOn w:val="Normal"/>
    <w:next w:val="Normal"/>
    <w:uiPriority w:val="99"/>
    <w:semiHidden/>
    <w:unhideWhenUsed/>
    <w:rsid w:val="004775DA"/>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775DA"/>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775D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775DA"/>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4775DA"/>
    <w:rPr>
      <w:rFonts w:ascii="Palatino Linotype" w:hAnsi="Palatino Linotype"/>
      <w:lang w:val="es-ES"/>
    </w:rPr>
  </w:style>
  <w:style w:type="character" w:customStyle="1" w:styleId="TtuloCar">
    <w:name w:val="Título Car"/>
    <w:basedOn w:val="Fuentedeprrafopredeter"/>
    <w:link w:val="Ttulo"/>
    <w:uiPriority w:val="10"/>
    <w:rsid w:val="004775DA"/>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775DA"/>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4775DA"/>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4775DA"/>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4775DA"/>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775DA"/>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4775DA"/>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4775DA"/>
    <w:rPr>
      <w:rFonts w:ascii="Palatino Linotype" w:hAnsi="Palatino Linotype"/>
      <w:sz w:val="16"/>
      <w:szCs w:val="20"/>
      <w:lang w:val="es-ES"/>
    </w:rPr>
  </w:style>
  <w:style w:type="character" w:customStyle="1" w:styleId="Ttulo6Car">
    <w:name w:val="Título 6 Car"/>
    <w:basedOn w:val="Fuentedeprrafopredeter"/>
    <w:link w:val="Ttulo6"/>
    <w:uiPriority w:val="9"/>
    <w:rsid w:val="004775DA"/>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4775DA"/>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4775DA"/>
    <w:rPr>
      <w:color w:val="605E5C"/>
      <w:shd w:val="clear" w:color="auto" w:fill="E1DFDD"/>
    </w:rPr>
  </w:style>
  <w:style w:type="character" w:styleId="Hipervnculovisitado">
    <w:name w:val="FollowedHyperlink"/>
    <w:basedOn w:val="Fuentedeprrafopredeter"/>
    <w:uiPriority w:val="99"/>
    <w:semiHidden/>
    <w:unhideWhenUsed/>
    <w:rsid w:val="00A77BAC"/>
    <w:rPr>
      <w:color w:val="954F72" w:themeColor="followedHyperlink"/>
      <w:u w:val="single"/>
    </w:rPr>
  </w:style>
  <w:style w:type="character" w:customStyle="1" w:styleId="Ttulo7Car">
    <w:name w:val="Título 7 Car"/>
    <w:basedOn w:val="Fuentedeprrafopredeter"/>
    <w:link w:val="Ttulo7"/>
    <w:uiPriority w:val="9"/>
    <w:rsid w:val="004775DA"/>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4775DA"/>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775D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775D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775DA"/>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775DA"/>
    <w:pPr>
      <w:spacing w:line="240" w:lineRule="auto"/>
      <w:ind w:left="567" w:hanging="567"/>
    </w:pPr>
  </w:style>
  <w:style w:type="paragraph" w:customStyle="1" w:styleId="Ttuloimagen">
    <w:name w:val="Título imagen"/>
    <w:basedOn w:val="PiedeImagen"/>
    <w:next w:val="Imagen"/>
    <w:link w:val="TtuloimagenCar"/>
    <w:qFormat/>
    <w:rsid w:val="004775DA"/>
    <w:pPr>
      <w:keepNext/>
      <w:spacing w:after="0"/>
    </w:pPr>
    <w:rPr>
      <w:i w:val="0"/>
      <w:smallCaps/>
      <w:sz w:val="20"/>
    </w:rPr>
  </w:style>
  <w:style w:type="character" w:customStyle="1" w:styleId="TtuloimagenCar">
    <w:name w:val="Título imagen Car"/>
    <w:basedOn w:val="ImagenCar"/>
    <w:link w:val="Ttuloimagen"/>
    <w:rsid w:val="004775DA"/>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775DA"/>
    <w:pPr>
      <w:ind w:left="1100"/>
    </w:pPr>
  </w:style>
  <w:style w:type="paragraph" w:styleId="Sinespaciado">
    <w:name w:val="No Spacing"/>
    <w:link w:val="SinespaciadoCar"/>
    <w:uiPriority w:val="1"/>
    <w:qFormat/>
    <w:rsid w:val="004775DA"/>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775DA"/>
    <w:rPr>
      <w:rFonts w:eastAsiaTheme="minorEastAsia"/>
      <w:lang w:val="es-ES" w:eastAsia="es-ES"/>
    </w:rPr>
  </w:style>
  <w:style w:type="paragraph" w:styleId="Prrafodelista">
    <w:name w:val="List Paragraph"/>
    <w:basedOn w:val="Normal"/>
    <w:uiPriority w:val="34"/>
    <w:rsid w:val="004775DA"/>
    <w:pPr>
      <w:ind w:left="720"/>
      <w:contextualSpacing/>
    </w:pPr>
  </w:style>
  <w:style w:type="paragraph" w:customStyle="1" w:styleId="Nmeroromano">
    <w:name w:val="Número romano"/>
    <w:basedOn w:val="Prrafodelista"/>
    <w:qFormat/>
    <w:rsid w:val="004775DA"/>
    <w:pPr>
      <w:numPr>
        <w:numId w:val="29"/>
      </w:numPr>
      <w:spacing w:after="100"/>
      <w:ind w:left="567" w:hanging="113"/>
    </w:pPr>
  </w:style>
  <w:style w:type="paragraph" w:customStyle="1" w:styleId="Saltodettulos">
    <w:name w:val="Salto de títulos"/>
    <w:basedOn w:val="Normal"/>
    <w:rsid w:val="004775DA"/>
    <w:pPr>
      <w:spacing w:after="0" w:line="240" w:lineRule="auto"/>
    </w:pPr>
    <w:rPr>
      <w:color w:val="FFFFFF"/>
      <w:sz w:val="2"/>
    </w:rPr>
  </w:style>
  <w:style w:type="paragraph" w:styleId="TDC7">
    <w:name w:val="toc 7"/>
    <w:basedOn w:val="Normal"/>
    <w:next w:val="FinTDC"/>
    <w:autoRedefine/>
    <w:uiPriority w:val="39"/>
    <w:unhideWhenUsed/>
    <w:rsid w:val="004775DA"/>
    <w:pPr>
      <w:spacing w:after="0" w:line="20" w:lineRule="atLeast"/>
      <w:ind w:left="1418"/>
      <w:jc w:val="left"/>
    </w:pPr>
    <w:rPr>
      <w:i/>
      <w:color w:val="5F2987"/>
      <w:sz w:val="12"/>
    </w:rPr>
  </w:style>
  <w:style w:type="character" w:styleId="Refdecomentario">
    <w:name w:val="annotation reference"/>
    <w:basedOn w:val="Fuentedeprrafopredeter"/>
    <w:uiPriority w:val="99"/>
    <w:semiHidden/>
    <w:unhideWhenUsed/>
    <w:rsid w:val="00AC4985"/>
    <w:rPr>
      <w:sz w:val="16"/>
      <w:szCs w:val="16"/>
    </w:rPr>
  </w:style>
  <w:style w:type="paragraph" w:styleId="Textocomentario">
    <w:name w:val="annotation text"/>
    <w:basedOn w:val="Normal"/>
    <w:link w:val="TextocomentarioCar"/>
    <w:uiPriority w:val="99"/>
    <w:unhideWhenUsed/>
    <w:rsid w:val="00AC4985"/>
    <w:pPr>
      <w:spacing w:line="240" w:lineRule="auto"/>
    </w:pPr>
    <w:rPr>
      <w:sz w:val="20"/>
      <w:szCs w:val="20"/>
    </w:rPr>
  </w:style>
  <w:style w:type="character" w:customStyle="1" w:styleId="TextocomentarioCar">
    <w:name w:val="Texto comentario Car"/>
    <w:basedOn w:val="Fuentedeprrafopredeter"/>
    <w:link w:val="Textocomentario"/>
    <w:uiPriority w:val="99"/>
    <w:rsid w:val="00AC4985"/>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AC4985"/>
    <w:rPr>
      <w:b/>
      <w:bCs/>
    </w:rPr>
  </w:style>
  <w:style w:type="character" w:customStyle="1" w:styleId="AsuntodelcomentarioCar">
    <w:name w:val="Asunto del comentario Car"/>
    <w:basedOn w:val="TextocomentarioCar"/>
    <w:link w:val="Asuntodelcomentario"/>
    <w:uiPriority w:val="99"/>
    <w:semiHidden/>
    <w:rsid w:val="00AC4985"/>
    <w:rPr>
      <w:rFonts w:ascii="PalatinoLinotype-Roman" w:hAnsi="PalatinoLinotype-Roman"/>
      <w:b/>
      <w:bCs/>
      <w:sz w:val="20"/>
      <w:szCs w:val="20"/>
      <w:lang w:val="es-ES"/>
    </w:rPr>
  </w:style>
  <w:style w:type="character" w:customStyle="1" w:styleId="Ttulo8Car">
    <w:name w:val="Título 8 Car"/>
    <w:basedOn w:val="Fuentedeprrafopredeter"/>
    <w:link w:val="Ttulo8"/>
    <w:uiPriority w:val="9"/>
    <w:rsid w:val="004775DA"/>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4775DA"/>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4775DA"/>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775DA"/>
    <w:pPr>
      <w:spacing w:after="0" w:line="240" w:lineRule="auto"/>
      <w:jc w:val="left"/>
    </w:pPr>
    <w:rPr>
      <w:sz w:val="15"/>
    </w:rPr>
  </w:style>
  <w:style w:type="paragraph" w:styleId="TDC9">
    <w:name w:val="toc 9"/>
    <w:basedOn w:val="TDC8"/>
    <w:next w:val="FinTDC"/>
    <w:autoRedefine/>
    <w:uiPriority w:val="39"/>
    <w:semiHidden/>
    <w:unhideWhenUsed/>
    <w:rsid w:val="004775DA"/>
    <w:pPr>
      <w:ind w:left="1760"/>
    </w:pPr>
  </w:style>
  <w:style w:type="paragraph" w:customStyle="1" w:styleId="Apartado0">
    <w:name w:val="Apartado 0"/>
    <w:basedOn w:val="Ttulo1"/>
    <w:next w:val="Normal"/>
    <w:link w:val="Apartado0Car"/>
    <w:qFormat/>
    <w:rsid w:val="004775DA"/>
    <w:pPr>
      <w:numPr>
        <w:numId w:val="10"/>
      </w:numPr>
      <w:ind w:left="357" w:hanging="357"/>
    </w:pPr>
  </w:style>
  <w:style w:type="character" w:customStyle="1" w:styleId="Apartado0Car">
    <w:name w:val="Apartado 0 Car"/>
    <w:basedOn w:val="Ttulo1Car"/>
    <w:link w:val="Apartado0"/>
    <w:rsid w:val="004775DA"/>
    <w:rPr>
      <w:rFonts w:ascii="Palatino Linotype" w:hAnsi="Palatino Linotype"/>
      <w:b/>
      <w:bCs/>
      <w:caps/>
      <w:color w:val="E2EFD9" w:themeColor="accent6" w:themeTint="33"/>
      <w:shd w:val="clear" w:color="auto" w:fill="5F2987"/>
      <w:lang w:val="es-ES"/>
    </w:rPr>
  </w:style>
  <w:style w:type="paragraph" w:styleId="Listaconvietas">
    <w:name w:val="List Bullet"/>
    <w:basedOn w:val="Normal"/>
    <w:uiPriority w:val="99"/>
    <w:unhideWhenUsed/>
    <w:rsid w:val="000E7DED"/>
    <w:pPr>
      <w:tabs>
        <w:tab w:val="num" w:pos="360"/>
      </w:tabs>
      <w:ind w:left="360" w:hanging="360"/>
      <w:contextualSpacing/>
    </w:pPr>
  </w:style>
  <w:style w:type="paragraph" w:styleId="Textonotaalfinal">
    <w:name w:val="endnote text"/>
    <w:basedOn w:val="Normal"/>
    <w:link w:val="TextonotaalfinalCar"/>
    <w:uiPriority w:val="99"/>
    <w:semiHidden/>
    <w:unhideWhenUsed/>
    <w:rsid w:val="004775D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775DA"/>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775DA"/>
    <w:rPr>
      <w:vertAlign w:val="superscript"/>
    </w:rPr>
  </w:style>
  <w:style w:type="paragraph" w:styleId="Descripcin">
    <w:name w:val="caption"/>
    <w:basedOn w:val="Normal"/>
    <w:next w:val="Normal"/>
    <w:uiPriority w:val="35"/>
    <w:unhideWhenUsed/>
    <w:qFormat/>
    <w:rsid w:val="004775DA"/>
    <w:pPr>
      <w:spacing w:after="200" w:line="240" w:lineRule="auto"/>
    </w:pPr>
    <w:rPr>
      <w:i/>
      <w:iCs/>
      <w:color w:val="44546A" w:themeColor="text2"/>
      <w:sz w:val="18"/>
      <w:szCs w:val="18"/>
    </w:rPr>
  </w:style>
  <w:style w:type="paragraph" w:customStyle="1" w:styleId="Nivel4">
    <w:name w:val="Nivel 4"/>
    <w:basedOn w:val="Nivel3"/>
    <w:link w:val="Nivel4Car"/>
    <w:qFormat/>
    <w:rsid w:val="004775DA"/>
    <w:pPr>
      <w:numPr>
        <w:ilvl w:val="3"/>
      </w:numPr>
      <w:ind w:left="1899" w:hanging="198"/>
    </w:pPr>
  </w:style>
  <w:style w:type="paragraph" w:customStyle="1" w:styleId="Nivel5">
    <w:name w:val="Nivel 5"/>
    <w:basedOn w:val="Nivel4"/>
    <w:link w:val="Nivel5Car"/>
    <w:qFormat/>
    <w:rsid w:val="004775DA"/>
    <w:pPr>
      <w:numPr>
        <w:ilvl w:val="4"/>
      </w:numPr>
      <w:ind w:left="2155" w:hanging="170"/>
    </w:pPr>
  </w:style>
  <w:style w:type="character" w:customStyle="1" w:styleId="Nivel2Car">
    <w:name w:val="Nivel 2 Car"/>
    <w:basedOn w:val="Fuentedeprrafopredeter"/>
    <w:link w:val="Nivel2"/>
    <w:rsid w:val="004775DA"/>
    <w:rPr>
      <w:rFonts w:ascii="Palatino Linotype" w:hAnsi="Palatino Linotype"/>
      <w:lang w:val="es-ES"/>
    </w:rPr>
  </w:style>
  <w:style w:type="character" w:customStyle="1" w:styleId="Nivel3Car">
    <w:name w:val="Nivel 3 Car"/>
    <w:basedOn w:val="Nivel2Car"/>
    <w:link w:val="Nivel3"/>
    <w:rsid w:val="004775DA"/>
    <w:rPr>
      <w:rFonts w:ascii="Palatino Linotype" w:hAnsi="Palatino Linotype"/>
      <w:lang w:val="es-ES"/>
    </w:rPr>
  </w:style>
  <w:style w:type="character" w:customStyle="1" w:styleId="Nivel4Car">
    <w:name w:val="Nivel 4 Car"/>
    <w:basedOn w:val="Nivel3Car"/>
    <w:link w:val="Nivel4"/>
    <w:rsid w:val="004775DA"/>
    <w:rPr>
      <w:rFonts w:ascii="Palatino Linotype" w:hAnsi="Palatino Linotype"/>
      <w:lang w:val="es-ES"/>
    </w:rPr>
  </w:style>
  <w:style w:type="paragraph" w:customStyle="1" w:styleId="Nivel6">
    <w:name w:val="Nivel 6"/>
    <w:basedOn w:val="Nivel5"/>
    <w:link w:val="Nivel6Car"/>
    <w:qFormat/>
    <w:rsid w:val="004775DA"/>
    <w:pPr>
      <w:numPr>
        <w:ilvl w:val="5"/>
      </w:numPr>
      <w:ind w:left="2438" w:hanging="227"/>
    </w:pPr>
  </w:style>
  <w:style w:type="character" w:customStyle="1" w:styleId="Nivel5Car">
    <w:name w:val="Nivel 5 Car"/>
    <w:basedOn w:val="Nivel4Car"/>
    <w:link w:val="Nivel5"/>
    <w:rsid w:val="004775DA"/>
    <w:rPr>
      <w:rFonts w:ascii="Palatino Linotype" w:hAnsi="Palatino Linotype"/>
      <w:lang w:val="es-ES"/>
    </w:rPr>
  </w:style>
  <w:style w:type="paragraph" w:customStyle="1" w:styleId="Nivel7">
    <w:name w:val="Nivel 7"/>
    <w:basedOn w:val="Nivel5"/>
    <w:link w:val="Nivel7Car"/>
    <w:qFormat/>
    <w:rsid w:val="004775DA"/>
    <w:pPr>
      <w:numPr>
        <w:ilvl w:val="6"/>
      </w:numPr>
      <w:ind w:left="2722" w:hanging="170"/>
    </w:pPr>
  </w:style>
  <w:style w:type="character" w:customStyle="1" w:styleId="Nivel6Car">
    <w:name w:val="Nivel 6 Car"/>
    <w:basedOn w:val="Nivel5Car"/>
    <w:link w:val="Nivel6"/>
    <w:rsid w:val="004775DA"/>
    <w:rPr>
      <w:rFonts w:ascii="Palatino Linotype" w:hAnsi="Palatino Linotype"/>
      <w:lang w:val="es-ES"/>
    </w:rPr>
  </w:style>
  <w:style w:type="character" w:customStyle="1" w:styleId="Nivel7Car">
    <w:name w:val="Nivel 7 Car"/>
    <w:basedOn w:val="Nivel5Car"/>
    <w:link w:val="Nivel7"/>
    <w:rsid w:val="004775DA"/>
    <w:rPr>
      <w:rFonts w:ascii="Palatino Linotype" w:hAnsi="Palatino Linotype"/>
      <w:lang w:val="es-ES"/>
    </w:rPr>
  </w:style>
  <w:style w:type="paragraph" w:customStyle="1" w:styleId="Ttulo10">
    <w:name w:val="Título 10"/>
    <w:basedOn w:val="Ttulo9"/>
    <w:link w:val="Ttulo10Car"/>
    <w:qFormat/>
    <w:rsid w:val="004775DA"/>
    <w:pPr>
      <w:ind w:left="1276"/>
    </w:pPr>
    <w:rPr>
      <w:w w:val="97"/>
      <w:sz w:val="20"/>
    </w:rPr>
  </w:style>
  <w:style w:type="character" w:customStyle="1" w:styleId="Ttulo10Car">
    <w:name w:val="Título 10 Car"/>
    <w:basedOn w:val="Ttulo9Car"/>
    <w:link w:val="Ttulo10"/>
    <w:rsid w:val="004775DA"/>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775D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775DA"/>
    <w:pPr>
      <w:numPr>
        <w:ilvl w:val="7"/>
      </w:numPr>
      <w:ind w:left="3005" w:hanging="170"/>
    </w:pPr>
  </w:style>
  <w:style w:type="character" w:customStyle="1" w:styleId="Nivel8Car">
    <w:name w:val="Nivel 8 Car"/>
    <w:basedOn w:val="Nivel7Car"/>
    <w:link w:val="Nivel8"/>
    <w:rsid w:val="004775DA"/>
    <w:rPr>
      <w:rFonts w:ascii="Palatino Linotype" w:hAnsi="Palatino Linotype"/>
      <w:lang w:val="es-ES"/>
    </w:rPr>
  </w:style>
  <w:style w:type="paragraph" w:customStyle="1" w:styleId="Advertencia">
    <w:name w:val="Advertencia"/>
    <w:basedOn w:val="Normal"/>
    <w:next w:val="Normal"/>
    <w:link w:val="AdvertenciaCar"/>
    <w:qFormat/>
    <w:rsid w:val="004775D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775DA"/>
    <w:rPr>
      <w:rFonts w:ascii="Palatino Linotype" w:hAnsi="Palatino Linotype"/>
      <w:color w:val="C00000"/>
      <w:shd w:val="clear" w:color="auto" w:fill="FBE4D5" w:themeFill="accent2" w:themeFillTint="33"/>
      <w:lang w:val="es-ES"/>
    </w:rPr>
  </w:style>
  <w:style w:type="paragraph" w:styleId="Piedepgina">
    <w:name w:val="footer"/>
    <w:basedOn w:val="Normal"/>
    <w:link w:val="PiedepginaCar"/>
    <w:uiPriority w:val="99"/>
    <w:unhideWhenUsed/>
    <w:qFormat/>
    <w:rsid w:val="00F10C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10CA1"/>
    <w:rPr>
      <w:rFonts w:ascii="Palatino Linotype" w:hAnsi="Palatino Linotype"/>
      <w:lang w:val="es-ES"/>
    </w:rPr>
  </w:style>
  <w:style w:type="paragraph" w:customStyle="1" w:styleId="pf0">
    <w:name w:val="pf0"/>
    <w:basedOn w:val="Normal"/>
    <w:rsid w:val="006B4989"/>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cf01">
    <w:name w:val="cf01"/>
    <w:basedOn w:val="Fuentedeprrafopredeter"/>
    <w:rsid w:val="006B498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042706">
      <w:bodyDiv w:val="1"/>
      <w:marLeft w:val="0"/>
      <w:marRight w:val="0"/>
      <w:marTop w:val="0"/>
      <w:marBottom w:val="0"/>
      <w:divBdr>
        <w:top w:val="none" w:sz="0" w:space="0" w:color="auto"/>
        <w:left w:val="none" w:sz="0" w:space="0" w:color="auto"/>
        <w:bottom w:val="none" w:sz="0" w:space="0" w:color="auto"/>
        <w:right w:val="none" w:sz="0" w:space="0" w:color="auto"/>
      </w:divBdr>
      <w:divsChild>
        <w:div w:id="1468013203">
          <w:marLeft w:val="480"/>
          <w:marRight w:val="0"/>
          <w:marTop w:val="0"/>
          <w:marBottom w:val="0"/>
          <w:divBdr>
            <w:top w:val="none" w:sz="0" w:space="0" w:color="auto"/>
            <w:left w:val="none" w:sz="0" w:space="0" w:color="auto"/>
            <w:bottom w:val="none" w:sz="0" w:space="0" w:color="auto"/>
            <w:right w:val="none" w:sz="0" w:space="0" w:color="auto"/>
          </w:divBdr>
          <w:divsChild>
            <w:div w:id="5714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3359">
      <w:bodyDiv w:val="1"/>
      <w:marLeft w:val="0"/>
      <w:marRight w:val="0"/>
      <w:marTop w:val="0"/>
      <w:marBottom w:val="0"/>
      <w:divBdr>
        <w:top w:val="none" w:sz="0" w:space="0" w:color="auto"/>
        <w:left w:val="none" w:sz="0" w:space="0" w:color="auto"/>
        <w:bottom w:val="none" w:sz="0" w:space="0" w:color="auto"/>
        <w:right w:val="none" w:sz="0" w:space="0" w:color="auto"/>
      </w:divBdr>
    </w:div>
    <w:div w:id="419065399">
      <w:bodyDiv w:val="1"/>
      <w:marLeft w:val="0"/>
      <w:marRight w:val="0"/>
      <w:marTop w:val="0"/>
      <w:marBottom w:val="0"/>
      <w:divBdr>
        <w:top w:val="none" w:sz="0" w:space="0" w:color="auto"/>
        <w:left w:val="none" w:sz="0" w:space="0" w:color="auto"/>
        <w:bottom w:val="none" w:sz="0" w:space="0" w:color="auto"/>
        <w:right w:val="none" w:sz="0" w:space="0" w:color="auto"/>
      </w:divBdr>
    </w:div>
    <w:div w:id="766196945">
      <w:bodyDiv w:val="1"/>
      <w:marLeft w:val="0"/>
      <w:marRight w:val="0"/>
      <w:marTop w:val="0"/>
      <w:marBottom w:val="0"/>
      <w:divBdr>
        <w:top w:val="none" w:sz="0" w:space="0" w:color="auto"/>
        <w:left w:val="none" w:sz="0" w:space="0" w:color="auto"/>
        <w:bottom w:val="none" w:sz="0" w:space="0" w:color="auto"/>
        <w:right w:val="none" w:sz="0" w:space="0" w:color="auto"/>
      </w:divBdr>
    </w:div>
    <w:div w:id="843865263">
      <w:bodyDiv w:val="1"/>
      <w:marLeft w:val="0"/>
      <w:marRight w:val="0"/>
      <w:marTop w:val="0"/>
      <w:marBottom w:val="0"/>
      <w:divBdr>
        <w:top w:val="none" w:sz="0" w:space="0" w:color="auto"/>
        <w:left w:val="none" w:sz="0" w:space="0" w:color="auto"/>
        <w:bottom w:val="none" w:sz="0" w:space="0" w:color="auto"/>
        <w:right w:val="none" w:sz="0" w:space="0" w:color="auto"/>
      </w:divBdr>
      <w:divsChild>
        <w:div w:id="893857763">
          <w:marLeft w:val="480"/>
          <w:marRight w:val="0"/>
          <w:marTop w:val="0"/>
          <w:marBottom w:val="0"/>
          <w:divBdr>
            <w:top w:val="none" w:sz="0" w:space="0" w:color="auto"/>
            <w:left w:val="none" w:sz="0" w:space="0" w:color="auto"/>
            <w:bottom w:val="none" w:sz="0" w:space="0" w:color="auto"/>
            <w:right w:val="none" w:sz="0" w:space="0" w:color="auto"/>
          </w:divBdr>
          <w:divsChild>
            <w:div w:id="1569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55245">
      <w:bodyDiv w:val="1"/>
      <w:marLeft w:val="0"/>
      <w:marRight w:val="0"/>
      <w:marTop w:val="0"/>
      <w:marBottom w:val="0"/>
      <w:divBdr>
        <w:top w:val="none" w:sz="0" w:space="0" w:color="auto"/>
        <w:left w:val="none" w:sz="0" w:space="0" w:color="auto"/>
        <w:bottom w:val="none" w:sz="0" w:space="0" w:color="auto"/>
        <w:right w:val="none" w:sz="0" w:space="0" w:color="auto"/>
      </w:divBdr>
    </w:div>
    <w:div w:id="1262878782">
      <w:bodyDiv w:val="1"/>
      <w:marLeft w:val="0"/>
      <w:marRight w:val="0"/>
      <w:marTop w:val="0"/>
      <w:marBottom w:val="0"/>
      <w:divBdr>
        <w:top w:val="none" w:sz="0" w:space="0" w:color="auto"/>
        <w:left w:val="none" w:sz="0" w:space="0" w:color="auto"/>
        <w:bottom w:val="none" w:sz="0" w:space="0" w:color="auto"/>
        <w:right w:val="none" w:sz="0" w:space="0" w:color="auto"/>
      </w:divBdr>
    </w:div>
    <w:div w:id="1324041952">
      <w:bodyDiv w:val="1"/>
      <w:marLeft w:val="0"/>
      <w:marRight w:val="0"/>
      <w:marTop w:val="0"/>
      <w:marBottom w:val="0"/>
      <w:divBdr>
        <w:top w:val="none" w:sz="0" w:space="0" w:color="auto"/>
        <w:left w:val="none" w:sz="0" w:space="0" w:color="auto"/>
        <w:bottom w:val="none" w:sz="0" w:space="0" w:color="auto"/>
        <w:right w:val="none" w:sz="0" w:space="0" w:color="auto"/>
      </w:divBdr>
      <w:divsChild>
        <w:div w:id="759915035">
          <w:marLeft w:val="480"/>
          <w:marRight w:val="0"/>
          <w:marTop w:val="0"/>
          <w:marBottom w:val="0"/>
          <w:divBdr>
            <w:top w:val="none" w:sz="0" w:space="0" w:color="auto"/>
            <w:left w:val="none" w:sz="0" w:space="0" w:color="auto"/>
            <w:bottom w:val="none" w:sz="0" w:space="0" w:color="auto"/>
            <w:right w:val="none" w:sz="0" w:space="0" w:color="auto"/>
          </w:divBdr>
          <w:divsChild>
            <w:div w:id="72017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0204">
      <w:bodyDiv w:val="1"/>
      <w:marLeft w:val="0"/>
      <w:marRight w:val="0"/>
      <w:marTop w:val="0"/>
      <w:marBottom w:val="0"/>
      <w:divBdr>
        <w:top w:val="none" w:sz="0" w:space="0" w:color="auto"/>
        <w:left w:val="none" w:sz="0" w:space="0" w:color="auto"/>
        <w:bottom w:val="none" w:sz="0" w:space="0" w:color="auto"/>
        <w:right w:val="none" w:sz="0" w:space="0" w:color="auto"/>
      </w:divBdr>
      <w:divsChild>
        <w:div w:id="1908303668">
          <w:marLeft w:val="480"/>
          <w:marRight w:val="0"/>
          <w:marTop w:val="0"/>
          <w:marBottom w:val="0"/>
          <w:divBdr>
            <w:top w:val="none" w:sz="0" w:space="0" w:color="auto"/>
            <w:left w:val="none" w:sz="0" w:space="0" w:color="auto"/>
            <w:bottom w:val="none" w:sz="0" w:space="0" w:color="auto"/>
            <w:right w:val="none" w:sz="0" w:space="0" w:color="auto"/>
          </w:divBdr>
          <w:divsChild>
            <w:div w:id="135491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8338">
      <w:bodyDiv w:val="1"/>
      <w:marLeft w:val="0"/>
      <w:marRight w:val="0"/>
      <w:marTop w:val="0"/>
      <w:marBottom w:val="0"/>
      <w:divBdr>
        <w:top w:val="none" w:sz="0" w:space="0" w:color="auto"/>
        <w:left w:val="none" w:sz="0" w:space="0" w:color="auto"/>
        <w:bottom w:val="none" w:sz="0" w:space="0" w:color="auto"/>
        <w:right w:val="none" w:sz="0" w:space="0" w:color="auto"/>
      </w:divBdr>
      <w:divsChild>
        <w:div w:id="1584489341">
          <w:marLeft w:val="480"/>
          <w:marRight w:val="0"/>
          <w:marTop w:val="0"/>
          <w:marBottom w:val="0"/>
          <w:divBdr>
            <w:top w:val="none" w:sz="0" w:space="0" w:color="auto"/>
            <w:left w:val="none" w:sz="0" w:space="0" w:color="auto"/>
            <w:bottom w:val="none" w:sz="0" w:space="0" w:color="auto"/>
            <w:right w:val="none" w:sz="0" w:space="0" w:color="auto"/>
          </w:divBdr>
          <w:divsChild>
            <w:div w:id="150335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3443">
      <w:bodyDiv w:val="1"/>
      <w:marLeft w:val="0"/>
      <w:marRight w:val="0"/>
      <w:marTop w:val="0"/>
      <w:marBottom w:val="0"/>
      <w:divBdr>
        <w:top w:val="none" w:sz="0" w:space="0" w:color="auto"/>
        <w:left w:val="none" w:sz="0" w:space="0" w:color="auto"/>
        <w:bottom w:val="none" w:sz="0" w:space="0" w:color="auto"/>
        <w:right w:val="none" w:sz="0" w:space="0" w:color="auto"/>
      </w:divBdr>
      <w:divsChild>
        <w:div w:id="911965152">
          <w:marLeft w:val="480"/>
          <w:marRight w:val="0"/>
          <w:marTop w:val="0"/>
          <w:marBottom w:val="0"/>
          <w:divBdr>
            <w:top w:val="none" w:sz="0" w:space="0" w:color="auto"/>
            <w:left w:val="none" w:sz="0" w:space="0" w:color="auto"/>
            <w:bottom w:val="none" w:sz="0" w:space="0" w:color="auto"/>
            <w:right w:val="none" w:sz="0" w:space="0" w:color="auto"/>
          </w:divBdr>
          <w:divsChild>
            <w:div w:id="50050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2077">
      <w:bodyDiv w:val="1"/>
      <w:marLeft w:val="0"/>
      <w:marRight w:val="0"/>
      <w:marTop w:val="0"/>
      <w:marBottom w:val="0"/>
      <w:divBdr>
        <w:top w:val="none" w:sz="0" w:space="0" w:color="auto"/>
        <w:left w:val="none" w:sz="0" w:space="0" w:color="auto"/>
        <w:bottom w:val="none" w:sz="0" w:space="0" w:color="auto"/>
        <w:right w:val="none" w:sz="0" w:space="0" w:color="auto"/>
      </w:divBdr>
    </w:div>
    <w:div w:id="1976131283">
      <w:bodyDiv w:val="1"/>
      <w:marLeft w:val="0"/>
      <w:marRight w:val="0"/>
      <w:marTop w:val="0"/>
      <w:marBottom w:val="0"/>
      <w:divBdr>
        <w:top w:val="none" w:sz="0" w:space="0" w:color="auto"/>
        <w:left w:val="none" w:sz="0" w:space="0" w:color="auto"/>
        <w:bottom w:val="none" w:sz="0" w:space="0" w:color="auto"/>
        <w:right w:val="none" w:sz="0" w:space="0" w:color="auto"/>
      </w:divBdr>
    </w:div>
    <w:div w:id="2069716775">
      <w:bodyDiv w:val="1"/>
      <w:marLeft w:val="0"/>
      <w:marRight w:val="0"/>
      <w:marTop w:val="0"/>
      <w:marBottom w:val="0"/>
      <w:divBdr>
        <w:top w:val="none" w:sz="0" w:space="0" w:color="auto"/>
        <w:left w:val="none" w:sz="0" w:space="0" w:color="auto"/>
        <w:bottom w:val="none" w:sz="0" w:space="0" w:color="auto"/>
        <w:right w:val="none" w:sz="0" w:space="0" w:color="auto"/>
      </w:divBdr>
      <w:divsChild>
        <w:div w:id="1949775075">
          <w:marLeft w:val="480"/>
          <w:marRight w:val="0"/>
          <w:marTop w:val="0"/>
          <w:marBottom w:val="0"/>
          <w:divBdr>
            <w:top w:val="none" w:sz="0" w:space="0" w:color="auto"/>
            <w:left w:val="none" w:sz="0" w:space="0" w:color="auto"/>
            <w:bottom w:val="none" w:sz="0" w:space="0" w:color="auto"/>
            <w:right w:val="none" w:sz="0" w:space="0" w:color="auto"/>
          </w:divBdr>
          <w:divsChild>
            <w:div w:id="3810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2985">
      <w:bodyDiv w:val="1"/>
      <w:marLeft w:val="0"/>
      <w:marRight w:val="0"/>
      <w:marTop w:val="0"/>
      <w:marBottom w:val="0"/>
      <w:divBdr>
        <w:top w:val="none" w:sz="0" w:space="0" w:color="auto"/>
        <w:left w:val="none" w:sz="0" w:space="0" w:color="auto"/>
        <w:bottom w:val="none" w:sz="0" w:space="0" w:color="auto"/>
        <w:right w:val="none" w:sz="0" w:space="0" w:color="auto"/>
      </w:divBdr>
      <w:divsChild>
        <w:div w:id="4597085">
          <w:marLeft w:val="480"/>
          <w:marRight w:val="0"/>
          <w:marTop w:val="0"/>
          <w:marBottom w:val="0"/>
          <w:divBdr>
            <w:top w:val="none" w:sz="0" w:space="0" w:color="auto"/>
            <w:left w:val="none" w:sz="0" w:space="0" w:color="auto"/>
            <w:bottom w:val="none" w:sz="0" w:space="0" w:color="auto"/>
            <w:right w:val="none" w:sz="0" w:space="0" w:color="auto"/>
          </w:divBdr>
          <w:divsChild>
            <w:div w:id="21043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9.jpg"/><Relationship Id="rId26" Type="http://schemas.openxmlformats.org/officeDocument/2006/relationships/image" Target="media/image18.jpg"/><Relationship Id="rId21" Type="http://schemas.openxmlformats.org/officeDocument/2006/relationships/image" Target="media/image13.jp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8.jpg"/><Relationship Id="rId25" Type="http://schemas.openxmlformats.org/officeDocument/2006/relationships/hyperlink" Target="https://doi.org/10.1007/978-3-642-37314-5_16"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1.jpg"/><Relationship Id="rId29" Type="http://schemas.openxmlformats.org/officeDocument/2006/relationships/hyperlink" Target="https://www.quia.com/quiz/656294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to.org/spanish/forums_s/debates_s/debate3_s.htm" TargetMode="External"/><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6.jpg"/><Relationship Id="rId28" Type="http://schemas.openxmlformats.org/officeDocument/2006/relationships/hyperlink" Target="https://doi.org/10.1007/978-3-642-37314-5" TargetMode="External"/><Relationship Id="rId36" Type="http://schemas.openxmlformats.org/officeDocument/2006/relationships/fontTable" Target="fontTable.xml"/><Relationship Id="rId10" Type="http://schemas.openxmlformats.org/officeDocument/2006/relationships/hyperlink" Target="https://www.wto.org/spanish/forums_s/debates_s/debates_s.htm" TargetMode="External"/><Relationship Id="rId19" Type="http://schemas.openxmlformats.org/officeDocument/2006/relationships/image" Target="media/image10.jp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wto.org/spanish/forums_s/debates_s/debate3_s.htm" TargetMode="External"/><Relationship Id="rId14" Type="http://schemas.openxmlformats.org/officeDocument/2006/relationships/image" Target="media/image4.png"/><Relationship Id="rId22" Type="http://schemas.openxmlformats.org/officeDocument/2006/relationships/image" Target="media/image15.png"/><Relationship Id="rId27" Type="http://schemas.openxmlformats.org/officeDocument/2006/relationships/hyperlink" Target="https://www.wto.org/english/forums_e/debates_e/debate3_e.htm"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2.jp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591CA442E6C479AB2DC87FE708AE35F"/>
        <w:category>
          <w:name w:val="General"/>
          <w:gallery w:val="placeholder"/>
        </w:category>
        <w:types>
          <w:type w:val="bbPlcHdr"/>
        </w:types>
        <w:behaviors>
          <w:behavior w:val="content"/>
        </w:behaviors>
        <w:guid w:val="{63F3B00A-3C5C-4FE9-BB9B-8A12580124CE}"/>
      </w:docPartPr>
      <w:docPartBody>
        <w:p w:rsidR="00893135" w:rsidRDefault="000743D4">
          <w:pPr>
            <w:pStyle w:val="A591CA442E6C479AB2DC87FE708AE35F"/>
          </w:pPr>
          <w:r w:rsidRPr="001B5103">
            <w:rPr>
              <w:rStyle w:val="Textodelmarcadordeposicin"/>
            </w:rPr>
            <w:t>[Title]</w:t>
          </w:r>
        </w:p>
      </w:docPartBody>
    </w:docPart>
    <w:docPart>
      <w:docPartPr>
        <w:name w:val="4C79774821534565AF9B5A58D7BD1B9F"/>
        <w:category>
          <w:name w:val="General"/>
          <w:gallery w:val="placeholder"/>
        </w:category>
        <w:types>
          <w:type w:val="bbPlcHdr"/>
        </w:types>
        <w:behaviors>
          <w:behavior w:val="content"/>
        </w:behaviors>
        <w:guid w:val="{E72A9C4C-EBCB-4337-8888-AF608120B388}"/>
      </w:docPartPr>
      <w:docPartBody>
        <w:p w:rsidR="00893135" w:rsidRDefault="000743D4">
          <w:pPr>
            <w:pStyle w:val="4C79774821534565AF9B5A58D7BD1B9F"/>
          </w:pPr>
          <w:r w:rsidRPr="001B5103">
            <w:rPr>
              <w:rStyle w:val="Textodelmarcadordeposicin"/>
            </w:rPr>
            <w:t>[Subject]</w:t>
          </w:r>
        </w:p>
      </w:docPartBody>
    </w:docPart>
    <w:docPart>
      <w:docPartPr>
        <w:name w:val="EB72299B900549FFACA26DD38E8B1F0E"/>
        <w:category>
          <w:name w:val="General"/>
          <w:gallery w:val="placeholder"/>
        </w:category>
        <w:types>
          <w:type w:val="bbPlcHdr"/>
        </w:types>
        <w:behaviors>
          <w:behavior w:val="content"/>
        </w:behaviors>
        <w:guid w:val="{24544ED4-FC28-4875-900B-E9AC79E543A9}"/>
      </w:docPartPr>
      <w:docPartBody>
        <w:p w:rsidR="00031732" w:rsidRDefault="00487EAD" w:rsidP="00487EAD">
          <w:pPr>
            <w:pStyle w:val="EB72299B900549FFACA26DD38E8B1F0E"/>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3D4"/>
    <w:rsid w:val="00031732"/>
    <w:rsid w:val="00035834"/>
    <w:rsid w:val="000743D4"/>
    <w:rsid w:val="001A242F"/>
    <w:rsid w:val="001F5D73"/>
    <w:rsid w:val="00232CE4"/>
    <w:rsid w:val="002473B0"/>
    <w:rsid w:val="00283986"/>
    <w:rsid w:val="00324421"/>
    <w:rsid w:val="0033392A"/>
    <w:rsid w:val="00345238"/>
    <w:rsid w:val="00356B39"/>
    <w:rsid w:val="003912F5"/>
    <w:rsid w:val="00393BEC"/>
    <w:rsid w:val="003A2A3D"/>
    <w:rsid w:val="003D0C97"/>
    <w:rsid w:val="003E2363"/>
    <w:rsid w:val="003F29B8"/>
    <w:rsid w:val="00404348"/>
    <w:rsid w:val="00434F59"/>
    <w:rsid w:val="004613D0"/>
    <w:rsid w:val="00473107"/>
    <w:rsid w:val="00480FB7"/>
    <w:rsid w:val="00487EAD"/>
    <w:rsid w:val="005210C7"/>
    <w:rsid w:val="00530A0C"/>
    <w:rsid w:val="00682B81"/>
    <w:rsid w:val="00702071"/>
    <w:rsid w:val="00703D4A"/>
    <w:rsid w:val="00740A56"/>
    <w:rsid w:val="00771F07"/>
    <w:rsid w:val="007854C7"/>
    <w:rsid w:val="00827F87"/>
    <w:rsid w:val="0086019E"/>
    <w:rsid w:val="00891A4E"/>
    <w:rsid w:val="00893135"/>
    <w:rsid w:val="0090281D"/>
    <w:rsid w:val="009135D6"/>
    <w:rsid w:val="00925823"/>
    <w:rsid w:val="009320B8"/>
    <w:rsid w:val="00964D75"/>
    <w:rsid w:val="00982F65"/>
    <w:rsid w:val="009C3A5A"/>
    <w:rsid w:val="009E10E7"/>
    <w:rsid w:val="00A127FB"/>
    <w:rsid w:val="00AA73EF"/>
    <w:rsid w:val="00AE2734"/>
    <w:rsid w:val="00AE314D"/>
    <w:rsid w:val="00B021D1"/>
    <w:rsid w:val="00BC6905"/>
    <w:rsid w:val="00C4530E"/>
    <w:rsid w:val="00C62DE4"/>
    <w:rsid w:val="00CE67A7"/>
    <w:rsid w:val="00D010C3"/>
    <w:rsid w:val="00D10E70"/>
    <w:rsid w:val="00D21F9A"/>
    <w:rsid w:val="00D56615"/>
    <w:rsid w:val="00DB6EDD"/>
    <w:rsid w:val="00EA33AB"/>
    <w:rsid w:val="00EC70B2"/>
    <w:rsid w:val="00EE405D"/>
    <w:rsid w:val="00EE5A37"/>
    <w:rsid w:val="00EF50C4"/>
    <w:rsid w:val="00F000D0"/>
    <w:rsid w:val="00F11758"/>
    <w:rsid w:val="00F41558"/>
    <w:rsid w:val="00F4367C"/>
    <w:rsid w:val="00F60685"/>
    <w:rsid w:val="00F676DA"/>
    <w:rsid w:val="00F73CDF"/>
    <w:rsid w:val="00F9431F"/>
    <w:rsid w:val="00FB6D1F"/>
    <w:rsid w:val="00FF59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11758"/>
    <w:rPr>
      <w:color w:val="808080"/>
    </w:rPr>
  </w:style>
  <w:style w:type="paragraph" w:customStyle="1" w:styleId="A591CA442E6C479AB2DC87FE708AE35F">
    <w:name w:val="A591CA442E6C479AB2DC87FE708AE35F"/>
  </w:style>
  <w:style w:type="paragraph" w:customStyle="1" w:styleId="4C79774821534565AF9B5A58D7BD1B9F">
    <w:name w:val="4C79774821534565AF9B5A58D7BD1B9F"/>
  </w:style>
  <w:style w:type="paragraph" w:customStyle="1" w:styleId="EB72299B900549FFACA26DD38E8B1F0E">
    <w:name w:val="EB72299B900549FFACA26DD38E8B1F0E"/>
    <w:rsid w:val="00487E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E896944-2BA8-4390-9593-383EB2A7205E}">
  <we:reference id="wa104312191" version="1.2.0.0" store="en-US" storeType="OMEX"/>
  <we:alternateReferences>
    <we:reference id="WA10431219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30</TotalTime>
  <Pages>1</Pages>
  <Words>14686</Words>
  <Characters>80776</Characters>
  <Application>Microsoft Office Word</Application>
  <DocSecurity>0</DocSecurity>
  <Lines>673</Lines>
  <Paragraphs>190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3.B.10</vt:lpstr>
      <vt:lpstr>TEMA E.P.NN</vt:lpstr>
    </vt:vector>
  </TitlesOfParts>
  <Company/>
  <LinksUpToDate>false</LinksUpToDate>
  <CharactersWithSpaces>95272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3.B.10</dc:title>
  <dc:subject>Teoría de la integración económica.</dc:subject>
  <dc:creator>Víctor Gutiérrez Marcos</dc:creator>
  <cp:keywords/>
  <dc:description/>
  <cp:lastModifiedBy>Víctor Gutiérrez Marcos</cp:lastModifiedBy>
  <dcterms:created xsi:type="dcterms:W3CDTF">2024-07-18T18:01:00Z</dcterms:created>
  <dcterms:modified xsi:type="dcterms:W3CDTF">2024-08-10T19:50:00Z</dcterms:modified>
</cp:coreProperties>
</file>