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6EE399" w14:textId="38B76745" w:rsidR="00307C23" w:rsidRDefault="00000000" w:rsidP="007D0E0E">
      <w:pPr>
        <w:pStyle w:val="Ttulo"/>
        <w:ind w:left="-709" w:right="-767"/>
        <w:rPr>
          <w:spacing w:val="-6"/>
        </w:rPr>
      </w:pPr>
      <w:sdt>
        <w:sdtPr>
          <w:rPr>
            <w:i/>
            <w:iCs w:val="0"/>
            <w:u w:val="single"/>
          </w:rPr>
          <w:alias w:val="Title"/>
          <w:tag w:val=""/>
          <w:id w:val="-780801520"/>
          <w:placeholder>
            <w:docPart w:val="24CD825F0F034E34A7BD2CA680A318A1"/>
          </w:placeholder>
          <w:dataBinding w:prefixMappings="xmlns:ns0='http://purl.org/dc/elements/1.1/' xmlns:ns1='http://schemas.openxmlformats.org/package/2006/metadata/core-properties' " w:xpath="/ns1:coreProperties[1]/ns0:title[1]" w:storeItemID="{6C3C8BC8-F283-45AE-878A-BAB7291924A1}"/>
          <w:text/>
        </w:sdtPr>
        <w:sdtContent>
          <w:r w:rsidR="00D606D7">
            <w:rPr>
              <w:i/>
              <w:iCs w:val="0"/>
              <w:u w:val="single"/>
            </w:rPr>
            <w:t>3.B.3</w:t>
          </w:r>
        </w:sdtContent>
      </w:sdt>
      <w:r w:rsidR="00C851DA">
        <w:t xml:space="preserve"> :</w:t>
      </w:r>
      <w:r w:rsidR="00C81078" w:rsidRPr="004C0C34">
        <w:t xml:space="preserve"> </w:t>
      </w:r>
      <w:sdt>
        <w:sdtPr>
          <w:rPr>
            <w:spacing w:val="-6"/>
          </w:rPr>
          <w:alias w:val="Subject"/>
          <w:tag w:val=""/>
          <w:id w:val="-1903059896"/>
          <w:placeholder>
            <w:docPart w:val="3BD653D3E2F7418E8057AFC5465D4F61"/>
          </w:placeholder>
          <w:dataBinding w:prefixMappings="xmlns:ns0='http://purl.org/dc/elements/1.1/' xmlns:ns1='http://schemas.openxmlformats.org/package/2006/metadata/core-properties' " w:xpath="/ns1:coreProperties[1]/ns0:subject[1]" w:storeItemID="{6C3C8BC8-F283-45AE-878A-BAB7291924A1}"/>
          <w:text/>
        </w:sdtPr>
        <w:sdtContent>
          <w:r w:rsidR="00D606D7" w:rsidRPr="00D606D7">
            <w:rPr>
              <w:spacing w:val="-6"/>
            </w:rPr>
            <w:t>La empresa y las decisiones de financiación. Financiación propia frente a financia</w:t>
          </w:r>
          <w:r w:rsidR="007D0E0E">
            <w:rPr>
              <w:spacing w:val="-6"/>
            </w:rPr>
            <w:t>c</w:t>
          </w:r>
          <w:r w:rsidR="00D606D7" w:rsidRPr="00D606D7">
            <w:rPr>
              <w:spacing w:val="-6"/>
            </w:rPr>
            <w:t>ión ajena. Política de dividendos y estructura del capital</w:t>
          </w:r>
          <w:r w:rsidR="00403890">
            <w:rPr>
              <w:spacing w:val="-6"/>
            </w:rPr>
            <w:t>.</w:t>
          </w:r>
        </w:sdtContent>
      </w:sdt>
    </w:p>
    <w:p w14:paraId="1236D6E8" w14:textId="77777777" w:rsidR="001D37DD" w:rsidRDefault="001D37DD" w:rsidP="001D37DD">
      <w:pPr>
        <w:pStyle w:val="Notaalopositor"/>
        <w:spacing w:after="0"/>
      </w:pPr>
      <w:bookmarkStart w:id="0" w:name="_Hlk111398052"/>
      <w:bookmarkStart w:id="1" w:name="_Hlk123131219"/>
      <w:r>
        <w:t>Con el cambio de temario, a partir de la convocatoria de 2023 este tema pasará a ser:</w:t>
      </w:r>
    </w:p>
    <w:p w14:paraId="5CDF3D79" w14:textId="262EDD83" w:rsidR="001D37DD" w:rsidRDefault="001D37DD" w:rsidP="001D37DD">
      <w:pPr>
        <w:pStyle w:val="Notaalopositor"/>
      </w:pPr>
      <w:r>
        <w:t>3.B.3: La empresa y las decisiones de financiación. Financiación propia frente a financiación ajena. Política de dividendos y estructura del capital.</w:t>
      </w:r>
    </w:p>
    <w:p w14:paraId="7B4637D3" w14:textId="77777777" w:rsidR="001D37DD" w:rsidRDefault="001D37DD" w:rsidP="001D37DD">
      <w:pPr>
        <w:pStyle w:val="Notaalopositor"/>
        <w:spacing w:after="0"/>
      </w:pPr>
      <w:r>
        <w:t xml:space="preserve">De este modo, con lo escrito en este documento estaría </w:t>
      </w:r>
      <w:r>
        <w:rPr>
          <w:b/>
          <w:bCs/>
        </w:rPr>
        <w:t>actualizado</w:t>
      </w:r>
      <w:r w:rsidRPr="00CC188F">
        <w:rPr>
          <w:bCs/>
        </w:rPr>
        <w:t>.</w:t>
      </w:r>
      <w:bookmarkEnd w:id="0"/>
    </w:p>
    <w:bookmarkEnd w:id="1"/>
    <w:p w14:paraId="4FD896EF" w14:textId="68F417C5" w:rsidR="001D37DD" w:rsidRDefault="001D37DD" w:rsidP="001D37DD">
      <w:pPr>
        <w:pStyle w:val="Notaalopositor"/>
        <w:jc w:val="center"/>
      </w:pPr>
      <w:r w:rsidRPr="001D37DD">
        <w:rPr>
          <w:noProof/>
        </w:rPr>
        <w:drawing>
          <wp:inline distT="0" distB="0" distL="0" distR="0" wp14:anchorId="38688781" wp14:editId="7A209C65">
            <wp:extent cx="2880000" cy="1900477"/>
            <wp:effectExtent l="0" t="0" r="0" b="5080"/>
            <wp:docPr id="1"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abla&#10;&#10;Descripción generada automáticamente"/>
                    <pic:cNvPicPr/>
                  </pic:nvPicPr>
                  <pic:blipFill>
                    <a:blip r:embed="rId8"/>
                    <a:stretch>
                      <a:fillRect/>
                    </a:stretch>
                  </pic:blipFill>
                  <pic:spPr>
                    <a:xfrm>
                      <a:off x="0" y="0"/>
                      <a:ext cx="2880000" cy="1900477"/>
                    </a:xfrm>
                    <a:prstGeom prst="rect">
                      <a:avLst/>
                    </a:prstGeom>
                  </pic:spPr>
                </pic:pic>
              </a:graphicData>
            </a:graphic>
          </wp:inline>
        </w:drawing>
      </w:r>
    </w:p>
    <w:p w14:paraId="6B1E5CB1" w14:textId="77777777" w:rsidR="0021774E" w:rsidRPr="00B9022F" w:rsidRDefault="0021774E" w:rsidP="003D772C">
      <w:pPr>
        <w:pStyle w:val="Introduccinyconclusin"/>
      </w:pPr>
      <w:bookmarkStart w:id="2" w:name="_Toc55382054"/>
      <w:bookmarkStart w:id="3" w:name="_Toc55382089"/>
      <w:bookmarkStart w:id="4" w:name="_Toc55382517"/>
      <w:bookmarkStart w:id="5" w:name="_Toc55382751"/>
      <w:r w:rsidRPr="00E5034D">
        <w:t>I</w:t>
      </w:r>
      <w:r w:rsidRPr="00E5034D">
        <w:rPr>
          <w:rStyle w:val="IntroduccinyconclusinChar"/>
          <w:b/>
          <w:bCs/>
          <w:caps/>
          <w:shd w:val="clear" w:color="auto" w:fill="auto"/>
        </w:rPr>
        <w:t>NTRODUCCIÓN</w:t>
      </w:r>
      <w:bookmarkEnd w:id="2"/>
      <w:bookmarkEnd w:id="3"/>
      <w:bookmarkEnd w:id="4"/>
      <w:bookmarkEnd w:id="5"/>
    </w:p>
    <w:p w14:paraId="2CDFBE87" w14:textId="77777777" w:rsidR="003D772C" w:rsidRDefault="00B77C0F" w:rsidP="00C97079">
      <w:pPr>
        <w:pStyle w:val="Nivel1"/>
        <w:keepNext/>
        <w:spacing w:before="0" w:after="0"/>
      </w:pPr>
      <w:r w:rsidRPr="00C325BE">
        <w:rPr>
          <w:b/>
          <w:bCs/>
          <w:i/>
          <w:iCs/>
        </w:rPr>
        <w:t>Enganche</w:t>
      </w:r>
      <w:r>
        <w:t>:</w:t>
      </w:r>
    </w:p>
    <w:p w14:paraId="06D6D2AA" w14:textId="15519610" w:rsidR="00B77C0F" w:rsidRDefault="004A5C07" w:rsidP="001D37DD">
      <w:pPr>
        <w:pStyle w:val="Nivel2"/>
        <w:keepNext/>
        <w:spacing w:after="0"/>
      </w:pPr>
      <w:r>
        <w:t xml:space="preserve">Desde un punto de vista de la </w:t>
      </w:r>
      <w:r w:rsidRPr="0018160D">
        <w:rPr>
          <w:i/>
          <w:iCs/>
        </w:rPr>
        <w:t>teoría microeconómica</w:t>
      </w:r>
      <w:r>
        <w:t xml:space="preserve">, solemos definir a la empresa como la unidad de producción que combina una serie de inputs para producir una serie de outputs que satisfacen las necesidades de </w:t>
      </w:r>
      <w:r w:rsidR="0076214C">
        <w:t>l</w:t>
      </w:r>
      <w:r>
        <w:t>os consumidores. El objetivo de la empresa sería la maximización de beneficios.</w:t>
      </w:r>
    </w:p>
    <w:p w14:paraId="7E03E464" w14:textId="565A5A5B" w:rsidR="004A5C07" w:rsidRDefault="004A5C07" w:rsidP="001D37DD">
      <w:pPr>
        <w:pStyle w:val="Nivel3"/>
        <w:keepNext/>
      </w:pPr>
      <w:r>
        <w:t xml:space="preserve">Sin embargo, desde un punto de vista de </w:t>
      </w:r>
      <w:r w:rsidRPr="00190C4B">
        <w:rPr>
          <w:b/>
          <w:bCs/>
          <w:i/>
          <w:iCs/>
        </w:rPr>
        <w:t>finanzas corporativas</w:t>
      </w:r>
      <w:r>
        <w:t>, vamos a entender a la empresa como una entidad que va a realizar una serie de decisiones de inversión que van a requerir sus correspondientes decisiones de financiación</w:t>
      </w:r>
      <w:r w:rsidR="00ED33EF">
        <w:t>.</w:t>
      </w:r>
    </w:p>
    <w:p w14:paraId="63492F92" w14:textId="00A85ADD" w:rsidR="00ED33EF" w:rsidRPr="00534FBB" w:rsidRDefault="009A302F" w:rsidP="001D37DD">
      <w:pPr>
        <w:pStyle w:val="Nivel4"/>
        <w:rPr>
          <w:spacing w:val="-2"/>
        </w:rPr>
      </w:pPr>
      <w:r w:rsidRPr="00534FBB">
        <w:rPr>
          <w:spacing w:val="-2"/>
        </w:rPr>
        <w:t xml:space="preserve">Siguiendo a </w:t>
      </w:r>
      <w:r w:rsidRPr="00534FBB">
        <w:rPr>
          <w:smallCaps/>
          <w:spacing w:val="-2"/>
        </w:rPr>
        <w:t>Milton Friedman</w:t>
      </w:r>
      <w:r w:rsidRPr="00534FBB">
        <w:rPr>
          <w:spacing w:val="-2"/>
        </w:rPr>
        <w:t xml:space="preserve"> (1970), e</w:t>
      </w:r>
      <w:r w:rsidR="00ED33EF" w:rsidRPr="00534FBB">
        <w:rPr>
          <w:spacing w:val="-2"/>
        </w:rPr>
        <w:t xml:space="preserve">l objetivo último de la empresa es la maximización del valor de </w:t>
      </w:r>
      <w:proofErr w:type="gramStart"/>
      <w:r w:rsidR="00ED33EF" w:rsidRPr="00534FBB">
        <w:rPr>
          <w:spacing w:val="-2"/>
        </w:rPr>
        <w:t>la misma</w:t>
      </w:r>
      <w:proofErr w:type="gramEnd"/>
      <w:r w:rsidR="00ED33EF" w:rsidRPr="00534FBB">
        <w:rPr>
          <w:spacing w:val="-2"/>
        </w:rPr>
        <w:t xml:space="preserve"> para sus accionistas, es decir, la maximización del valor de mercado de sus acciones</w:t>
      </w:r>
      <w:r w:rsidR="009F10F0" w:rsidRPr="00534FBB">
        <w:rPr>
          <w:rStyle w:val="Refdenotaalpie"/>
          <w:spacing w:val="-2"/>
        </w:rPr>
        <w:footnoteReference w:id="2"/>
      </w:r>
      <w:r w:rsidR="00534FBB">
        <w:rPr>
          <w:rStyle w:val="Refdenotaalpie"/>
          <w:spacing w:val="-2"/>
        </w:rPr>
        <w:footnoteReference w:id="3"/>
      </w:r>
      <w:r w:rsidR="00ED33EF" w:rsidRPr="00534FBB">
        <w:rPr>
          <w:spacing w:val="-2"/>
        </w:rPr>
        <w:t>.</w:t>
      </w:r>
    </w:p>
    <w:p w14:paraId="66595BD4" w14:textId="74F05D4B" w:rsidR="005F038C" w:rsidRDefault="005F038C" w:rsidP="005F038C">
      <w:pPr>
        <w:pStyle w:val="Nivel2"/>
        <w:keepNext/>
        <w:spacing w:after="0"/>
      </w:pPr>
      <w:r>
        <w:t xml:space="preserve">Para alcanzar este objetivo, la gestión de la empresa se concreta en la toma de decisiones de </w:t>
      </w:r>
      <w:r w:rsidRPr="00027376">
        <w:rPr>
          <w:b/>
          <w:bCs/>
          <w:i/>
          <w:iCs/>
          <w:u w:val="single"/>
        </w:rPr>
        <w:t>inversión</w:t>
      </w:r>
      <w:r>
        <w:t xml:space="preserve"> </w:t>
      </w:r>
      <w:r w:rsidRPr="005F038C">
        <w:rPr>
          <w:rStyle w:val="TextonotapieCar"/>
          <w:color w:val="767171" w:themeColor="background2" w:themeShade="80"/>
          <w:sz w:val="19"/>
          <w:szCs w:val="19"/>
        </w:rPr>
        <w:t>[</w:t>
      </w:r>
      <w:r>
        <w:rPr>
          <w:rStyle w:val="TextonotapieCar"/>
          <w:color w:val="767171" w:themeColor="background2" w:themeShade="80"/>
          <w:sz w:val="19"/>
          <w:szCs w:val="19"/>
        </w:rPr>
        <w:t>3.B.</w:t>
      </w:r>
      <w:r w:rsidR="002F3C53">
        <w:rPr>
          <w:rStyle w:val="TextonotapieCar"/>
          <w:color w:val="767171" w:themeColor="background2" w:themeShade="80"/>
          <w:sz w:val="19"/>
          <w:szCs w:val="19"/>
        </w:rPr>
        <w:t>2</w:t>
      </w:r>
      <w:r w:rsidRPr="005F038C">
        <w:rPr>
          <w:rStyle w:val="TextonotapieCar"/>
          <w:color w:val="767171" w:themeColor="background2" w:themeShade="80"/>
          <w:sz w:val="19"/>
          <w:szCs w:val="19"/>
        </w:rPr>
        <w:t>]</w:t>
      </w:r>
      <w:r>
        <w:t xml:space="preserve">, </w:t>
      </w:r>
      <w:r w:rsidRPr="00027376">
        <w:rPr>
          <w:b/>
          <w:bCs/>
          <w:i/>
          <w:iCs/>
          <w:u w:val="single"/>
        </w:rPr>
        <w:t>financiación</w:t>
      </w:r>
      <w:r>
        <w:t xml:space="preserve"> </w:t>
      </w:r>
      <w:r w:rsidRPr="005F038C">
        <w:rPr>
          <w:rStyle w:val="TextonotapieCar"/>
          <w:color w:val="767171" w:themeColor="background2" w:themeShade="80"/>
          <w:sz w:val="19"/>
          <w:szCs w:val="19"/>
        </w:rPr>
        <w:t>[</w:t>
      </w:r>
      <w:r>
        <w:rPr>
          <w:rStyle w:val="TextonotapieCar"/>
          <w:color w:val="767171" w:themeColor="background2" w:themeShade="80"/>
          <w:sz w:val="19"/>
          <w:szCs w:val="19"/>
        </w:rPr>
        <w:t>3.B.</w:t>
      </w:r>
      <w:r w:rsidR="002F3C53">
        <w:rPr>
          <w:rStyle w:val="TextonotapieCar"/>
          <w:color w:val="767171" w:themeColor="background2" w:themeShade="80"/>
          <w:sz w:val="19"/>
          <w:szCs w:val="19"/>
        </w:rPr>
        <w:t>3</w:t>
      </w:r>
      <w:r w:rsidRPr="005F038C">
        <w:rPr>
          <w:rStyle w:val="TextonotapieCar"/>
          <w:color w:val="767171" w:themeColor="background2" w:themeShade="80"/>
          <w:sz w:val="19"/>
          <w:szCs w:val="19"/>
        </w:rPr>
        <w:t>]</w:t>
      </w:r>
      <w:r w:rsidRPr="005F038C">
        <w:t xml:space="preserve"> </w:t>
      </w:r>
      <w:r>
        <w:t xml:space="preserve">y </w:t>
      </w:r>
      <w:r>
        <w:rPr>
          <w:b/>
          <w:bCs/>
          <w:i/>
          <w:iCs/>
          <w:u w:val="single"/>
        </w:rPr>
        <w:t>dimensión empresarial</w:t>
      </w:r>
      <w:r w:rsidRPr="005F038C">
        <w:t xml:space="preserve"> </w:t>
      </w:r>
      <w:r w:rsidRPr="005F038C">
        <w:rPr>
          <w:rStyle w:val="TextonotapieCar"/>
          <w:color w:val="767171" w:themeColor="background2" w:themeShade="80"/>
          <w:sz w:val="19"/>
          <w:szCs w:val="19"/>
        </w:rPr>
        <w:t>[</w:t>
      </w:r>
      <w:r>
        <w:rPr>
          <w:rStyle w:val="TextonotapieCar"/>
          <w:color w:val="767171" w:themeColor="background2" w:themeShade="80"/>
          <w:sz w:val="19"/>
          <w:szCs w:val="19"/>
        </w:rPr>
        <w:t>3.B.4</w:t>
      </w:r>
      <w:r w:rsidRPr="005F038C">
        <w:rPr>
          <w:rStyle w:val="TextonotapieCar"/>
          <w:color w:val="767171" w:themeColor="background2" w:themeShade="80"/>
          <w:sz w:val="19"/>
          <w:szCs w:val="19"/>
        </w:rPr>
        <w:t>]</w:t>
      </w:r>
      <w:r>
        <w:t>.</w:t>
      </w:r>
    </w:p>
    <w:p w14:paraId="25F45AE9" w14:textId="77777777" w:rsidR="00743783" w:rsidRDefault="005F038C" w:rsidP="00DF50DA">
      <w:pPr>
        <w:pStyle w:val="Nivel3"/>
      </w:pPr>
      <w:bookmarkStart w:id="6" w:name="_Hlk101339245"/>
      <w:r>
        <w:t xml:space="preserve">Así, la </w:t>
      </w:r>
      <w:r w:rsidRPr="00070E39">
        <w:rPr>
          <w:i/>
          <w:iCs/>
          <w:u w:val="single"/>
        </w:rPr>
        <w:t>inversión</w:t>
      </w:r>
      <w:r w:rsidRPr="0034759D">
        <w:rPr>
          <w:rStyle w:val="Refdenotaalpie"/>
        </w:rPr>
        <w:footnoteReference w:id="4"/>
      </w:r>
      <w:r w:rsidR="00D32574" w:rsidRPr="00D32574">
        <w:t>,</w:t>
      </w:r>
      <w:r>
        <w:t xml:space="preserve"> entendida como </w:t>
      </w:r>
      <w:r w:rsidR="00743783">
        <w:t xml:space="preserve">un </w:t>
      </w:r>
      <w:r>
        <w:t>sacrificio en un momento temporal determinado para obt</w:t>
      </w:r>
      <w:r w:rsidRPr="004E0E25">
        <w:t>ene</w:t>
      </w:r>
      <w:r>
        <w:t>r un beneficio en otro, se concreta en el seno de la empresa en la organización de los recursos disponibles de tal manera que estos generen recursos adicionales que aumenten el patrimonio de los accionistas.</w:t>
      </w:r>
    </w:p>
    <w:p w14:paraId="3837FDC2" w14:textId="77777777" w:rsidR="003304C8" w:rsidRDefault="005F038C" w:rsidP="003304C8">
      <w:pPr>
        <w:pStyle w:val="Nivel3"/>
        <w:keepNext/>
      </w:pPr>
      <w:r>
        <w:t xml:space="preserve">La decisión de </w:t>
      </w:r>
      <w:r w:rsidRPr="003304C8">
        <w:rPr>
          <w:i/>
          <w:iCs/>
          <w:u w:val="single"/>
        </w:rPr>
        <w:t>financiación</w:t>
      </w:r>
      <w:r>
        <w:t xml:space="preserve"> implica decidir cómo y de qué fuentes obtener el capital necesario para llevar a cabo las inversiones previstas.</w:t>
      </w:r>
      <w:bookmarkEnd w:id="6"/>
    </w:p>
    <w:p w14:paraId="5464EE43" w14:textId="17DA994E" w:rsidR="005F038C" w:rsidRDefault="005F038C" w:rsidP="003304C8">
      <w:pPr>
        <w:pStyle w:val="Nivel4"/>
      </w:pPr>
      <w:r w:rsidRPr="004E0E25">
        <w:t>Además d</w:t>
      </w:r>
      <w:r>
        <w:t>e la simple obtención de fondos, los gestores financieros deben también decidir cómo remunerar a los accionistas, por la condición discrecional del reparto de beneficios a estos proveedores de fondos.</w:t>
      </w:r>
    </w:p>
    <w:p w14:paraId="1DA82A19" w14:textId="6F654957" w:rsidR="005B6014" w:rsidRDefault="005B6014" w:rsidP="005B6014">
      <w:pPr>
        <w:pStyle w:val="Nivel2"/>
        <w:rPr>
          <w:rStyle w:val="Hipervnculo"/>
          <w:color w:val="auto"/>
          <w:u w:val="none"/>
        </w:rPr>
      </w:pPr>
      <w:r w:rsidRPr="00E7336A">
        <w:rPr>
          <w:rStyle w:val="Hipervnculo"/>
          <w:i/>
          <w:iCs/>
          <w:color w:val="auto"/>
        </w:rPr>
        <w:lastRenderedPageBreak/>
        <w:t>En esta exposición</w:t>
      </w:r>
      <w:r w:rsidR="00E7336A" w:rsidRPr="00E7336A">
        <w:rPr>
          <w:rStyle w:val="Hipervnculo"/>
          <w:color w:val="auto"/>
          <w:u w:val="none"/>
        </w:rPr>
        <w:t>,</w:t>
      </w:r>
      <w:r w:rsidRPr="00E7336A">
        <w:rPr>
          <w:rStyle w:val="Hipervnculo"/>
          <w:color w:val="auto"/>
          <w:u w:val="none"/>
        </w:rPr>
        <w:t xml:space="preserve"> vamos a estudiar las decisiones de financiación de la empresa (sociedades no</w:t>
      </w:r>
      <w:r w:rsidR="00534FBB">
        <w:rPr>
          <w:rStyle w:val="Hipervnculo"/>
          <w:color w:val="auto"/>
          <w:u w:val="none"/>
        </w:rPr>
        <w:t> </w:t>
      </w:r>
      <w:r w:rsidRPr="00E7336A">
        <w:rPr>
          <w:rStyle w:val="Hipervnculo"/>
          <w:color w:val="auto"/>
          <w:u w:val="none"/>
        </w:rPr>
        <w:t>financieras) y la política de dividendos.</w:t>
      </w:r>
    </w:p>
    <w:p w14:paraId="251C4F49" w14:textId="40D264E8" w:rsidR="003D772C" w:rsidRDefault="003D772C" w:rsidP="003D772C">
      <w:pPr>
        <w:pStyle w:val="Nivel1"/>
        <w:keepNext/>
        <w:spacing w:after="0"/>
      </w:pPr>
      <w:r>
        <w:rPr>
          <w:b/>
          <w:bCs/>
          <w:i/>
          <w:iCs/>
        </w:rPr>
        <w:t>Relevancia</w:t>
      </w:r>
      <w:r>
        <w:t>:</w:t>
      </w:r>
    </w:p>
    <w:p w14:paraId="58281F24" w14:textId="77777777" w:rsidR="003E6ADA" w:rsidRDefault="003E6ADA" w:rsidP="009A302F">
      <w:pPr>
        <w:pStyle w:val="Nivel2"/>
        <w:keepNext/>
        <w:spacing w:after="0"/>
      </w:pPr>
      <w:r>
        <w:t>La relevancia de esta exposición es que aunque nos centremos en un análisis a nivel empresa (</w:t>
      </w:r>
      <w:r w:rsidRPr="002E2AAD">
        <w:rPr>
          <w:i/>
          <w:iCs/>
        </w:rPr>
        <w:t>nivel microeconómico</w:t>
      </w:r>
      <w:r>
        <w:t>) se pueden extraer implicaciones a nivel agregado (</w:t>
      </w:r>
      <w:r w:rsidRPr="002E2AAD">
        <w:rPr>
          <w:i/>
          <w:iCs/>
        </w:rPr>
        <w:t>nivel macroeconómico</w:t>
      </w:r>
      <w:r>
        <w:t>).</w:t>
      </w:r>
    </w:p>
    <w:p w14:paraId="6275F078" w14:textId="7ED1F81B" w:rsidR="003E6ADA" w:rsidRDefault="003E6ADA" w:rsidP="009A302F">
      <w:pPr>
        <w:pStyle w:val="Nivel3"/>
      </w:pPr>
      <w:r>
        <w:t>Eventualmente, nos interesa que el ahorro de las unidades superavitarias que van a financiar a la empresa se dirija a la inversión productiva, condición esencial para el crecimiento económico a largo plazo.</w:t>
      </w:r>
    </w:p>
    <w:p w14:paraId="7A5C67A5" w14:textId="77777777" w:rsidR="00A51B24" w:rsidRDefault="0029255D" w:rsidP="003D772C">
      <w:pPr>
        <w:pStyle w:val="Nivel1"/>
        <w:keepNext/>
        <w:spacing w:after="0"/>
      </w:pPr>
      <w:r w:rsidRPr="00C325BE">
        <w:rPr>
          <w:b/>
          <w:bCs/>
          <w:i/>
          <w:iCs/>
        </w:rPr>
        <w:t>Contextualización</w:t>
      </w:r>
      <w:r w:rsidR="00A51B24">
        <w:t>:</w:t>
      </w:r>
    </w:p>
    <w:p w14:paraId="1B58F154" w14:textId="47F17F07" w:rsidR="006560C1" w:rsidRDefault="00803098" w:rsidP="005F038C">
      <w:pPr>
        <w:pStyle w:val="Nivel2"/>
        <w:keepNext/>
        <w:spacing w:after="0"/>
      </w:pPr>
      <w:r>
        <w:t xml:space="preserve">Desde un </w:t>
      </w:r>
      <w:r w:rsidRPr="005F038C">
        <w:rPr>
          <w:i/>
          <w:iCs/>
          <w:u w:val="single"/>
        </w:rPr>
        <w:t>punto de vista histórico</w:t>
      </w:r>
      <w:r>
        <w:t>,</w:t>
      </w:r>
    </w:p>
    <w:p w14:paraId="78DDD859" w14:textId="41635678" w:rsidR="006560C1" w:rsidRDefault="006560C1" w:rsidP="005F038C">
      <w:pPr>
        <w:pStyle w:val="Nivel3"/>
        <w:keepNext/>
      </w:pPr>
      <w:r>
        <w:t>E</w:t>
      </w:r>
      <w:r w:rsidR="00803098">
        <w:t>l art</w:t>
      </w:r>
      <w:r>
        <w:t>í</w:t>
      </w:r>
      <w:r w:rsidR="00803098">
        <w:t xml:space="preserve">culo de </w:t>
      </w:r>
      <w:r w:rsidR="00803098">
        <w:rPr>
          <w:smallCaps/>
        </w:rPr>
        <w:t>Modigliani</w:t>
      </w:r>
      <w:r w:rsidR="00803098">
        <w:t xml:space="preserve"> y </w:t>
      </w:r>
      <w:r w:rsidR="00803098">
        <w:rPr>
          <w:smallCaps/>
        </w:rPr>
        <w:t>Miller</w:t>
      </w:r>
      <w:r w:rsidR="00803098">
        <w:t xml:space="preserve"> (1958), </w:t>
      </w:r>
      <w:r w:rsidR="00F439E7">
        <w:t>posteriormente galardonados con el Premio Nobel de Economía</w:t>
      </w:r>
      <w:r w:rsidR="00F439E7">
        <w:rPr>
          <w:rStyle w:val="Refdenotaalpie"/>
        </w:rPr>
        <w:footnoteReference w:id="5"/>
      </w:r>
      <w:r w:rsidR="00F439E7">
        <w:t>,</w:t>
      </w:r>
      <w:r w:rsidR="00754CC8">
        <w:t xml:space="preserve"> junto a la teoría de </w:t>
      </w:r>
      <w:r w:rsidR="009A302F">
        <w:t xml:space="preserve">la </w:t>
      </w:r>
      <w:r w:rsidR="00754CC8">
        <w:t xml:space="preserve">elección de cartera (desarrollada por autores como </w:t>
      </w:r>
      <w:r w:rsidR="00754CC8">
        <w:rPr>
          <w:smallCaps/>
        </w:rPr>
        <w:t>Tobin</w:t>
      </w:r>
      <w:r>
        <w:t xml:space="preserve"> y</w:t>
      </w:r>
      <w:r w:rsidR="00754CC8">
        <w:t xml:space="preserve"> </w:t>
      </w:r>
      <w:r w:rsidR="00754CC8">
        <w:rPr>
          <w:smallCaps/>
        </w:rPr>
        <w:t>Markowitz</w:t>
      </w:r>
      <w:r>
        <w:t xml:space="preserve">) </w:t>
      </w:r>
      <w:r w:rsidRPr="006560C1">
        <w:rPr>
          <w:color w:val="767171" w:themeColor="background2" w:themeShade="80"/>
          <w:sz w:val="19"/>
          <w:szCs w:val="19"/>
        </w:rPr>
        <w:t>[</w:t>
      </w:r>
      <w:r>
        <w:rPr>
          <w:color w:val="767171" w:themeColor="background2" w:themeShade="80"/>
          <w:sz w:val="19"/>
          <w:szCs w:val="19"/>
        </w:rPr>
        <w:t>ver tema 3.B.2</w:t>
      </w:r>
      <w:r w:rsidR="00811726">
        <w:rPr>
          <w:color w:val="767171" w:themeColor="background2" w:themeShade="80"/>
          <w:sz w:val="19"/>
          <w:szCs w:val="19"/>
        </w:rPr>
        <w:t>3</w:t>
      </w:r>
      <w:r w:rsidRPr="006560C1">
        <w:rPr>
          <w:color w:val="767171" w:themeColor="background2" w:themeShade="80"/>
          <w:sz w:val="19"/>
          <w:szCs w:val="19"/>
        </w:rPr>
        <w:t>]</w:t>
      </w:r>
      <w:r>
        <w:t xml:space="preserve"> supusieron la incorporación seminal de un análisis de la teoría económica a las finanzas.</w:t>
      </w:r>
    </w:p>
    <w:p w14:paraId="31CA3D59" w14:textId="738836C1" w:rsidR="00803098" w:rsidRDefault="006560C1" w:rsidP="006560C1">
      <w:pPr>
        <w:pStyle w:val="Nivel4"/>
      </w:pPr>
      <w:r>
        <w:t>En particular, en est</w:t>
      </w:r>
      <w:r w:rsidR="0034759D">
        <w:t>a</w:t>
      </w:r>
      <w:r>
        <w:t xml:space="preserve"> </w:t>
      </w:r>
      <w:r w:rsidR="0034759D">
        <w:t>exposición</w:t>
      </w:r>
      <w:r>
        <w:t xml:space="preserve"> nos centraremos en las proposiciones de </w:t>
      </w:r>
      <w:r>
        <w:rPr>
          <w:smallCaps/>
        </w:rPr>
        <w:t>Modigliani</w:t>
      </w:r>
      <w:r>
        <w:t xml:space="preserve"> y </w:t>
      </w:r>
      <w:r>
        <w:rPr>
          <w:smallCaps/>
        </w:rPr>
        <w:t>Miller</w:t>
      </w:r>
      <w:r>
        <w:t xml:space="preserve"> porque se centran de manera directa en la estructura financiera de las empresas.</w:t>
      </w:r>
    </w:p>
    <w:p w14:paraId="08CE5D52" w14:textId="77777777" w:rsidR="006560C1" w:rsidRDefault="006560C1" w:rsidP="005F038C">
      <w:pPr>
        <w:pStyle w:val="Nivel3"/>
        <w:keepNext/>
      </w:pPr>
      <w:r>
        <w:t xml:space="preserve">A partir de entonces, la </w:t>
      </w:r>
      <w:r w:rsidRPr="00CC74CB">
        <w:rPr>
          <w:i/>
          <w:iCs/>
        </w:rPr>
        <w:t>teoría de las finanzas</w:t>
      </w:r>
      <w:r>
        <w:t xml:space="preserve"> se pudo desarrollar más rápidamente a partir de:</w:t>
      </w:r>
    </w:p>
    <w:p w14:paraId="1A60AD10" w14:textId="77777777" w:rsidR="006560C1" w:rsidRPr="00CC74CB" w:rsidRDefault="006560C1" w:rsidP="006560C1">
      <w:pPr>
        <w:pStyle w:val="Nivel4"/>
      </w:pPr>
      <w:r w:rsidRPr="00CC74CB">
        <w:t xml:space="preserve">La relajación de los supuestos introducidos por </w:t>
      </w:r>
      <w:r w:rsidRPr="00CC74CB">
        <w:rPr>
          <w:smallCaps/>
        </w:rPr>
        <w:t>Modigliani</w:t>
      </w:r>
      <w:r w:rsidRPr="00CC74CB">
        <w:t xml:space="preserve"> y </w:t>
      </w:r>
      <w:r w:rsidRPr="00CC74CB">
        <w:rPr>
          <w:smallCaps/>
        </w:rPr>
        <w:t>Miller</w:t>
      </w:r>
      <w:r w:rsidRPr="00CC74CB">
        <w:t>;</w:t>
      </w:r>
    </w:p>
    <w:p w14:paraId="38D8A0B7" w14:textId="7E85E18E" w:rsidR="00E05FA5" w:rsidRPr="00CC74CB" w:rsidRDefault="006560C1" w:rsidP="006560C1">
      <w:pPr>
        <w:pStyle w:val="Nivel4"/>
      </w:pPr>
      <w:r w:rsidRPr="00CC74CB">
        <w:t xml:space="preserve">La consideración de fallos de mercado como la información asimétrica </w:t>
      </w:r>
      <w:r w:rsidR="00E05FA5" w:rsidRPr="00CC74CB">
        <w:t xml:space="preserve">(desarrollos muy relacionados con </w:t>
      </w:r>
      <w:r w:rsidRPr="00CC74CB">
        <w:t>el fenómeno de la señalización</w:t>
      </w:r>
      <w:r w:rsidR="00E05FA5" w:rsidRPr="00CC74CB">
        <w:t xml:space="preserve">); </w:t>
      </w:r>
      <w:r w:rsidRPr="00CC74CB">
        <w:t>y</w:t>
      </w:r>
    </w:p>
    <w:p w14:paraId="0CD6ABB3" w14:textId="60DEA5C8" w:rsidR="006560C1" w:rsidRPr="00CC74CB" w:rsidRDefault="00E05FA5" w:rsidP="006560C1">
      <w:pPr>
        <w:pStyle w:val="Nivel4"/>
        <w:rPr>
          <w:spacing w:val="-2"/>
        </w:rPr>
      </w:pPr>
      <w:r w:rsidRPr="00CC74CB">
        <w:rPr>
          <w:spacing w:val="-2"/>
        </w:rPr>
        <w:t>O</w:t>
      </w:r>
      <w:r w:rsidR="006560C1" w:rsidRPr="00CC74CB">
        <w:rPr>
          <w:spacing w:val="-2"/>
        </w:rPr>
        <w:t>tros aspectos que también van a afectar a la política de dividendos de la empresa.</w:t>
      </w:r>
    </w:p>
    <w:p w14:paraId="5F9B0556" w14:textId="77777777" w:rsidR="005D7E1C" w:rsidRDefault="00B77C0F" w:rsidP="003D772C">
      <w:pPr>
        <w:pStyle w:val="Nivel1"/>
        <w:keepNext/>
        <w:spacing w:after="0"/>
      </w:pPr>
      <w:r w:rsidRPr="00C325BE">
        <w:rPr>
          <w:b/>
          <w:bCs/>
          <w:i/>
          <w:iCs/>
        </w:rPr>
        <w:t>Problemática</w:t>
      </w:r>
      <w:r w:rsidRPr="000A3137">
        <w:t>:</w:t>
      </w:r>
    </w:p>
    <w:p w14:paraId="3CD7ECDA" w14:textId="6DB322E5" w:rsidR="00027376" w:rsidRDefault="00027376" w:rsidP="00501CF1">
      <w:pPr>
        <w:pStyle w:val="Nivel2"/>
        <w:spacing w:after="0"/>
      </w:pPr>
      <w:r>
        <w:t>¿Cómo pueden financiarse las empresas?</w:t>
      </w:r>
    </w:p>
    <w:p w14:paraId="48A97403" w14:textId="25F1DD8B" w:rsidR="00027376" w:rsidRDefault="00027376" w:rsidP="00501CF1">
      <w:pPr>
        <w:pStyle w:val="Nivel2"/>
        <w:keepNext/>
        <w:spacing w:after="0"/>
      </w:pPr>
      <w:r>
        <w:t>¿Existe una estructura óptima del capital?</w:t>
      </w:r>
    </w:p>
    <w:p w14:paraId="4ACCE055" w14:textId="424F3BEE" w:rsidR="00501CF1" w:rsidRDefault="00501CF1" w:rsidP="00501CF1">
      <w:pPr>
        <w:pStyle w:val="Nivel3"/>
      </w:pPr>
      <w:r>
        <w:t>En caso de existir, ¿qué factores influyen en su valor concreto?</w:t>
      </w:r>
    </w:p>
    <w:p w14:paraId="27D47B1F" w14:textId="77777777" w:rsidR="00027376" w:rsidRDefault="00027376" w:rsidP="00FE0638">
      <w:pPr>
        <w:pStyle w:val="Nivel2"/>
        <w:keepNext/>
        <w:spacing w:after="0"/>
      </w:pPr>
      <w:r>
        <w:t>¿Cuánto dividendo deben repartir?</w:t>
      </w:r>
    </w:p>
    <w:p w14:paraId="1D841A8C" w14:textId="77777777" w:rsidR="00027376" w:rsidRDefault="00027376" w:rsidP="00FE0638">
      <w:pPr>
        <w:pStyle w:val="Nivel3"/>
      </w:pPr>
      <w:r>
        <w:t>¿Cómo pueden repartirlo?</w:t>
      </w:r>
    </w:p>
    <w:p w14:paraId="5928A1B6" w14:textId="6FFB2EDE" w:rsidR="00A42628" w:rsidRPr="000A3137" w:rsidRDefault="00027376" w:rsidP="00FE0638">
      <w:pPr>
        <w:pStyle w:val="Nivel3"/>
      </w:pPr>
      <w:r>
        <w:t>¿Cómo deben repartirlo?</w:t>
      </w:r>
    </w:p>
    <w:p w14:paraId="06D0AB6C" w14:textId="742F1ED1" w:rsidR="004C0D84" w:rsidRDefault="0029255D" w:rsidP="00B53567">
      <w:pPr>
        <w:pStyle w:val="Nivel1"/>
        <w:keepNext/>
        <w:spacing w:after="0"/>
      </w:pPr>
      <w:r w:rsidRPr="00C325BE">
        <w:rPr>
          <w:b/>
          <w:bCs/>
          <w:i/>
          <w:iCs/>
        </w:rPr>
        <w:t>Estructura</w:t>
      </w:r>
      <w:r w:rsidR="00B77C0F" w:rsidRPr="000A3137">
        <w:t>:</w:t>
      </w:r>
    </w:p>
    <w:p w14:paraId="4EBE1B21" w14:textId="752EC25C" w:rsidR="00B53567" w:rsidRDefault="00B53567" w:rsidP="00B53567">
      <w:pPr>
        <w:pStyle w:val="Nivel2"/>
        <w:keepNext/>
        <w:spacing w:after="0"/>
      </w:pPr>
      <w:r>
        <w:t>Estructuraremos la exposición en 3</w:t>
      </w:r>
      <w:r w:rsidR="00C366D0">
        <w:t> </w:t>
      </w:r>
      <w:r>
        <w:t>bloques:</w:t>
      </w:r>
    </w:p>
    <w:p w14:paraId="65E572E1" w14:textId="7250741B" w:rsidR="00B53567" w:rsidRDefault="00B53567" w:rsidP="005244E6">
      <w:pPr>
        <w:pStyle w:val="Prrafodelista"/>
        <w:numPr>
          <w:ilvl w:val="0"/>
          <w:numId w:val="19"/>
        </w:numPr>
        <w:spacing w:after="0"/>
        <w:ind w:left="1559" w:hanging="113"/>
      </w:pPr>
      <w:r>
        <w:rPr>
          <w:i/>
          <w:iCs/>
        </w:rPr>
        <w:t>Aproximación contable a las fuentes de financiación de la empresa</w:t>
      </w:r>
      <w:r>
        <w:t>: Partiremos del balance de la empresa y realizaremos un análisis descriptivo y comparativo de las diferentes formas de financiación.</w:t>
      </w:r>
    </w:p>
    <w:p w14:paraId="3928DFFE" w14:textId="571AAFDA" w:rsidR="00B53567" w:rsidRDefault="00B53567" w:rsidP="005244E6">
      <w:pPr>
        <w:pStyle w:val="Prrafodelista"/>
        <w:numPr>
          <w:ilvl w:val="0"/>
          <w:numId w:val="19"/>
        </w:numPr>
        <w:spacing w:after="0"/>
        <w:ind w:left="1559" w:hanging="113"/>
      </w:pPr>
      <w:r>
        <w:rPr>
          <w:i/>
          <w:iCs/>
        </w:rPr>
        <w:t>Aproximación financiera a las fuentes de financiación de la empresa</w:t>
      </w:r>
      <w:r>
        <w:t>: No hablaremos de pasivo ni de patrimonio neto sino del valor del pasivo y del valor del patrimonio neto. La idea sería encontrar una estructura financiera óptima que maximice el valor de la empresa.</w:t>
      </w:r>
    </w:p>
    <w:p w14:paraId="7A538994" w14:textId="57106232" w:rsidR="00B53567" w:rsidRDefault="00B53567" w:rsidP="005244E6">
      <w:pPr>
        <w:pStyle w:val="Prrafodelista"/>
        <w:numPr>
          <w:ilvl w:val="0"/>
          <w:numId w:val="19"/>
        </w:numPr>
        <w:spacing w:after="0"/>
        <w:ind w:left="1559" w:hanging="113"/>
      </w:pPr>
      <w:r>
        <w:rPr>
          <w:i/>
          <w:iCs/>
        </w:rPr>
        <w:t>Aproximación financiera a la política de dividendos</w:t>
      </w:r>
      <w:r w:rsidRPr="00B53567">
        <w:t>:</w:t>
      </w:r>
      <w:r>
        <w:t xml:space="preserve"> Estudiaremos cómo afecta la política de dividendos al valor de la empresa.</w:t>
      </w:r>
    </w:p>
    <w:tbl>
      <w:tblPr>
        <w:tblStyle w:val="Tablaconcuadrcula"/>
        <w:tblW w:w="9071" w:type="dxa"/>
        <w:tblInd w:w="846" w:type="dxa"/>
        <w:tblLook w:val="04A0" w:firstRow="1" w:lastRow="0" w:firstColumn="1" w:lastColumn="0" w:noHBand="0" w:noVBand="1"/>
      </w:tblPr>
      <w:tblGrid>
        <w:gridCol w:w="9071"/>
      </w:tblGrid>
      <w:tr w:rsidR="0021774E" w14:paraId="67A749FB" w14:textId="77777777" w:rsidTr="005F4F5B">
        <w:trPr>
          <w:hidden/>
        </w:trPr>
        <w:tc>
          <w:tcPr>
            <w:tcW w:w="9071"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0C4EE6FA" w14:textId="77777777" w:rsidR="003D772C" w:rsidRPr="003D772C" w:rsidRDefault="003D772C" w:rsidP="003D772C">
      <w:pPr>
        <w:spacing w:after="0"/>
        <w:rPr>
          <w:sz w:val="2"/>
          <w:szCs w:val="2"/>
        </w:rPr>
      </w:pPr>
    </w:p>
    <w:p w14:paraId="55E2717C" w14:textId="77777777" w:rsidR="0081544B" w:rsidRPr="00CA6BEA" w:rsidRDefault="0081544B" w:rsidP="00805E5F">
      <w:pPr>
        <w:rPr>
          <w:sz w:val="20"/>
          <w:highlight w:val="lightGray"/>
        </w:rPr>
      </w:pPr>
      <w:r>
        <w:rPr>
          <w:highlight w:val="lightGray"/>
        </w:rPr>
        <w:br w:type="page"/>
      </w:r>
    </w:p>
    <w:p w14:paraId="6B28980E" w14:textId="337FE27E" w:rsidR="00B52052" w:rsidRDefault="00904529" w:rsidP="00F352EF">
      <w:pPr>
        <w:pStyle w:val="Ttulo1"/>
      </w:pPr>
      <w:bookmarkStart w:id="7" w:name="_Toc125044515"/>
      <w:r>
        <w:lastRenderedPageBreak/>
        <w:t>APROXIMACIÓN CONTABLE</w:t>
      </w:r>
      <w:r w:rsidRPr="00904529">
        <w:rPr>
          <w:sz w:val="19"/>
          <w:szCs w:val="19"/>
        </w:rPr>
        <w:t xml:space="preserve"> – </w:t>
      </w:r>
      <w:r w:rsidR="002F1679" w:rsidRPr="00904529">
        <w:rPr>
          <w:sz w:val="19"/>
          <w:szCs w:val="19"/>
        </w:rPr>
        <w:t>FUENTES DE FINANCIACIÓN</w:t>
      </w:r>
      <w:r w:rsidR="00F352EF" w:rsidRPr="00C6231B">
        <w:rPr>
          <w:sz w:val="18"/>
          <w:szCs w:val="18"/>
        </w:rPr>
        <w:br/>
      </w:r>
      <w:r w:rsidR="00F352EF" w:rsidRPr="00F711DE">
        <w:rPr>
          <w:i/>
          <w:iCs/>
          <w:caps w:val="0"/>
          <w:sz w:val="19"/>
          <w:szCs w:val="19"/>
        </w:rPr>
        <w:t>¿CÓMO PUEDEN FINANCIARSE LAS EMPRESAS?</w:t>
      </w:r>
      <w:bookmarkEnd w:id="7"/>
    </w:p>
    <w:p w14:paraId="1005C90B" w14:textId="3936B52E" w:rsidR="00D278F2" w:rsidRDefault="00D278F2" w:rsidP="00AE3A2D">
      <w:pPr>
        <w:pStyle w:val="Notaalopositor"/>
      </w:pPr>
      <w:r w:rsidRPr="00571C4E">
        <w:t xml:space="preserve">Suárez </w:t>
      </w:r>
      <w:proofErr w:type="spellStart"/>
      <w:r w:rsidRPr="00571C4E">
        <w:t>Suárez</w:t>
      </w:r>
      <w:proofErr w:type="spellEnd"/>
      <w:r w:rsidRPr="00571C4E">
        <w:t xml:space="preserve">, A. S., Rojo Suárez, J. &amp; Suárez García, P. (2014). </w:t>
      </w:r>
      <w:r w:rsidRPr="00571C4E">
        <w:rPr>
          <w:i/>
          <w:iCs/>
        </w:rPr>
        <w:t>Decisiones óptimas de inversión y financiación en la empresa</w:t>
      </w:r>
      <w:r w:rsidRPr="00571C4E">
        <w:t>. Pirámide.</w:t>
      </w:r>
      <w:r>
        <w:t xml:space="preserve"> Capítulos 20-25</w:t>
      </w:r>
    </w:p>
    <w:p w14:paraId="313994D1" w14:textId="755B8D35" w:rsidR="00FF7625" w:rsidRDefault="00FF7625" w:rsidP="00FF7625">
      <w:pPr>
        <w:pStyle w:val="Ttulo2"/>
      </w:pPr>
      <w:bookmarkStart w:id="8" w:name="_Toc125044516"/>
      <w:r>
        <w:t>Clasificación de las formas de financiación</w:t>
      </w:r>
      <w:bookmarkEnd w:id="8"/>
    </w:p>
    <w:p w14:paraId="1560A55B" w14:textId="51FEA62B" w:rsidR="00AE3A2D" w:rsidRDefault="00AE3A2D" w:rsidP="00C366D0">
      <w:pPr>
        <w:pStyle w:val="Nivel1SM"/>
        <w:keepNext/>
        <w:spacing w:before="0" w:after="0"/>
      </w:pPr>
      <w:r>
        <w:t>Para acometer inversiones una empresa necesita dispone</w:t>
      </w:r>
      <w:r w:rsidR="0080682A">
        <w:t>r</w:t>
      </w:r>
      <w:r>
        <w:t xml:space="preserve"> de </w:t>
      </w:r>
      <w:r w:rsidRPr="00863B70">
        <w:rPr>
          <w:b/>
          <w:bCs/>
        </w:rPr>
        <w:t>recursos financieros</w:t>
      </w:r>
      <w:r>
        <w:t xml:space="preserve">. Estos recursos financieros se pueden </w:t>
      </w:r>
      <w:r w:rsidRPr="00863B70">
        <w:rPr>
          <w:b/>
          <w:bCs/>
        </w:rPr>
        <w:t>clasificar</w:t>
      </w:r>
      <w:r>
        <w:t xml:space="preserve"> de distintas maneras:</w:t>
      </w:r>
    </w:p>
    <w:p w14:paraId="1FF6BB34" w14:textId="7AACC583" w:rsidR="00ED3049" w:rsidRDefault="00ED3049" w:rsidP="00863B70">
      <w:pPr>
        <w:pStyle w:val="Nivel2SM"/>
        <w:keepNext/>
        <w:spacing w:after="0"/>
      </w:pPr>
      <w:r>
        <w:t xml:space="preserve">Según </w:t>
      </w:r>
      <w:r w:rsidRPr="00863B70">
        <w:rPr>
          <w:b/>
          <w:bCs/>
        </w:rPr>
        <w:t>d</w:t>
      </w:r>
      <w:r w:rsidR="00863B70" w:rsidRPr="00863B70">
        <w:rPr>
          <w:b/>
          <w:bCs/>
        </w:rPr>
        <w:t>ó</w:t>
      </w:r>
      <w:r w:rsidRPr="00863B70">
        <w:rPr>
          <w:b/>
          <w:bCs/>
        </w:rPr>
        <w:t>nde</w:t>
      </w:r>
      <w:r>
        <w:t xml:space="preserve"> busque la financiación la empresa:</w:t>
      </w:r>
    </w:p>
    <w:p w14:paraId="65877408" w14:textId="4965872B" w:rsidR="00ED3049" w:rsidRDefault="00AE3A2D" w:rsidP="00863B70">
      <w:pPr>
        <w:pStyle w:val="Nivel3SM"/>
      </w:pPr>
      <w:r>
        <w:rPr>
          <w:i/>
          <w:iCs/>
          <w:u w:val="single"/>
        </w:rPr>
        <w:t>Financiación interna</w:t>
      </w:r>
      <w:r w:rsidR="00ED3049">
        <w:t xml:space="preserve"> (</w:t>
      </w:r>
      <w:r w:rsidR="00ED3049">
        <w:rPr>
          <w:i/>
          <w:iCs/>
        </w:rPr>
        <w:t>autofinanciación</w:t>
      </w:r>
      <w:r w:rsidR="00ED3049">
        <w:t>: reservas, provisiones, amortizaciones, etc.).</w:t>
      </w:r>
    </w:p>
    <w:p w14:paraId="6BA54F91" w14:textId="56FF4EF7" w:rsidR="00AE3A2D" w:rsidRPr="00AE3A2D" w:rsidRDefault="00ED3049" w:rsidP="00863B70">
      <w:pPr>
        <w:pStyle w:val="Nivel3SM"/>
      </w:pPr>
      <w:r>
        <w:rPr>
          <w:i/>
          <w:iCs/>
          <w:u w:val="single"/>
        </w:rPr>
        <w:t>Financiación externa</w:t>
      </w:r>
      <w:r>
        <w:t xml:space="preserve"> (</w:t>
      </w:r>
      <w:r>
        <w:rPr>
          <w:i/>
          <w:iCs/>
        </w:rPr>
        <w:t>mercados de capitales</w:t>
      </w:r>
      <w:r>
        <w:t>: acciones, obligaciones, créditos, etc.).</w:t>
      </w:r>
    </w:p>
    <w:p w14:paraId="79BB82F1" w14:textId="1F1A41A5" w:rsidR="00ED3049" w:rsidRPr="00ED3049" w:rsidRDefault="00ED3049" w:rsidP="00863B70">
      <w:pPr>
        <w:pStyle w:val="Nivel2SM"/>
        <w:keepNext/>
        <w:spacing w:after="0"/>
      </w:pPr>
      <w:r>
        <w:t xml:space="preserve">Según </w:t>
      </w:r>
      <w:r w:rsidR="00B41E03">
        <w:t xml:space="preserve">el grado de </w:t>
      </w:r>
      <w:r w:rsidR="00B41E03" w:rsidRPr="00863B70">
        <w:rPr>
          <w:b/>
          <w:bCs/>
        </w:rPr>
        <w:t>exigibilidad</w:t>
      </w:r>
      <w:r w:rsidR="00B41E03">
        <w:t>:</w:t>
      </w:r>
    </w:p>
    <w:p w14:paraId="77BF932A" w14:textId="63AD3074" w:rsidR="00ED3049" w:rsidRDefault="00AE3A2D" w:rsidP="00863B70">
      <w:pPr>
        <w:pStyle w:val="Nivel3SM"/>
      </w:pPr>
      <w:r>
        <w:rPr>
          <w:i/>
          <w:iCs/>
          <w:u w:val="single"/>
        </w:rPr>
        <w:t>Financiación propia</w:t>
      </w:r>
      <w:r>
        <w:t xml:space="preserve"> (</w:t>
      </w:r>
      <w:r>
        <w:rPr>
          <w:i/>
          <w:iCs/>
        </w:rPr>
        <w:t>patrimonio neto</w:t>
      </w:r>
      <w:r>
        <w:t>: reservas, acciones</w:t>
      </w:r>
      <w:r w:rsidR="00ED3049">
        <w:t>, etc.</w:t>
      </w:r>
      <w:r>
        <w:t>)</w:t>
      </w:r>
      <w:r w:rsidR="00ED3049">
        <w:t>.</w:t>
      </w:r>
    </w:p>
    <w:p w14:paraId="51EAE606" w14:textId="0628C7A2" w:rsidR="00AE3A2D" w:rsidRDefault="00ED3049" w:rsidP="00863B70">
      <w:pPr>
        <w:pStyle w:val="Nivel3SM"/>
      </w:pPr>
      <w:r>
        <w:rPr>
          <w:i/>
          <w:iCs/>
          <w:u w:val="single"/>
        </w:rPr>
        <w:t>F</w:t>
      </w:r>
      <w:r w:rsidR="00AE3A2D">
        <w:rPr>
          <w:i/>
          <w:iCs/>
          <w:u w:val="single"/>
        </w:rPr>
        <w:t>inanciación ajena</w:t>
      </w:r>
      <w:r w:rsidR="00AE3A2D">
        <w:t xml:space="preserve"> (</w:t>
      </w:r>
      <w:r w:rsidR="00AE3A2D">
        <w:rPr>
          <w:i/>
          <w:iCs/>
        </w:rPr>
        <w:t>pasivo</w:t>
      </w:r>
      <w:r w:rsidR="00AE3A2D">
        <w:t>: obligaciones, créditos</w:t>
      </w:r>
      <w:r>
        <w:t>, etc.</w:t>
      </w:r>
      <w:r w:rsidR="00AE3A2D">
        <w:t>)</w:t>
      </w:r>
      <w:r>
        <w:t>.</w:t>
      </w:r>
    </w:p>
    <w:p w14:paraId="43CA3B37" w14:textId="15AB2021" w:rsidR="00ED3049" w:rsidRPr="00ED3049" w:rsidRDefault="00ED3049" w:rsidP="00863B70">
      <w:pPr>
        <w:pStyle w:val="Nivel1SM"/>
      </w:pPr>
      <w:r>
        <w:t>Siguiendo el primer criterio (</w:t>
      </w:r>
      <w:r w:rsidRPr="00B41E03">
        <w:rPr>
          <w:sz w:val="18"/>
          <w:szCs w:val="18"/>
        </w:rPr>
        <w:t>según d</w:t>
      </w:r>
      <w:r w:rsidR="00863B70">
        <w:rPr>
          <w:sz w:val="18"/>
          <w:szCs w:val="18"/>
        </w:rPr>
        <w:t>ó</w:t>
      </w:r>
      <w:r w:rsidRPr="00B41E03">
        <w:rPr>
          <w:sz w:val="18"/>
          <w:szCs w:val="18"/>
        </w:rPr>
        <w:t>nde busque la financiación</w:t>
      </w:r>
      <w:r w:rsidR="00B41E03" w:rsidRPr="00B41E03">
        <w:rPr>
          <w:sz w:val="18"/>
          <w:szCs w:val="18"/>
        </w:rPr>
        <w:t xml:space="preserve"> la empresa</w:t>
      </w:r>
      <w:r>
        <w:t xml:space="preserve">), </w:t>
      </w:r>
      <w:r w:rsidR="00B41E03">
        <w:t>pasamos a analizar las posibilidades de financiación de la empresa.</w:t>
      </w:r>
    </w:p>
    <w:p w14:paraId="6A36E02E" w14:textId="2A835E9B" w:rsidR="00342148" w:rsidRDefault="00342148" w:rsidP="00342148">
      <w:pPr>
        <w:pStyle w:val="Ttulo2"/>
      </w:pPr>
      <w:bookmarkStart w:id="9" w:name="_Toc125044517"/>
      <w:r>
        <w:t xml:space="preserve">Fuentes de financiación </w:t>
      </w:r>
      <w:r w:rsidR="00ED3049">
        <w:t>interna o autofinanciación</w:t>
      </w:r>
      <w:bookmarkEnd w:id="9"/>
    </w:p>
    <w:p w14:paraId="0CE85A8A" w14:textId="040ACD58" w:rsidR="00394D83" w:rsidRDefault="00394D83" w:rsidP="00C366D0">
      <w:pPr>
        <w:pStyle w:val="Ttulo3"/>
        <w:spacing w:before="0"/>
      </w:pPr>
      <w:bookmarkStart w:id="10" w:name="_Toc125044518"/>
      <w:r>
        <w:t>Tipos de autofinanciación</w:t>
      </w:r>
      <w:bookmarkEnd w:id="10"/>
    </w:p>
    <w:p w14:paraId="0CD12313" w14:textId="55893CA5" w:rsidR="00481420" w:rsidRDefault="00481420" w:rsidP="00C366D0">
      <w:pPr>
        <w:pStyle w:val="Nivel1SM"/>
        <w:keepNext/>
        <w:spacing w:before="0" w:after="0"/>
      </w:pPr>
      <w:r>
        <w:t xml:space="preserve">La financiación interna o autofinanciación hace referencia a los </w:t>
      </w:r>
      <w:r>
        <w:rPr>
          <w:b/>
          <w:bCs/>
        </w:rPr>
        <w:t>recursos que genera la propia empresa</w:t>
      </w:r>
      <w:r>
        <w:t>, y destacan</w:t>
      </w:r>
      <w:r w:rsidR="007F73FD">
        <w:t>:</w:t>
      </w:r>
    </w:p>
    <w:p w14:paraId="6C258028" w14:textId="035582FD" w:rsidR="00313623" w:rsidRDefault="007F73FD" w:rsidP="00B012A2">
      <w:pPr>
        <w:pStyle w:val="Nivel2SM"/>
        <w:keepNext/>
        <w:spacing w:after="0"/>
      </w:pPr>
      <w:r>
        <w:t xml:space="preserve">Las </w:t>
      </w:r>
      <w:r w:rsidRPr="000E3CF5">
        <w:rPr>
          <w:i/>
          <w:iCs/>
          <w:u w:val="single"/>
        </w:rPr>
        <w:t>reservas</w:t>
      </w:r>
      <w:r>
        <w:t xml:space="preserve"> (i.e. retención de beneficios), </w:t>
      </w:r>
      <w:r w:rsidR="000E3CF5">
        <w:t>s</w:t>
      </w:r>
      <w:r w:rsidR="00313623">
        <w:t xml:space="preserve">on los resultados obtenidos por la entidad durante los </w:t>
      </w:r>
      <w:r w:rsidR="00313623" w:rsidRPr="00B012A2">
        <w:t>ejercicios</w:t>
      </w:r>
      <w:r w:rsidR="00313623">
        <w:t xml:space="preserve"> económicos anteriores y que no se han distribuido entre los accionistas como dividendos:</w:t>
      </w:r>
    </w:p>
    <w:p w14:paraId="609AB450" w14:textId="48A51E29" w:rsidR="00313623" w:rsidRPr="00313623" w:rsidRDefault="00313623" w:rsidP="00863B70">
      <w:pPr>
        <w:pStyle w:val="Nivel3SM"/>
      </w:pPr>
      <w:r>
        <w:rPr>
          <w:i/>
          <w:iCs/>
        </w:rPr>
        <w:t>Reserva legal</w:t>
      </w:r>
      <w:r>
        <w:t>: Generalmente, las sociedades están obligadas por ley a reservar cierto porcentaje de sus ganancias con el</w:t>
      </w:r>
      <w:r w:rsidRPr="00313623">
        <w:t xml:space="preserve"> fin de poder afrontar gastos relacionados al concurso o quiebra de la entidad.</w:t>
      </w:r>
    </w:p>
    <w:p w14:paraId="67F092E5" w14:textId="73E3A620" w:rsidR="00313623" w:rsidRDefault="00313623" w:rsidP="00863B70">
      <w:pPr>
        <w:pStyle w:val="Nivel3SM"/>
      </w:pPr>
      <w:r w:rsidRPr="00313623">
        <w:rPr>
          <w:i/>
          <w:iCs/>
        </w:rPr>
        <w:t>Reserva estatutaria</w:t>
      </w:r>
      <w:r w:rsidRPr="00313623">
        <w:t>:</w:t>
      </w:r>
      <w:r>
        <w:t xml:space="preserve"> Según </w:t>
      </w:r>
      <w:r w:rsidR="00434F48">
        <w:t xml:space="preserve">lo establecido en los </w:t>
      </w:r>
      <w:r>
        <w:t>estatutos</w:t>
      </w:r>
      <w:r w:rsidR="00434F48">
        <w:t xml:space="preserve"> de la empresa</w:t>
      </w:r>
      <w:r>
        <w:t>.</w:t>
      </w:r>
    </w:p>
    <w:p w14:paraId="2A81FC49" w14:textId="028ED9A3" w:rsidR="00313623" w:rsidRDefault="00313623" w:rsidP="00863B70">
      <w:pPr>
        <w:pStyle w:val="Nivel3SM"/>
      </w:pPr>
      <w:r>
        <w:rPr>
          <w:i/>
          <w:iCs/>
        </w:rPr>
        <w:t>Reservas facultativas</w:t>
      </w:r>
      <w:r>
        <w:t>: Dependen de la voluntad de la sociedad.</w:t>
      </w:r>
    </w:p>
    <w:p w14:paraId="3D3FFEC2" w14:textId="6951B7F2" w:rsidR="000E3CF5" w:rsidRPr="00313623" w:rsidRDefault="000E3CF5" w:rsidP="000E3CF5">
      <w:pPr>
        <w:pStyle w:val="Nivel2SM"/>
        <w:numPr>
          <w:ilvl w:val="0"/>
          <w:numId w:val="0"/>
        </w:numPr>
        <w:ind w:left="567"/>
      </w:pPr>
      <w:r>
        <w:t xml:space="preserve">Las reservas suponen un </w:t>
      </w:r>
      <w:r>
        <w:rPr>
          <w:i/>
          <w:iCs/>
        </w:rPr>
        <w:t>aumento</w:t>
      </w:r>
      <w:r>
        <w:t xml:space="preserve"> del patrimonio neto (o fondos propios) de la empresa. Se habla por tanto de </w:t>
      </w:r>
      <w:r w:rsidRPr="00081476">
        <w:rPr>
          <w:i/>
          <w:iCs/>
        </w:rPr>
        <w:t>autofinanciación de enriquecimiento</w:t>
      </w:r>
      <w:r>
        <w:t>. Constituye el componente principal de la autofinanciación.</w:t>
      </w:r>
    </w:p>
    <w:p w14:paraId="2F6B68A4" w14:textId="07F7359C" w:rsidR="007F73FD" w:rsidRPr="007F73FD" w:rsidRDefault="007F73FD" w:rsidP="00863B70">
      <w:pPr>
        <w:pStyle w:val="Nivel2SM"/>
      </w:pPr>
      <w:r>
        <w:t>Las otras partidas (</w:t>
      </w:r>
      <w:r w:rsidRPr="00313623">
        <w:rPr>
          <w:i/>
          <w:iCs/>
          <w:u w:val="single"/>
        </w:rPr>
        <w:t>provisiones</w:t>
      </w:r>
      <w:r w:rsidRPr="0076214C">
        <w:t xml:space="preserve"> y </w:t>
      </w:r>
      <w:r w:rsidRPr="00313623">
        <w:rPr>
          <w:i/>
          <w:iCs/>
          <w:u w:val="single"/>
        </w:rPr>
        <w:t>amortizaciones</w:t>
      </w:r>
      <w:r>
        <w:t xml:space="preserve">), que tienen por finalidad </w:t>
      </w:r>
      <w:r>
        <w:rPr>
          <w:i/>
          <w:iCs/>
        </w:rPr>
        <w:t>evitar un disminución del patrimonio neto</w:t>
      </w:r>
      <w:r w:rsidRPr="007F73FD">
        <w:t>. Se</w:t>
      </w:r>
      <w:r>
        <w:rPr>
          <w:i/>
          <w:iCs/>
        </w:rPr>
        <w:t xml:space="preserve"> </w:t>
      </w:r>
      <w:r>
        <w:t xml:space="preserve">habla, por ello, de </w:t>
      </w:r>
      <w:r w:rsidRPr="00081476">
        <w:rPr>
          <w:i/>
          <w:iCs/>
        </w:rPr>
        <w:t>autofinanciación de mantenimiento</w:t>
      </w:r>
      <w:r>
        <w:t>.</w:t>
      </w:r>
    </w:p>
    <w:p w14:paraId="4BAA1665" w14:textId="572A06E4" w:rsidR="007F73FD" w:rsidRDefault="007F73FD" w:rsidP="00394D83">
      <w:pPr>
        <w:pStyle w:val="Ttulo6"/>
      </w:pPr>
      <w:bookmarkStart w:id="11" w:name="_Toc125044519"/>
      <w:r>
        <w:t>Autofinanciación por enriquecimiento (reservas)</w:t>
      </w:r>
      <w:bookmarkEnd w:id="11"/>
    </w:p>
    <w:p w14:paraId="02574FBE" w14:textId="26E16F68" w:rsidR="007F73FD" w:rsidRDefault="007F73FD" w:rsidP="00C366D0">
      <w:pPr>
        <w:pStyle w:val="Nivel1SM"/>
        <w:keepNext/>
        <w:spacing w:before="0" w:after="0"/>
      </w:pPr>
      <w:r>
        <w:t xml:space="preserve">La </w:t>
      </w:r>
      <w:r w:rsidRPr="009D4A9E">
        <w:rPr>
          <w:b/>
          <w:bCs/>
        </w:rPr>
        <w:t>autofinanciación de enriquecimiento</w:t>
      </w:r>
      <w:r>
        <w:t xml:space="preserve"> se compone de las </w:t>
      </w:r>
      <w:r>
        <w:rPr>
          <w:b/>
          <w:bCs/>
        </w:rPr>
        <w:t>reservas</w:t>
      </w:r>
      <w:r>
        <w:t xml:space="preserve"> en sus diferentes formas (reserva legal, estatutaria, voluntaria, etc.).</w:t>
      </w:r>
    </w:p>
    <w:p w14:paraId="74BD5D05" w14:textId="77777777" w:rsidR="008E6329" w:rsidRDefault="008E6329" w:rsidP="009D4A9E">
      <w:pPr>
        <w:pStyle w:val="Nivel2SM"/>
        <w:keepNext/>
        <w:spacing w:after="0"/>
      </w:pPr>
      <w:r>
        <w:t>Definimos:</w:t>
      </w:r>
    </w:p>
    <w:p w14:paraId="317BB8CE" w14:textId="6B9E6DED" w:rsidR="008E6329" w:rsidRDefault="008E6329" w:rsidP="000342EE">
      <w:pPr>
        <w:spacing w:after="0"/>
      </w:pPr>
      <m:oMathPara>
        <m:oMath>
          <m:r>
            <w:rPr>
              <w:rFonts w:ascii="Cambria Math" w:eastAsiaTheme="minorEastAsia" w:hAnsi="Cambria Math"/>
            </w:rPr>
            <m:t xml:space="preserve"> </m:t>
          </m:r>
          <m:m>
            <m:mPr>
              <m:mcs>
                <m:mc>
                  <m:mcPr>
                    <m:count m:val="1"/>
                    <m:mcJc m:val="center"/>
                  </m:mcPr>
                </m:mc>
              </m:mcs>
              <m:ctrlPr>
                <w:rPr>
                  <w:rFonts w:ascii="Cambria Math" w:hAnsi="Cambria Math"/>
                  <w:i/>
                  <w:iCs/>
                </w:rPr>
              </m:ctrlPr>
            </m:mPr>
            <m:mr>
              <m:e>
                <m:r>
                  <m:rPr>
                    <m:nor/>
                  </m:rPr>
                  <w:rPr>
                    <w:i/>
                    <w:iCs/>
                  </w:rPr>
                  <m:t>Recursos totales</m:t>
                </m:r>
                <m:r>
                  <w:rPr>
                    <w:rFonts w:ascii="Cambria Math"/>
                  </w:rPr>
                  <m:t>=</m:t>
                </m:r>
                <m:r>
                  <m:rPr>
                    <m:nor/>
                  </m:rPr>
                  <w:rPr>
                    <w:i/>
                    <w:iCs/>
                  </w:rPr>
                  <m:t>Patrimonio Neto</m:t>
                </m:r>
                <m:r>
                  <w:rPr>
                    <w:rFonts w:ascii="Cambria Math"/>
                  </w:rPr>
                  <m:t>+</m:t>
                </m:r>
                <m:r>
                  <m:rPr>
                    <m:nor/>
                  </m:rPr>
                  <w:rPr>
                    <w:i/>
                    <w:iCs/>
                  </w:rPr>
                  <m:t>Pasivo</m:t>
                </m:r>
              </m:e>
            </m:mr>
            <m:mr>
              <m:e>
                <m:r>
                  <w:rPr>
                    <w:rFonts w:ascii="Cambria Math" w:hAnsi="Cambria Math"/>
                  </w:rPr>
                  <m:t>⇓</m:t>
                </m:r>
              </m:e>
            </m:mr>
            <m:mr>
              <m:e>
                <m:f>
                  <m:fPr>
                    <m:ctrlPr>
                      <w:rPr>
                        <w:rFonts w:ascii="Cambria Math" w:eastAsiaTheme="minorEastAsia" w:hAnsi="Cambria Math"/>
                        <w:i/>
                        <w:iCs/>
                      </w:rPr>
                    </m:ctrlPr>
                  </m:fPr>
                  <m:num>
                    <m:r>
                      <m:rPr>
                        <m:nor/>
                      </m:rPr>
                      <w:rPr>
                        <w:i/>
                        <w:iCs/>
                      </w:rPr>
                      <m:t>Recursos totales</m:t>
                    </m:r>
                  </m:num>
                  <m:den>
                    <m:r>
                      <m:rPr>
                        <m:nor/>
                      </m:rPr>
                      <w:rPr>
                        <w:i/>
                        <w:iCs/>
                      </w:rPr>
                      <m:t>Patrimonio Neto</m:t>
                    </m:r>
                  </m:den>
                </m:f>
                <m:r>
                  <w:rPr>
                    <w:rFonts w:ascii="Cambria Math"/>
                  </w:rPr>
                  <m:t>=</m:t>
                </m:r>
                <m:f>
                  <m:fPr>
                    <m:ctrlPr>
                      <w:rPr>
                        <w:rFonts w:ascii="Cambria Math" w:eastAsiaTheme="minorEastAsia" w:hAnsi="Cambria Math"/>
                        <w:i/>
                        <w:iCs/>
                      </w:rPr>
                    </m:ctrlPr>
                  </m:fPr>
                  <m:num>
                    <m:r>
                      <m:rPr>
                        <m:nor/>
                      </m:rPr>
                      <w:rPr>
                        <w:i/>
                        <w:iCs/>
                      </w:rPr>
                      <m:t>Patrimonio Neto</m:t>
                    </m:r>
                  </m:num>
                  <m:den>
                    <m:r>
                      <m:rPr>
                        <m:nor/>
                      </m:rPr>
                      <w:rPr>
                        <w:i/>
                        <w:iCs/>
                      </w:rPr>
                      <m:t>Patrimonio Neto</m:t>
                    </m:r>
                  </m:den>
                </m:f>
                <m:r>
                  <w:rPr>
                    <w:rFonts w:ascii="Cambria Math"/>
                  </w:rPr>
                  <m:t>+</m:t>
                </m:r>
                <m:limLow>
                  <m:limLowPr>
                    <m:ctrlPr>
                      <w:rPr>
                        <w:rFonts w:ascii="Cambria Math" w:eastAsiaTheme="minorEastAsia" w:hAnsi="Cambria Math"/>
                        <w:i/>
                        <w:iCs/>
                      </w:rPr>
                    </m:ctrlPr>
                  </m:limLowPr>
                  <m:e>
                    <m:groupChr>
                      <m:groupChrPr>
                        <m:ctrlPr>
                          <w:rPr>
                            <w:rFonts w:ascii="Cambria Math" w:eastAsiaTheme="minorEastAsia" w:hAnsi="Cambria Math"/>
                            <w:i/>
                            <w:iCs/>
                          </w:rPr>
                        </m:ctrlPr>
                      </m:groupChrPr>
                      <m:e>
                        <m:f>
                          <m:fPr>
                            <m:ctrlPr>
                              <w:rPr>
                                <w:rFonts w:ascii="Cambria Math" w:eastAsiaTheme="minorEastAsia" w:hAnsi="Cambria Math"/>
                                <w:i/>
                                <w:iCs/>
                              </w:rPr>
                            </m:ctrlPr>
                          </m:fPr>
                          <m:num>
                            <m:r>
                              <m:rPr>
                                <m:nor/>
                              </m:rPr>
                              <w:rPr>
                                <w:i/>
                                <w:iCs/>
                              </w:rPr>
                              <m:t>Pasivo</m:t>
                            </m:r>
                          </m:num>
                          <m:den>
                            <m:r>
                              <m:rPr>
                                <m:nor/>
                              </m:rPr>
                              <w:rPr>
                                <w:i/>
                                <w:iCs/>
                              </w:rPr>
                              <m:t>Patrimonio Neto</m:t>
                            </m:r>
                          </m:den>
                        </m:f>
                      </m:e>
                    </m:groupChr>
                  </m:e>
                  <m:lim>
                    <m:r>
                      <m:rPr>
                        <m:nor/>
                      </m:rPr>
                      <w:rPr>
                        <w:i/>
                        <w:iCs/>
                      </w:rPr>
                      <m:t>α</m:t>
                    </m:r>
                  </m:lim>
                </m:limLow>
              </m:e>
            </m:mr>
          </m:m>
        </m:oMath>
      </m:oMathPara>
    </w:p>
    <w:p w14:paraId="7DEB6102" w14:textId="62ED532C" w:rsidR="00E4285C" w:rsidRDefault="00081476" w:rsidP="009D4A9E">
      <w:pPr>
        <w:pStyle w:val="Nivel2SM"/>
        <w:keepNext/>
        <w:spacing w:after="0"/>
      </w:pPr>
      <w:r w:rsidRPr="00081476">
        <w:t>Si asumimos que l</w:t>
      </w:r>
      <w:r w:rsidR="007F73FD" w:rsidRPr="00081476">
        <w:t xml:space="preserve">as empresas desean mantener constante </w:t>
      </w:r>
      <w:r w:rsidR="008E6329">
        <w:t xml:space="preserve">el </w:t>
      </w:r>
      <w:r w:rsidR="008E6329" w:rsidRPr="008E6329">
        <w:rPr>
          <w:i/>
          <w:iCs/>
        </w:rPr>
        <w:t>grado de apalancamiento</w:t>
      </w:r>
      <w:r w:rsidR="007F73FD" w:rsidRPr="008E6329">
        <w:t xml:space="preserve">, </w:t>
      </w:r>
      <m:oMath>
        <m:r>
          <m:rPr>
            <m:nor/>
          </m:rPr>
          <w:rPr>
            <w:i/>
            <w:iCs/>
          </w:rPr>
          <m:t>α</m:t>
        </m:r>
      </m:oMath>
      <w:r w:rsidR="008E6329" w:rsidRPr="008E6329">
        <w:rPr>
          <w:rFonts w:eastAsiaTheme="minorEastAsia"/>
          <w:iCs/>
        </w:rPr>
        <w:t>,</w:t>
      </w:r>
      <w:r w:rsidR="00CE7E1B" w:rsidRPr="008E6329">
        <w:rPr>
          <w:rFonts w:eastAsiaTheme="minorEastAsia"/>
          <w:iCs/>
        </w:rPr>
        <w:t xml:space="preserve"> </w:t>
      </w:r>
      <w:r w:rsidR="008E6329" w:rsidRPr="008E6329">
        <w:rPr>
          <w:rFonts w:eastAsiaTheme="minorEastAsia"/>
          <w:iCs/>
        </w:rPr>
        <w:t>definido como la ratio</w:t>
      </w:r>
      <w:r w:rsidR="007F73FD" w:rsidRPr="008E6329">
        <w:t xml:space="preserve"> entre los recursos ajenos y los recursos propios</w:t>
      </w:r>
      <w:r w:rsidR="008E6329">
        <w:t xml:space="preserve">, </w:t>
      </w:r>
      <w:r w:rsidR="007F73FD">
        <w:t>todo aumento de l</w:t>
      </w:r>
      <w:r w:rsidR="008E6329">
        <w:t>as</w:t>
      </w:r>
      <w:r w:rsidR="007F73FD">
        <w:t xml:space="preserve"> re</w:t>
      </w:r>
      <w:r w:rsidR="008E6329">
        <w:t>servas</w:t>
      </w:r>
      <w:r w:rsidR="007F73FD">
        <w:t xml:space="preserve"> (</w:t>
      </w:r>
      <m:oMath>
        <m:r>
          <m:rPr>
            <m:nor/>
          </m:rPr>
          <w:rPr>
            <w:rFonts w:ascii="Times New Roman" w:hAnsi="Times New Roman" w:cs="Times New Roman"/>
            <w:i/>
            <w:sz w:val="18"/>
            <w:szCs w:val="18"/>
          </w:rPr>
          <m:t>↑</m:t>
        </m:r>
        <m:r>
          <m:rPr>
            <m:nor/>
          </m:rPr>
          <w:rPr>
            <w:i/>
            <w:sz w:val="18"/>
            <w:szCs w:val="18"/>
          </w:rPr>
          <m:t xml:space="preserve"> Reservas</m:t>
        </m:r>
        <m:r>
          <w:rPr>
            <w:rFonts w:ascii="Cambria Math" w:hAnsi="Cambria Math"/>
            <w:sz w:val="18"/>
            <w:szCs w:val="18"/>
          </w:rPr>
          <m:t>⟹</m:t>
        </m:r>
        <m:r>
          <m:rPr>
            <m:nor/>
          </m:rPr>
          <w:rPr>
            <w:rFonts w:ascii="Times New Roman" w:hAnsi="Times New Roman" w:cs="Times New Roman"/>
            <w:i/>
            <w:sz w:val="18"/>
            <w:szCs w:val="18"/>
          </w:rPr>
          <m:t>↑</m:t>
        </m:r>
        <m:r>
          <m:rPr>
            <m:nor/>
          </m:rPr>
          <w:rPr>
            <w:i/>
            <w:sz w:val="18"/>
            <w:szCs w:val="18"/>
          </w:rPr>
          <m:t xml:space="preserve"> Patrimonio Neto</m:t>
        </m:r>
      </m:oMath>
      <w:r w:rsidR="007F73FD">
        <w:t xml:space="preserve">) debería ir acompañado de un aumento de los </w:t>
      </w:r>
      <w:r w:rsidR="00CE7E1B">
        <w:t>pasivos</w:t>
      </w:r>
      <w:r w:rsidR="008E6329">
        <w:rPr>
          <w:rStyle w:val="Refdenotaalpie"/>
          <w:rFonts w:eastAsiaTheme="minorEastAsia"/>
          <w:iCs/>
        </w:rPr>
        <w:footnoteReference w:id="6"/>
      </w:r>
      <w:r w:rsidR="007F73FD">
        <w:t>, de manera que la</w:t>
      </w:r>
      <w:r w:rsidR="00E4285C">
        <w:t xml:space="preserve"> </w:t>
      </w:r>
      <w:r w:rsidR="007F73FD" w:rsidRPr="0076214C">
        <w:rPr>
          <w:i/>
          <w:iCs/>
        </w:rPr>
        <w:t>autofinanciación tendrá un efecto expansivo</w:t>
      </w:r>
      <w:r w:rsidR="007F73FD">
        <w:t xml:space="preserve"> sobre la capacidad productiva</w:t>
      </w:r>
      <w:r w:rsidR="00E4285C">
        <w:t xml:space="preserve">. Cuanto </w:t>
      </w:r>
      <w:r w:rsidR="00E4285C">
        <w:lastRenderedPageBreak/>
        <w:t xml:space="preserve">mayor sea la ratio </w:t>
      </w:r>
      <w:r w:rsidR="0095455B">
        <w:t xml:space="preserve">de apalancamiento </w:t>
      </w:r>
      <w:r w:rsidR="00E4285C">
        <w:t>(</w:t>
      </w:r>
      <m:oMath>
        <m:r>
          <m:rPr>
            <m:nor/>
          </m:rPr>
          <w:rPr>
            <w:i/>
            <w:iCs/>
          </w:rPr>
          <m:t>α</m:t>
        </m:r>
      </m:oMath>
      <w:r w:rsidR="00E4285C">
        <w:t>), mayor será el efecto señalado</w:t>
      </w:r>
      <w:r w:rsidR="0095455B">
        <w:t xml:space="preserve">, pues será necesario aumentar más el pasivo ante un aumento en el patrimonio neto para mantener </w:t>
      </w:r>
      <m:oMath>
        <m:r>
          <m:rPr>
            <m:nor/>
          </m:rPr>
          <w:rPr>
            <w:i/>
            <w:iCs/>
          </w:rPr>
          <m:t>α</m:t>
        </m:r>
      </m:oMath>
      <w:r w:rsidR="0095455B">
        <w:rPr>
          <w:rFonts w:eastAsiaTheme="minorEastAsia"/>
          <w:iCs/>
        </w:rPr>
        <w:t xml:space="preserve"> constante</w:t>
      </w:r>
      <w:r w:rsidR="00E4285C">
        <w:t>.</w:t>
      </w:r>
    </w:p>
    <w:p w14:paraId="790B4059" w14:textId="284CE343" w:rsidR="001B770E" w:rsidRDefault="001B770E" w:rsidP="009D4A9E">
      <w:pPr>
        <w:pStyle w:val="Nivel3SM"/>
        <w:keepNext/>
      </w:pPr>
      <w:r>
        <w:t xml:space="preserve">Por lo tanto, </w:t>
      </w:r>
      <w:r w:rsidR="00EA6523">
        <w:t>la variación de los recursos totales vendrá dada por:</w:t>
      </w:r>
    </w:p>
    <w:p w14:paraId="28B742D4" w14:textId="1AD4254F" w:rsidR="00EA6523" w:rsidRDefault="00EA6523" w:rsidP="00BD1180">
      <w:pPr>
        <w:spacing w:after="0"/>
      </w:pPr>
      <m:oMathPara>
        <m:oMath>
          <m:r>
            <w:rPr>
              <w:rFonts w:ascii="Cambria Math" w:eastAsiaTheme="minorEastAsia" w:hAnsi="Cambria Math"/>
            </w:rPr>
            <m:t xml:space="preserve"> </m:t>
          </m:r>
          <m:r>
            <m:rPr>
              <m:nor/>
            </m:rPr>
            <w:rPr>
              <w:rFonts w:eastAsiaTheme="minorEastAsia"/>
              <w:i/>
            </w:rPr>
            <m:t>∆</m:t>
          </m:r>
          <m:r>
            <m:rPr>
              <m:nor/>
            </m:rPr>
            <w:rPr>
              <w:i/>
              <w:iCs/>
            </w:rPr>
            <m:t>Recursos totales</m:t>
          </m:r>
          <m:r>
            <w:rPr>
              <w:rFonts w:ascii="Cambria Math"/>
            </w:rPr>
            <m:t>=</m:t>
          </m:r>
          <m:r>
            <m:rPr>
              <m:nor/>
            </m:rPr>
            <w:rPr>
              <w:rFonts w:eastAsiaTheme="minorEastAsia"/>
              <w:i/>
            </w:rPr>
            <m:t>∆</m:t>
          </m:r>
          <m:r>
            <m:rPr>
              <m:nor/>
            </m:rPr>
            <w:rPr>
              <w:i/>
              <w:iCs/>
            </w:rPr>
            <m:t>Patrimonio Neto</m:t>
          </m:r>
          <m:r>
            <w:rPr>
              <w:rFonts w:ascii="Cambria Math"/>
            </w:rPr>
            <m:t>+</m:t>
          </m:r>
          <m:limLow>
            <m:limLowPr>
              <m:ctrlPr>
                <w:rPr>
                  <w:rFonts w:ascii="Cambria Math" w:eastAsiaTheme="minorEastAsia" w:hAnsi="Cambria Math"/>
                  <w:i/>
                </w:rPr>
              </m:ctrlPr>
            </m:limLowPr>
            <m:e>
              <m:groupChr>
                <m:groupChrPr>
                  <m:ctrlPr>
                    <w:rPr>
                      <w:rFonts w:ascii="Cambria Math" w:eastAsiaTheme="minorEastAsia" w:hAnsi="Cambria Math"/>
                      <w:i/>
                    </w:rPr>
                  </m:ctrlPr>
                </m:groupChrPr>
                <m:e>
                  <m:r>
                    <m:rPr>
                      <m:nor/>
                    </m:rPr>
                    <w:rPr>
                      <w:rFonts w:eastAsiaTheme="minorEastAsia"/>
                      <w:i/>
                      <w:iCs/>
                    </w:rPr>
                    <m:t>∆</m:t>
                  </m:r>
                  <m:r>
                    <m:rPr>
                      <m:nor/>
                    </m:rPr>
                    <w:rPr>
                      <w:i/>
                      <w:iCs/>
                    </w:rPr>
                    <m:t>Pasivo</m:t>
                  </m:r>
                </m:e>
              </m:groupChr>
            </m:e>
            <m:lim>
              <m:r>
                <w:rPr>
                  <w:rFonts w:ascii="Cambria Math" w:eastAsiaTheme="minorEastAsia" w:hAnsi="Cambria Math"/>
                </w:rPr>
                <m:t>=</m:t>
              </m:r>
              <m:r>
                <m:rPr>
                  <m:nor/>
                </m:rPr>
                <w:rPr>
                  <w:i/>
                  <w:iCs/>
                </w:rPr>
                <m:t>α</m:t>
              </m:r>
              <m:r>
                <w:rPr>
                  <w:rFonts w:ascii="Cambria Math" w:hAnsi="Cambria Math"/>
                </w:rPr>
                <m:t>∙</m:t>
              </m:r>
              <m:r>
                <m:rPr>
                  <m:nor/>
                </m:rPr>
                <w:rPr>
                  <w:rFonts w:eastAsiaTheme="minorEastAsia"/>
                  <w:i/>
                </w:rPr>
                <m:t>∆</m:t>
              </m:r>
              <m:r>
                <m:rPr>
                  <m:nor/>
                </m:rPr>
                <w:rPr>
                  <w:i/>
                  <w:iCs/>
                </w:rPr>
                <m:t>Patrimonio Neto</m:t>
              </m:r>
            </m:lim>
          </m:limLow>
          <m:r>
            <w:rPr>
              <w:rFonts w:ascii="Cambria Math" w:eastAsiaTheme="minorEastAsia" w:hAnsi="Cambria Math"/>
            </w:rPr>
            <m:t>=</m:t>
          </m:r>
          <m:d>
            <m:dPr>
              <m:ctrlPr>
                <w:rPr>
                  <w:rFonts w:ascii="Cambria Math" w:hAnsi="Cambria Math"/>
                  <w:i/>
                  <w:iCs/>
                </w:rPr>
              </m:ctrlPr>
            </m:dPr>
            <m:e>
              <m:r>
                <m:rPr>
                  <m:nor/>
                </m:rPr>
                <w:rPr>
                  <w:i/>
                  <w:iCs/>
                </w:rPr>
                <m:t>1</m:t>
              </m:r>
              <m:r>
                <w:rPr>
                  <w:rFonts w:ascii="Cambria Math" w:hAnsi="Cambria Math"/>
                </w:rPr>
                <m:t>+</m:t>
              </m:r>
              <m:r>
                <m:rPr>
                  <m:nor/>
                </m:rPr>
                <w:rPr>
                  <w:i/>
                  <w:iCs/>
                </w:rPr>
                <m:t>α</m:t>
              </m:r>
            </m:e>
          </m:d>
          <m:r>
            <w:rPr>
              <w:rFonts w:ascii="Cambria Math" w:hAnsi="Cambria Math"/>
            </w:rPr>
            <m:t>∙</m:t>
          </m:r>
          <m:r>
            <m:rPr>
              <m:nor/>
            </m:rPr>
            <w:rPr>
              <w:rFonts w:eastAsiaTheme="minorEastAsia"/>
              <w:i/>
            </w:rPr>
            <m:t>∆</m:t>
          </m:r>
          <m:r>
            <m:rPr>
              <m:nor/>
            </m:rPr>
            <w:rPr>
              <w:i/>
              <w:iCs/>
            </w:rPr>
            <m:t>Patrimonio Neto</m:t>
          </m:r>
        </m:oMath>
      </m:oMathPara>
    </w:p>
    <w:p w14:paraId="5A073ADF" w14:textId="297369AF" w:rsidR="002F1679" w:rsidRDefault="002F1679" w:rsidP="00394D83">
      <w:pPr>
        <w:pStyle w:val="Ttulo6"/>
      </w:pPr>
      <w:bookmarkStart w:id="12" w:name="_Toc125044520"/>
      <w:r>
        <w:t>Autofinanciación por mantenimiento (amortizaci</w:t>
      </w:r>
      <w:r w:rsidR="007F73FD">
        <w:t>ones y provisiones</w:t>
      </w:r>
      <w:r>
        <w:t>)</w:t>
      </w:r>
      <w:bookmarkEnd w:id="12"/>
    </w:p>
    <w:p w14:paraId="30DCF025" w14:textId="5639207C" w:rsidR="00755A7D" w:rsidRDefault="00E4285C" w:rsidP="00C366D0">
      <w:pPr>
        <w:pStyle w:val="Nivel1SM"/>
        <w:keepNext/>
        <w:spacing w:before="0" w:after="0"/>
      </w:pPr>
      <w:r>
        <w:t>La autofinanciación por mantenimiento está compuesta de:</w:t>
      </w:r>
    </w:p>
    <w:p w14:paraId="68A00FA2" w14:textId="491E7BC2" w:rsidR="00E4285C" w:rsidRDefault="00E4285C" w:rsidP="004F687D">
      <w:pPr>
        <w:pStyle w:val="Nivel2SM"/>
      </w:pPr>
      <w:r w:rsidRPr="00081476">
        <w:rPr>
          <w:i/>
          <w:iCs/>
          <w:u w:val="single"/>
        </w:rPr>
        <w:t>Amortizaciones</w:t>
      </w:r>
      <w:r>
        <w:t xml:space="preserve">: </w:t>
      </w:r>
      <w:r w:rsidR="004F687D">
        <w:t>S</w:t>
      </w:r>
      <w:r>
        <w:t>on imputaciones anuales que se hacen a los gastos de producción para compensar la depreciación del activo correspondiente</w:t>
      </w:r>
      <w:r w:rsidR="007B3CEE">
        <w:rPr>
          <w:rStyle w:val="Refdenotaalpie"/>
        </w:rPr>
        <w:footnoteReference w:id="7"/>
      </w:r>
      <w:r w:rsidR="00F86DE7">
        <w:rPr>
          <w:vertAlign w:val="superscript"/>
        </w:rPr>
        <w:t>,</w:t>
      </w:r>
      <w:r w:rsidR="00F86DE7">
        <w:rPr>
          <w:rStyle w:val="Refdenotaalpie"/>
        </w:rPr>
        <w:footnoteReference w:id="8"/>
      </w:r>
      <w:r>
        <w:t>.</w:t>
      </w:r>
    </w:p>
    <w:p w14:paraId="1C875B38" w14:textId="37B54CF8" w:rsidR="00E4285C" w:rsidRPr="00E4285C" w:rsidRDefault="00E4285C" w:rsidP="004F687D">
      <w:pPr>
        <w:pStyle w:val="Nivel2SM"/>
        <w:rPr>
          <w:spacing w:val="-1"/>
        </w:rPr>
      </w:pPr>
      <w:r w:rsidRPr="00081476">
        <w:rPr>
          <w:i/>
          <w:iCs/>
          <w:u w:val="single"/>
        </w:rPr>
        <w:t>Provisiones</w:t>
      </w:r>
      <w:r w:rsidRPr="00E4285C">
        <w:rPr>
          <w:spacing w:val="-1"/>
        </w:rPr>
        <w:t xml:space="preserve">: </w:t>
      </w:r>
      <w:r w:rsidR="004F687D">
        <w:rPr>
          <w:spacing w:val="-1"/>
        </w:rPr>
        <w:t>R</w:t>
      </w:r>
      <w:r w:rsidRPr="00E4285C">
        <w:rPr>
          <w:spacing w:val="-1"/>
        </w:rPr>
        <w:t>etenciones de beneficio</w:t>
      </w:r>
      <w:r w:rsidR="006076EE">
        <w:rPr>
          <w:spacing w:val="-1"/>
        </w:rPr>
        <w:t>s</w:t>
      </w:r>
      <w:r w:rsidRPr="00E4285C">
        <w:rPr>
          <w:spacing w:val="-1"/>
        </w:rPr>
        <w:t xml:space="preserve"> que la empresa utiliza para hacer frente a determinados riesgos que afectan a su actividad (que finalmente podrían materializarse o no).</w:t>
      </w:r>
    </w:p>
    <w:p w14:paraId="619DCDED" w14:textId="77777777" w:rsidR="006076EE" w:rsidRDefault="007B3CEE" w:rsidP="00DF50DA">
      <w:pPr>
        <w:pStyle w:val="Nivel1SM"/>
        <w:keepNext/>
        <w:spacing w:after="0"/>
      </w:pPr>
      <w:r>
        <w:t xml:space="preserve">Bajo </w:t>
      </w:r>
      <w:r w:rsidR="004F687D">
        <w:t xml:space="preserve">los siguientes </w:t>
      </w:r>
      <w:r>
        <w:t>supuestos</w:t>
      </w:r>
      <w:r w:rsidR="006B5047">
        <w:t>:</w:t>
      </w:r>
    </w:p>
    <w:p w14:paraId="5D23DF82" w14:textId="7601CC9D" w:rsidR="006076EE" w:rsidRDefault="00B012A2">
      <w:pPr>
        <w:pStyle w:val="Prrafodelista"/>
        <w:numPr>
          <w:ilvl w:val="0"/>
          <w:numId w:val="26"/>
        </w:numPr>
        <w:spacing w:after="100"/>
        <w:ind w:left="567" w:hanging="57"/>
      </w:pPr>
      <w:r>
        <w:t>N</w:t>
      </w:r>
      <w:r w:rsidR="006076EE">
        <w:t>o hay obsolescencia tecnológica</w:t>
      </w:r>
      <w:r w:rsidR="00C452A7" w:rsidRPr="00C452A7">
        <w:t xml:space="preserve"> </w:t>
      </w:r>
      <w:r w:rsidR="00C452A7" w:rsidRPr="006076EE">
        <w:rPr>
          <w:sz w:val="19"/>
          <w:szCs w:val="19"/>
        </w:rPr>
        <w:t>(i.e. la productividad de los activos es constante en el tiempo)</w:t>
      </w:r>
      <w:r w:rsidR="004F687D">
        <w:t>,</w:t>
      </w:r>
    </w:p>
    <w:p w14:paraId="7EE0C2CB" w14:textId="1397FF41" w:rsidR="006076EE" w:rsidRDefault="00B012A2">
      <w:pPr>
        <w:pStyle w:val="Prrafodelista"/>
        <w:numPr>
          <w:ilvl w:val="0"/>
          <w:numId w:val="26"/>
        </w:numPr>
        <w:spacing w:after="100"/>
        <w:ind w:left="567" w:hanging="57"/>
      </w:pPr>
      <w:r>
        <w:t>L</w:t>
      </w:r>
      <w:r w:rsidR="006076EE">
        <w:t xml:space="preserve">os </w:t>
      </w:r>
      <w:r w:rsidR="006B5047">
        <w:t xml:space="preserve">activos </w:t>
      </w:r>
      <w:r w:rsidR="006076EE">
        <w:t xml:space="preserve">son </w:t>
      </w:r>
      <w:r w:rsidR="006B5047">
        <w:t>perfectamente divisibles</w:t>
      </w:r>
      <w:r w:rsidR="004F687D">
        <w:t>,</w:t>
      </w:r>
    </w:p>
    <w:p w14:paraId="075549F1" w14:textId="25AAF915" w:rsidR="006076EE" w:rsidRDefault="00B012A2">
      <w:pPr>
        <w:pStyle w:val="Prrafodelista"/>
        <w:numPr>
          <w:ilvl w:val="0"/>
          <w:numId w:val="26"/>
        </w:numPr>
        <w:spacing w:after="100"/>
        <w:ind w:left="567" w:hanging="57"/>
      </w:pPr>
      <w:r>
        <w:t>A</w:t>
      </w:r>
      <w:r w:rsidR="006B5047">
        <w:t>usencia de inflación</w:t>
      </w:r>
      <w:r w:rsidR="004F687D">
        <w:t>,</w:t>
      </w:r>
      <w:r w:rsidR="006B5047">
        <w:t xml:space="preserve"> y</w:t>
      </w:r>
    </w:p>
    <w:p w14:paraId="4FC95F38" w14:textId="63D251A7" w:rsidR="006076EE" w:rsidRDefault="00B012A2">
      <w:pPr>
        <w:pStyle w:val="Prrafodelista"/>
        <w:numPr>
          <w:ilvl w:val="0"/>
          <w:numId w:val="26"/>
        </w:numPr>
        <w:spacing w:after="0"/>
        <w:ind w:left="567" w:hanging="57"/>
      </w:pPr>
      <w:r>
        <w:t>L</w:t>
      </w:r>
      <w:r w:rsidR="006B5047">
        <w:t>a amortización libera recursos financieros</w:t>
      </w:r>
      <w:r w:rsidR="00C452A7">
        <w:t xml:space="preserve"> </w:t>
      </w:r>
      <w:r w:rsidR="00C452A7" w:rsidRPr="006076EE">
        <w:rPr>
          <w:sz w:val="19"/>
          <w:szCs w:val="19"/>
        </w:rPr>
        <w:t>(no es un mero apunte contable)</w:t>
      </w:r>
      <w:r w:rsidR="004F687D">
        <w:t>,</w:t>
      </w:r>
    </w:p>
    <w:p w14:paraId="5829DB17" w14:textId="7B56C5AD" w:rsidR="00E4285C" w:rsidRDefault="0055220F" w:rsidP="006076EE">
      <w:pPr>
        <w:spacing w:after="100"/>
      </w:pPr>
      <w:r>
        <w:t>l</w:t>
      </w:r>
      <w:r w:rsidR="007B3CEE">
        <w:t xml:space="preserve">as cantidades retenidas no sólo mantienen la capacidad productiva, sino que la </w:t>
      </w:r>
      <w:r w:rsidR="007B3CEE" w:rsidRPr="007B3CEE">
        <w:t>aumentan</w:t>
      </w:r>
      <w:r w:rsidR="007B3CEE">
        <w:t>. En efecto, si dichas dotaciones se utilizan para comprar nuevos activos, tendrá lugar un progresivo aumento de la capacidad productiva.</w:t>
      </w:r>
    </w:p>
    <w:p w14:paraId="6360CA74" w14:textId="3D45D040" w:rsidR="004F687D" w:rsidRDefault="007B3CEE" w:rsidP="004F687D">
      <w:pPr>
        <w:pStyle w:val="Nivel1SM"/>
        <w:keepNext/>
        <w:spacing w:after="0"/>
      </w:pPr>
      <w:r>
        <w:t>A modo de ilustración, imaginemos una empresa pesquera que compra inicialmente 10</w:t>
      </w:r>
      <w:r w:rsidR="00C366D0">
        <w:t> </w:t>
      </w:r>
      <w:r>
        <w:t xml:space="preserve">barcos, cada uno a un precio de </w:t>
      </w:r>
      <w:r w:rsidR="00F86DE7">
        <w:t>1</w:t>
      </w:r>
      <w:r w:rsidR="00C366D0">
        <w:t> </w:t>
      </w:r>
      <w:r>
        <w:t>mill</w:t>
      </w:r>
      <w:r w:rsidR="00F86DE7">
        <w:t>ó</w:t>
      </w:r>
      <w:r>
        <w:t>n</w:t>
      </w:r>
      <w:r w:rsidR="00F86DE7">
        <w:t xml:space="preserve"> de </w:t>
      </w:r>
      <w:r w:rsidR="004F687D">
        <w:t>euros</w:t>
      </w:r>
      <w:r>
        <w:t>. Los barcos</w:t>
      </w:r>
      <w:r w:rsidR="006B5047">
        <w:t xml:space="preserve"> </w:t>
      </w:r>
      <w:r>
        <w:t>tienen una vida útil de 10</w:t>
      </w:r>
      <w:r w:rsidR="00C366D0">
        <w:t> </w:t>
      </w:r>
      <w:r>
        <w:t>años, un valor residual nulo</w:t>
      </w:r>
      <w:r w:rsidR="006B5047">
        <w:t xml:space="preserve"> y una amortización lineal, por lo que cada año se amortizan </w:t>
      </w:r>
      <w:r w:rsidR="00F86DE7">
        <w:t>1</w:t>
      </w:r>
      <w:r w:rsidR="006B5047">
        <w:t>00.000</w:t>
      </w:r>
      <w:r w:rsidR="004F687D">
        <w:rPr>
          <w:rFonts w:ascii="Nirmala UI" w:hAnsi="Nirmala UI" w:cs="Nirmala UI"/>
        </w:rPr>
        <w:t> </w:t>
      </w:r>
      <w:r w:rsidR="006B5047">
        <w:t xml:space="preserve">€ por barco. El primer año se paga una cuota de </w:t>
      </w:r>
      <w:r w:rsidR="00F86DE7">
        <w:t>1</w:t>
      </w:r>
      <w:r w:rsidR="00C366D0">
        <w:t> </w:t>
      </w:r>
      <w:r w:rsidR="006B5047">
        <w:t>mill</w:t>
      </w:r>
      <w:r w:rsidR="00F86DE7">
        <w:t>ó</w:t>
      </w:r>
      <w:r w:rsidR="006B5047">
        <w:t xml:space="preserve">n de </w:t>
      </w:r>
      <w:r w:rsidR="004F687D">
        <w:t>euros</w:t>
      </w:r>
      <w:r w:rsidR="006B5047">
        <w:t xml:space="preserve"> en total</w:t>
      </w:r>
      <w:r w:rsidR="00F86DE7">
        <w:t xml:space="preserve"> (100.</w:t>
      </w:r>
      <w:r w:rsidR="00F86DE7" w:rsidRPr="00F86DE7">
        <w:t>000</w:t>
      </w:r>
      <w:r w:rsidR="004F687D">
        <w:rPr>
          <w:rFonts w:ascii="Nirmala UI" w:hAnsi="Nirmala UI" w:cs="Nirmala UI"/>
        </w:rPr>
        <w:t> </w:t>
      </w:r>
      <w:r w:rsidR="00F86DE7" w:rsidRPr="00F86DE7">
        <w:t>€</w:t>
      </w:r>
      <w:r w:rsidR="00C366D0">
        <w:t> </w:t>
      </w:r>
      <w:r w:rsidR="00F86DE7" w:rsidRPr="00F86DE7">
        <w:t>×</w:t>
      </w:r>
      <w:r w:rsidR="00C366D0">
        <w:t> </w:t>
      </w:r>
      <w:r w:rsidR="00F86DE7">
        <w:t>10</w:t>
      </w:r>
      <w:r w:rsidR="00C366D0">
        <w:t> </w:t>
      </w:r>
      <w:r w:rsidR="00F86DE7">
        <w:t>barcos)</w:t>
      </w:r>
      <w:r w:rsidR="006B5047">
        <w:t>, por lo que con ese dinero se puede comprar otro barco, lo que hará aumentar producción ya que ahora hay 11</w:t>
      </w:r>
      <w:r w:rsidR="00C366D0">
        <w:t> </w:t>
      </w:r>
      <w:r w:rsidR="006B5047">
        <w:t>barcos.</w:t>
      </w:r>
    </w:p>
    <w:p w14:paraId="5774D78B" w14:textId="55E8E9DE" w:rsidR="006B5047" w:rsidRDefault="006B5047" w:rsidP="004F687D">
      <w:pPr>
        <w:pStyle w:val="Nivel2SM"/>
      </w:pPr>
      <w:r>
        <w:t xml:space="preserve">Esto es lo que se conoce como </w:t>
      </w:r>
      <w:r w:rsidRPr="00F86DE7">
        <w:t>efecto expansivo de la autofinanciación de mantenimiento</w:t>
      </w:r>
      <w:r>
        <w:t xml:space="preserve"> o </w:t>
      </w:r>
      <w:r w:rsidRPr="00EF3DE2">
        <w:rPr>
          <w:b/>
          <w:bCs/>
        </w:rPr>
        <w:t xml:space="preserve">efecto </w:t>
      </w:r>
      <w:proofErr w:type="spellStart"/>
      <w:r w:rsidRPr="00EF3DE2">
        <w:rPr>
          <w:b/>
          <w:bCs/>
          <w:smallCaps/>
        </w:rPr>
        <w:t>Lohmann-Ruchti</w:t>
      </w:r>
      <w:proofErr w:type="spellEnd"/>
      <w:r>
        <w:t>.</w:t>
      </w:r>
    </w:p>
    <w:p w14:paraId="4920502A" w14:textId="5DF69995" w:rsidR="00ED40CF" w:rsidRDefault="00ED40CF" w:rsidP="00ED40CF">
      <w:pPr>
        <w:pStyle w:val="Ttulo3"/>
      </w:pPr>
      <w:bookmarkStart w:id="13" w:name="_Toc125044521"/>
      <w:r>
        <w:t>Coste de la autofinanciación</w:t>
      </w:r>
      <w:bookmarkEnd w:id="13"/>
    </w:p>
    <w:p w14:paraId="30454736" w14:textId="77777777" w:rsidR="00ED40CF" w:rsidRPr="00ED40CF" w:rsidRDefault="00ED40CF" w:rsidP="00C366D0">
      <w:pPr>
        <w:pStyle w:val="Nivel1SM"/>
        <w:keepNext/>
        <w:spacing w:before="0" w:after="0"/>
      </w:pPr>
      <w:r w:rsidRPr="00ED40CF">
        <w:t xml:space="preserve">Las reservas constituyen una fuente de recursos que </w:t>
      </w:r>
      <w:r w:rsidRPr="00ED40CF">
        <w:rPr>
          <w:i/>
          <w:iCs/>
        </w:rPr>
        <w:t>no es necesario remunerar explícitamente</w:t>
      </w:r>
      <w:r w:rsidRPr="00ED40CF">
        <w:t xml:space="preserve"> (a diferencia de las acciones –dividendos– y de las obligaciones –intereses–).</w:t>
      </w:r>
    </w:p>
    <w:p w14:paraId="2448AD9C" w14:textId="77777777" w:rsidR="00A343CA" w:rsidRDefault="00ED40CF" w:rsidP="00A343CA">
      <w:pPr>
        <w:pStyle w:val="Nivel2SM"/>
        <w:keepNext/>
        <w:spacing w:after="0"/>
        <w:ind w:left="397" w:hanging="170"/>
        <w:rPr>
          <w:spacing w:val="-3"/>
        </w:rPr>
      </w:pPr>
      <w:r w:rsidRPr="00ED40CF">
        <w:rPr>
          <w:spacing w:val="-3"/>
        </w:rPr>
        <w:t xml:space="preserve">No obstante, decimos </w:t>
      </w:r>
      <w:r w:rsidRPr="00ED40CF">
        <w:rPr>
          <w:i/>
          <w:iCs/>
          <w:spacing w:val="-3"/>
        </w:rPr>
        <w:t>explícitamente</w:t>
      </w:r>
      <w:r w:rsidRPr="00ED40CF">
        <w:rPr>
          <w:spacing w:val="-3"/>
        </w:rPr>
        <w:t xml:space="preserve"> porque las reservas sí tienen un </w:t>
      </w:r>
      <w:r w:rsidRPr="00A343CA">
        <w:rPr>
          <w:i/>
          <w:iCs/>
          <w:spacing w:val="-3"/>
        </w:rPr>
        <w:t>coste implícito</w:t>
      </w:r>
      <w:r w:rsidRPr="00ED40CF">
        <w:rPr>
          <w:spacing w:val="-3"/>
        </w:rPr>
        <w:t>: el coste de oportunidad, ligado al mayor uso alternativo de dichos fondos.</w:t>
      </w:r>
    </w:p>
    <w:p w14:paraId="6CC9A23B" w14:textId="759D07FF" w:rsidR="00ED40CF" w:rsidRPr="00ED40CF" w:rsidRDefault="00ED40CF" w:rsidP="00A343CA">
      <w:pPr>
        <w:pStyle w:val="Nivel3SM"/>
      </w:pPr>
      <w:r w:rsidRPr="00ED40CF">
        <w:t>El efectivo por encima de la cantidad mínima de caja puede ser empleado para liquidar deuda o devuelto a los accionistas en forma de dividendos o de recompra de acciones.</w:t>
      </w:r>
    </w:p>
    <w:p w14:paraId="586EDDF1" w14:textId="48A69773" w:rsidR="00ED40CF" w:rsidRPr="00ED40CF" w:rsidRDefault="00ED40CF" w:rsidP="00ED40CF">
      <w:pPr>
        <w:pStyle w:val="Nivel2SM"/>
        <w:spacing w:after="0"/>
        <w:ind w:left="397" w:hanging="170"/>
        <w:rPr>
          <w:spacing w:val="-3"/>
        </w:rPr>
      </w:pPr>
      <w:r w:rsidRPr="00ED40CF">
        <w:rPr>
          <w:spacing w:val="-3"/>
        </w:rPr>
        <w:t>En puridad, el coste de la autofinanciación es el coste del capital propio, pues forma parte de una fuente de financiación vía recursos propios</w:t>
      </w:r>
      <w:r w:rsidRPr="00ED40CF">
        <w:rPr>
          <w:rStyle w:val="Refdenotaalpie"/>
          <w:spacing w:val="-3"/>
        </w:rPr>
        <w:footnoteReference w:id="9"/>
      </w:r>
      <w:r w:rsidRPr="00ED40CF">
        <w:rPr>
          <w:spacing w:val="-3"/>
        </w:rPr>
        <w:t>. Este matiz es importante, porque como veremos en el próximo apartado, para calcular la estructura financiera óptima de la empresa, hablaremos del coste de los recursos propios, donde quedarían incluidos los beneficios retenidos.</w:t>
      </w:r>
    </w:p>
    <w:p w14:paraId="5A34BE07" w14:textId="5BBBBBEF" w:rsidR="004C09AE" w:rsidRPr="00ED40CF" w:rsidRDefault="00ED40CF" w:rsidP="00ED40CF">
      <w:pPr>
        <w:pStyle w:val="Ttulo3"/>
      </w:pPr>
      <w:bookmarkStart w:id="14" w:name="_Toc125044522"/>
      <w:r w:rsidRPr="00ED40CF">
        <w:lastRenderedPageBreak/>
        <w:t>Ventajas e inconvenientes de la autofinanciación</w:t>
      </w:r>
      <w:bookmarkEnd w:id="14"/>
    </w:p>
    <w:tbl>
      <w:tblPr>
        <w:tblStyle w:val="Tablaconcuadrcula"/>
        <w:tblW w:w="0" w:type="auto"/>
        <w:tblLook w:val="04A0" w:firstRow="1" w:lastRow="0" w:firstColumn="1" w:lastColumn="0" w:noHBand="0" w:noVBand="1"/>
      </w:tblPr>
      <w:tblGrid>
        <w:gridCol w:w="4644"/>
        <w:gridCol w:w="4644"/>
      </w:tblGrid>
      <w:tr w:rsidR="00C452A7" w14:paraId="61BD17A7" w14:textId="77777777" w:rsidTr="00ED40CF">
        <w:tc>
          <w:tcPr>
            <w:tcW w:w="4644" w:type="dxa"/>
            <w:tcBorders>
              <w:top w:val="single" w:sz="12" w:space="0" w:color="auto"/>
              <w:left w:val="nil"/>
            </w:tcBorders>
            <w:vAlign w:val="center"/>
          </w:tcPr>
          <w:p w14:paraId="33AABEFC" w14:textId="5C938050" w:rsidR="00C452A7" w:rsidRPr="00C452A7" w:rsidRDefault="00C452A7" w:rsidP="00394D83">
            <w:pPr>
              <w:keepNext/>
              <w:spacing w:after="0"/>
              <w:jc w:val="center"/>
              <w:rPr>
                <w:i/>
                <w:iCs/>
              </w:rPr>
            </w:pPr>
            <w:r w:rsidRPr="00C452A7">
              <w:rPr>
                <w:i/>
                <w:iCs/>
              </w:rPr>
              <w:t>Ventajas de la autofinanciación</w:t>
            </w:r>
          </w:p>
        </w:tc>
        <w:tc>
          <w:tcPr>
            <w:tcW w:w="4644" w:type="dxa"/>
            <w:tcBorders>
              <w:top w:val="single" w:sz="12" w:space="0" w:color="auto"/>
              <w:right w:val="nil"/>
            </w:tcBorders>
            <w:vAlign w:val="center"/>
          </w:tcPr>
          <w:p w14:paraId="386DA76F" w14:textId="6E6DC59A" w:rsidR="00C452A7" w:rsidRPr="00C452A7" w:rsidRDefault="00C452A7" w:rsidP="00394D83">
            <w:pPr>
              <w:keepNext/>
              <w:spacing w:after="0"/>
              <w:jc w:val="center"/>
              <w:rPr>
                <w:i/>
                <w:iCs/>
              </w:rPr>
            </w:pPr>
            <w:r w:rsidRPr="00C452A7">
              <w:rPr>
                <w:i/>
                <w:iCs/>
              </w:rPr>
              <w:t>Inconvenientes de la autofinanciación</w:t>
            </w:r>
          </w:p>
        </w:tc>
      </w:tr>
      <w:tr w:rsidR="00C452A7" w14:paraId="1A60F573" w14:textId="77777777" w:rsidTr="00ED40CF">
        <w:tc>
          <w:tcPr>
            <w:tcW w:w="4644" w:type="dxa"/>
            <w:tcBorders>
              <w:left w:val="nil"/>
              <w:bottom w:val="single" w:sz="12" w:space="0" w:color="auto"/>
            </w:tcBorders>
          </w:tcPr>
          <w:p w14:paraId="67EF9B60" w14:textId="385CFEC0" w:rsidR="00C452A7" w:rsidRDefault="00C452A7" w:rsidP="00976B58">
            <w:pPr>
              <w:pStyle w:val="Nivel1"/>
              <w:keepNext/>
              <w:spacing w:before="0"/>
              <w:ind w:left="175"/>
              <w:rPr>
                <w:sz w:val="19"/>
                <w:szCs w:val="19"/>
              </w:rPr>
            </w:pPr>
            <w:r w:rsidRPr="00850C66">
              <w:rPr>
                <w:sz w:val="19"/>
                <w:szCs w:val="19"/>
              </w:rPr>
              <w:t xml:space="preserve">Permite a la empresa disfrutar de una </w:t>
            </w:r>
            <w:r w:rsidRPr="00850C66">
              <w:rPr>
                <w:i/>
                <w:iCs/>
                <w:sz w:val="19"/>
                <w:szCs w:val="19"/>
              </w:rPr>
              <w:t>ma</w:t>
            </w:r>
            <w:r w:rsidR="00850C66" w:rsidRPr="00850C66">
              <w:rPr>
                <w:i/>
                <w:iCs/>
                <w:sz w:val="19"/>
                <w:szCs w:val="19"/>
              </w:rPr>
              <w:t>y</w:t>
            </w:r>
            <w:r w:rsidRPr="00850C66">
              <w:rPr>
                <w:i/>
                <w:iCs/>
                <w:sz w:val="19"/>
                <w:szCs w:val="19"/>
              </w:rPr>
              <w:t>or autonomía</w:t>
            </w:r>
            <w:r w:rsidRPr="00850C66">
              <w:rPr>
                <w:sz w:val="19"/>
                <w:szCs w:val="19"/>
              </w:rPr>
              <w:t xml:space="preserve"> y libertad de acción.</w:t>
            </w:r>
            <w:r w:rsidR="008D0AD2">
              <w:rPr>
                <w:sz w:val="19"/>
                <w:szCs w:val="19"/>
              </w:rPr>
              <w:t xml:space="preserve"> Al financiar el desarrollo de la empresa exclusivamente con recursos que genera la propia empresa, la empresa no tiene necesidad de acudir a los mercados de capital para demandar financiación a inversores en acciones o bonos corporativos. Por esta razón, se puede argumentar que los directivos tendrán mayor libertad de acción.</w:t>
            </w:r>
          </w:p>
          <w:p w14:paraId="233D8539" w14:textId="07A77384" w:rsidR="00A343CA" w:rsidRPr="00A343CA" w:rsidRDefault="00A343CA" w:rsidP="00976B58">
            <w:pPr>
              <w:pStyle w:val="Nivel1"/>
              <w:keepNext/>
              <w:spacing w:before="0"/>
              <w:ind w:left="175"/>
              <w:rPr>
                <w:spacing w:val="-2"/>
                <w:sz w:val="19"/>
                <w:szCs w:val="19"/>
              </w:rPr>
            </w:pPr>
            <w:r w:rsidRPr="00A343CA">
              <w:rPr>
                <w:spacing w:val="-2"/>
                <w:sz w:val="19"/>
                <w:szCs w:val="19"/>
              </w:rPr>
              <w:t>Además, es una fuente de financiación muy rentable en un mundo con problemas de información.</w:t>
            </w:r>
          </w:p>
          <w:p w14:paraId="2E4142B4" w14:textId="56C5D29D" w:rsidR="00C452A7" w:rsidRDefault="00850C66" w:rsidP="00976B58">
            <w:pPr>
              <w:pStyle w:val="Nivel1"/>
              <w:spacing w:before="0" w:after="0"/>
              <w:ind w:left="177"/>
            </w:pPr>
            <w:r w:rsidRPr="00850C66">
              <w:rPr>
                <w:sz w:val="19"/>
                <w:szCs w:val="19"/>
              </w:rPr>
              <w:t xml:space="preserve">Para las </w:t>
            </w:r>
            <w:r w:rsidRPr="00850C66">
              <w:rPr>
                <w:i/>
                <w:iCs/>
                <w:sz w:val="19"/>
                <w:szCs w:val="19"/>
              </w:rPr>
              <w:t>pymes</w:t>
            </w:r>
            <w:r w:rsidRPr="00850C66">
              <w:rPr>
                <w:sz w:val="19"/>
                <w:szCs w:val="19"/>
              </w:rPr>
              <w:t xml:space="preserve"> constituye el único canal alternativo al bancario para obtener recursos financieros a largo plazo.</w:t>
            </w:r>
          </w:p>
        </w:tc>
        <w:tc>
          <w:tcPr>
            <w:tcW w:w="4644" w:type="dxa"/>
            <w:tcBorders>
              <w:bottom w:val="single" w:sz="12" w:space="0" w:color="auto"/>
              <w:right w:val="nil"/>
            </w:tcBorders>
          </w:tcPr>
          <w:p w14:paraId="18F4CA3F" w14:textId="1319D9AF" w:rsidR="00850C66" w:rsidRPr="00B514D5" w:rsidRDefault="00850C66" w:rsidP="00976B58">
            <w:pPr>
              <w:pStyle w:val="Nivel1"/>
              <w:keepNext/>
              <w:spacing w:before="0"/>
              <w:ind w:left="175"/>
              <w:rPr>
                <w:sz w:val="19"/>
                <w:szCs w:val="19"/>
              </w:rPr>
            </w:pPr>
            <w:r w:rsidRPr="00B514D5">
              <w:rPr>
                <w:sz w:val="19"/>
                <w:szCs w:val="19"/>
              </w:rPr>
              <w:t xml:space="preserve">La autofinanciación </w:t>
            </w:r>
            <w:r w:rsidRPr="00B514D5">
              <w:rPr>
                <w:i/>
                <w:iCs/>
                <w:sz w:val="19"/>
                <w:szCs w:val="19"/>
              </w:rPr>
              <w:t>puede ser insuficiente</w:t>
            </w:r>
            <w:r w:rsidRPr="00B514D5">
              <w:rPr>
                <w:sz w:val="19"/>
                <w:szCs w:val="19"/>
              </w:rPr>
              <w:t xml:space="preserve"> para</w:t>
            </w:r>
            <w:r w:rsidR="00C640C4" w:rsidRPr="00B514D5">
              <w:rPr>
                <w:sz w:val="19"/>
                <w:szCs w:val="19"/>
              </w:rPr>
              <w:t xml:space="preserve"> llevar a cabo determinadas inversiones. Las necesidades de inversión se presentan de forma </w:t>
            </w:r>
            <w:r w:rsidR="00C640C4" w:rsidRPr="00B514D5">
              <w:rPr>
                <w:i/>
                <w:iCs/>
                <w:sz w:val="19"/>
                <w:szCs w:val="19"/>
              </w:rPr>
              <w:t>discontinua</w:t>
            </w:r>
            <w:r w:rsidR="00C640C4" w:rsidRPr="00B514D5">
              <w:rPr>
                <w:sz w:val="19"/>
                <w:szCs w:val="19"/>
              </w:rPr>
              <w:t xml:space="preserve"> en el tiempo, mientras que la autofinanciación se va generando </w:t>
            </w:r>
            <w:r w:rsidR="00C640C4" w:rsidRPr="00B514D5">
              <w:rPr>
                <w:i/>
                <w:iCs/>
                <w:sz w:val="19"/>
                <w:szCs w:val="19"/>
              </w:rPr>
              <w:t>lenta y gradualmente</w:t>
            </w:r>
            <w:r w:rsidR="00C640C4" w:rsidRPr="00B514D5">
              <w:rPr>
                <w:sz w:val="19"/>
                <w:szCs w:val="19"/>
              </w:rPr>
              <w:t>. Por eso, la autofinanciación impide a veces realizar inversiones rentables si no se han generado aún los recursos suficientes.</w:t>
            </w:r>
          </w:p>
          <w:p w14:paraId="2B387650" w14:textId="34DF2774" w:rsidR="00850C66" w:rsidRDefault="00850C66" w:rsidP="00976B58">
            <w:pPr>
              <w:pStyle w:val="Nivel1"/>
              <w:keepNext/>
              <w:spacing w:before="0"/>
              <w:ind w:left="175"/>
              <w:rPr>
                <w:sz w:val="19"/>
                <w:szCs w:val="19"/>
              </w:rPr>
            </w:pPr>
            <w:r>
              <w:rPr>
                <w:sz w:val="19"/>
                <w:szCs w:val="19"/>
              </w:rPr>
              <w:t xml:space="preserve">Aunque la autofinanciación pudiera ser suficiente, </w:t>
            </w:r>
            <w:r w:rsidR="000943B8">
              <w:rPr>
                <w:i/>
                <w:iCs/>
                <w:sz w:val="19"/>
                <w:szCs w:val="19"/>
              </w:rPr>
              <w:t>e</w:t>
            </w:r>
            <w:r w:rsidRPr="00196640">
              <w:rPr>
                <w:i/>
                <w:iCs/>
                <w:sz w:val="19"/>
                <w:szCs w:val="19"/>
              </w:rPr>
              <w:t>sta no siempre será la mejor alternativa</w:t>
            </w:r>
            <w:r>
              <w:rPr>
                <w:sz w:val="19"/>
                <w:szCs w:val="19"/>
              </w:rPr>
              <w:t xml:space="preserve"> (es decir, la menos costosa).</w:t>
            </w:r>
          </w:p>
          <w:p w14:paraId="3221585E" w14:textId="77777777" w:rsidR="00C452A7" w:rsidRDefault="00850C66" w:rsidP="00976B58">
            <w:pPr>
              <w:pStyle w:val="Nivel1"/>
              <w:keepNext/>
              <w:spacing w:before="0"/>
              <w:ind w:left="175"/>
              <w:rPr>
                <w:sz w:val="19"/>
                <w:szCs w:val="19"/>
              </w:rPr>
            </w:pPr>
            <w:r>
              <w:rPr>
                <w:sz w:val="19"/>
                <w:szCs w:val="19"/>
              </w:rPr>
              <w:t xml:space="preserve">Al no tener un coste financiero explícito, en ocasiones </w:t>
            </w:r>
            <w:r w:rsidRPr="00196640">
              <w:rPr>
                <w:i/>
                <w:iCs/>
                <w:sz w:val="19"/>
                <w:szCs w:val="19"/>
              </w:rPr>
              <w:t>puede dar lugar a inversiones poco rentables</w:t>
            </w:r>
            <w:r>
              <w:rPr>
                <w:sz w:val="19"/>
                <w:szCs w:val="19"/>
              </w:rPr>
              <w:t>.</w:t>
            </w:r>
          </w:p>
          <w:p w14:paraId="18A8AF7C" w14:textId="431E6E8C" w:rsidR="00850C66" w:rsidRPr="00850C66" w:rsidRDefault="00850C66" w:rsidP="00976B58">
            <w:pPr>
              <w:pStyle w:val="Nivel1"/>
              <w:spacing w:before="0" w:after="0"/>
              <w:ind w:left="177"/>
              <w:rPr>
                <w:sz w:val="19"/>
                <w:szCs w:val="19"/>
              </w:rPr>
            </w:pPr>
            <w:r>
              <w:rPr>
                <w:sz w:val="19"/>
                <w:szCs w:val="19"/>
              </w:rPr>
              <w:t xml:space="preserve">La retención de beneficios para la autofinanciación </w:t>
            </w:r>
            <w:r w:rsidRPr="00F1340F">
              <w:rPr>
                <w:i/>
                <w:iCs/>
                <w:sz w:val="19"/>
                <w:szCs w:val="19"/>
              </w:rPr>
              <w:t>hace bajar los dividendos</w:t>
            </w:r>
            <w:r>
              <w:rPr>
                <w:sz w:val="19"/>
                <w:szCs w:val="19"/>
              </w:rPr>
              <w:t xml:space="preserve"> percibidos por los accionistas, lo que </w:t>
            </w:r>
            <w:r w:rsidRPr="00196640">
              <w:rPr>
                <w:i/>
                <w:iCs/>
                <w:sz w:val="19"/>
                <w:szCs w:val="19"/>
              </w:rPr>
              <w:t>puede dar lugar a una caída en la cotización de la empresa</w:t>
            </w:r>
            <w:r>
              <w:rPr>
                <w:sz w:val="19"/>
                <w:szCs w:val="19"/>
              </w:rPr>
              <w:t>.</w:t>
            </w:r>
          </w:p>
        </w:tc>
      </w:tr>
    </w:tbl>
    <w:p w14:paraId="4B8914C5" w14:textId="15AF3850" w:rsidR="00C452A7" w:rsidRPr="00C452A7" w:rsidRDefault="00196640" w:rsidP="004F687D">
      <w:pPr>
        <w:pStyle w:val="Nivel1SM"/>
      </w:pPr>
      <w:r>
        <w:t xml:space="preserve">Debido a los inconvenientes que presenta la autofinanciación, la empresa recurrirá con frecuencia a los </w:t>
      </w:r>
      <w:r w:rsidRPr="00196640">
        <w:rPr>
          <w:b/>
          <w:bCs/>
        </w:rPr>
        <w:t>mercados de capitales</w:t>
      </w:r>
      <w:r>
        <w:t xml:space="preserve"> para obtener </w:t>
      </w:r>
      <w:r w:rsidRPr="00196640">
        <w:rPr>
          <w:b/>
          <w:bCs/>
        </w:rPr>
        <w:t>financiación externa</w:t>
      </w:r>
      <w:r>
        <w:t>.</w:t>
      </w:r>
    </w:p>
    <w:p w14:paraId="3B5C9C7B" w14:textId="77777777" w:rsidR="00C10EB5" w:rsidRDefault="002F1679" w:rsidP="00342148">
      <w:pPr>
        <w:pStyle w:val="Ttulo2"/>
      </w:pPr>
      <w:bookmarkStart w:id="15" w:name="_Toc55381922"/>
      <w:bookmarkStart w:id="16" w:name="_Toc55382057"/>
      <w:bookmarkStart w:id="17" w:name="_Toc55382092"/>
      <w:bookmarkStart w:id="18" w:name="_Toc55381923"/>
      <w:bookmarkStart w:id="19" w:name="_Toc55382058"/>
      <w:bookmarkStart w:id="20" w:name="_Toc55382093"/>
      <w:bookmarkStart w:id="21" w:name="_Toc55382521"/>
      <w:bookmarkStart w:id="22" w:name="_Toc55381924"/>
      <w:bookmarkStart w:id="23" w:name="_Toc55382059"/>
      <w:bookmarkStart w:id="24" w:name="_Toc55382094"/>
      <w:bookmarkStart w:id="25" w:name="_Toc55382522"/>
      <w:bookmarkStart w:id="26" w:name="_Toc125044523"/>
      <w:bookmarkEnd w:id="15"/>
      <w:bookmarkEnd w:id="16"/>
      <w:bookmarkEnd w:id="17"/>
      <w:bookmarkEnd w:id="18"/>
      <w:bookmarkEnd w:id="19"/>
      <w:bookmarkEnd w:id="20"/>
      <w:bookmarkEnd w:id="21"/>
      <w:bookmarkEnd w:id="22"/>
      <w:bookmarkEnd w:id="23"/>
      <w:bookmarkEnd w:id="24"/>
      <w:bookmarkEnd w:id="25"/>
      <w:r>
        <w:t>F</w:t>
      </w:r>
      <w:r w:rsidR="00342148">
        <w:t xml:space="preserve">uentes de financiación </w:t>
      </w:r>
      <w:r w:rsidR="00ED3049">
        <w:t>externa o mercados de capitales</w:t>
      </w:r>
      <w:bookmarkEnd w:id="26"/>
    </w:p>
    <w:p w14:paraId="5C0A7324" w14:textId="1B4746A9" w:rsidR="002F1679" w:rsidRDefault="00C10EB5" w:rsidP="008A0941">
      <w:pPr>
        <w:pStyle w:val="Ttulo3"/>
        <w:spacing w:before="0"/>
      </w:pPr>
      <w:bookmarkStart w:id="27" w:name="_Toc125044524"/>
      <w:r>
        <w:t>Financiación externa propia</w:t>
      </w:r>
      <w:bookmarkEnd w:id="27"/>
    </w:p>
    <w:p w14:paraId="2658D6B4" w14:textId="608C206C" w:rsidR="00ED3049" w:rsidRDefault="00ED3049" w:rsidP="00C366D0">
      <w:pPr>
        <w:pStyle w:val="Ttulo6"/>
        <w:tabs>
          <w:tab w:val="left" w:pos="5751"/>
        </w:tabs>
        <w:spacing w:before="0"/>
      </w:pPr>
      <w:bookmarkStart w:id="28" w:name="_Toc125044525"/>
      <w:r>
        <w:t>Acciones</w:t>
      </w:r>
      <w:r w:rsidR="000A5834">
        <w:t xml:space="preserve"> – </w:t>
      </w:r>
      <w:proofErr w:type="spellStart"/>
      <w:r w:rsidR="000A5834">
        <w:t>Equity</w:t>
      </w:r>
      <w:bookmarkEnd w:id="28"/>
      <w:proofErr w:type="spellEnd"/>
    </w:p>
    <w:p w14:paraId="1D523A90" w14:textId="3124CE34" w:rsidR="00274EB6" w:rsidRDefault="00CD69AF" w:rsidP="00C366D0">
      <w:pPr>
        <w:pStyle w:val="Nivel1SM"/>
        <w:keepNext/>
        <w:spacing w:before="0" w:after="0"/>
      </w:pPr>
      <w:r>
        <w:t xml:space="preserve">Las </w:t>
      </w:r>
      <w:r w:rsidRPr="00187AD8">
        <w:rPr>
          <w:b/>
          <w:bCs/>
        </w:rPr>
        <w:t>acciones</w:t>
      </w:r>
      <w:r>
        <w:t xml:space="preserve"> </w:t>
      </w:r>
      <w:r w:rsidR="00976B58">
        <w:t xml:space="preserve">son aquellos títulos que </w:t>
      </w:r>
      <w:r>
        <w:t xml:space="preserve">representan partes alícuotas del capital social </w:t>
      </w:r>
      <w:r w:rsidR="00274EB6">
        <w:t>de la empresa.</w:t>
      </w:r>
    </w:p>
    <w:p w14:paraId="4955E423" w14:textId="070F2060" w:rsidR="00976B58" w:rsidRDefault="00976B58" w:rsidP="00DF50DA">
      <w:pPr>
        <w:pStyle w:val="Nivel2SM"/>
      </w:pPr>
      <w:r>
        <w:t xml:space="preserve">La </w:t>
      </w:r>
      <w:r w:rsidRPr="00976B58">
        <w:rPr>
          <w:i/>
          <w:iCs/>
        </w:rPr>
        <w:t>remuneración</w:t>
      </w:r>
      <w:r>
        <w:t xml:space="preserve"> de los activos de renta variable depende de la evolución económico-financiera del emisor. Por lo tanto, la relación de pagos no está estipulada en una relación contractual entre el emisor y el inversor.</w:t>
      </w:r>
    </w:p>
    <w:p w14:paraId="6C80FFB6" w14:textId="0BFAA13D" w:rsidR="00976B58" w:rsidRDefault="00976B58" w:rsidP="00DF50DA">
      <w:pPr>
        <w:pStyle w:val="Nivel2SM"/>
      </w:pPr>
      <w:r>
        <w:t xml:space="preserve">Los activos de renta variable </w:t>
      </w:r>
      <w:r w:rsidRPr="00976B58">
        <w:rPr>
          <w:i/>
          <w:iCs/>
        </w:rPr>
        <w:t>no especifican un vencimiento</w:t>
      </w:r>
      <w:r>
        <w:t xml:space="preserve"> (se dice que las acciones son perpetuas, por lo que su vencimiento depende de la voluntad del inversor de vender las acciones a un nuevo accionista en el mercado secundario).</w:t>
      </w:r>
    </w:p>
    <w:p w14:paraId="46FF4E8B" w14:textId="7B479C95" w:rsidR="00274EB6" w:rsidRDefault="00274EB6" w:rsidP="00274EB6">
      <w:pPr>
        <w:pStyle w:val="Nivel2SM"/>
      </w:pPr>
      <w:r>
        <w:t>L</w:t>
      </w:r>
      <w:r w:rsidR="00CD69AF">
        <w:t xml:space="preserve">levan aparejados </w:t>
      </w:r>
      <w:r w:rsidR="00CD69AF" w:rsidRPr="00187AD8">
        <w:rPr>
          <w:i/>
          <w:iCs/>
        </w:rPr>
        <w:t>derechos económicos</w:t>
      </w:r>
      <w:r w:rsidR="00CD69AF">
        <w:t xml:space="preserve"> (participación en beneficios, suscripción preferente…) y </w:t>
      </w:r>
      <w:r w:rsidR="00CD69AF" w:rsidRPr="00237C60">
        <w:rPr>
          <w:i/>
          <w:iCs/>
        </w:rPr>
        <w:t>políticos</w:t>
      </w:r>
      <w:r w:rsidR="00CD69AF">
        <w:t xml:space="preserve"> (derecho </w:t>
      </w:r>
      <w:r w:rsidR="001741B0">
        <w:t>a</w:t>
      </w:r>
      <w:r w:rsidR="00CD69AF">
        <w:t xml:space="preserve"> </w:t>
      </w:r>
      <w:r w:rsidR="001741B0">
        <w:t>v</w:t>
      </w:r>
      <w:r w:rsidR="00CD69AF">
        <w:t>oto, derechos de asistencia a la junta general de accionistas y derechos de información).</w:t>
      </w:r>
    </w:p>
    <w:p w14:paraId="69F0BF92" w14:textId="6513FCC6" w:rsidR="00CD69AF" w:rsidRDefault="00CD69AF" w:rsidP="00274EB6">
      <w:pPr>
        <w:pStyle w:val="Nivel2SM"/>
      </w:pPr>
      <w:r>
        <w:t xml:space="preserve">El </w:t>
      </w:r>
      <w:r w:rsidRPr="00274EB6">
        <w:rPr>
          <w:i/>
          <w:iCs/>
        </w:rPr>
        <w:t>orden de prelación</w:t>
      </w:r>
      <w:r>
        <w:t xml:space="preserve"> en caso de liquidación de la empresa sería </w:t>
      </w:r>
      <w:r w:rsidRPr="00274EB6">
        <w:rPr>
          <w:i/>
          <w:iCs/>
        </w:rPr>
        <w:t>posterior</w:t>
      </w:r>
      <w:r>
        <w:t xml:space="preserve"> al de los acreedores (por lo que entraña un mayor riesgo)</w:t>
      </w:r>
      <w:r w:rsidR="00274EB6">
        <w:rPr>
          <w:rStyle w:val="Refdenotaalpie"/>
        </w:rPr>
        <w:footnoteReference w:id="10"/>
      </w:r>
      <w:r>
        <w:t>.</w:t>
      </w:r>
    </w:p>
    <w:p w14:paraId="76BFA0CF" w14:textId="748CB80F" w:rsidR="00976B58" w:rsidRDefault="00976B58" w:rsidP="00274EB6">
      <w:pPr>
        <w:pStyle w:val="Nivel2SM"/>
      </w:pPr>
      <w:r>
        <w:t>Contablemente, los títulos de renta variable forman parte del patrimonio neto del emisor (permiten financiación) y del activo del inversor (al generar derechos económicos).</w:t>
      </w:r>
    </w:p>
    <w:p w14:paraId="37EC0287" w14:textId="5DB7C0AC" w:rsidR="00187AD8" w:rsidRDefault="00187AD8" w:rsidP="00B514D5">
      <w:pPr>
        <w:pStyle w:val="Nivel1SM"/>
        <w:keepNext/>
        <w:spacing w:after="0"/>
      </w:pPr>
      <w:bookmarkStart w:id="29" w:name="_Hlk132968122"/>
      <w:r>
        <w:t>Podemos clasificar las acciones según distintos criterios:</w:t>
      </w:r>
    </w:p>
    <w:p w14:paraId="61308A12" w14:textId="0E934475" w:rsidR="00187AD8" w:rsidRPr="00976B58" w:rsidRDefault="00187AD8" w:rsidP="00B514D5">
      <w:pPr>
        <w:pStyle w:val="Nivel2SM"/>
      </w:pPr>
      <w:r w:rsidRPr="00187AD8">
        <w:rPr>
          <w:i/>
          <w:iCs/>
          <w:u w:val="single"/>
        </w:rPr>
        <w:t>Según la forma</w:t>
      </w:r>
      <w:r>
        <w:rPr>
          <w:i/>
          <w:iCs/>
          <w:u w:val="single"/>
        </w:rPr>
        <w:t xml:space="preserve"> de designar al titular</w:t>
      </w:r>
      <w:r>
        <w:t xml:space="preserve">: </w:t>
      </w:r>
      <w:r w:rsidRPr="000B6430">
        <w:rPr>
          <w:i/>
          <w:iCs/>
        </w:rPr>
        <w:t>nominativas</w:t>
      </w:r>
      <w:r>
        <w:t xml:space="preserve"> (se especifica el nombre) o </w:t>
      </w:r>
      <w:r w:rsidRPr="000B6430">
        <w:rPr>
          <w:i/>
          <w:iCs/>
        </w:rPr>
        <w:t>al portador</w:t>
      </w:r>
      <w:r w:rsidR="00976B58">
        <w:t xml:space="preserve"> (no detallan el nombre del accionista, por lo que el tenedor del certificado es considerado como el dueño)</w:t>
      </w:r>
      <w:r>
        <w:t>.</w:t>
      </w:r>
    </w:p>
    <w:p w14:paraId="312859C1" w14:textId="51A2CD32" w:rsidR="00187AD8" w:rsidRPr="00976B58" w:rsidRDefault="00187AD8" w:rsidP="00B514D5">
      <w:pPr>
        <w:pStyle w:val="Nivel2SM"/>
      </w:pPr>
      <w:r>
        <w:rPr>
          <w:i/>
          <w:iCs/>
          <w:u w:val="single"/>
        </w:rPr>
        <w:t>Según los privilegios inherentes</w:t>
      </w:r>
      <w:r>
        <w:t xml:space="preserve">: </w:t>
      </w:r>
      <w:r w:rsidRPr="000B6430">
        <w:rPr>
          <w:i/>
          <w:iCs/>
        </w:rPr>
        <w:t>ordinarias</w:t>
      </w:r>
      <w:r>
        <w:t xml:space="preserve"> o </w:t>
      </w:r>
      <w:r w:rsidR="00976B58">
        <w:rPr>
          <w:i/>
          <w:iCs/>
        </w:rPr>
        <w:t>preferentes</w:t>
      </w:r>
      <w:r>
        <w:t xml:space="preserve"> (</w:t>
      </w:r>
      <w:r w:rsidR="00976B58">
        <w:rPr>
          <w:spacing w:val="-1"/>
        </w:rPr>
        <w:t>cuentan con algún derecho suplementario (p.ej. mayor dividendo o preferencia en el orden de prelación en caso de concurso)</w:t>
      </w:r>
      <w:r>
        <w:t>).</w:t>
      </w:r>
    </w:p>
    <w:p w14:paraId="3EFD4448" w14:textId="0B10AF08" w:rsidR="00187AD8" w:rsidRDefault="00187AD8" w:rsidP="00B514D5">
      <w:pPr>
        <w:pStyle w:val="Nivel2SM"/>
      </w:pPr>
      <w:r>
        <w:rPr>
          <w:i/>
          <w:iCs/>
          <w:u w:val="single"/>
        </w:rPr>
        <w:lastRenderedPageBreak/>
        <w:t>Según el precio de emisión</w:t>
      </w:r>
      <w:r>
        <w:t xml:space="preserve">: </w:t>
      </w:r>
      <w:r w:rsidRPr="000B6430">
        <w:rPr>
          <w:i/>
          <w:iCs/>
        </w:rPr>
        <w:t>a la par</w:t>
      </w:r>
      <w:r>
        <w:t xml:space="preserve">, </w:t>
      </w:r>
      <w:r w:rsidRPr="000B6430">
        <w:rPr>
          <w:i/>
          <w:iCs/>
        </w:rPr>
        <w:t>sobre la par</w:t>
      </w:r>
      <w:r>
        <w:t xml:space="preserve">, o </w:t>
      </w:r>
      <w:r w:rsidRPr="000B6430">
        <w:rPr>
          <w:i/>
          <w:iCs/>
        </w:rPr>
        <w:t xml:space="preserve">bajo </w:t>
      </w:r>
      <w:r w:rsidR="000B6430">
        <w:rPr>
          <w:i/>
          <w:iCs/>
        </w:rPr>
        <w:t xml:space="preserve">la </w:t>
      </w:r>
      <w:r w:rsidRPr="000B6430">
        <w:rPr>
          <w:i/>
          <w:iCs/>
        </w:rPr>
        <w:t>par</w:t>
      </w:r>
      <w:r w:rsidR="00490C2C">
        <w:t xml:space="preserve"> en relación al precio reflejado en los libros contables</w:t>
      </w:r>
      <w:r>
        <w:t>.</w:t>
      </w:r>
    </w:p>
    <w:p w14:paraId="1A1785F9" w14:textId="79EEC42C" w:rsidR="00E80815" w:rsidRDefault="00E80815" w:rsidP="00B514D5">
      <w:pPr>
        <w:pStyle w:val="Nivel2SM"/>
      </w:pPr>
      <w:r>
        <w:rPr>
          <w:i/>
          <w:iCs/>
          <w:u w:val="single"/>
        </w:rPr>
        <w:t>Según el mercado donde coticen</w:t>
      </w:r>
      <w:r>
        <w:t xml:space="preserve">: </w:t>
      </w:r>
      <w:r w:rsidRPr="00E80815">
        <w:rPr>
          <w:i/>
          <w:iCs/>
        </w:rPr>
        <w:t>Mercados de</w:t>
      </w:r>
      <w:r>
        <w:t xml:space="preserve"> </w:t>
      </w:r>
      <w:proofErr w:type="spellStart"/>
      <w:r>
        <w:rPr>
          <w:i/>
          <w:iCs/>
        </w:rPr>
        <w:t>private</w:t>
      </w:r>
      <w:proofErr w:type="spellEnd"/>
      <w:r>
        <w:rPr>
          <w:i/>
          <w:iCs/>
        </w:rPr>
        <w:t xml:space="preserve"> </w:t>
      </w:r>
      <w:proofErr w:type="spellStart"/>
      <w:r>
        <w:rPr>
          <w:i/>
          <w:iCs/>
        </w:rPr>
        <w:t>equity</w:t>
      </w:r>
      <w:proofErr w:type="spellEnd"/>
      <w:r>
        <w:t xml:space="preserve"> (más orientados a la financiación vía </w:t>
      </w:r>
      <w:proofErr w:type="spellStart"/>
      <w:r>
        <w:t>equity</w:t>
      </w:r>
      <w:proofErr w:type="spellEnd"/>
      <w:r>
        <w:t xml:space="preserve"> en fase </w:t>
      </w:r>
      <w:proofErr w:type="spellStart"/>
      <w:r>
        <w:rPr>
          <w:i/>
          <w:iCs/>
        </w:rPr>
        <w:t>start</w:t>
      </w:r>
      <w:proofErr w:type="spellEnd"/>
      <w:r>
        <w:rPr>
          <w:i/>
          <w:iCs/>
        </w:rPr>
        <w:t>-up</w:t>
      </w:r>
      <w:r>
        <w:t xml:space="preserve">) o </w:t>
      </w:r>
      <w:r>
        <w:rPr>
          <w:i/>
          <w:iCs/>
        </w:rPr>
        <w:t>mercado bursátil</w:t>
      </w:r>
      <w:r>
        <w:rPr>
          <w:rStyle w:val="Refdenotaalpie"/>
        </w:rPr>
        <w:footnoteReference w:id="11"/>
      </w:r>
      <w:r>
        <w:t>.</w:t>
      </w:r>
    </w:p>
    <w:p w14:paraId="0DD81654" w14:textId="384C0C77" w:rsidR="00976B58" w:rsidRDefault="00976B58" w:rsidP="00976B58">
      <w:pPr>
        <w:pStyle w:val="Nivel2SM"/>
      </w:pPr>
      <w:r>
        <w:rPr>
          <w:i/>
          <w:iCs/>
          <w:u w:val="single"/>
        </w:rPr>
        <w:t>Según</w:t>
      </w:r>
      <w:bookmarkStart w:id="30" w:name="_Hlk132968169"/>
      <w:r>
        <w:rPr>
          <w:i/>
          <w:iCs/>
          <w:u w:val="single"/>
        </w:rPr>
        <w:t xml:space="preserve"> </w:t>
      </w:r>
      <w:r w:rsidRPr="00976B58">
        <w:rPr>
          <w:i/>
          <w:iCs/>
          <w:highlight w:val="yellow"/>
          <w:u w:val="single"/>
        </w:rPr>
        <w:t>…</w:t>
      </w:r>
      <w:bookmarkEnd w:id="30"/>
      <w:r w:rsidRPr="00976B58">
        <w:t>:</w:t>
      </w:r>
      <w:r>
        <w:t xml:space="preserve"> </w:t>
      </w:r>
      <w:r>
        <w:rPr>
          <w:i/>
          <w:iCs/>
        </w:rPr>
        <w:t>Nuevas</w:t>
      </w:r>
      <w:r w:rsidRPr="00976B58">
        <w:t xml:space="preserve"> (</w:t>
      </w:r>
      <w:r>
        <w:t>proceden de ampliaciones de capital</w:t>
      </w:r>
      <w:r w:rsidRPr="00976B58">
        <w:t>)</w:t>
      </w:r>
      <w:r>
        <w:t xml:space="preserve">, </w:t>
      </w:r>
      <w:r>
        <w:rPr>
          <w:i/>
          <w:iCs/>
        </w:rPr>
        <w:t>liberadas</w:t>
      </w:r>
      <w:r>
        <w:t xml:space="preserve"> (s</w:t>
      </w:r>
      <w:r w:rsidRPr="00976B58">
        <w:t>on acciones 100</w:t>
      </w:r>
      <w:r>
        <w:t> </w:t>
      </w:r>
      <w:r w:rsidRPr="00976B58">
        <w:t>% gratuitas (habitualmente premian a los accionistas más antiguos)</w:t>
      </w:r>
      <w:r>
        <w:t xml:space="preserve">), </w:t>
      </w:r>
      <w:r w:rsidRPr="00976B58">
        <w:rPr>
          <w:highlight w:val="yellow"/>
        </w:rPr>
        <w:t>…</w:t>
      </w:r>
      <w:r>
        <w:t>.</w:t>
      </w:r>
    </w:p>
    <w:p w14:paraId="6A095C5C" w14:textId="16B08631" w:rsidR="00C10EB5" w:rsidRDefault="00C10EB5" w:rsidP="00C10EB5">
      <w:pPr>
        <w:pStyle w:val="Ttulo3"/>
      </w:pPr>
      <w:bookmarkStart w:id="31" w:name="_Toc125044526"/>
      <w:bookmarkEnd w:id="29"/>
      <w:r>
        <w:t>Financiación externa ajena</w:t>
      </w:r>
      <w:bookmarkEnd w:id="31"/>
    </w:p>
    <w:p w14:paraId="148E14C6" w14:textId="0D18B17D" w:rsidR="002F1679" w:rsidRDefault="002F1679" w:rsidP="00C366D0">
      <w:pPr>
        <w:pStyle w:val="Ttulo6"/>
        <w:spacing w:before="0"/>
      </w:pPr>
      <w:bookmarkStart w:id="32" w:name="_Toc125044527"/>
      <w:r>
        <w:t>Obligaciones</w:t>
      </w:r>
      <w:bookmarkEnd w:id="32"/>
    </w:p>
    <w:p w14:paraId="58495DEA" w14:textId="77777777" w:rsidR="00187AD8" w:rsidRDefault="00187AD8" w:rsidP="00C366D0">
      <w:pPr>
        <w:pStyle w:val="Nivel1SM"/>
        <w:keepNext/>
        <w:spacing w:before="0" w:after="0"/>
      </w:pPr>
      <w:r>
        <w:t xml:space="preserve">Al igual que las acciones son partes alícuotas del capital social de una empresa, las </w:t>
      </w:r>
      <w:r>
        <w:rPr>
          <w:b/>
          <w:bCs/>
        </w:rPr>
        <w:t>obligaciones</w:t>
      </w:r>
      <w:r>
        <w:t xml:space="preserve"> son partes alícuotas de la deuda de la empresa.</w:t>
      </w:r>
    </w:p>
    <w:p w14:paraId="4B2C747E" w14:textId="1877744F" w:rsidR="00187AD8" w:rsidRDefault="00187AD8" w:rsidP="0069031F">
      <w:pPr>
        <w:pStyle w:val="Nivel2SM"/>
        <w:keepNext/>
        <w:spacing w:after="0"/>
      </w:pPr>
      <w:r>
        <w:t xml:space="preserve">Aunque existe cierta analogía entre las acciones y las obligaciones, se dan ciertas diferencias </w:t>
      </w:r>
      <w:r w:rsidR="00714629">
        <w:t>entre la figura del accionista y la del obligacionista</w:t>
      </w:r>
      <w:r w:rsidR="000B6430">
        <w:t xml:space="preserve"> </w:t>
      </w:r>
      <w:r w:rsidR="000B6430" w:rsidRPr="000B6430">
        <w:rPr>
          <w:color w:val="767171" w:themeColor="background2" w:themeShade="80"/>
          <w:sz w:val="19"/>
          <w:szCs w:val="19"/>
        </w:rPr>
        <w:t>[ver temas 3.B.2</w:t>
      </w:r>
      <w:r w:rsidR="00811726">
        <w:rPr>
          <w:color w:val="767171" w:themeColor="background2" w:themeShade="80"/>
          <w:sz w:val="19"/>
          <w:szCs w:val="19"/>
        </w:rPr>
        <w:t>3</w:t>
      </w:r>
      <w:r w:rsidR="000B6430" w:rsidRPr="000B6430">
        <w:rPr>
          <w:color w:val="767171" w:themeColor="background2" w:themeShade="80"/>
          <w:sz w:val="19"/>
          <w:szCs w:val="19"/>
        </w:rPr>
        <w:t xml:space="preserve"> y 3.B.2</w:t>
      </w:r>
      <w:r w:rsidR="00811726">
        <w:rPr>
          <w:color w:val="767171" w:themeColor="background2" w:themeShade="80"/>
          <w:sz w:val="19"/>
          <w:szCs w:val="19"/>
        </w:rPr>
        <w:t>4</w:t>
      </w:r>
      <w:r w:rsidR="000B6430" w:rsidRPr="000B6430">
        <w:rPr>
          <w:color w:val="767171" w:themeColor="background2" w:themeShade="80"/>
          <w:sz w:val="19"/>
          <w:szCs w:val="19"/>
        </w:rPr>
        <w:t>]</w:t>
      </w:r>
      <w:r>
        <w:t>:</w:t>
      </w:r>
    </w:p>
    <w:p w14:paraId="6D095BF5" w14:textId="225F82DE" w:rsidR="00714629" w:rsidRDefault="00293C0C" w:rsidP="0069031F">
      <w:pPr>
        <w:pStyle w:val="Nmeroromano"/>
        <w:ind w:left="1134"/>
      </w:pPr>
      <w:r>
        <w:t xml:space="preserve">Los </w:t>
      </w:r>
      <w:r w:rsidR="00FF5F3C">
        <w:t>rendimient</w:t>
      </w:r>
      <w:r>
        <w:t>os de una acción dependen de los resultados de la empresa, mientras que l</w:t>
      </w:r>
      <w:r w:rsidR="00714629">
        <w:t xml:space="preserve">os intereses de una obligación </w:t>
      </w:r>
      <w:r w:rsidR="003E7F3C">
        <w:t>son una renta periódica</w:t>
      </w:r>
      <w:r>
        <w:t>.</w:t>
      </w:r>
    </w:p>
    <w:p w14:paraId="567A87A1" w14:textId="08880522" w:rsidR="00714629" w:rsidRPr="0069031F" w:rsidRDefault="00714629" w:rsidP="0069031F">
      <w:pPr>
        <w:pStyle w:val="Nmeroromano"/>
        <w:ind w:left="1134"/>
      </w:pPr>
      <w:r w:rsidRPr="0069031F">
        <w:t>El obligacionista recibe el capital aportado a vencimiento, mientras que el accionista sólo lo recibe en caso de liquidación de la sociedad o de venta de su título en el mercado secundario.</w:t>
      </w:r>
    </w:p>
    <w:p w14:paraId="65398E97" w14:textId="5B7DBBD7" w:rsidR="00714629" w:rsidRDefault="0069031F" w:rsidP="00DF50DA">
      <w:pPr>
        <w:pStyle w:val="Nmeroromano"/>
        <w:keepNext/>
        <w:ind w:left="1134"/>
      </w:pPr>
      <w:r>
        <w:t>El accionista es socio; el obligacionista es acreedor. Esto se traduce en que e</w:t>
      </w:r>
      <w:r w:rsidR="00293C0C">
        <w:t>l accionista tiene derechos económicos y políticos; e</w:t>
      </w:r>
      <w:r w:rsidR="00714629">
        <w:t xml:space="preserve">l obligacionista sólo </w:t>
      </w:r>
      <w:r w:rsidR="00293C0C">
        <w:t>posee</w:t>
      </w:r>
      <w:r w:rsidR="00714629">
        <w:t xml:space="preserve"> derechos económicos</w:t>
      </w:r>
      <w:r w:rsidR="00293C0C">
        <w:t>.</w:t>
      </w:r>
    </w:p>
    <w:p w14:paraId="4597A643" w14:textId="6079C85C" w:rsidR="00714629" w:rsidRDefault="00714629" w:rsidP="0069031F">
      <w:pPr>
        <w:pStyle w:val="Nmeroromano"/>
        <w:keepNext/>
        <w:ind w:left="1134"/>
      </w:pPr>
      <w:r>
        <w:t xml:space="preserve">El riesgo asumido por el </w:t>
      </w:r>
      <w:r w:rsidR="00293C0C">
        <w:t>accionista</w:t>
      </w:r>
      <w:r>
        <w:t xml:space="preserve"> es </w:t>
      </w:r>
      <w:r w:rsidR="00293C0C">
        <w:t>mayor</w:t>
      </w:r>
      <w:r>
        <w:t xml:space="preserve">, pues en caso de liquidación ocupa un lugar </w:t>
      </w:r>
      <w:r w:rsidR="00293C0C">
        <w:t>posterior</w:t>
      </w:r>
      <w:r>
        <w:t xml:space="preserve"> en el orden de prelación de cobro.</w:t>
      </w:r>
    </w:p>
    <w:p w14:paraId="2BEC9855" w14:textId="48AFEEE4" w:rsidR="003E7F3C" w:rsidRDefault="003E7F3C" w:rsidP="0069031F">
      <w:pPr>
        <w:pStyle w:val="Nmeroromano"/>
        <w:ind w:left="1134"/>
      </w:pPr>
      <w:r>
        <w:t>Finalmente</w:t>
      </w:r>
      <w:r w:rsidR="00293C0C">
        <w:t>,</w:t>
      </w:r>
      <w:r w:rsidR="0069031F">
        <w:t xml:space="preserve"> desde el punto de vista contable,</w:t>
      </w:r>
      <w:r>
        <w:t xml:space="preserve"> la emisión de acciones constituye una fuente de </w:t>
      </w:r>
      <w:r w:rsidRPr="00237C60">
        <w:rPr>
          <w:i/>
          <w:iCs/>
        </w:rPr>
        <w:t>financiación propia</w:t>
      </w:r>
      <w:r w:rsidR="00237C60">
        <w:t xml:space="preserve"> (</w:t>
      </w:r>
      <w:proofErr w:type="spellStart"/>
      <w:r w:rsidR="00237C60">
        <w:rPr>
          <w:i/>
          <w:iCs/>
        </w:rPr>
        <w:t>equity</w:t>
      </w:r>
      <w:proofErr w:type="spellEnd"/>
      <w:r w:rsidR="00237C60">
        <w:t>)</w:t>
      </w:r>
      <w:r w:rsidR="00293C0C">
        <w:t xml:space="preserve"> para la empresa y la emisión de obligaciones supone una </w:t>
      </w:r>
      <w:r w:rsidR="00293C0C" w:rsidRPr="00237C60">
        <w:rPr>
          <w:i/>
          <w:iCs/>
        </w:rPr>
        <w:t>financiación ajena</w:t>
      </w:r>
      <w:r w:rsidR="00237C60">
        <w:t xml:space="preserve"> (</w:t>
      </w:r>
      <w:proofErr w:type="spellStart"/>
      <w:r w:rsidR="00237C60">
        <w:rPr>
          <w:i/>
          <w:iCs/>
        </w:rPr>
        <w:t>debt</w:t>
      </w:r>
      <w:proofErr w:type="spellEnd"/>
      <w:r w:rsidR="00237C60">
        <w:t>)</w:t>
      </w:r>
      <w:r w:rsidR="00293C0C">
        <w:t>.</w:t>
      </w:r>
    </w:p>
    <w:p w14:paraId="0090AD63" w14:textId="77777777" w:rsidR="00993F2B" w:rsidRDefault="00993F2B" w:rsidP="00993F2B">
      <w:pPr>
        <w:pStyle w:val="Ttulo6"/>
      </w:pPr>
      <w:bookmarkStart w:id="33" w:name="_Toc125044528"/>
      <w:r>
        <w:t>Préstamos</w:t>
      </w:r>
      <w:bookmarkEnd w:id="33"/>
    </w:p>
    <w:p w14:paraId="4958624A" w14:textId="77777777" w:rsidR="00993F2B" w:rsidRDefault="00993F2B" w:rsidP="00C366D0">
      <w:pPr>
        <w:pStyle w:val="Nivel1SM"/>
        <w:keepNext/>
        <w:spacing w:before="0" w:after="0"/>
      </w:pPr>
      <w:r>
        <w:t xml:space="preserve">Los </w:t>
      </w:r>
      <w:r w:rsidRPr="006C4F49">
        <w:rPr>
          <w:b/>
          <w:bCs/>
        </w:rPr>
        <w:t>préstamos</w:t>
      </w:r>
      <w:r>
        <w:t>,</w:t>
      </w:r>
    </w:p>
    <w:p w14:paraId="5EBF9AFB" w14:textId="77777777" w:rsidR="00993F2B" w:rsidRDefault="00993F2B" w:rsidP="00993F2B">
      <w:pPr>
        <w:pStyle w:val="Nivel2SM"/>
        <w:keepNext/>
        <w:spacing w:after="0"/>
      </w:pPr>
      <w:r>
        <w:t>Al igual que las obligaciones,</w:t>
      </w:r>
    </w:p>
    <w:p w14:paraId="77A97C47" w14:textId="77777777" w:rsidR="00993F2B" w:rsidRDefault="00993F2B" w:rsidP="00993F2B">
      <w:pPr>
        <w:pStyle w:val="Nivel3SM"/>
      </w:pPr>
      <w:r>
        <w:t>Consisten en la obtención de recursos financieros de terceros, y cuyo principal se irá devolviendo con intereses en unos plazos y cuantías fijados de antemano.</w:t>
      </w:r>
    </w:p>
    <w:p w14:paraId="3C119B9E" w14:textId="77777777" w:rsidR="00993F2B" w:rsidRDefault="00993F2B" w:rsidP="00993F2B">
      <w:pPr>
        <w:pStyle w:val="Nivel2SM"/>
        <w:keepNext/>
        <w:spacing w:after="0"/>
      </w:pPr>
      <w:r>
        <w:t>Sin embargo, a diferencia de las obligaciones,</w:t>
      </w:r>
    </w:p>
    <w:p w14:paraId="0A8BBE90" w14:textId="77777777" w:rsidR="00993F2B" w:rsidRDefault="00993F2B" w:rsidP="00993F2B">
      <w:pPr>
        <w:pStyle w:val="Nivel3SM"/>
      </w:pPr>
      <w:r>
        <w:t>Un préstamo es concedido, por lo general, por un único acreedor, mientras que en el caso de las obligaciones habrá tantos acreedores como tenedores de obligaciones.</w:t>
      </w:r>
    </w:p>
    <w:p w14:paraId="2E1A5CB3" w14:textId="39B0074B" w:rsidR="00993F2B" w:rsidRPr="007F213D" w:rsidRDefault="00993F2B" w:rsidP="00993F2B">
      <w:pPr>
        <w:pStyle w:val="Nivel1SM"/>
      </w:pPr>
      <w:r>
        <w:t xml:space="preserve">Los </w:t>
      </w:r>
      <w:r w:rsidRPr="006C4F49">
        <w:t>préstamos</w:t>
      </w:r>
      <w:r>
        <w:t xml:space="preserve"> pueden ser a </w:t>
      </w:r>
      <w:r>
        <w:rPr>
          <w:i/>
          <w:iCs/>
        </w:rPr>
        <w:t>corto plazo</w:t>
      </w:r>
      <w:r>
        <w:t xml:space="preserve"> (generalmente para mantener el equilibrio de la tesorería) o a </w:t>
      </w:r>
      <w:r>
        <w:rPr>
          <w:i/>
          <w:iCs/>
        </w:rPr>
        <w:t>largo plazo</w:t>
      </w:r>
      <w:r>
        <w:t xml:space="preserve"> (generalmente para financiar los activos no</w:t>
      </w:r>
      <w:r w:rsidR="00F42F3C">
        <w:t> </w:t>
      </w:r>
      <w:r>
        <w:t>corrientes).</w:t>
      </w:r>
    </w:p>
    <w:p w14:paraId="38CD4B5A" w14:textId="77777777" w:rsidR="00C10EB5" w:rsidRDefault="00C10EB5" w:rsidP="00C10EB5">
      <w:pPr>
        <w:pStyle w:val="Ttulo6"/>
      </w:pPr>
      <w:bookmarkStart w:id="34" w:name="_Toc125044529"/>
      <w:r>
        <w:t>Arrendamiento financiero (</w:t>
      </w:r>
      <w:r w:rsidRPr="00394D83">
        <w:rPr>
          <w:i/>
          <w:iCs/>
        </w:rPr>
        <w:t>leasing</w:t>
      </w:r>
      <w:r>
        <w:t>)</w:t>
      </w:r>
      <w:bookmarkEnd w:id="34"/>
    </w:p>
    <w:p w14:paraId="36D08EB7" w14:textId="5FA2BC35" w:rsidR="00C10EB5" w:rsidRDefault="00C10EB5" w:rsidP="00C366D0">
      <w:pPr>
        <w:pStyle w:val="Nivel1SM"/>
        <w:keepNext/>
        <w:spacing w:before="0" w:after="0"/>
      </w:pPr>
      <w:r>
        <w:t xml:space="preserve">El </w:t>
      </w:r>
      <w:r>
        <w:rPr>
          <w:b/>
          <w:bCs/>
        </w:rPr>
        <w:t>arrendamiento financiero</w:t>
      </w:r>
      <w:r>
        <w:t xml:space="preserve"> o </w:t>
      </w:r>
      <w:r>
        <w:rPr>
          <w:b/>
          <w:bCs/>
          <w:i/>
          <w:iCs/>
        </w:rPr>
        <w:t>leasing</w:t>
      </w:r>
      <w:r w:rsidRPr="007F213D">
        <w:t xml:space="preserve"> co</w:t>
      </w:r>
      <w:r>
        <w:t>nsiste en un contrato para la financiación de los elementos de activo no</w:t>
      </w:r>
      <w:r w:rsidR="00F42F3C">
        <w:t> </w:t>
      </w:r>
      <w:r>
        <w:t>corriente. Permite a las empresas disponer de elementos de activo no</w:t>
      </w:r>
      <w:r w:rsidR="00F42F3C">
        <w:t> </w:t>
      </w:r>
      <w:r>
        <w:t xml:space="preserve">corriente (i.e. mobiliario o inmobiliario) a través de una institución arrendadora mediante el pago de un </w:t>
      </w:r>
      <w:r w:rsidRPr="008D6A3A">
        <w:rPr>
          <w:i/>
          <w:iCs/>
        </w:rPr>
        <w:t>canon</w:t>
      </w:r>
      <w:r>
        <w:t>.</w:t>
      </w:r>
      <w:r w:rsidRPr="006C4F49">
        <w:t xml:space="preserve"> </w:t>
      </w:r>
      <w:r>
        <w:t xml:space="preserve">La </w:t>
      </w:r>
      <w:r>
        <w:lastRenderedPageBreak/>
        <w:t>empresa tendrá derecho a utilizar el bien durante un plazo determinado, al término del cual el arrendatario tiene la opción de comprar el bien arrendado, devolverlo o renovar el contrato.</w:t>
      </w:r>
    </w:p>
    <w:p w14:paraId="79FFE635" w14:textId="77777777" w:rsidR="00C10EB5" w:rsidRDefault="00C10EB5" w:rsidP="00C10EB5">
      <w:pPr>
        <w:pStyle w:val="Nivel2SM"/>
      </w:pPr>
      <w:r>
        <w:t>En el arrendamiento financiero intervienen el cliente (empresa), la institución arrendadora y el productor del bien de equipo</w:t>
      </w:r>
      <w:r>
        <w:rPr>
          <w:rStyle w:val="Refdenotaalpie"/>
        </w:rPr>
        <w:footnoteReference w:id="12"/>
      </w:r>
      <w:r>
        <w:t>.</w:t>
      </w:r>
    </w:p>
    <w:p w14:paraId="692F7663" w14:textId="77777777" w:rsidR="00C10EB5" w:rsidRDefault="00C10EB5" w:rsidP="00C10EB5">
      <w:pPr>
        <w:pStyle w:val="Nivel1SM"/>
        <w:keepNext/>
        <w:spacing w:after="0"/>
      </w:pPr>
      <w:r>
        <w:t xml:space="preserve">Estos contratos presentan una serie de </w:t>
      </w:r>
      <w:r w:rsidRPr="00250190">
        <w:rPr>
          <w:i/>
          <w:iCs/>
          <w:u w:val="single"/>
        </w:rPr>
        <w:t>ventajas</w:t>
      </w:r>
      <w:r>
        <w:t xml:space="preserve"> para la empresa:</w:t>
      </w:r>
    </w:p>
    <w:p w14:paraId="5CDDACF9" w14:textId="77777777" w:rsidR="00C10EB5" w:rsidRDefault="00C10EB5" w:rsidP="00C10EB5">
      <w:pPr>
        <w:pStyle w:val="Nivel2SM"/>
      </w:pPr>
      <w:r>
        <w:t xml:space="preserve">Supone un </w:t>
      </w:r>
      <w:r>
        <w:rPr>
          <w:i/>
          <w:iCs/>
        </w:rPr>
        <w:t>alivio financiero</w:t>
      </w:r>
      <w:r>
        <w:t xml:space="preserve"> ya que permite evitar grandes inversiones de una vez.</w:t>
      </w:r>
    </w:p>
    <w:p w14:paraId="3F41B3B5" w14:textId="77777777" w:rsidR="00C10EB5" w:rsidRDefault="00C10EB5" w:rsidP="00C10EB5">
      <w:pPr>
        <w:pStyle w:val="Nivel2SM"/>
      </w:pPr>
      <w:r>
        <w:t xml:space="preserve">El canon por leasing es </w:t>
      </w:r>
      <w:r>
        <w:rPr>
          <w:i/>
          <w:iCs/>
        </w:rPr>
        <w:t>deductible fiscalmente</w:t>
      </w:r>
      <w:r>
        <w:t xml:space="preserve"> en el impuesto de sociedades.</w:t>
      </w:r>
    </w:p>
    <w:p w14:paraId="56980C21" w14:textId="77777777" w:rsidR="00C10EB5" w:rsidRDefault="00C10EB5" w:rsidP="00C10EB5">
      <w:pPr>
        <w:pStyle w:val="Nivel2SM"/>
      </w:pPr>
      <w:r>
        <w:t xml:space="preserve">En el caso del leasing </w:t>
      </w:r>
      <w:r w:rsidRPr="00E74E39">
        <w:t>operativo</w:t>
      </w:r>
      <w:r>
        <w:t xml:space="preserve">, la empresa evita el riesgo de obsolescencia del activo, pues en caso de materializarse, </w:t>
      </w:r>
      <w:r w:rsidRPr="00E74E39">
        <w:rPr>
          <w:i/>
          <w:iCs/>
        </w:rPr>
        <w:t>puede</w:t>
      </w:r>
      <w:r>
        <w:t xml:space="preserve"> </w:t>
      </w:r>
      <w:r>
        <w:rPr>
          <w:i/>
          <w:iCs/>
        </w:rPr>
        <w:t>rescindir el contrato</w:t>
      </w:r>
      <w:r>
        <w:t>.</w:t>
      </w:r>
    </w:p>
    <w:p w14:paraId="221644FA" w14:textId="77777777" w:rsidR="00C10EB5" w:rsidRDefault="00C10EB5" w:rsidP="00C10EB5">
      <w:pPr>
        <w:pStyle w:val="Nivel1SM"/>
        <w:keepNext/>
        <w:spacing w:after="0"/>
      </w:pPr>
      <w:r>
        <w:t xml:space="preserve">Sin embargo, también presenta una serie de </w:t>
      </w:r>
      <w:r w:rsidRPr="00250190">
        <w:rPr>
          <w:i/>
          <w:iCs/>
          <w:u w:val="single"/>
        </w:rPr>
        <w:t>inconvenientes</w:t>
      </w:r>
      <w:r>
        <w:t>:</w:t>
      </w:r>
    </w:p>
    <w:p w14:paraId="4B60EF61" w14:textId="77777777" w:rsidR="00C10EB5" w:rsidRDefault="00C10EB5" w:rsidP="00C10EB5">
      <w:pPr>
        <w:pStyle w:val="Nivel2SM"/>
      </w:pPr>
      <w:r>
        <w:t xml:space="preserve">Puede suponer un </w:t>
      </w:r>
      <w:r w:rsidRPr="00250190">
        <w:rPr>
          <w:i/>
          <w:iCs/>
        </w:rPr>
        <w:t>elevado coste a largo plazo ya que la empresa arrendataria pierde el valor residual del bien</w:t>
      </w:r>
      <w:r>
        <w:t>.</w:t>
      </w:r>
    </w:p>
    <w:p w14:paraId="60CC3DCB" w14:textId="074EE586" w:rsidR="00C10EB5" w:rsidRDefault="00C10EB5" w:rsidP="00C10EB5">
      <w:pPr>
        <w:pStyle w:val="Nivel2SM"/>
      </w:pPr>
      <w:r w:rsidRPr="00250190">
        <w:rPr>
          <w:i/>
          <w:iCs/>
        </w:rPr>
        <w:t>No todos los activos no</w:t>
      </w:r>
      <w:r w:rsidR="00F42F3C">
        <w:rPr>
          <w:i/>
          <w:iCs/>
        </w:rPr>
        <w:t> </w:t>
      </w:r>
      <w:r w:rsidRPr="00250190">
        <w:rPr>
          <w:i/>
          <w:iCs/>
        </w:rPr>
        <w:t>corrientes</w:t>
      </w:r>
      <w:r>
        <w:t xml:space="preserve"> son objeto de </w:t>
      </w:r>
      <w:r w:rsidRPr="00250190">
        <w:rPr>
          <w:i/>
          <w:iCs/>
        </w:rPr>
        <w:t>leasing</w:t>
      </w:r>
      <w:r>
        <w:t>.</w:t>
      </w:r>
    </w:p>
    <w:p w14:paraId="0A261280" w14:textId="509B9AD7" w:rsidR="00993F2B" w:rsidRDefault="00993F2B" w:rsidP="00C10EB5">
      <w:pPr>
        <w:pStyle w:val="Ttulo6"/>
        <w:rPr>
          <w:i/>
          <w:iCs/>
        </w:rPr>
      </w:pPr>
      <w:bookmarkStart w:id="35" w:name="_Toc125044530"/>
      <w:proofErr w:type="spellStart"/>
      <w:r w:rsidRPr="00993F2B">
        <w:rPr>
          <w:i/>
          <w:iCs/>
        </w:rPr>
        <w:t>Factoring</w:t>
      </w:r>
      <w:bookmarkEnd w:id="35"/>
      <w:proofErr w:type="spellEnd"/>
    </w:p>
    <w:p w14:paraId="7C901B8B" w14:textId="5546FF6D" w:rsidR="00993F2B" w:rsidRDefault="00993F2B" w:rsidP="00C366D0">
      <w:pPr>
        <w:pStyle w:val="Nivel1SM"/>
        <w:keepNext/>
        <w:spacing w:before="0" w:after="0"/>
      </w:pPr>
      <w:r>
        <w:t>Consiste en un contrato mediante el cual una empresa con una serie de activos no cobrados en su cartera pide a una tercera parte liquidez a cambio de traspasar a esta tercera parte el derecho de cobro de esos activos</w:t>
      </w:r>
      <w:r w:rsidR="00AD78E9">
        <w:rPr>
          <w:rStyle w:val="Refdenotaalpie"/>
        </w:rPr>
        <w:footnoteReference w:id="13"/>
      </w:r>
      <w:r>
        <w:t>.</w:t>
      </w:r>
    </w:p>
    <w:p w14:paraId="30DEA387" w14:textId="77777777" w:rsidR="00E84D5D" w:rsidRDefault="00E84D5D" w:rsidP="00E84D5D">
      <w:pPr>
        <w:pStyle w:val="Nivel2SM"/>
      </w:pPr>
      <w:r>
        <w:t xml:space="preserve">Su principal </w:t>
      </w:r>
      <w:r w:rsidRPr="00E84D5D">
        <w:t>v</w:t>
      </w:r>
      <w:r w:rsidR="00993F2B" w:rsidRPr="00E84D5D">
        <w:t>entaja</w:t>
      </w:r>
      <w:r>
        <w:t xml:space="preserve"> es que</w:t>
      </w:r>
      <w:r w:rsidR="00993F2B">
        <w:t xml:space="preserve"> facili</w:t>
      </w:r>
      <w:r>
        <w:t>ta el acceso</w:t>
      </w:r>
      <w:r w:rsidR="00993F2B">
        <w:t xml:space="preserve"> </w:t>
      </w:r>
      <w:r>
        <w:t>a</w:t>
      </w:r>
      <w:r w:rsidR="00993F2B">
        <w:t xml:space="preserve"> tener liquidez inmediata</w:t>
      </w:r>
      <w:r>
        <w:t>.</w:t>
      </w:r>
    </w:p>
    <w:p w14:paraId="3EBC26E6" w14:textId="6B262176" w:rsidR="00993F2B" w:rsidRPr="00993F2B" w:rsidRDefault="00E84D5D" w:rsidP="00E84D5D">
      <w:pPr>
        <w:pStyle w:val="Nivel2SM"/>
      </w:pPr>
      <w:r>
        <w:t xml:space="preserve">Sin embargo, presenta como </w:t>
      </w:r>
      <w:r w:rsidRPr="00E84D5D">
        <w:t>d</w:t>
      </w:r>
      <w:r w:rsidR="00993F2B" w:rsidRPr="00E84D5D">
        <w:t>esventaja</w:t>
      </w:r>
      <w:r>
        <w:t xml:space="preserve"> un</w:t>
      </w:r>
      <w:r w:rsidR="00993F2B">
        <w:t xml:space="preserve"> elevado coste</w:t>
      </w:r>
      <w:r>
        <w:t>.</w:t>
      </w:r>
    </w:p>
    <w:p w14:paraId="357126F9" w14:textId="58C49A26" w:rsidR="00C10EB5" w:rsidRDefault="00C10EB5" w:rsidP="00C10EB5">
      <w:pPr>
        <w:pStyle w:val="Ttulo6"/>
      </w:pPr>
      <w:bookmarkStart w:id="36" w:name="_Toc125044531"/>
      <w:r>
        <w:t>Otras fuentes de financiación</w:t>
      </w:r>
      <w:r w:rsidR="00B4173C">
        <w:t xml:space="preserve"> externa ajena</w:t>
      </w:r>
      <w:bookmarkEnd w:id="36"/>
    </w:p>
    <w:p w14:paraId="50F0E018" w14:textId="583B95E3" w:rsidR="00C10EB5" w:rsidRDefault="00C10EB5" w:rsidP="00C366D0">
      <w:pPr>
        <w:pStyle w:val="Nivel1SM"/>
        <w:spacing w:before="0"/>
      </w:pPr>
      <w:r>
        <w:t xml:space="preserve">Incluyen el </w:t>
      </w:r>
      <w:r w:rsidRPr="006C4F49">
        <w:rPr>
          <w:i/>
          <w:iCs/>
        </w:rPr>
        <w:t>crowdfunding</w:t>
      </w:r>
      <w:r>
        <w:rPr>
          <w:rStyle w:val="Refdenotaalpie"/>
        </w:rPr>
        <w:footnoteReference w:id="14"/>
      </w:r>
      <w:r>
        <w:t xml:space="preserve">, el </w:t>
      </w:r>
      <w:r w:rsidRPr="00F148AE">
        <w:t>mercado de eurodivisas</w:t>
      </w:r>
      <w:r>
        <w:t xml:space="preserve">, el </w:t>
      </w:r>
      <w:r w:rsidRPr="00F148AE">
        <w:t>mercado de eurobonos</w:t>
      </w:r>
      <w:r>
        <w:t xml:space="preserve"> </w:t>
      </w:r>
      <w:r w:rsidRPr="00F148AE">
        <w:rPr>
          <w:color w:val="767171" w:themeColor="background2" w:themeShade="80"/>
          <w:sz w:val="19"/>
          <w:szCs w:val="19"/>
        </w:rPr>
        <w:t>[ver tema 3.B.2</w:t>
      </w:r>
      <w:r w:rsidR="00811726">
        <w:rPr>
          <w:color w:val="767171" w:themeColor="background2" w:themeShade="80"/>
          <w:sz w:val="19"/>
          <w:szCs w:val="19"/>
        </w:rPr>
        <w:t>6</w:t>
      </w:r>
      <w:r w:rsidRPr="00F148AE">
        <w:rPr>
          <w:color w:val="767171" w:themeColor="background2" w:themeShade="80"/>
          <w:sz w:val="19"/>
          <w:szCs w:val="19"/>
        </w:rPr>
        <w:t>]</w:t>
      </w:r>
      <w:r>
        <w:t>…</w:t>
      </w:r>
    </w:p>
    <w:p w14:paraId="579F7C41" w14:textId="3A384397" w:rsidR="009500AC" w:rsidRDefault="009500AC" w:rsidP="00C10EB5">
      <w:pPr>
        <w:pStyle w:val="Ttulo3"/>
      </w:pPr>
      <w:bookmarkStart w:id="37" w:name="_Toc125044532"/>
      <w:r>
        <w:t>Formas híbridas</w:t>
      </w:r>
      <w:bookmarkEnd w:id="37"/>
    </w:p>
    <w:p w14:paraId="42B447EE" w14:textId="48B7AD85" w:rsidR="003E7F3C" w:rsidRPr="00B514D5" w:rsidRDefault="00293C0C" w:rsidP="00C366D0">
      <w:pPr>
        <w:pStyle w:val="Nivel1SM"/>
        <w:keepNext/>
        <w:spacing w:before="0" w:after="0"/>
        <w:rPr>
          <w:spacing w:val="-1"/>
        </w:rPr>
      </w:pPr>
      <w:r w:rsidRPr="00B514D5">
        <w:rPr>
          <w:spacing w:val="-1"/>
        </w:rPr>
        <w:t>C</w:t>
      </w:r>
      <w:r w:rsidR="003E7F3C" w:rsidRPr="00B514D5">
        <w:rPr>
          <w:spacing w:val="-1"/>
        </w:rPr>
        <w:t xml:space="preserve">abe destacar la existencia de </w:t>
      </w:r>
      <w:r w:rsidR="003E7F3C" w:rsidRPr="00B514D5">
        <w:rPr>
          <w:b/>
          <w:bCs/>
          <w:spacing w:val="-1"/>
        </w:rPr>
        <w:t>formas híbridas</w:t>
      </w:r>
      <w:r w:rsidRPr="00B514D5">
        <w:rPr>
          <w:spacing w:val="-1"/>
        </w:rPr>
        <w:t>,</w:t>
      </w:r>
      <w:r w:rsidR="003E7F3C" w:rsidRPr="00B514D5">
        <w:rPr>
          <w:spacing w:val="-1"/>
        </w:rPr>
        <w:t xml:space="preserve"> </w:t>
      </w:r>
      <w:r w:rsidR="003E7F3C" w:rsidRPr="00B514D5">
        <w:rPr>
          <w:i/>
          <w:iCs/>
          <w:spacing w:val="-1"/>
        </w:rPr>
        <w:t>a medio camino entre acciones</w:t>
      </w:r>
      <w:r w:rsidRPr="00B514D5">
        <w:rPr>
          <w:i/>
          <w:iCs/>
          <w:spacing w:val="-1"/>
        </w:rPr>
        <w:t xml:space="preserve"> y obligaciones</w:t>
      </w:r>
      <w:r w:rsidRPr="00B514D5">
        <w:rPr>
          <w:spacing w:val="-1"/>
        </w:rPr>
        <w:t>. Por ejemplo:</w:t>
      </w:r>
    </w:p>
    <w:p w14:paraId="319EA636" w14:textId="77777777" w:rsidR="00723EC1" w:rsidRDefault="00293C0C" w:rsidP="00723EC1">
      <w:pPr>
        <w:pStyle w:val="Nivel2SM"/>
        <w:keepNext/>
        <w:spacing w:after="0"/>
      </w:pPr>
      <w:r>
        <w:rPr>
          <w:i/>
          <w:iCs/>
          <w:u w:val="single"/>
        </w:rPr>
        <w:t>Acciones preferentes</w:t>
      </w:r>
      <w:r w:rsidRPr="00293C0C">
        <w:t>:</w:t>
      </w:r>
      <w:r w:rsidR="00096DE0">
        <w:t xml:space="preserve"> Son títulos que comparten características con la deuda y con las acciones.</w:t>
      </w:r>
    </w:p>
    <w:p w14:paraId="4DF3F29B" w14:textId="77777777" w:rsidR="00723EC1" w:rsidRDefault="00096DE0" w:rsidP="00723EC1">
      <w:pPr>
        <w:pStyle w:val="Nivel3SM"/>
        <w:keepNext/>
      </w:pPr>
      <w:r>
        <w:t>Como la deuda,</w:t>
      </w:r>
    </w:p>
    <w:p w14:paraId="59EA46C9" w14:textId="147D7F9D" w:rsidR="00723EC1" w:rsidRDefault="00723EC1" w:rsidP="00A81FDB">
      <w:pPr>
        <w:pStyle w:val="Nivel4"/>
        <w:ind w:left="1474"/>
      </w:pPr>
      <w:r>
        <w:t>T</w:t>
      </w:r>
      <w:r w:rsidR="00096DE0">
        <w:t>iene un dividendo fijo</w:t>
      </w:r>
      <w:r w:rsidR="00CA58D3">
        <w:t xml:space="preserve"> (s</w:t>
      </w:r>
      <w:r w:rsidR="00096DE0">
        <w:t>i la empresa no tiene efectivo para pagar el dividendo, se acumula y se paga en el período en el que haya suficientes ganancias</w:t>
      </w:r>
      <w:r w:rsidR="00CA58D3">
        <w:t>)</w:t>
      </w:r>
      <w:r>
        <w:t>; y</w:t>
      </w:r>
    </w:p>
    <w:p w14:paraId="6DD91384" w14:textId="1F6DFF5D" w:rsidR="00723EC1" w:rsidRDefault="00096DE0" w:rsidP="00723EC1">
      <w:pPr>
        <w:pStyle w:val="Nivel4"/>
        <w:ind w:left="1474"/>
      </w:pPr>
      <w:r>
        <w:lastRenderedPageBreak/>
        <w:t>Los tenedores de este tipo de títulos no participan de la gestión de la empresa y sus derechos de voto están restringidos a aquellos temas que puedan afectar a sus derechos de cobro.</w:t>
      </w:r>
    </w:p>
    <w:p w14:paraId="604BFFC9" w14:textId="77777777" w:rsidR="00723EC1" w:rsidRDefault="00096DE0" w:rsidP="00723EC1">
      <w:pPr>
        <w:pStyle w:val="Nivel3SM"/>
        <w:keepNext/>
      </w:pPr>
      <w:r>
        <w:t>Como las acciones,</w:t>
      </w:r>
    </w:p>
    <w:p w14:paraId="1C74C1FA" w14:textId="77777777" w:rsidR="00723EC1" w:rsidRDefault="00723EC1" w:rsidP="00723EC1">
      <w:pPr>
        <w:pStyle w:val="Nivel4"/>
        <w:ind w:left="1474"/>
      </w:pPr>
      <w:r>
        <w:t>L</w:t>
      </w:r>
      <w:r w:rsidR="00096DE0">
        <w:t>os pagos no so</w:t>
      </w:r>
      <w:r>
        <w:t>n</w:t>
      </w:r>
      <w:r w:rsidR="00096DE0">
        <w:t xml:space="preserve"> deducibles fiscalmente</w:t>
      </w:r>
      <w:r>
        <w:t xml:space="preserve">; </w:t>
      </w:r>
      <w:r w:rsidR="00096DE0">
        <w:t>y</w:t>
      </w:r>
    </w:p>
    <w:p w14:paraId="62166E2C" w14:textId="77C17FC3" w:rsidR="00723EC1" w:rsidRDefault="00723EC1" w:rsidP="00723EC1">
      <w:pPr>
        <w:pStyle w:val="Nivel4"/>
        <w:ind w:left="1474"/>
      </w:pPr>
      <w:r>
        <w:t>N</w:t>
      </w:r>
      <w:r w:rsidR="00096DE0">
        <w:t>o tienen una fecha de madurez en la que el valor facial se recupera.</w:t>
      </w:r>
    </w:p>
    <w:p w14:paraId="4988B47D" w14:textId="3E957B39" w:rsidR="00293C0C" w:rsidRPr="001838E9" w:rsidRDefault="00F352EF" w:rsidP="00723EC1">
      <w:pPr>
        <w:pStyle w:val="Nivel3SM"/>
      </w:pPr>
      <w:r>
        <w:t>En términos de prioridad en ca</w:t>
      </w:r>
      <w:r w:rsidR="000B3925">
        <w:t>s</w:t>
      </w:r>
      <w:r>
        <w:t xml:space="preserve">o de </w:t>
      </w:r>
      <w:r w:rsidRPr="001838E9">
        <w:t>liquidación, los tenedores de estos títulos van después de los obligacionistas, pero antes de los accionistas ordinarios.</w:t>
      </w:r>
    </w:p>
    <w:p w14:paraId="46E66678" w14:textId="1DA508CA" w:rsidR="00293C0C" w:rsidRPr="001838E9" w:rsidRDefault="00293C0C" w:rsidP="00B514D5">
      <w:pPr>
        <w:pStyle w:val="Nivel2SM"/>
      </w:pPr>
      <w:r w:rsidRPr="001838E9">
        <w:rPr>
          <w:i/>
          <w:iCs/>
          <w:u w:val="single"/>
        </w:rPr>
        <w:t>Deuda subordinada</w:t>
      </w:r>
      <w:r w:rsidRPr="001838E9">
        <w:t>:</w:t>
      </w:r>
      <w:r w:rsidR="001838E9" w:rsidRPr="001838E9">
        <w:t xml:space="preserve"> </w:t>
      </w:r>
      <w:r w:rsidR="00723EC1">
        <w:t>C</w:t>
      </w:r>
      <w:r w:rsidR="001838E9" w:rsidRPr="001838E9">
        <w:t>uyo pago de intereses está supeditado al pago de intereses de deuda con mayor preferencia</w:t>
      </w:r>
      <w:r w:rsidR="006C4F49">
        <w:t>.</w:t>
      </w:r>
    </w:p>
    <w:p w14:paraId="52C0E64E" w14:textId="458FD30D" w:rsidR="00F358E4" w:rsidRPr="00F358E4" w:rsidRDefault="00293C0C" w:rsidP="00FE1B56">
      <w:pPr>
        <w:pStyle w:val="Nivel2SM"/>
      </w:pPr>
      <w:r w:rsidRPr="00F358E4">
        <w:rPr>
          <w:i/>
          <w:iCs/>
          <w:u w:val="single"/>
        </w:rPr>
        <w:t>Deuda perpetua</w:t>
      </w:r>
      <w:r w:rsidRPr="00F358E4">
        <w:t>:</w:t>
      </w:r>
      <w:r w:rsidR="00F358E4" w:rsidRPr="00F358E4">
        <w:t xml:space="preserve"> </w:t>
      </w:r>
      <w:r w:rsidR="00FE1B56">
        <w:t>Se trata de deuda</w:t>
      </w:r>
      <w:r w:rsidR="00F358E4">
        <w:t xml:space="preserve"> sin</w:t>
      </w:r>
      <w:r w:rsidR="00F358E4" w:rsidRPr="00F358E4">
        <w:t xml:space="preserve"> </w:t>
      </w:r>
      <w:r w:rsidR="00FE1B56" w:rsidRPr="00FE1B56">
        <w:t>obligación de devolución ni fecha de vencimiento establecida. Es decir, el prestatario puede reembolsar el crédito cuando lo considere oportuno</w:t>
      </w:r>
      <w:r w:rsidR="00FE1B56">
        <w:t xml:space="preserve">. Por tanto, </w:t>
      </w:r>
      <w:r w:rsidR="00F358E4">
        <w:t>el obligacionista</w:t>
      </w:r>
      <w:r w:rsidR="00F358E4" w:rsidRPr="00F358E4">
        <w:t xml:space="preserve"> sólo</w:t>
      </w:r>
      <w:r w:rsidR="00F358E4">
        <w:t xml:space="preserve"> </w:t>
      </w:r>
      <w:r w:rsidR="00F358E4" w:rsidRPr="00F358E4">
        <w:t xml:space="preserve">recibe </w:t>
      </w:r>
      <w:r w:rsidR="00F358E4">
        <w:t xml:space="preserve">el capital aportado </w:t>
      </w:r>
      <w:r w:rsidR="00F358E4" w:rsidRPr="00F358E4">
        <w:t xml:space="preserve">en caso de </w:t>
      </w:r>
      <w:r w:rsidR="00FE1B56">
        <w:t xml:space="preserve">voluntad del emisor de saldar la deuda, en caso de </w:t>
      </w:r>
      <w:r w:rsidR="00F358E4" w:rsidRPr="00F358E4">
        <w:t xml:space="preserve">liquidación de la sociedad o </w:t>
      </w:r>
      <w:r w:rsidR="00FC32EF">
        <w:t xml:space="preserve">en caso </w:t>
      </w:r>
      <w:r w:rsidR="00F358E4" w:rsidRPr="00F358E4">
        <w:t>de venta de su título en el mercado secundario.</w:t>
      </w:r>
    </w:p>
    <w:p w14:paraId="4E9C4A52" w14:textId="77777777" w:rsidR="00096DE0" w:rsidRDefault="00293C0C" w:rsidP="00B514D5">
      <w:pPr>
        <w:pStyle w:val="Nivel2SM"/>
      </w:pPr>
      <w:r>
        <w:rPr>
          <w:i/>
          <w:iCs/>
          <w:u w:val="single"/>
        </w:rPr>
        <w:t>Deuda convertible en acciones</w:t>
      </w:r>
      <w:r>
        <w:t>:</w:t>
      </w:r>
      <w:r w:rsidR="00835BCB">
        <w:t xml:space="preserve"> Un bono convertible es un bono que puede ser convertido en un número predeterminado de acciones a discreción del portador del bono.</w:t>
      </w:r>
      <w:r w:rsidR="00025BD3">
        <w:t xml:space="preserve"> A pesar de que generalmente no interesa la conversión en acciones en el momento de la emisión, la conversión en acciones se convierte en una opción más atractiva a medida que los precios de las acciones aumentan. Las empresas generalmente añaden opciones de conversión a los bonos para disminuir el tipo de interés a pagar en los bonos.</w:t>
      </w:r>
    </w:p>
    <w:p w14:paraId="62668331" w14:textId="75A51FE6" w:rsidR="00FC32EF" w:rsidRDefault="00CF38AD" w:rsidP="00FC32EF">
      <w:pPr>
        <w:pStyle w:val="Nivel2SM"/>
        <w:keepNext/>
        <w:spacing w:after="0"/>
        <w:rPr>
          <w:spacing w:val="-1"/>
        </w:rPr>
      </w:pPr>
      <w:r w:rsidRPr="00B938CE">
        <w:rPr>
          <w:i/>
          <w:iCs/>
          <w:spacing w:val="-1"/>
          <w:u w:val="single"/>
        </w:rPr>
        <w:t>Bonos convertibles contingentes (</w:t>
      </w:r>
      <w:proofErr w:type="spellStart"/>
      <w:r w:rsidRPr="00B938CE">
        <w:rPr>
          <w:i/>
          <w:iCs/>
          <w:spacing w:val="-1"/>
          <w:u w:val="single"/>
        </w:rPr>
        <w:t>CoCos</w:t>
      </w:r>
      <w:proofErr w:type="spellEnd"/>
      <w:r w:rsidRPr="00B938CE">
        <w:rPr>
          <w:i/>
          <w:iCs/>
          <w:spacing w:val="-1"/>
          <w:u w:val="single"/>
        </w:rPr>
        <w:t>)</w:t>
      </w:r>
      <w:r w:rsidRPr="00B938CE">
        <w:rPr>
          <w:spacing w:val="-1"/>
        </w:rPr>
        <w:t xml:space="preserve">: Por otro lado, también existen los bonos convertibles contingentes, más conocidos como </w:t>
      </w:r>
      <w:proofErr w:type="spellStart"/>
      <w:r w:rsidRPr="00B938CE">
        <w:rPr>
          <w:spacing w:val="-1"/>
        </w:rPr>
        <w:t>CoCos</w:t>
      </w:r>
      <w:proofErr w:type="spellEnd"/>
      <w:r w:rsidRPr="00B938CE">
        <w:rPr>
          <w:spacing w:val="-1"/>
        </w:rPr>
        <w:t xml:space="preserve">. Estos instrumentos se han transformado en los últimos años en uno de los activos de renta fija con mayor oferta por parte de las entidades financieras, ante los cambios regulatorios que han debido afrontar para reforzar sus balances. En realidad, es un tipo de bono híbrido donde la conversión de deuda a capital depende del </w:t>
      </w:r>
      <w:r w:rsidR="00AD3854" w:rsidRPr="00B938CE">
        <w:rPr>
          <w:spacing w:val="-1"/>
        </w:rPr>
        <w:t>emisor y el inversor acepta de antemano.</w:t>
      </w:r>
      <w:r w:rsidR="00FC32EF">
        <w:rPr>
          <w:spacing w:val="-1"/>
        </w:rPr>
        <w:t xml:space="preserve"> </w:t>
      </w:r>
      <w:r w:rsidR="00FC32EF" w:rsidRPr="00B938CE">
        <w:t>Mientras el bono está vivo, los inversores se benefician del atractivo cupón que normalmente ofrecen, pero cuando se convierte en capital asumen el riesgo de esa transformación.</w:t>
      </w:r>
    </w:p>
    <w:p w14:paraId="1C7DB8C1" w14:textId="6317D440" w:rsidR="00AD3854" w:rsidRDefault="00AD3854" w:rsidP="00FC32EF">
      <w:pPr>
        <w:pStyle w:val="Nivel3SM"/>
      </w:pPr>
      <w:r w:rsidRPr="00B938CE">
        <w:t xml:space="preserve">La condición más habitual para forzar esta conversión suele ser que </w:t>
      </w:r>
      <w:r w:rsidR="00FC32EF">
        <w:t>la</w:t>
      </w:r>
      <w:r w:rsidRPr="00B938CE">
        <w:t xml:space="preserve"> </w:t>
      </w:r>
      <w:r w:rsidRPr="00FC32EF">
        <w:rPr>
          <w:i/>
          <w:iCs/>
        </w:rPr>
        <w:t xml:space="preserve">ratio de capital </w:t>
      </w:r>
      <w:proofErr w:type="spellStart"/>
      <w:r w:rsidRPr="00FC32EF">
        <w:rPr>
          <w:i/>
          <w:iCs/>
        </w:rPr>
        <w:t>Tier</w:t>
      </w:r>
      <w:proofErr w:type="spellEnd"/>
      <w:r w:rsidR="00FC32EF" w:rsidRPr="00FC32EF">
        <w:rPr>
          <w:i/>
          <w:iCs/>
        </w:rPr>
        <w:t> </w:t>
      </w:r>
      <w:r w:rsidRPr="00FC32EF">
        <w:rPr>
          <w:i/>
          <w:iCs/>
        </w:rPr>
        <w:t>1</w:t>
      </w:r>
      <w:r w:rsidRPr="00B938CE">
        <w:t xml:space="preserve"> </w:t>
      </w:r>
      <w:r w:rsidR="00FC32EF">
        <w:t>(</w:t>
      </w:r>
      <w:r w:rsidRPr="00B938CE">
        <w:t>que incluye las acciones ordinarias, participaciones preferentes e instrumentos híbridos</w:t>
      </w:r>
      <w:r w:rsidR="00FC32EF">
        <w:t>)</w:t>
      </w:r>
      <w:r w:rsidRPr="00B938CE">
        <w:t xml:space="preserve"> de la entidad haya bajado de un nivel mínimo establecido, por lo que dicha conversión le permite reducir el volumen de deuda en proporción a la emisión realizada y mejorar su nota, algo que les beneficia de cara a la supervisión del regulador, sobre todo en los momentos de mayor incertidumbre sobre su viabilidad</w:t>
      </w:r>
      <w:r w:rsidR="00FC32EF">
        <w:t xml:space="preserve"> </w:t>
      </w:r>
      <w:r w:rsidR="00FC32EF" w:rsidRPr="00FC32EF">
        <w:rPr>
          <w:color w:val="767171" w:themeColor="background2" w:themeShade="80"/>
          <w:sz w:val="19"/>
          <w:szCs w:val="19"/>
        </w:rPr>
        <w:t>[ver tema 3.B.2</w:t>
      </w:r>
      <w:r w:rsidR="00811726">
        <w:rPr>
          <w:color w:val="767171" w:themeColor="background2" w:themeShade="80"/>
          <w:sz w:val="19"/>
          <w:szCs w:val="19"/>
        </w:rPr>
        <w:t>7</w:t>
      </w:r>
      <w:r w:rsidR="00FC32EF" w:rsidRPr="00FC32EF">
        <w:rPr>
          <w:color w:val="767171" w:themeColor="background2" w:themeShade="80"/>
          <w:sz w:val="19"/>
          <w:szCs w:val="19"/>
        </w:rPr>
        <w:t>]</w:t>
      </w:r>
      <w:r w:rsidRPr="00B938CE">
        <w:t>.</w:t>
      </w:r>
    </w:p>
    <w:p w14:paraId="5678C69D" w14:textId="7A088269" w:rsidR="00904529" w:rsidRPr="00904529" w:rsidRDefault="00904529" w:rsidP="00F352EF">
      <w:pPr>
        <w:pStyle w:val="Ttulo1"/>
      </w:pPr>
      <w:bookmarkStart w:id="38" w:name="_Toc125044533"/>
      <w:r>
        <w:t xml:space="preserve">APROXIMACIÓN FINANCIERA </w:t>
      </w:r>
      <w:r w:rsidRPr="00904529">
        <w:rPr>
          <w:sz w:val="19"/>
          <w:szCs w:val="19"/>
        </w:rPr>
        <w:t xml:space="preserve">– </w:t>
      </w:r>
      <w:r w:rsidR="002F1679" w:rsidRPr="00904529">
        <w:rPr>
          <w:sz w:val="19"/>
          <w:szCs w:val="19"/>
        </w:rPr>
        <w:t>ESTRUCTURA FINANCIERA ÓPTIMA DE LA EMPRESA</w:t>
      </w:r>
      <w:r w:rsidR="00F352EF">
        <w:br/>
      </w:r>
      <w:r w:rsidR="00F352EF" w:rsidRPr="00F711DE">
        <w:rPr>
          <w:i/>
          <w:iCs/>
          <w:caps w:val="0"/>
          <w:sz w:val="19"/>
          <w:szCs w:val="19"/>
        </w:rPr>
        <w:t>¿EXISTE UNA ESTRUCTURA DE FINANCIACIÓN ÓPTIMA PARA LA EMPRESA?</w:t>
      </w:r>
      <w:r w:rsidR="009500AC" w:rsidRPr="00F711DE">
        <w:rPr>
          <w:i/>
          <w:iCs/>
          <w:caps w:val="0"/>
          <w:sz w:val="19"/>
          <w:szCs w:val="19"/>
        </w:rPr>
        <w:br/>
        <w:t>¿CÚALES SON SUS DETERMINANTES?</w:t>
      </w:r>
      <w:bookmarkEnd w:id="38"/>
    </w:p>
    <w:p w14:paraId="2BD7EA0A" w14:textId="6F0DC724" w:rsidR="006F422A" w:rsidRDefault="00904529" w:rsidP="00904529">
      <w:pPr>
        <w:pStyle w:val="Ttulo2"/>
      </w:pPr>
      <w:bookmarkStart w:id="39" w:name="_Toc125044534"/>
      <w:r>
        <w:t>¿Qué es la estructura financiera?</w:t>
      </w:r>
      <w:bookmarkEnd w:id="39"/>
    </w:p>
    <w:p w14:paraId="2819635A" w14:textId="77777777" w:rsidR="006E7DB4" w:rsidRDefault="00F84DD2" w:rsidP="00C366D0">
      <w:pPr>
        <w:pStyle w:val="Nivel1SM"/>
        <w:keepNext/>
        <w:spacing w:before="0" w:after="0"/>
      </w:pPr>
      <w:r>
        <w:t xml:space="preserve">Conocidas las posibles </w:t>
      </w:r>
      <w:r w:rsidRPr="00F84DD2">
        <w:rPr>
          <w:i/>
          <w:iCs/>
          <w:u w:val="single"/>
        </w:rPr>
        <w:t>formas de financiación</w:t>
      </w:r>
      <w:r>
        <w:t xml:space="preserve"> a disposición de las empresas, es posible tratar la cuestión de la </w:t>
      </w:r>
      <w:r w:rsidRPr="00F84DD2">
        <w:rPr>
          <w:b/>
          <w:bCs/>
          <w:u w:val="single"/>
        </w:rPr>
        <w:t>estructura del capital</w:t>
      </w:r>
      <w:r>
        <w:t>, su forma adecuada y sus efectos.</w:t>
      </w:r>
      <w:r w:rsidR="006E7DB4">
        <w:t xml:space="preserve"> ¿Existe una estructura financiera óptima? y, en caso de existir, ¿qué factores influyen en su valor concreto?</w:t>
      </w:r>
    </w:p>
    <w:p w14:paraId="33E97CDC" w14:textId="77777777" w:rsidR="00E65180" w:rsidRDefault="00F84DD2" w:rsidP="00E65180">
      <w:pPr>
        <w:pStyle w:val="Nivel2SM"/>
        <w:keepNext/>
        <w:spacing w:after="0"/>
      </w:pPr>
      <w:r>
        <w:t>La estructura del capital de una empresa es la relación entre diferentes formas de financiación, de acuerdo con la proporción que representan sobre el total del capital utilizado.</w:t>
      </w:r>
    </w:p>
    <w:p w14:paraId="7604E6F1" w14:textId="274C446B" w:rsidR="00E65180" w:rsidRPr="008A260A" w:rsidRDefault="00B41E03" w:rsidP="00E65180">
      <w:pPr>
        <w:pStyle w:val="Nivel3SM"/>
        <w:rPr>
          <w:spacing w:val="-1"/>
        </w:rPr>
      </w:pPr>
      <w:r w:rsidRPr="008A260A">
        <w:rPr>
          <w:spacing w:val="-1"/>
        </w:rPr>
        <w:t>En función de cuál sea la combinación de recursos escogida, el coste de capital será distinto.</w:t>
      </w:r>
    </w:p>
    <w:p w14:paraId="21E0B986" w14:textId="77777777" w:rsidR="00E65180" w:rsidRDefault="00EC1F1B" w:rsidP="00E65180">
      <w:pPr>
        <w:pStyle w:val="Nivel2SM"/>
        <w:keepNext/>
        <w:spacing w:after="0"/>
      </w:pPr>
      <w:r>
        <w:lastRenderedPageBreak/>
        <w:t xml:space="preserve">Esto es relevante, pues si se minimiza el coste de financiación de la empresa, la empresa </w:t>
      </w:r>
      <w:r w:rsidR="00D62139">
        <w:t>podrá maximizar</w:t>
      </w:r>
      <w:r>
        <w:t xml:space="preserve"> el </w:t>
      </w:r>
      <w:r w:rsidRPr="009747CD">
        <w:rPr>
          <w:b/>
          <w:bCs/>
        </w:rPr>
        <w:t>valor del capital empleado</w:t>
      </w:r>
      <w:r>
        <w:t>.</w:t>
      </w:r>
    </w:p>
    <w:p w14:paraId="07586877" w14:textId="725827BC" w:rsidR="00481420" w:rsidRPr="009747CD" w:rsidRDefault="009747CD" w:rsidP="00DF50DA">
      <w:pPr>
        <w:pStyle w:val="Nivel3SM"/>
      </w:pPr>
      <w:r>
        <w:t xml:space="preserve">Por </w:t>
      </w:r>
      <w:r w:rsidRPr="00D738C9">
        <w:rPr>
          <w:i/>
          <w:iCs/>
        </w:rPr>
        <w:t>maximizar el valor</w:t>
      </w:r>
      <w:r>
        <w:t xml:space="preserve"> entendemos maximizar el valor presente de los flujos de caja descontados a una tasa de descuento requerida por los financiadores de la empresa</w:t>
      </w:r>
      <w:r w:rsidR="002B698E">
        <w:t xml:space="preserve"> </w:t>
      </w:r>
      <w:r w:rsidR="002B698E" w:rsidRPr="00D738C9">
        <w:rPr>
          <w:color w:val="767171" w:themeColor="background2" w:themeShade="80"/>
          <w:sz w:val="19"/>
          <w:szCs w:val="19"/>
        </w:rPr>
        <w:t>[ver tema 3.B.2]</w:t>
      </w:r>
      <w:r>
        <w:t>.</w:t>
      </w:r>
      <w:r w:rsidR="00D738C9">
        <w:t xml:space="preserve"> </w:t>
      </w:r>
      <w:r>
        <w:t>En esta exposición, queremos ver cómo minimizar esa tasa de descuento</w:t>
      </w:r>
      <w:r w:rsidR="006E7DB4">
        <w:rPr>
          <w:rStyle w:val="Refdenotaalpie"/>
        </w:rPr>
        <w:footnoteReference w:id="15"/>
      </w:r>
      <w:r>
        <w:t>.</w:t>
      </w:r>
    </w:p>
    <w:p w14:paraId="5D7C4892" w14:textId="3C84C2A8" w:rsidR="006E40AC" w:rsidRDefault="006E40AC" w:rsidP="008A260A">
      <w:pPr>
        <w:pStyle w:val="Nivel1SM"/>
        <w:keepNext/>
        <w:keepLines/>
        <w:spacing w:after="0"/>
      </w:pPr>
      <w:r>
        <w:t xml:space="preserve">Es </w:t>
      </w:r>
      <w:r w:rsidRPr="008A260A">
        <w:rPr>
          <w:b/>
          <w:bCs/>
        </w:rPr>
        <w:t>importante</w:t>
      </w:r>
      <w:r>
        <w:t xml:space="preserve"> remarcar que de aquí en adelante hablaremos de </w:t>
      </w:r>
      <w:r w:rsidRPr="008A260A">
        <w:rPr>
          <w:b/>
          <w:bCs/>
        </w:rPr>
        <w:t>valor</w:t>
      </w:r>
      <w:r>
        <w:t>, ya que adoptamos una perspectiva financiera (no contable como hasta ahora</w:t>
      </w:r>
      <w:bookmarkStart w:id="40" w:name="_Ref124844189"/>
      <w:r w:rsidR="00592342">
        <w:rPr>
          <w:rStyle w:val="Refdenotaalpie"/>
        </w:rPr>
        <w:footnoteReference w:id="16"/>
      </w:r>
      <w:bookmarkEnd w:id="40"/>
      <w:r>
        <w:t>)</w:t>
      </w:r>
      <w:r w:rsidR="008A260A">
        <w:t>. Es decir, en lo que sigue, adoptaremos una perspectiva puramente financiera respecto del valor de las fuentes de financiación, de tal manera que consideraremos su valor en términos de precio de mercado y no de valor en libros:</w:t>
      </w:r>
    </w:p>
    <w:p w14:paraId="2E38E59C" w14:textId="4D4256FC" w:rsidR="006E40AC" w:rsidRPr="006E40AC" w:rsidRDefault="006E40AC" w:rsidP="00B21F79">
      <w:pPr>
        <w:pStyle w:val="Nivel2SM"/>
      </w:pPr>
      <w:r w:rsidRPr="006E40AC">
        <w:t>El</w:t>
      </w:r>
      <w:r>
        <w:t xml:space="preserve"> </w:t>
      </w:r>
      <w:proofErr w:type="spellStart"/>
      <w:r w:rsidRPr="00B21F79">
        <w:rPr>
          <w:i/>
          <w:iCs/>
        </w:rPr>
        <w:t>equity</w:t>
      </w:r>
      <w:proofErr w:type="spellEnd"/>
      <w:r>
        <w:t xml:space="preserve"> será remplazado por</w:t>
      </w:r>
      <w:r w:rsidR="000C7085">
        <w:t xml:space="preserve"> el</w:t>
      </w:r>
      <w:r>
        <w:t xml:space="preserve"> </w:t>
      </w:r>
      <w:r w:rsidR="000C7085" w:rsidRPr="00B21F79">
        <w:rPr>
          <w:i/>
          <w:iCs/>
        </w:rPr>
        <w:t>valor del patrimonio neto</w:t>
      </w:r>
      <w:r w:rsidR="000C7085">
        <w:t xml:space="preserve"> (</w:t>
      </w:r>
      <w:proofErr w:type="spellStart"/>
      <w:r w:rsidR="000C7085" w:rsidRPr="00B21F79">
        <w:rPr>
          <w:i/>
          <w:iCs/>
        </w:rPr>
        <w:t>equity</w:t>
      </w:r>
      <w:proofErr w:type="spellEnd"/>
      <w:r w:rsidR="000C7085" w:rsidRPr="00B21F79">
        <w:rPr>
          <w:i/>
          <w:iCs/>
        </w:rPr>
        <w:t xml:space="preserve"> </w:t>
      </w:r>
      <w:proofErr w:type="spellStart"/>
      <w:r w:rsidR="000C7085" w:rsidRPr="00B21F79">
        <w:rPr>
          <w:i/>
          <w:iCs/>
        </w:rPr>
        <w:t>value</w:t>
      </w:r>
      <w:proofErr w:type="spellEnd"/>
      <w:r w:rsidR="000C7085">
        <w:t>).</w:t>
      </w:r>
    </w:p>
    <w:p w14:paraId="5CC376BF" w14:textId="160CD5C4" w:rsidR="006E40AC" w:rsidRDefault="006E40AC" w:rsidP="00B21F79">
      <w:pPr>
        <w:pStyle w:val="Nivel2SM"/>
      </w:pPr>
      <w:r>
        <w:t xml:space="preserve">La </w:t>
      </w:r>
      <w:r w:rsidRPr="00B21F79">
        <w:rPr>
          <w:i/>
          <w:iCs/>
        </w:rPr>
        <w:t>deuda neta</w:t>
      </w:r>
      <w:r>
        <w:t xml:space="preserve"> será remplazada por el </w:t>
      </w:r>
      <w:r w:rsidRPr="00B21F79">
        <w:rPr>
          <w:i/>
          <w:iCs/>
        </w:rPr>
        <w:t>valor de la deuda neta</w:t>
      </w:r>
      <w:r>
        <w:t>.</w:t>
      </w:r>
    </w:p>
    <w:p w14:paraId="05718B96" w14:textId="66A57C30" w:rsidR="006E40AC" w:rsidRPr="006E40AC" w:rsidRDefault="006E40AC" w:rsidP="00B21F79">
      <w:pPr>
        <w:pStyle w:val="Nivel2SM"/>
      </w:pPr>
      <w:r>
        <w:t xml:space="preserve">Los </w:t>
      </w:r>
      <w:r>
        <w:rPr>
          <w:i/>
          <w:iCs/>
        </w:rPr>
        <w:t>activos</w:t>
      </w:r>
      <w:r>
        <w:t xml:space="preserve"> serán remplazados por el </w:t>
      </w:r>
      <w:r>
        <w:rPr>
          <w:i/>
          <w:iCs/>
        </w:rPr>
        <w:t>valor de la empresa</w:t>
      </w:r>
      <w:r w:rsidR="007D3F84">
        <w:t>, que será el valor de mercado del capital empleado, sin importar como venga financiado</w:t>
      </w:r>
      <w:r w:rsidR="007D3F84">
        <w:rPr>
          <w:rStyle w:val="Refdenotaalpie"/>
        </w:rPr>
        <w:footnoteReference w:id="17"/>
      </w:r>
      <w:r w:rsidR="007D3F84">
        <w:t>.</w:t>
      </w:r>
    </w:p>
    <w:p w14:paraId="48365A26" w14:textId="5D17AA10" w:rsidR="00F84DD2" w:rsidRPr="008A260A" w:rsidRDefault="00481420" w:rsidP="00B21F79">
      <w:pPr>
        <w:pStyle w:val="Nivel1SM"/>
        <w:rPr>
          <w:b/>
          <w:bCs/>
        </w:rPr>
      </w:pPr>
      <w:r w:rsidRPr="008A260A">
        <w:rPr>
          <w:b/>
          <w:bCs/>
        </w:rPr>
        <w:t>E</w:t>
      </w:r>
      <w:r w:rsidR="00F711DE" w:rsidRPr="008A260A">
        <w:rPr>
          <w:b/>
          <w:bCs/>
        </w:rPr>
        <w:t>n resumidas cuentas, e</w:t>
      </w:r>
      <w:r w:rsidRPr="008A260A">
        <w:rPr>
          <w:b/>
          <w:bCs/>
        </w:rPr>
        <w:t xml:space="preserve">l problema del diseño de una estructura óptima del capital concierne la existencia de una proporción de </w:t>
      </w:r>
      <w:proofErr w:type="spellStart"/>
      <w:r w:rsidRPr="008A260A">
        <w:rPr>
          <w:b/>
          <w:bCs/>
          <w:i/>
          <w:iCs/>
        </w:rPr>
        <w:t>equity</w:t>
      </w:r>
      <w:proofErr w:type="spellEnd"/>
      <w:r w:rsidRPr="008A260A">
        <w:rPr>
          <w:b/>
          <w:bCs/>
        </w:rPr>
        <w:t xml:space="preserve"> y </w:t>
      </w:r>
      <w:r w:rsidRPr="008A260A">
        <w:rPr>
          <w:b/>
          <w:bCs/>
          <w:i/>
          <w:iCs/>
        </w:rPr>
        <w:t>deuda</w:t>
      </w:r>
      <w:r w:rsidRPr="008A260A">
        <w:rPr>
          <w:b/>
          <w:bCs/>
        </w:rPr>
        <w:t xml:space="preserve"> que minimice el coste de capital y</w:t>
      </w:r>
      <w:r w:rsidR="00F711DE" w:rsidRPr="008A260A">
        <w:rPr>
          <w:b/>
          <w:bCs/>
        </w:rPr>
        <w:t>,</w:t>
      </w:r>
      <w:r w:rsidRPr="008A260A">
        <w:rPr>
          <w:b/>
          <w:bCs/>
        </w:rPr>
        <w:t xml:space="preserve"> por tanto</w:t>
      </w:r>
      <w:r w:rsidR="00F711DE" w:rsidRPr="008A260A">
        <w:rPr>
          <w:b/>
          <w:bCs/>
        </w:rPr>
        <w:t>,</w:t>
      </w:r>
      <w:r w:rsidRPr="008A260A">
        <w:rPr>
          <w:b/>
          <w:bCs/>
        </w:rPr>
        <w:t xml:space="preserve"> maximice el valor de la empresa.</w:t>
      </w:r>
    </w:p>
    <w:tbl>
      <w:tblPr>
        <w:tblStyle w:val="Tablaconcuadrcula"/>
        <w:tblW w:w="0" w:type="auto"/>
        <w:jc w:val="center"/>
        <w:tblLook w:val="04A0" w:firstRow="1" w:lastRow="0" w:firstColumn="1" w:lastColumn="0" w:noHBand="0" w:noVBand="1"/>
      </w:tblPr>
      <w:tblGrid>
        <w:gridCol w:w="3969"/>
        <w:gridCol w:w="3969"/>
      </w:tblGrid>
      <w:tr w:rsidR="00394D83" w14:paraId="5BBB7A9B" w14:textId="77777777" w:rsidTr="00592342">
        <w:trPr>
          <w:trHeight w:val="567"/>
          <w:jc w:val="center"/>
        </w:trPr>
        <w:tc>
          <w:tcPr>
            <w:tcW w:w="3969" w:type="dxa"/>
            <w:vMerge w:val="restart"/>
            <w:vAlign w:val="center"/>
          </w:tcPr>
          <w:p w14:paraId="5875B3CD" w14:textId="7F3572AE" w:rsidR="00394D83" w:rsidRPr="006E7DB4" w:rsidRDefault="000C7085" w:rsidP="00394D83">
            <w:pPr>
              <w:pStyle w:val="Imagen"/>
              <w:rPr>
                <w:sz w:val="24"/>
                <w:szCs w:val="24"/>
              </w:rPr>
            </w:pPr>
            <w:r w:rsidRPr="006E7DB4">
              <w:rPr>
                <w:sz w:val="24"/>
                <w:szCs w:val="24"/>
              </w:rPr>
              <w:t>Valor de la empresa (</w:t>
            </w:r>
            <m:oMath>
              <m:r>
                <m:rPr>
                  <m:nor/>
                </m:rPr>
                <w:rPr>
                  <w:i/>
                  <w:iCs w:val="0"/>
                  <w:sz w:val="24"/>
                  <w:szCs w:val="24"/>
                </w:rPr>
                <m:t>V</m:t>
              </m:r>
            </m:oMath>
            <w:r w:rsidRPr="006E7DB4">
              <w:rPr>
                <w:sz w:val="24"/>
                <w:szCs w:val="24"/>
              </w:rPr>
              <w:t>)</w:t>
            </w:r>
          </w:p>
        </w:tc>
        <w:tc>
          <w:tcPr>
            <w:tcW w:w="3969" w:type="dxa"/>
            <w:vAlign w:val="center"/>
          </w:tcPr>
          <w:p w14:paraId="367FB124" w14:textId="581AAA2B" w:rsidR="00394D83" w:rsidRPr="006E7DB4" w:rsidRDefault="000C7085" w:rsidP="00394D83">
            <w:pPr>
              <w:pStyle w:val="Imagen"/>
              <w:rPr>
                <w:sz w:val="24"/>
                <w:szCs w:val="24"/>
              </w:rPr>
            </w:pPr>
            <w:r w:rsidRPr="006E7DB4">
              <w:rPr>
                <w:sz w:val="24"/>
                <w:szCs w:val="24"/>
              </w:rPr>
              <w:t>Valor del patrimonio neto (</w:t>
            </w:r>
            <m:oMath>
              <m:sSub>
                <m:sSubPr>
                  <m:ctrlPr>
                    <w:rPr>
                      <w:rFonts w:ascii="Cambria Math" w:hAnsi="Cambria Math"/>
                      <w:i/>
                      <w:iCs w:val="0"/>
                      <w:sz w:val="24"/>
                      <w:szCs w:val="24"/>
                    </w:rPr>
                  </m:ctrlPr>
                </m:sSubPr>
                <m:e>
                  <m:r>
                    <m:rPr>
                      <m:nor/>
                    </m:rPr>
                    <w:rPr>
                      <w:i/>
                      <w:iCs w:val="0"/>
                      <w:sz w:val="24"/>
                      <w:szCs w:val="24"/>
                    </w:rPr>
                    <m:t>V</m:t>
                  </m:r>
                </m:e>
                <m:sub>
                  <m:r>
                    <m:rPr>
                      <m:nor/>
                    </m:rPr>
                    <w:rPr>
                      <w:i/>
                      <w:iCs w:val="0"/>
                      <w:sz w:val="24"/>
                      <w:szCs w:val="24"/>
                    </w:rPr>
                    <m:t>E</m:t>
                  </m:r>
                </m:sub>
              </m:sSub>
            </m:oMath>
            <w:r w:rsidRPr="006E7DB4">
              <w:rPr>
                <w:sz w:val="24"/>
                <w:szCs w:val="24"/>
              </w:rPr>
              <w:t>)</w:t>
            </w:r>
          </w:p>
        </w:tc>
      </w:tr>
      <w:tr w:rsidR="00394D83" w14:paraId="02FB305B" w14:textId="77777777" w:rsidTr="00592342">
        <w:trPr>
          <w:trHeight w:val="850"/>
          <w:jc w:val="center"/>
        </w:trPr>
        <w:tc>
          <w:tcPr>
            <w:tcW w:w="3969" w:type="dxa"/>
            <w:vMerge/>
            <w:vAlign w:val="center"/>
          </w:tcPr>
          <w:p w14:paraId="425B85EB" w14:textId="77777777" w:rsidR="00394D83" w:rsidRPr="006E7DB4" w:rsidRDefault="00394D83" w:rsidP="00394D83">
            <w:pPr>
              <w:pStyle w:val="Imagen"/>
              <w:rPr>
                <w:sz w:val="24"/>
                <w:szCs w:val="24"/>
              </w:rPr>
            </w:pPr>
          </w:p>
        </w:tc>
        <w:tc>
          <w:tcPr>
            <w:tcW w:w="3969" w:type="dxa"/>
            <w:vAlign w:val="center"/>
          </w:tcPr>
          <w:p w14:paraId="4C2D5AA4" w14:textId="01E732E7" w:rsidR="00394D83" w:rsidRPr="006E7DB4" w:rsidRDefault="000C7085" w:rsidP="00394D83">
            <w:pPr>
              <w:pStyle w:val="Imagen"/>
              <w:rPr>
                <w:sz w:val="24"/>
                <w:szCs w:val="24"/>
              </w:rPr>
            </w:pPr>
            <w:r w:rsidRPr="006E7DB4">
              <w:rPr>
                <w:sz w:val="24"/>
                <w:szCs w:val="24"/>
              </w:rPr>
              <w:t>Valor de la deuda neta (</w:t>
            </w:r>
            <m:oMath>
              <m:sSub>
                <m:sSubPr>
                  <m:ctrlPr>
                    <w:rPr>
                      <w:rFonts w:ascii="Cambria Math" w:hAnsi="Cambria Math"/>
                      <w:i/>
                      <w:iCs w:val="0"/>
                      <w:sz w:val="24"/>
                      <w:szCs w:val="24"/>
                    </w:rPr>
                  </m:ctrlPr>
                </m:sSubPr>
                <m:e>
                  <m:r>
                    <m:rPr>
                      <m:nor/>
                    </m:rPr>
                    <w:rPr>
                      <w:i/>
                      <w:iCs w:val="0"/>
                      <w:sz w:val="24"/>
                      <w:szCs w:val="24"/>
                    </w:rPr>
                    <m:t>V</m:t>
                  </m:r>
                </m:e>
                <m:sub>
                  <m:r>
                    <m:rPr>
                      <m:nor/>
                    </m:rPr>
                    <w:rPr>
                      <w:i/>
                      <w:iCs w:val="0"/>
                      <w:sz w:val="24"/>
                      <w:szCs w:val="24"/>
                    </w:rPr>
                    <m:t>D</m:t>
                  </m:r>
                </m:sub>
              </m:sSub>
            </m:oMath>
            <w:r w:rsidRPr="006E7DB4">
              <w:rPr>
                <w:sz w:val="24"/>
                <w:szCs w:val="24"/>
              </w:rPr>
              <w:t>)</w:t>
            </w:r>
          </w:p>
        </w:tc>
      </w:tr>
    </w:tbl>
    <w:p w14:paraId="7F7F95E3" w14:textId="1EADF5FA" w:rsidR="006E40AC" w:rsidRPr="00E82057" w:rsidRDefault="006E40AC" w:rsidP="006E40AC">
      <w:pPr>
        <w:pStyle w:val="PiedeImagen"/>
        <w:rPr>
          <w:i w:val="0"/>
          <w:iCs/>
          <w:lang w:val="en-US"/>
        </w:rPr>
      </w:pPr>
      <w:r w:rsidRPr="000C7085">
        <w:t>Fuente</w:t>
      </w:r>
      <w:r w:rsidRPr="000C7085">
        <w:rPr>
          <w:i w:val="0"/>
          <w:iCs/>
        </w:rPr>
        <w:t xml:space="preserve">: </w:t>
      </w:r>
      <w:r w:rsidR="00394D83" w:rsidRPr="000C7085">
        <w:rPr>
          <w:i w:val="0"/>
          <w:iCs/>
        </w:rPr>
        <w:t xml:space="preserve">Elaboración propia a partir de </w:t>
      </w:r>
      <w:r w:rsidRPr="000C7085">
        <w:rPr>
          <w:i w:val="0"/>
          <w:iCs/>
        </w:rPr>
        <w:t>Vernimmen, P.</w:t>
      </w:r>
      <w:r w:rsidR="006155EF">
        <w:rPr>
          <w:i w:val="0"/>
          <w:iCs/>
        </w:rPr>
        <w:t xml:space="preserve"> et al.</w:t>
      </w:r>
      <w:r w:rsidRPr="000C7085">
        <w:rPr>
          <w:i w:val="0"/>
          <w:iCs/>
        </w:rPr>
        <w:t xml:space="preserve"> </w:t>
      </w:r>
      <w:r w:rsidRPr="00E82057">
        <w:rPr>
          <w:i w:val="0"/>
          <w:iCs/>
          <w:lang w:val="en-US"/>
        </w:rPr>
        <w:t xml:space="preserve">(2017). </w:t>
      </w:r>
      <w:r w:rsidRPr="006E40AC">
        <w:rPr>
          <w:lang w:val="en-US"/>
        </w:rPr>
        <w:t>Corporate finance: Theory and practice</w:t>
      </w:r>
      <w:r w:rsidRPr="006E40AC">
        <w:rPr>
          <w:i w:val="0"/>
          <w:iCs/>
          <w:lang w:val="en-US"/>
        </w:rPr>
        <w:t xml:space="preserve"> (Fifth edition). </w:t>
      </w:r>
      <w:r w:rsidRPr="00E82057">
        <w:rPr>
          <w:i w:val="0"/>
          <w:iCs/>
          <w:lang w:val="en-US"/>
        </w:rPr>
        <w:t>Wiley.</w:t>
      </w:r>
    </w:p>
    <w:p w14:paraId="22FF0655" w14:textId="5FBA74A6" w:rsidR="00481420" w:rsidRPr="00F84DD2" w:rsidRDefault="00A4145F" w:rsidP="00B21F79">
      <w:pPr>
        <w:pStyle w:val="Nivel1SM"/>
      </w:pPr>
      <w:r>
        <w:t>Todo e</w:t>
      </w:r>
      <w:r w:rsidR="00E0521F">
        <w:t>sto nos</w:t>
      </w:r>
      <w:r w:rsidR="00813E62">
        <w:t xml:space="preserve"> </w:t>
      </w:r>
      <w:r w:rsidR="00E0521F">
        <w:t xml:space="preserve">lleva necesariamente a introducir el </w:t>
      </w:r>
      <w:r w:rsidR="00E0521F" w:rsidRPr="006E7DB4">
        <w:rPr>
          <w:b/>
          <w:bCs/>
        </w:rPr>
        <w:t>concepto de coste de ca</w:t>
      </w:r>
      <w:r w:rsidR="00813E62" w:rsidRPr="006E7DB4">
        <w:rPr>
          <w:b/>
          <w:bCs/>
        </w:rPr>
        <w:t>pital</w:t>
      </w:r>
      <w:r w:rsidR="00813E62">
        <w:t xml:space="preserve"> para abordar después la cuestión de la </w:t>
      </w:r>
      <w:r w:rsidR="00813E62" w:rsidRPr="006E7DB4">
        <w:rPr>
          <w:b/>
          <w:bCs/>
        </w:rPr>
        <w:t>estructura financiera</w:t>
      </w:r>
      <w:r w:rsidR="00813E62">
        <w:t>.</w:t>
      </w:r>
    </w:p>
    <w:p w14:paraId="4B7A3F36" w14:textId="04DDF5B7" w:rsidR="006F422A" w:rsidRPr="006F422A" w:rsidRDefault="006F422A" w:rsidP="00481420">
      <w:pPr>
        <w:pStyle w:val="Ttulo2"/>
      </w:pPr>
      <w:bookmarkStart w:id="41" w:name="_Toc125044535"/>
      <w:r>
        <w:t>El concepto de coste de capital.</w:t>
      </w:r>
      <w:r w:rsidR="00B41E03">
        <w:br/>
      </w:r>
      <w:r>
        <w:t>El coste de las diferentes fuentes de financiación y coste de capital medio ponderado</w:t>
      </w:r>
      <w:bookmarkEnd w:id="41"/>
    </w:p>
    <w:p w14:paraId="6125B7B0" w14:textId="57919B00" w:rsidR="006F422A" w:rsidRPr="00F84DD2" w:rsidRDefault="006F422A" w:rsidP="00B41E03">
      <w:pPr>
        <w:pStyle w:val="Notaalopositor"/>
      </w:pPr>
      <w:r w:rsidRPr="00F84DD2">
        <w:t xml:space="preserve">Suárez </w:t>
      </w:r>
      <w:proofErr w:type="spellStart"/>
      <w:r w:rsidRPr="00F84DD2">
        <w:t>Suárez</w:t>
      </w:r>
      <w:proofErr w:type="spellEnd"/>
      <w:r w:rsidRPr="00F84DD2">
        <w:t xml:space="preserve">, A. S., Rojo Suárez, J. &amp; Suárez García, P. (2014). </w:t>
      </w:r>
      <w:r w:rsidRPr="00F84DD2">
        <w:rPr>
          <w:i/>
          <w:iCs/>
        </w:rPr>
        <w:t>Decisiones óptimas de inversión y financiación en la empresa</w:t>
      </w:r>
      <w:r w:rsidRPr="00F84DD2">
        <w:t>. Pirámide. Capítulo 36</w:t>
      </w:r>
    </w:p>
    <w:p w14:paraId="2008E74A" w14:textId="7ADD8027" w:rsidR="006016A3" w:rsidRDefault="00F84DD2" w:rsidP="00C366D0">
      <w:pPr>
        <w:pStyle w:val="Nivel1SM"/>
        <w:keepNext/>
        <w:spacing w:before="0" w:after="0"/>
      </w:pPr>
      <w:r>
        <w:t xml:space="preserve">El concepto de </w:t>
      </w:r>
      <w:r w:rsidRPr="00F84DD2">
        <w:rPr>
          <w:i/>
          <w:iCs/>
          <w:u w:val="single"/>
        </w:rPr>
        <w:t>coste de capital</w:t>
      </w:r>
      <w:r>
        <w:t xml:space="preserve"> es central al problema de la estructura óptima. El </w:t>
      </w:r>
      <w:r w:rsidRPr="00F84DD2">
        <w:rPr>
          <w:b/>
          <w:bCs/>
        </w:rPr>
        <w:t>coste de capital</w:t>
      </w:r>
      <w:r>
        <w:t xml:space="preserve"> es la rentabilidad exigida por los inversores para comprar o mantener una inversión determinada, dadas sus características de riesgo, liquidez, imposición fiscal aplicable e inflación.</w:t>
      </w:r>
      <w:r w:rsidR="0058286B">
        <w:t xml:space="preserve"> Por tanto, representa el coste de financiación de la empresa.</w:t>
      </w:r>
    </w:p>
    <w:p w14:paraId="197AD8FE" w14:textId="11535931" w:rsidR="00F84DD2" w:rsidRDefault="00F84DD2" w:rsidP="0058286B">
      <w:pPr>
        <w:pStyle w:val="Nivel2SM"/>
      </w:pPr>
      <w:r>
        <w:t>Entendiendo una empresa en su conjunto como proyecto de inversión, el coste de capital de la empresa es la tasa de descuento utilizada para descontar al presente el valor de los flujos de caja generados y tras sumarlos, obtener el valor total de la empresa</w:t>
      </w:r>
      <w:r w:rsidR="006016A3">
        <w:t>.</w:t>
      </w:r>
    </w:p>
    <w:p w14:paraId="00740D59" w14:textId="49AE6355" w:rsidR="00211F9C" w:rsidRDefault="00736702" w:rsidP="00B21F79">
      <w:pPr>
        <w:pStyle w:val="Nivel1SM"/>
        <w:keepNext/>
        <w:spacing w:after="0"/>
      </w:pPr>
      <w:r>
        <w:lastRenderedPageBreak/>
        <w:t>Determinar el coste de capital no es una tarea sencilla</w:t>
      </w:r>
      <w:r w:rsidR="006016A3">
        <w:t xml:space="preserve">. </w:t>
      </w:r>
      <w:r w:rsidR="00471030">
        <w:t xml:space="preserve">Siguiendo </w:t>
      </w:r>
      <w:r w:rsidR="007D3B0A">
        <w:t>el manual de</w:t>
      </w:r>
      <w:r w:rsidR="00471030">
        <w:t xml:space="preserve"> </w:t>
      </w:r>
      <w:proofErr w:type="spellStart"/>
      <w:r w:rsidR="00471030" w:rsidRPr="00471030">
        <w:rPr>
          <w:smallCaps/>
        </w:rPr>
        <w:t>Vernimmen</w:t>
      </w:r>
      <w:proofErr w:type="spellEnd"/>
      <w:r w:rsidR="00471030" w:rsidRPr="00C366D0">
        <w:t xml:space="preserve"> </w:t>
      </w:r>
      <w:r w:rsidR="00C366D0" w:rsidRPr="00C366D0">
        <w:t xml:space="preserve">et al. </w:t>
      </w:r>
      <w:r w:rsidR="00471030">
        <w:rPr>
          <w:smallCaps/>
        </w:rPr>
        <w:t>(2017)</w:t>
      </w:r>
      <w:r w:rsidR="00471030">
        <w:t>, l</w:t>
      </w:r>
      <w:r w:rsidR="00211F9C" w:rsidRPr="00471030">
        <w:t>a</w:t>
      </w:r>
      <w:r w:rsidR="00211F9C">
        <w:t xml:space="preserve"> estimación del </w:t>
      </w:r>
      <w:r w:rsidR="00F131C0">
        <w:t>coste de capital</w:t>
      </w:r>
      <w:r w:rsidR="00211F9C">
        <w:t xml:space="preserve"> asociado a una inversión se puede llevar a cabo de forma </w:t>
      </w:r>
      <w:r w:rsidR="00211F9C" w:rsidRPr="00051BDE">
        <w:rPr>
          <w:i/>
          <w:iCs/>
        </w:rPr>
        <w:t>directa</w:t>
      </w:r>
      <w:r w:rsidR="00211F9C">
        <w:t xml:space="preserve">, </w:t>
      </w:r>
      <w:r w:rsidR="00211F9C" w:rsidRPr="00051BDE">
        <w:rPr>
          <w:i/>
          <w:iCs/>
        </w:rPr>
        <w:t>indirecta</w:t>
      </w:r>
      <w:r w:rsidR="00211F9C">
        <w:t xml:space="preserve"> o </w:t>
      </w:r>
      <w:r w:rsidR="00211F9C">
        <w:rPr>
          <w:i/>
          <w:iCs/>
        </w:rPr>
        <w:t>implícita</w:t>
      </w:r>
      <w:r w:rsidR="00211F9C">
        <w:t>:</w:t>
      </w:r>
    </w:p>
    <w:p w14:paraId="21E31336" w14:textId="5B085007" w:rsidR="00500701" w:rsidRDefault="00500701" w:rsidP="00500701">
      <w:pPr>
        <w:pStyle w:val="Nmeroromano"/>
        <w:keepNext/>
        <w:numPr>
          <w:ilvl w:val="0"/>
          <w:numId w:val="9"/>
        </w:numPr>
        <w:spacing w:after="0"/>
        <w:ind w:left="567" w:hanging="113"/>
      </w:pPr>
      <w:r>
        <w:t xml:space="preserve">De </w:t>
      </w:r>
      <w:r w:rsidRPr="00C41682">
        <w:rPr>
          <w:i/>
          <w:iCs/>
          <w:u w:val="single"/>
        </w:rPr>
        <w:t>forma directa</w:t>
      </w:r>
      <w:r>
        <w:t xml:space="preserve">, a partir de modelos de valoración de activos tales como el modelo CAPM o el modelo APT </w:t>
      </w:r>
      <w:r w:rsidRPr="000A0F94">
        <w:rPr>
          <w:color w:val="767171" w:themeColor="background2" w:themeShade="80"/>
          <w:sz w:val="19"/>
          <w:szCs w:val="19"/>
        </w:rPr>
        <w:t>[ver tema 3.B.2</w:t>
      </w:r>
      <w:r w:rsidR="00811726">
        <w:rPr>
          <w:color w:val="767171" w:themeColor="background2" w:themeShade="80"/>
          <w:sz w:val="19"/>
          <w:szCs w:val="19"/>
        </w:rPr>
        <w:t>3</w:t>
      </w:r>
      <w:r w:rsidRPr="000A0F94">
        <w:rPr>
          <w:color w:val="767171" w:themeColor="background2" w:themeShade="80"/>
          <w:sz w:val="19"/>
          <w:szCs w:val="19"/>
        </w:rPr>
        <w:t>]</w:t>
      </w:r>
      <w:r>
        <w:t>.</w:t>
      </w:r>
    </w:p>
    <w:p w14:paraId="1F64CF3E" w14:textId="77777777" w:rsidR="00500701" w:rsidRDefault="00500701" w:rsidP="00500701">
      <w:pPr>
        <w:pStyle w:val="Nivel3SM"/>
        <w:keepNext/>
      </w:pPr>
      <w:r>
        <w:t>Si queremos calcular la tasa mínima de rendimiento que va a demandar un agente que financia a la empresa podemos partir de que el agente querrá que el título que adquiere para financiar a la empresa esté correctamente valorado.</w:t>
      </w:r>
    </w:p>
    <w:p w14:paraId="796F4214" w14:textId="77777777" w:rsidR="00500701" w:rsidRDefault="00500701" w:rsidP="00500701">
      <w:pPr>
        <w:pStyle w:val="Nivel4"/>
        <w:ind w:left="1474"/>
      </w:pPr>
      <w:r>
        <w:t>Así, la tasa mínima de rendimiento que demandará el agente a la empresa será la esperada por el activo de la empresa dado su nivel de riesgo.</w:t>
      </w:r>
    </w:p>
    <w:p w14:paraId="3C470130" w14:textId="77777777" w:rsidR="00500701" w:rsidRDefault="00500701" w:rsidP="00500701">
      <w:pPr>
        <w:pStyle w:val="Nivel3SM"/>
        <w:keepNext/>
      </w:pPr>
      <w:r>
        <w:t>La demanda de activos financieros va a depender tanto de la rentabilidad esperada como del riesgo. En último término, los activos financieros son promesas de pago inciertas.</w:t>
      </w:r>
    </w:p>
    <w:p w14:paraId="0B055519" w14:textId="70420ED4" w:rsidR="00500701" w:rsidRDefault="00500701" w:rsidP="00500701">
      <w:pPr>
        <w:pStyle w:val="Nivel4"/>
        <w:ind w:left="1474"/>
      </w:pPr>
      <w:r>
        <w:t xml:space="preserve">Por tanto, el marco analítico que podemos utilizar para determinar el coste de capital sería la </w:t>
      </w:r>
      <w:r w:rsidRPr="007C7B3B">
        <w:rPr>
          <w:i/>
          <w:iCs/>
        </w:rPr>
        <w:t>Teoría de la Utilidad Esperada</w:t>
      </w:r>
      <w:r>
        <w:t xml:space="preserve"> </w:t>
      </w:r>
      <w:r w:rsidRPr="003B5FC1">
        <w:rPr>
          <w:color w:val="767171" w:themeColor="background2" w:themeShade="80"/>
          <w:sz w:val="19"/>
          <w:szCs w:val="19"/>
        </w:rPr>
        <w:t>[</w:t>
      </w:r>
      <w:r>
        <w:rPr>
          <w:color w:val="767171" w:themeColor="background2" w:themeShade="80"/>
          <w:sz w:val="19"/>
          <w:szCs w:val="19"/>
        </w:rPr>
        <w:t>ver tema 3.A.</w:t>
      </w:r>
      <w:r w:rsidR="00994BDA">
        <w:rPr>
          <w:color w:val="767171" w:themeColor="background2" w:themeShade="80"/>
          <w:sz w:val="19"/>
          <w:szCs w:val="19"/>
        </w:rPr>
        <w:t>10</w:t>
      </w:r>
      <w:r w:rsidRPr="003B5FC1">
        <w:rPr>
          <w:color w:val="767171" w:themeColor="background2" w:themeShade="80"/>
          <w:sz w:val="19"/>
          <w:szCs w:val="19"/>
        </w:rPr>
        <w:t>]</w:t>
      </w:r>
      <w:r>
        <w:t xml:space="preserve"> que es precisamente el marco analítico que emplea </w:t>
      </w:r>
      <w:r>
        <w:rPr>
          <w:smallCaps/>
        </w:rPr>
        <w:t>Markowitz</w:t>
      </w:r>
      <w:r>
        <w:t xml:space="preserve"> en su análisis seminal de </w:t>
      </w:r>
      <w:r w:rsidRPr="007C7B3B">
        <w:rPr>
          <w:i/>
          <w:iCs/>
        </w:rPr>
        <w:t>elección de carteras</w:t>
      </w:r>
      <w:r>
        <w:t xml:space="preserve"> </w:t>
      </w:r>
      <w:r w:rsidRPr="003B5FC1">
        <w:rPr>
          <w:color w:val="767171" w:themeColor="background2" w:themeShade="80"/>
          <w:sz w:val="19"/>
          <w:szCs w:val="19"/>
        </w:rPr>
        <w:t>[</w:t>
      </w:r>
      <w:r>
        <w:rPr>
          <w:color w:val="767171" w:themeColor="background2" w:themeShade="80"/>
          <w:sz w:val="19"/>
          <w:szCs w:val="19"/>
        </w:rPr>
        <w:t>ver tema 3.B.2</w:t>
      </w:r>
      <w:r w:rsidR="00994BDA">
        <w:rPr>
          <w:color w:val="767171" w:themeColor="background2" w:themeShade="80"/>
          <w:sz w:val="19"/>
          <w:szCs w:val="19"/>
        </w:rPr>
        <w:t>3</w:t>
      </w:r>
      <w:r w:rsidRPr="003B5FC1">
        <w:rPr>
          <w:color w:val="767171" w:themeColor="background2" w:themeShade="80"/>
          <w:sz w:val="19"/>
          <w:szCs w:val="19"/>
        </w:rPr>
        <w:t>]</w:t>
      </w:r>
      <w:r>
        <w:t>.</w:t>
      </w:r>
    </w:p>
    <w:p w14:paraId="669E5E92" w14:textId="2DFB3C05" w:rsidR="00500701" w:rsidRDefault="00500701" w:rsidP="00500701">
      <w:pPr>
        <w:pStyle w:val="Nivel4"/>
        <w:ind w:left="1474"/>
      </w:pPr>
      <w:r>
        <w:t>El único riesgo que importa al inversor es aquel que no se puede diversificar (i.e. riesgo sistemático del título vinculado a la evolución de la economía). El riesgo sistemático representa la volatilidad del título (i.e. como varía su rendimiento cuando varía el rendimiento del mercado).</w:t>
      </w:r>
    </w:p>
    <w:p w14:paraId="649EF39C" w14:textId="77777777" w:rsidR="00500701" w:rsidRDefault="00500701" w:rsidP="00500701">
      <w:pPr>
        <w:pStyle w:val="Nivel3SM"/>
        <w:keepNext/>
      </w:pPr>
      <w:r>
        <w:t xml:space="preserve">Precisamente, los modelos de valoración de activos (CAPM, APT) predicen el valor de inversiones a partir de otras magnitudes, tales como la </w:t>
      </w:r>
      <m:oMath>
        <m:r>
          <m:rPr>
            <m:nor/>
          </m:rPr>
          <w:rPr>
            <w:i/>
            <w:iCs/>
          </w:rPr>
          <m:t>β</m:t>
        </m:r>
      </m:oMath>
      <w:r>
        <w:t xml:space="preserve"> del CAPM (i.e. sensibilidad del precio del activo respecto del mercado), y a partir de ese valor predicho se estima un coste de capital para la inversión en cuestión.</w:t>
      </w:r>
    </w:p>
    <w:p w14:paraId="40F48914" w14:textId="77777777" w:rsidR="00500701" w:rsidRDefault="00000000" w:rsidP="00500701">
      <w:pPr>
        <w:pStyle w:val="Nmeroromano"/>
        <w:keepNext/>
        <w:numPr>
          <w:ilvl w:val="0"/>
          <w:numId w:val="0"/>
        </w:numPr>
        <w:spacing w:after="0"/>
        <w:ind w:left="963" w:hanging="198"/>
        <w:rPr>
          <w:sz w:val="18"/>
          <w:szCs w:val="18"/>
        </w:rPr>
      </w:pPr>
      <m:oMathPara>
        <m:oMath>
          <m:borderBox>
            <m:borderBoxPr>
              <m:ctrlPr>
                <w:rPr>
                  <w:rFonts w:ascii="Cambria Math" w:eastAsiaTheme="minorEastAsia" w:hAnsi="Cambria Math"/>
                  <w:i/>
                  <w:iCs/>
                </w:rPr>
              </m:ctrlPr>
            </m:borderBoxPr>
            <m:e>
              <m:r>
                <m:rPr>
                  <m:nor/>
                </m:rPr>
                <w:rPr>
                  <w:b/>
                  <w:bCs/>
                  <w:i/>
                  <w:iCs/>
                </w:rPr>
                <m:t>k</m:t>
              </m:r>
              <m:r>
                <w:rPr>
                  <w:rFonts w:ascii="Cambria Math" w:hAnsi="Cambria Math"/>
                </w:rPr>
                <m:t>=</m:t>
              </m:r>
              <m:sSub>
                <m:sSubPr>
                  <m:ctrlPr>
                    <w:rPr>
                      <w:rFonts w:ascii="Cambria Math" w:hAnsi="Cambria Math"/>
                      <w:i/>
                      <w:iCs/>
                    </w:rPr>
                  </m:ctrlPr>
                </m:sSubPr>
                <m:e>
                  <m:r>
                    <m:rPr>
                      <m:nor/>
                    </m:rPr>
                    <w:rPr>
                      <w:i/>
                      <w:iCs/>
                    </w:rPr>
                    <m:t>r</m:t>
                  </m:r>
                </m:e>
                <m:sub>
                  <m:r>
                    <m:rPr>
                      <m:nor/>
                    </m:rPr>
                    <w:rPr>
                      <w:i/>
                      <w:iCs/>
                    </w:rPr>
                    <m:t>f</m:t>
                  </m:r>
                </m:sub>
              </m:sSub>
              <m:r>
                <w:rPr>
                  <w:rFonts w:ascii="Cambria Math" w:hAnsi="Cambria Math"/>
                </w:rPr>
                <m:t>+</m:t>
              </m:r>
              <m:sSub>
                <m:sSubPr>
                  <m:ctrlPr>
                    <w:rPr>
                      <w:rFonts w:ascii="Cambria Math" w:hAnsi="Cambria Math"/>
                      <w:i/>
                      <w:iCs/>
                    </w:rPr>
                  </m:ctrlPr>
                </m:sSubPr>
                <m:e>
                  <m:r>
                    <m:rPr>
                      <m:nor/>
                    </m:rPr>
                    <w:rPr>
                      <w:i/>
                      <w:iCs/>
                    </w:rPr>
                    <m:t>β</m:t>
                  </m:r>
                </m:e>
                <m:sub>
                  <m:r>
                    <m:rPr>
                      <m:nor/>
                    </m:rPr>
                    <w:rPr>
                      <w:i/>
                      <w:iCs/>
                    </w:rPr>
                    <m:t>A</m:t>
                  </m:r>
                </m:sub>
              </m:sSub>
              <m:r>
                <w:rPr>
                  <w:rFonts w:ascii="Cambria Math" w:hAnsi="Cambria Math"/>
                </w:rPr>
                <m:t>∙</m:t>
              </m:r>
              <m:d>
                <m:dPr>
                  <m:ctrlPr>
                    <w:rPr>
                      <w:rFonts w:ascii="Cambria Math" w:hAnsi="Cambria Math"/>
                      <w:i/>
                      <w:iCs/>
                    </w:rPr>
                  </m:ctrlPr>
                </m:dPr>
                <m:e>
                  <m:sSub>
                    <m:sSubPr>
                      <m:ctrlPr>
                        <w:rPr>
                          <w:rFonts w:ascii="Cambria Math" w:hAnsi="Cambria Math"/>
                          <w:i/>
                          <w:iCs/>
                        </w:rPr>
                      </m:ctrlPr>
                    </m:sSubPr>
                    <m:e>
                      <m:r>
                        <m:rPr>
                          <m:nor/>
                        </m:rPr>
                        <w:rPr>
                          <w:i/>
                          <w:iCs/>
                        </w:rPr>
                        <m:t>r</m:t>
                      </m:r>
                    </m:e>
                    <m:sub>
                      <m:r>
                        <m:rPr>
                          <m:nor/>
                        </m:rPr>
                        <w:rPr>
                          <w:i/>
                          <w:iCs/>
                        </w:rPr>
                        <m:t>M</m:t>
                      </m:r>
                    </m:sub>
                  </m:sSub>
                  <m:r>
                    <w:rPr>
                      <w:rFonts w:ascii="Cambria Math" w:hAnsi="Cambria Math"/>
                    </w:rPr>
                    <m:t>-</m:t>
                  </m:r>
                  <m:sSub>
                    <m:sSubPr>
                      <m:ctrlPr>
                        <w:rPr>
                          <w:rFonts w:ascii="Cambria Math" w:hAnsi="Cambria Math"/>
                          <w:i/>
                          <w:iCs/>
                        </w:rPr>
                      </m:ctrlPr>
                    </m:sSubPr>
                    <m:e>
                      <m:r>
                        <m:rPr>
                          <m:nor/>
                        </m:rPr>
                        <w:rPr>
                          <w:i/>
                          <w:iCs/>
                        </w:rPr>
                        <m:t>r</m:t>
                      </m:r>
                    </m:e>
                    <m:sub>
                      <m:r>
                        <m:rPr>
                          <m:nor/>
                        </m:rPr>
                        <w:rPr>
                          <w:i/>
                          <w:iCs/>
                        </w:rPr>
                        <m:t>f</m:t>
                      </m:r>
                    </m:sub>
                  </m:sSub>
                </m:e>
              </m:d>
            </m:e>
          </m:borderBox>
          <m:r>
            <m:rPr>
              <m:sty m:val="p"/>
            </m:rPr>
            <w:rPr>
              <w:rFonts w:eastAsiaTheme="minorEastAsia"/>
            </w:rPr>
            <w:br/>
          </m:r>
        </m:oMath>
      </m:oMathPara>
      <w:r w:rsidR="00500701" w:rsidRPr="002A4419">
        <w:rPr>
          <w:sz w:val="18"/>
          <w:szCs w:val="18"/>
        </w:rPr>
        <w:t>donde</w:t>
      </w:r>
      <w:r w:rsidR="00500701">
        <w:rPr>
          <w:sz w:val="18"/>
          <w:szCs w:val="18"/>
        </w:rPr>
        <w:t>:</w:t>
      </w:r>
    </w:p>
    <w:p w14:paraId="003BA334" w14:textId="77777777" w:rsidR="00500701" w:rsidRPr="007C7B3B" w:rsidRDefault="00000000" w:rsidP="00500701">
      <w:pPr>
        <w:pStyle w:val="Nivel4"/>
        <w:ind w:left="1474"/>
        <w:rPr>
          <w:sz w:val="19"/>
          <w:szCs w:val="19"/>
        </w:rPr>
      </w:pPr>
      <m:oMath>
        <m:sSub>
          <m:sSubPr>
            <m:ctrlPr>
              <w:rPr>
                <w:rFonts w:ascii="Cambria Math" w:hAnsi="Cambria Math"/>
                <w:i/>
                <w:sz w:val="19"/>
                <w:szCs w:val="19"/>
              </w:rPr>
            </m:ctrlPr>
          </m:sSubPr>
          <m:e>
            <m:r>
              <m:rPr>
                <m:nor/>
              </m:rPr>
              <w:rPr>
                <w:i/>
                <w:sz w:val="19"/>
                <w:szCs w:val="19"/>
              </w:rPr>
              <m:t>r</m:t>
            </m:r>
          </m:e>
          <m:sub>
            <m:r>
              <m:rPr>
                <m:nor/>
              </m:rPr>
              <w:rPr>
                <w:i/>
                <w:sz w:val="19"/>
                <w:szCs w:val="19"/>
              </w:rPr>
              <m:t>f</m:t>
            </m:r>
          </m:sub>
        </m:sSub>
      </m:oMath>
      <w:r w:rsidR="00500701" w:rsidRPr="007C7B3B">
        <w:rPr>
          <w:sz w:val="19"/>
          <w:szCs w:val="19"/>
        </w:rPr>
        <w:t xml:space="preserve"> es el tipo de interés libre de riesgo,</w:t>
      </w:r>
    </w:p>
    <w:p w14:paraId="0AF0BAB1" w14:textId="77777777" w:rsidR="00500701" w:rsidRPr="007C7B3B" w:rsidRDefault="00000000" w:rsidP="00500701">
      <w:pPr>
        <w:pStyle w:val="Nivel4"/>
        <w:ind w:left="1474"/>
        <w:rPr>
          <w:sz w:val="19"/>
          <w:szCs w:val="19"/>
        </w:rPr>
      </w:pPr>
      <m:oMath>
        <m:sSub>
          <m:sSubPr>
            <m:ctrlPr>
              <w:rPr>
                <w:rFonts w:ascii="Cambria Math" w:hAnsi="Cambria Math"/>
                <w:i/>
                <w:sz w:val="19"/>
                <w:szCs w:val="19"/>
              </w:rPr>
            </m:ctrlPr>
          </m:sSubPr>
          <m:e>
            <m:r>
              <m:rPr>
                <m:nor/>
              </m:rPr>
              <w:rPr>
                <w:i/>
                <w:sz w:val="19"/>
                <w:szCs w:val="19"/>
              </w:rPr>
              <m:t>r</m:t>
            </m:r>
          </m:e>
          <m:sub>
            <m:r>
              <m:rPr>
                <m:nor/>
              </m:rPr>
              <w:rPr>
                <w:i/>
                <w:sz w:val="19"/>
                <w:szCs w:val="19"/>
              </w:rPr>
              <m:t>M</m:t>
            </m:r>
          </m:sub>
        </m:sSub>
      </m:oMath>
      <w:r w:rsidR="00500701" w:rsidRPr="007C7B3B">
        <w:rPr>
          <w:sz w:val="19"/>
          <w:szCs w:val="19"/>
        </w:rPr>
        <w:t xml:space="preserve"> es la rentabilidad del mercado y</w:t>
      </w:r>
    </w:p>
    <w:p w14:paraId="5036BFA4" w14:textId="77777777" w:rsidR="00500701" w:rsidRPr="007C7B3B" w:rsidRDefault="00000000" w:rsidP="00500701">
      <w:pPr>
        <w:pStyle w:val="Nivel4"/>
        <w:ind w:left="1474"/>
        <w:rPr>
          <w:sz w:val="19"/>
          <w:szCs w:val="19"/>
        </w:rPr>
      </w:pPr>
      <m:oMath>
        <m:sSub>
          <m:sSubPr>
            <m:ctrlPr>
              <w:rPr>
                <w:rFonts w:ascii="Cambria Math" w:hAnsi="Cambria Math"/>
                <w:i/>
                <w:sz w:val="19"/>
                <w:szCs w:val="19"/>
              </w:rPr>
            </m:ctrlPr>
          </m:sSubPr>
          <m:e>
            <m:r>
              <m:rPr>
                <m:nor/>
              </m:rPr>
              <w:rPr>
                <w:i/>
                <w:sz w:val="19"/>
                <w:szCs w:val="19"/>
              </w:rPr>
              <m:t>β</m:t>
            </m:r>
          </m:e>
          <m:sub>
            <m:r>
              <m:rPr>
                <m:nor/>
              </m:rPr>
              <w:rPr>
                <w:i/>
                <w:sz w:val="19"/>
                <w:szCs w:val="19"/>
              </w:rPr>
              <m:t>A</m:t>
            </m:r>
          </m:sub>
        </m:sSub>
      </m:oMath>
      <w:r w:rsidR="00500701" w:rsidRPr="007C7B3B">
        <w:rPr>
          <w:sz w:val="19"/>
          <w:szCs w:val="19"/>
        </w:rPr>
        <w:t xml:space="preserve"> es la beta de los activos o beta </w:t>
      </w:r>
      <w:proofErr w:type="spellStart"/>
      <w:r w:rsidR="00500701" w:rsidRPr="007C7B3B">
        <w:rPr>
          <w:sz w:val="19"/>
          <w:szCs w:val="19"/>
        </w:rPr>
        <w:t>desapalancada</w:t>
      </w:r>
      <w:proofErr w:type="spellEnd"/>
      <w:r w:rsidR="00500701" w:rsidRPr="007C7B3B">
        <w:rPr>
          <w:sz w:val="19"/>
          <w:szCs w:val="19"/>
        </w:rPr>
        <w:t xml:space="preserve"> (</w:t>
      </w:r>
      <m:oMath>
        <m:r>
          <m:rPr>
            <m:nor/>
          </m:rPr>
          <w:rPr>
            <w:i/>
            <w:sz w:val="19"/>
            <w:szCs w:val="19"/>
          </w:rPr>
          <m:t>β</m:t>
        </m:r>
      </m:oMath>
      <w:r w:rsidR="00500701" w:rsidRPr="007C7B3B">
        <w:rPr>
          <w:sz w:val="19"/>
          <w:szCs w:val="19"/>
        </w:rPr>
        <w:t xml:space="preserve"> de una empresa sin deuda)</w:t>
      </w:r>
      <w:r w:rsidR="00500701" w:rsidRPr="007C7B3B">
        <w:rPr>
          <w:rStyle w:val="Refdenotaalpie"/>
          <w:rFonts w:eastAsiaTheme="minorEastAsia"/>
          <w:iCs/>
          <w:sz w:val="19"/>
          <w:szCs w:val="19"/>
        </w:rPr>
        <w:footnoteReference w:id="18"/>
      </w:r>
      <w:r w:rsidR="00500701" w:rsidRPr="007C7B3B">
        <w:rPr>
          <w:sz w:val="19"/>
          <w:szCs w:val="19"/>
        </w:rPr>
        <w:t>.</w:t>
      </w:r>
    </w:p>
    <w:p w14:paraId="0696665A" w14:textId="77777777" w:rsidR="00500701" w:rsidRDefault="00500701" w:rsidP="00500701">
      <w:pPr>
        <w:pStyle w:val="Nivel3SM"/>
        <w:keepNext/>
      </w:pPr>
      <w:r>
        <w:t>Por tanto, el coste de financiación dependerá de las características propias del sector productivo sobre el que se basa la inversión:</w:t>
      </w:r>
    </w:p>
    <w:p w14:paraId="52E142D1" w14:textId="77777777" w:rsidR="00500701" w:rsidRDefault="00500701" w:rsidP="00500701">
      <w:pPr>
        <w:pStyle w:val="Nivel4"/>
        <w:ind w:left="1474"/>
      </w:pPr>
      <w:r w:rsidRPr="00BA5381">
        <w:rPr>
          <w:i/>
          <w:iCs/>
        </w:rPr>
        <w:t>Estructura de costes</w:t>
      </w:r>
      <w:r>
        <w:t>: Cuantos más costes fijos mayor sensibilidad de la empresa al entorno económico y mayor coste de capital.</w:t>
      </w:r>
    </w:p>
    <w:p w14:paraId="26CD27A4" w14:textId="77777777" w:rsidR="00500701" w:rsidRDefault="00500701" w:rsidP="00500701">
      <w:pPr>
        <w:pStyle w:val="Nivel4"/>
        <w:ind w:left="1474"/>
      </w:pPr>
      <w:r w:rsidRPr="00BA5381">
        <w:rPr>
          <w:i/>
          <w:iCs/>
        </w:rPr>
        <w:t>Perfil cíclico de las actividades económicas</w:t>
      </w:r>
      <w:r>
        <w:t>: Aquellas actividades económicas más dependientes del ciclo económico muestran un mayor coste de capital.</w:t>
      </w:r>
    </w:p>
    <w:p w14:paraId="5F62C64A" w14:textId="11C83F6B" w:rsidR="00500701" w:rsidRDefault="00500701" w:rsidP="00500701">
      <w:pPr>
        <w:pStyle w:val="Nivel3SM"/>
        <w:keepNext/>
      </w:pPr>
      <w:r>
        <w:t>Estos métodos:</w:t>
      </w:r>
    </w:p>
    <w:p w14:paraId="6B5DFFFD" w14:textId="6D3AD980" w:rsidR="00500701" w:rsidRPr="00F97388" w:rsidRDefault="00500701" w:rsidP="00500701">
      <w:pPr>
        <w:pStyle w:val="Nivel4"/>
        <w:ind w:left="1474"/>
        <w:rPr>
          <w:spacing w:val="-1"/>
        </w:rPr>
      </w:pPr>
      <w:bookmarkStart w:id="42" w:name="_Hlk132972116"/>
      <w:r w:rsidRPr="00F97388">
        <w:rPr>
          <w:spacing w:val="-1"/>
        </w:rPr>
        <w:t>Presentan la ventaja de que</w:t>
      </w:r>
      <w:r w:rsidR="00F97388" w:rsidRPr="00F97388">
        <w:rPr>
          <w:spacing w:val="-1"/>
        </w:rPr>
        <w:t>,</w:t>
      </w:r>
      <w:r w:rsidRPr="00F97388">
        <w:rPr>
          <w:spacing w:val="-1"/>
        </w:rPr>
        <w:t xml:space="preserve"> a la hora de calcular el coste de capital de una empresa en su conjunto</w:t>
      </w:r>
      <w:r w:rsidR="00F97388" w:rsidRPr="00F97388">
        <w:rPr>
          <w:spacing w:val="-1"/>
        </w:rPr>
        <w:t>,</w:t>
      </w:r>
      <w:r w:rsidRPr="00F97388">
        <w:rPr>
          <w:spacing w:val="-1"/>
        </w:rPr>
        <w:t xml:space="preserve"> permiten abstraerse de la estructura del capital, calculando directamente el coste de capital del conjunto de los activos de tal manera que cambios en la estructura del capital no introduzcan sesgos en la estimación del coste de capital.</w:t>
      </w:r>
    </w:p>
    <w:bookmarkEnd w:id="42"/>
    <w:p w14:paraId="5BE0C6EA" w14:textId="1BD7D2A5" w:rsidR="00500701" w:rsidRDefault="00500701" w:rsidP="00500701">
      <w:pPr>
        <w:pStyle w:val="Nivel4"/>
        <w:ind w:left="1474"/>
      </w:pPr>
      <w:r>
        <w:t xml:space="preserve">Sin embargo, requieren de supuestos muy fuertes y de difícil cumplimiento en la práctica. Además, el cálculo de las betas no es sino una estimación de muy difícil cálculo preciso </w:t>
      </w:r>
      <w:r w:rsidRPr="008247BD">
        <w:rPr>
          <w:color w:val="767171" w:themeColor="background2" w:themeShade="80"/>
          <w:sz w:val="19"/>
          <w:szCs w:val="19"/>
        </w:rPr>
        <w:t>[ver tema 3.B.2</w:t>
      </w:r>
      <w:r w:rsidR="00811726">
        <w:rPr>
          <w:color w:val="767171" w:themeColor="background2" w:themeShade="80"/>
          <w:sz w:val="19"/>
          <w:szCs w:val="19"/>
        </w:rPr>
        <w:t>3</w:t>
      </w:r>
      <w:r w:rsidRPr="008247BD">
        <w:rPr>
          <w:color w:val="767171" w:themeColor="background2" w:themeShade="80"/>
          <w:sz w:val="19"/>
          <w:szCs w:val="19"/>
        </w:rPr>
        <w:t>]</w:t>
      </w:r>
      <w:r>
        <w:t>.</w:t>
      </w:r>
    </w:p>
    <w:p w14:paraId="4211E950" w14:textId="6E393E00" w:rsidR="00C41682" w:rsidRDefault="00211F9C" w:rsidP="00583B9A">
      <w:pPr>
        <w:pStyle w:val="Prrafodelista"/>
        <w:keepNext/>
        <w:numPr>
          <w:ilvl w:val="0"/>
          <w:numId w:val="9"/>
        </w:numPr>
        <w:spacing w:after="0"/>
        <w:ind w:left="567" w:hanging="113"/>
      </w:pPr>
      <w:r>
        <w:lastRenderedPageBreak/>
        <w:t xml:space="preserve">Otra forma de estimar el </w:t>
      </w:r>
      <w:r w:rsidR="00F131C0">
        <w:t>coste de capital</w:t>
      </w:r>
      <w:r>
        <w:t xml:space="preserve"> de una inversión es el llamado </w:t>
      </w:r>
      <w:r w:rsidRPr="00583B9A">
        <w:rPr>
          <w:i/>
          <w:iCs/>
          <w:u w:val="single"/>
        </w:rPr>
        <w:t>cálculo implícito</w:t>
      </w:r>
      <w:r>
        <w:t xml:space="preserve"> a partir del precio de mercado de la inversión y la secuencia de flujos de caja.</w:t>
      </w:r>
    </w:p>
    <w:p w14:paraId="1233A86C" w14:textId="1D988510" w:rsidR="00C41682" w:rsidRPr="00C41682" w:rsidRDefault="00000000" w:rsidP="003A5873">
      <w:pPr>
        <w:pStyle w:val="Nivel1"/>
        <w:numPr>
          <w:ilvl w:val="0"/>
          <w:numId w:val="0"/>
        </w:numPr>
        <w:spacing w:before="0" w:after="0"/>
        <w:ind w:left="567"/>
        <w:rPr>
          <w:rFonts w:eastAsiaTheme="minorEastAsia"/>
          <w:i/>
          <w:iCs/>
          <w:lang w:val="fr-FR"/>
        </w:rPr>
      </w:pPr>
      <m:oMathPara>
        <m:oMath>
          <m:borderBox>
            <m:borderBoxPr>
              <m:ctrlPr>
                <w:rPr>
                  <w:rFonts w:ascii="Cambria Math" w:hAnsi="Cambria Math"/>
                  <w:i/>
                  <w:iCs/>
                  <w:lang w:val="fr-FR"/>
                </w:rPr>
              </m:ctrlPr>
            </m:borderBoxPr>
            <m:e>
              <m:r>
                <m:rPr>
                  <m:nor/>
                </m:rPr>
                <w:rPr>
                  <w:i/>
                  <w:iCs/>
                  <w:lang w:val="fr-FR"/>
                </w:rPr>
                <m:t>V</m:t>
              </m:r>
              <m:r>
                <w:rPr>
                  <w:rFonts w:ascii="Cambria Math" w:hAnsi="Cambria Math"/>
                  <w:lang w:val="fr-FR"/>
                </w:rPr>
                <m:t>=</m:t>
              </m:r>
              <m:sSub>
                <m:sSubPr>
                  <m:ctrlPr>
                    <w:rPr>
                      <w:rFonts w:ascii="Cambria Math" w:hAnsi="Cambria Math"/>
                      <w:i/>
                      <w:iCs/>
                    </w:rPr>
                  </m:ctrlPr>
                </m:sSubPr>
                <m:e>
                  <m:r>
                    <m:rPr>
                      <m:nor/>
                    </m:rPr>
                    <w:rPr>
                      <w:i/>
                      <w:iCs/>
                      <w:lang w:val="fr-FR"/>
                    </w:rPr>
                    <m:t>V</m:t>
                  </m:r>
                </m:e>
                <m:sub>
                  <m:r>
                    <m:rPr>
                      <m:nor/>
                    </m:rPr>
                    <w:rPr>
                      <w:i/>
                      <w:iCs/>
                      <w:lang w:val="fr-FR"/>
                    </w:rPr>
                    <m:t>D</m:t>
                  </m:r>
                </m:sub>
              </m:sSub>
              <m:r>
                <w:rPr>
                  <w:rFonts w:ascii="Cambria Math" w:hAnsi="Cambria Math"/>
                  <w:lang w:val="fr-FR"/>
                </w:rPr>
                <m:t>+</m:t>
              </m:r>
              <m:sSub>
                <m:sSubPr>
                  <m:ctrlPr>
                    <w:rPr>
                      <w:rFonts w:ascii="Cambria Math" w:hAnsi="Cambria Math"/>
                      <w:i/>
                      <w:iCs/>
                    </w:rPr>
                  </m:ctrlPr>
                </m:sSubPr>
                <m:e>
                  <m:r>
                    <m:rPr>
                      <m:nor/>
                    </m:rPr>
                    <w:rPr>
                      <w:i/>
                      <w:iCs/>
                      <w:lang w:val="fr-FR"/>
                    </w:rPr>
                    <m:t>V</m:t>
                  </m:r>
                </m:e>
                <m:sub>
                  <m:r>
                    <m:rPr>
                      <m:nor/>
                    </m:rPr>
                    <w:rPr>
                      <w:i/>
                      <w:iCs/>
                      <w:lang w:val="fr-FR"/>
                    </w:rPr>
                    <m:t>E</m:t>
                  </m:r>
                </m:sub>
              </m:sSub>
              <m:r>
                <w:rPr>
                  <w:rFonts w:ascii="Cambria Math" w:hAnsi="Cambria Math"/>
                  <w:lang w:val="fr-FR"/>
                </w:rPr>
                <m:t>=</m:t>
              </m:r>
              <m:nary>
                <m:naryPr>
                  <m:chr m:val="∑"/>
                  <m:limLoc m:val="undOvr"/>
                  <m:ctrlPr>
                    <w:rPr>
                      <w:rFonts w:ascii="Cambria Math" w:hAnsi="Cambria Math"/>
                      <w:i/>
                      <w:iCs/>
                    </w:rPr>
                  </m:ctrlPr>
                </m:naryPr>
                <m:sub>
                  <m:r>
                    <m:rPr>
                      <m:nor/>
                    </m:rPr>
                    <w:rPr>
                      <w:i/>
                      <w:iCs/>
                      <w:lang w:val="fr-FR"/>
                    </w:rPr>
                    <m:t>t</m:t>
                  </m:r>
                  <m:r>
                    <w:rPr>
                      <w:rFonts w:ascii="Cambria Math" w:hAnsi="Cambria Math"/>
                      <w:lang w:val="fr-FR"/>
                    </w:rPr>
                    <m:t>=</m:t>
                  </m:r>
                  <m:r>
                    <m:rPr>
                      <m:nor/>
                    </m:rPr>
                    <w:rPr>
                      <w:i/>
                      <w:iCs/>
                      <w:lang w:val="fr-FR"/>
                    </w:rPr>
                    <m:t>0</m:t>
                  </m:r>
                </m:sub>
                <m:sup>
                  <m:r>
                    <w:rPr>
                      <w:rFonts w:ascii="Cambria Math" w:hAnsi="Cambria Math"/>
                      <w:lang w:val="fr-FR"/>
                    </w:rPr>
                    <m:t>+∞</m:t>
                  </m:r>
                </m:sup>
                <m:e>
                  <m:f>
                    <m:fPr>
                      <m:ctrlPr>
                        <w:rPr>
                          <w:rFonts w:ascii="Cambria Math" w:hAnsi="Cambria Math"/>
                          <w:i/>
                          <w:iCs/>
                        </w:rPr>
                      </m:ctrlPr>
                    </m:fPr>
                    <m:num>
                      <m:sSub>
                        <m:sSubPr>
                          <m:ctrlPr>
                            <w:rPr>
                              <w:rFonts w:ascii="Cambria Math" w:hAnsi="Cambria Math"/>
                              <w:i/>
                              <w:iCs/>
                            </w:rPr>
                          </m:ctrlPr>
                        </m:sSubPr>
                        <m:e>
                          <m:r>
                            <m:rPr>
                              <m:nor/>
                            </m:rPr>
                            <w:rPr>
                              <w:i/>
                              <w:iCs/>
                              <w:lang w:val="fr-FR"/>
                            </w:rPr>
                            <m:t>FC</m:t>
                          </m:r>
                        </m:e>
                        <m:sub>
                          <m:r>
                            <m:rPr>
                              <m:nor/>
                            </m:rPr>
                            <w:rPr>
                              <w:i/>
                              <w:iCs/>
                              <w:lang w:val="fr-FR"/>
                            </w:rPr>
                            <m:t>t</m:t>
                          </m:r>
                        </m:sub>
                      </m:sSub>
                    </m:num>
                    <m:den>
                      <m:sSup>
                        <m:sSupPr>
                          <m:ctrlPr>
                            <w:rPr>
                              <w:rFonts w:ascii="Cambria Math" w:hAnsi="Cambria Math"/>
                              <w:i/>
                              <w:iCs/>
                            </w:rPr>
                          </m:ctrlPr>
                        </m:sSupPr>
                        <m:e>
                          <m:d>
                            <m:dPr>
                              <m:ctrlPr>
                                <w:rPr>
                                  <w:rFonts w:ascii="Cambria Math" w:hAnsi="Cambria Math"/>
                                  <w:i/>
                                  <w:iCs/>
                                </w:rPr>
                              </m:ctrlPr>
                            </m:dPr>
                            <m:e>
                              <m:r>
                                <m:rPr>
                                  <m:nor/>
                                </m:rPr>
                                <w:rPr>
                                  <w:i/>
                                  <w:iCs/>
                                  <w:lang w:val="fr-FR"/>
                                </w:rPr>
                                <m:t>1</m:t>
                              </m:r>
                              <m:r>
                                <w:rPr>
                                  <w:rFonts w:ascii="Cambria Math" w:hAnsi="Cambria Math"/>
                                  <w:lang w:val="fr-FR"/>
                                </w:rPr>
                                <m:t>+</m:t>
                              </m:r>
                              <m:r>
                                <m:rPr>
                                  <m:nor/>
                                </m:rPr>
                                <w:rPr>
                                  <w:b/>
                                  <w:bCs/>
                                  <w:i/>
                                  <w:iCs/>
                                  <w:lang w:val="fr-FR"/>
                                </w:rPr>
                                <m:t>k</m:t>
                              </m:r>
                            </m:e>
                          </m:d>
                        </m:e>
                        <m:sup>
                          <m:r>
                            <m:rPr>
                              <m:nor/>
                            </m:rPr>
                            <w:rPr>
                              <w:i/>
                              <w:iCs/>
                              <w:lang w:val="fr-FR"/>
                            </w:rPr>
                            <m:t>t</m:t>
                          </m:r>
                        </m:sup>
                      </m:sSup>
                    </m:den>
                  </m:f>
                </m:e>
              </m:nary>
            </m:e>
          </m:borderBox>
          <m:r>
            <w:rPr>
              <w:rFonts w:ascii="Cambria Math" w:hAnsi="Cambria Math"/>
              <w:lang w:val="fr-FR"/>
            </w:rPr>
            <m:t xml:space="preserve"> </m:t>
          </m:r>
        </m:oMath>
      </m:oMathPara>
    </w:p>
    <w:p w14:paraId="621BF32F" w14:textId="10BCD37D" w:rsidR="00C41682" w:rsidRPr="00C41682" w:rsidRDefault="00C41682" w:rsidP="003A5873">
      <w:pPr>
        <w:pStyle w:val="Nivel1"/>
        <w:numPr>
          <w:ilvl w:val="0"/>
          <w:numId w:val="0"/>
        </w:numPr>
        <w:spacing w:before="0" w:after="0"/>
        <w:ind w:left="567"/>
      </w:pPr>
      <w:r>
        <w:t xml:space="preserve">Para hallar el coste de capital es necesario resolver está ecuación para </w:t>
      </w:r>
      <m:oMath>
        <m:r>
          <m:rPr>
            <m:nor/>
          </m:rPr>
          <w:rPr>
            <w:i/>
            <w:iCs/>
          </w:rPr>
          <m:t>k</m:t>
        </m:r>
      </m:oMath>
      <w:r>
        <w:rPr>
          <w:rFonts w:eastAsiaTheme="minorEastAsia"/>
          <w:iCs/>
        </w:rPr>
        <w:t>.</w:t>
      </w:r>
    </w:p>
    <w:p w14:paraId="16615FF1" w14:textId="1911D48D" w:rsidR="00211F9C" w:rsidRDefault="00211F9C" w:rsidP="00500701">
      <w:pPr>
        <w:pStyle w:val="Nivel3SM"/>
      </w:pPr>
      <w:r>
        <w:t xml:space="preserve">Aunque en teoría este método debería ser muy preciso y sencillo, en la práctica tiene poca utilidad para la mayoría de las inversiones porque es muy difícil o imposible conocer la secuencia de </w:t>
      </w:r>
      <w:r w:rsidR="00A01FF1">
        <w:t>fl</w:t>
      </w:r>
      <w:r>
        <w:t>ujos de caja que los agentes participantes en la formación de precios estiman de forma consensuada.</w:t>
      </w:r>
    </w:p>
    <w:p w14:paraId="0300DF29" w14:textId="0985C81B" w:rsidR="00B50B2C" w:rsidRDefault="00B50B2C" w:rsidP="00583B9A">
      <w:pPr>
        <w:pStyle w:val="Prrafodelista"/>
        <w:numPr>
          <w:ilvl w:val="0"/>
          <w:numId w:val="9"/>
        </w:numPr>
        <w:spacing w:after="0"/>
        <w:ind w:left="567" w:hanging="113"/>
      </w:pPr>
      <w:r>
        <w:t xml:space="preserve">El </w:t>
      </w:r>
      <w:r w:rsidRPr="00583B9A">
        <w:rPr>
          <w:i/>
          <w:iCs/>
          <w:u w:val="single"/>
        </w:rPr>
        <w:t>método de cálculo indirecto</w:t>
      </w:r>
      <w:r>
        <w:t xml:space="preserve"> de estimación del coste de capital utilizado por una empresa consiste en valorar por separado la deuda y el </w:t>
      </w:r>
      <w:proofErr w:type="spellStart"/>
      <w:r>
        <w:t>equity</w:t>
      </w:r>
      <w:proofErr w:type="spellEnd"/>
      <w:r>
        <w:t xml:space="preserve">, y calcular posteriormente una media ponderada de ambos denominada </w:t>
      </w:r>
      <w:bookmarkStart w:id="43" w:name="_Hlk94972493"/>
      <w:proofErr w:type="spellStart"/>
      <w:r w:rsidRPr="00583B9A">
        <w:rPr>
          <w:i/>
          <w:iCs/>
        </w:rPr>
        <w:t>Weighted</w:t>
      </w:r>
      <w:proofErr w:type="spellEnd"/>
      <w:r w:rsidRPr="00583B9A">
        <w:rPr>
          <w:i/>
          <w:iCs/>
        </w:rPr>
        <w:t xml:space="preserve"> </w:t>
      </w:r>
      <w:proofErr w:type="spellStart"/>
      <w:r w:rsidRPr="00583B9A">
        <w:rPr>
          <w:i/>
          <w:iCs/>
        </w:rPr>
        <w:t>Average</w:t>
      </w:r>
      <w:proofErr w:type="spellEnd"/>
      <w:r w:rsidRPr="00583B9A">
        <w:rPr>
          <w:i/>
          <w:iCs/>
        </w:rPr>
        <w:t xml:space="preserve"> </w:t>
      </w:r>
      <w:proofErr w:type="spellStart"/>
      <w:r w:rsidRPr="00583B9A">
        <w:rPr>
          <w:i/>
          <w:iCs/>
        </w:rPr>
        <w:t>Cost</w:t>
      </w:r>
      <w:proofErr w:type="spellEnd"/>
      <w:r w:rsidRPr="00583B9A">
        <w:rPr>
          <w:i/>
          <w:iCs/>
        </w:rPr>
        <w:t xml:space="preserve"> </w:t>
      </w:r>
      <w:proofErr w:type="spellStart"/>
      <w:r w:rsidRPr="00583B9A">
        <w:rPr>
          <w:i/>
          <w:iCs/>
        </w:rPr>
        <w:t>of</w:t>
      </w:r>
      <w:proofErr w:type="spellEnd"/>
      <w:r w:rsidRPr="00583B9A">
        <w:rPr>
          <w:i/>
          <w:iCs/>
        </w:rPr>
        <w:t xml:space="preserve"> Capital</w:t>
      </w:r>
      <w:r>
        <w:t xml:space="preserve"> </w:t>
      </w:r>
      <w:bookmarkEnd w:id="43"/>
      <w:r>
        <w:t>(WACC).</w:t>
      </w:r>
    </w:p>
    <w:p w14:paraId="0F309344" w14:textId="4473C51F" w:rsidR="00B50B2C" w:rsidRPr="00F97388" w:rsidRDefault="00B50B2C" w:rsidP="00B21F79">
      <w:pPr>
        <w:keepNext/>
        <w:spacing w:after="0"/>
        <w:ind w:left="567"/>
      </w:pPr>
      <w:r w:rsidRPr="00F97388">
        <w:t xml:space="preserve">Es el método más utilizado para calcular el coste de capital, y su obtención consta de </w:t>
      </w:r>
      <w:r w:rsidR="00F97388" w:rsidRPr="00F97388">
        <w:t>3 </w:t>
      </w:r>
      <w:r w:rsidRPr="00F97388">
        <w:t>pasos:</w:t>
      </w:r>
    </w:p>
    <w:p w14:paraId="558E4F86" w14:textId="4C0C7837" w:rsidR="00B50B2C" w:rsidRDefault="008247BD" w:rsidP="00500701">
      <w:pPr>
        <w:pStyle w:val="Nmeroromano"/>
        <w:keepNext/>
        <w:numPr>
          <w:ilvl w:val="1"/>
          <w:numId w:val="7"/>
        </w:numPr>
        <w:tabs>
          <w:tab w:val="num" w:pos="643"/>
        </w:tabs>
        <w:spacing w:after="0"/>
        <w:ind w:left="964" w:hanging="196"/>
      </w:pPr>
      <w:r>
        <w:rPr>
          <w:i/>
          <w:iCs/>
          <w:u w:val="single"/>
          <w14:glow w14:rad="38100">
            <w14:srgbClr w14:val="00B0F0">
              <w14:alpha w14:val="75000"/>
            </w14:srgbClr>
          </w14:glow>
        </w:rPr>
        <w:t>C</w:t>
      </w:r>
      <w:r w:rsidRPr="00A103A5">
        <w:rPr>
          <w:i/>
          <w:iCs/>
          <w:u w:val="single"/>
          <w14:glow w14:rad="38100">
            <w14:srgbClr w14:val="00B0F0">
              <w14:alpha w14:val="75000"/>
            </w14:srgbClr>
          </w14:glow>
        </w:rPr>
        <w:t>oste de capital propio</w:t>
      </w:r>
      <w:r w:rsidRPr="00A103A5">
        <w:rPr>
          <w14:glow w14:rad="38100">
            <w14:srgbClr w14:val="00B0F0">
              <w14:alpha w14:val="75000"/>
            </w14:srgbClr>
          </w14:glow>
        </w:rPr>
        <w:t xml:space="preserve"> (</w:t>
      </w:r>
      <w:r>
        <w:rPr>
          <w14:glow w14:rad="38100">
            <w14:srgbClr w14:val="00B0F0">
              <w14:alpha w14:val="75000"/>
            </w14:srgbClr>
          </w14:glow>
        </w:rPr>
        <w:t xml:space="preserve">Tasa de rendimiento requerida sobre los recursos propios – </w:t>
      </w:r>
      <m:oMath>
        <m:sSub>
          <m:sSubPr>
            <m:ctrlPr>
              <w:rPr>
                <w:rFonts w:ascii="Cambria Math" w:hAnsi="Cambria Math"/>
                <w:i/>
                <w:iCs/>
                <w:lang w:val="en-US"/>
                <w14:glow w14:rad="38100">
                  <w14:srgbClr w14:val="00B0F0">
                    <w14:alpha w14:val="75000"/>
                  </w14:srgbClr>
                </w14:glow>
              </w:rPr>
            </m:ctrlPr>
          </m:sSubPr>
          <m:e>
            <m:r>
              <m:rPr>
                <m:nor/>
              </m:rPr>
              <w:rPr>
                <w:i/>
                <w:iCs/>
                <w14:glow w14:rad="38100">
                  <w14:srgbClr w14:val="00B0F0">
                    <w14:alpha w14:val="75000"/>
                  </w14:srgbClr>
                </w14:glow>
              </w:rPr>
              <m:t>r</m:t>
            </m:r>
          </m:e>
          <m:sub>
            <m:r>
              <m:rPr>
                <m:nor/>
              </m:rPr>
              <w:rPr>
                <w:i/>
                <w:iCs/>
                <w14:glow w14:rad="38100">
                  <w14:srgbClr w14:val="00B0F0">
                    <w14:alpha w14:val="75000"/>
                  </w14:srgbClr>
                </w14:glow>
              </w:rPr>
              <m:t>E</m:t>
            </m:r>
          </m:sub>
        </m:sSub>
      </m:oMath>
      <w:r w:rsidRPr="00A103A5">
        <w:rPr>
          <w14:glow w14:rad="38100">
            <w14:srgbClr w14:val="00B0F0">
              <w14:alpha w14:val="75000"/>
            </w14:srgbClr>
          </w14:glow>
        </w:rPr>
        <w:t>)</w:t>
      </w:r>
      <w:bookmarkStart w:id="44" w:name="_Hlk132972463"/>
      <w:r w:rsidR="00592342" w:rsidRPr="008247BD">
        <w:rPr>
          <w:rStyle w:val="Refdenotaalpie"/>
          <w:spacing w:val="-1"/>
        </w:rPr>
        <w:footnoteReference w:id="19"/>
      </w:r>
      <w:r w:rsidR="00F97388" w:rsidRPr="00F97388">
        <w:rPr>
          <w:rStyle w:val="Refdenotaalpie"/>
        </w:rPr>
        <w:t>,</w:t>
      </w:r>
      <w:r w:rsidR="00C75462" w:rsidRPr="00F97388">
        <w:rPr>
          <w:rStyle w:val="Refdenotaalpie"/>
        </w:rPr>
        <w:footnoteReference w:id="20"/>
      </w:r>
      <w:bookmarkEnd w:id="44"/>
      <w:r w:rsidR="00B50B2C" w:rsidRPr="00A62A8C">
        <w:rPr>
          <w:spacing w:val="-1"/>
        </w:rPr>
        <w:t>:</w:t>
      </w:r>
      <w:r w:rsidR="00B50B2C">
        <w:t xml:space="preserve"> El capital propio no tiene un coste explícito, sino un coste de oportunidad que viene determinado por las ganancias exigidas por los accionistas de la empresa en función del riesgo asociado y el rendimiento por unidad de riesgo del mercado financiero. Por lo tanto</w:t>
      </w:r>
      <w:r w:rsidR="00AE7F27">
        <w:t>,</w:t>
      </w:r>
      <w:r w:rsidR="00B50B2C">
        <w:t xml:space="preserve"> es la tasa de descuento requerida por los accionistas para que la cotización no varíe</w:t>
      </w:r>
      <w:r w:rsidR="00B50B2C">
        <w:rPr>
          <w:rStyle w:val="Refdenotaalpie"/>
        </w:rPr>
        <w:footnoteReference w:id="21"/>
      </w:r>
      <w:r w:rsidR="00B50B2C">
        <w:t>:</w:t>
      </w:r>
    </w:p>
    <w:p w14:paraId="4F8DADE2" w14:textId="7B03B962" w:rsidR="00B50B2C" w:rsidRPr="00AE7F27" w:rsidRDefault="00000000" w:rsidP="00700E95">
      <w:pPr>
        <w:pStyle w:val="Nmeroromano"/>
        <w:numPr>
          <w:ilvl w:val="0"/>
          <w:numId w:val="0"/>
        </w:numPr>
        <w:spacing w:after="0"/>
        <w:ind w:left="964"/>
        <w:rPr>
          <w:iCs/>
        </w:rPr>
      </w:pPr>
      <m:oMathPara>
        <m:oMath>
          <m:sSub>
            <m:sSubPr>
              <m:ctrlPr>
                <w:rPr>
                  <w:rFonts w:ascii="Cambria Math" w:hAnsi="Cambria Math"/>
                  <w:i/>
                  <w:iCs/>
                </w:rPr>
              </m:ctrlPr>
            </m:sSubPr>
            <m:e>
              <m:r>
                <m:rPr>
                  <m:nor/>
                </m:rPr>
                <w:rPr>
                  <w:i/>
                  <w:iCs/>
                </w:rPr>
                <m:t>P</m:t>
              </m:r>
            </m:e>
            <m:sub>
              <m:r>
                <m:rPr>
                  <m:nor/>
                </m:rPr>
                <w:rPr>
                  <w:i/>
                  <w:iCs/>
                </w:rPr>
                <m:t>0</m:t>
              </m:r>
            </m:sub>
          </m:sSub>
          <m:r>
            <w:rPr>
              <w:rFonts w:ascii="Cambria Math" w:hAnsi="Cambria Math"/>
            </w:rPr>
            <m:t>=</m:t>
          </m:r>
          <m:nary>
            <m:naryPr>
              <m:chr m:val="∑"/>
              <m:limLoc m:val="undOvr"/>
              <m:ctrlPr>
                <w:rPr>
                  <w:rFonts w:ascii="Cambria Math" w:hAnsi="Cambria Math"/>
                  <w:i/>
                  <w:iCs/>
                </w:rPr>
              </m:ctrlPr>
            </m:naryPr>
            <m:sub>
              <m:r>
                <m:rPr>
                  <m:nor/>
                </m:rPr>
                <w:rPr>
                  <w:i/>
                  <w:iCs/>
                </w:rPr>
                <m:t>t</m:t>
              </m:r>
              <m:r>
                <w:rPr>
                  <w:rFonts w:ascii="Cambria Math" w:hAnsi="Cambria Math"/>
                </w:rPr>
                <m:t>=</m:t>
              </m:r>
              <m:r>
                <m:rPr>
                  <m:nor/>
                </m:rPr>
                <w:rPr>
                  <w:i/>
                  <w:iCs/>
                </w:rPr>
                <m:t>1</m:t>
              </m:r>
            </m:sub>
            <m:sup>
              <m:r>
                <w:rPr>
                  <w:rFonts w:ascii="Cambria Math" w:hAnsi="Cambria Math"/>
                </w:rPr>
                <m:t>+∞</m:t>
              </m:r>
            </m:sup>
            <m:e>
              <m:f>
                <m:fPr>
                  <m:ctrlPr>
                    <w:rPr>
                      <w:rFonts w:ascii="Cambria Math" w:hAnsi="Cambria Math"/>
                      <w:i/>
                      <w:iCs/>
                    </w:rPr>
                  </m:ctrlPr>
                </m:fPr>
                <m:num>
                  <m:sSub>
                    <m:sSubPr>
                      <m:ctrlPr>
                        <w:rPr>
                          <w:rFonts w:ascii="Cambria Math" w:hAnsi="Cambria Math"/>
                          <w:i/>
                          <w:iCs/>
                        </w:rPr>
                      </m:ctrlPr>
                    </m:sSubPr>
                    <m:e>
                      <m:r>
                        <m:rPr>
                          <m:nor/>
                        </m:rPr>
                        <w:rPr>
                          <w:i/>
                          <w:iCs/>
                        </w:rPr>
                        <m:t>D</m:t>
                      </m:r>
                    </m:e>
                    <m:sub>
                      <m:r>
                        <m:rPr>
                          <m:nor/>
                        </m:rPr>
                        <w:rPr>
                          <w:i/>
                          <w:iCs/>
                        </w:rPr>
                        <m:t>t</m:t>
                      </m:r>
                    </m:sub>
                  </m:sSub>
                </m:num>
                <m:den>
                  <m:sSup>
                    <m:sSupPr>
                      <m:ctrlPr>
                        <w:rPr>
                          <w:rFonts w:ascii="Cambria Math" w:hAnsi="Cambria Math"/>
                          <w:i/>
                          <w:iCs/>
                        </w:rPr>
                      </m:ctrlPr>
                    </m:sSupPr>
                    <m:e>
                      <m:d>
                        <m:dPr>
                          <m:ctrlPr>
                            <w:rPr>
                              <w:rFonts w:ascii="Cambria Math" w:hAnsi="Cambria Math"/>
                              <w:i/>
                              <w:iCs/>
                            </w:rPr>
                          </m:ctrlPr>
                        </m:dPr>
                        <m:e>
                          <m:r>
                            <m:rPr>
                              <m:nor/>
                            </m:rPr>
                            <w:rPr>
                              <w:i/>
                              <w:iCs/>
                            </w:rPr>
                            <m:t>1</m:t>
                          </m:r>
                          <m:r>
                            <w:rPr>
                              <w:rFonts w:ascii="Cambria Math" w:hAnsi="Cambria Math"/>
                            </w:rPr>
                            <m:t>+</m:t>
                          </m:r>
                          <m:sSub>
                            <m:sSubPr>
                              <m:ctrlPr>
                                <w:rPr>
                                  <w:rFonts w:ascii="Cambria Math" w:hAnsi="Cambria Math"/>
                                  <w:b/>
                                  <w:bCs/>
                                  <w:i/>
                                  <w:iCs/>
                                  <w:lang w:val="en-US"/>
                                  <w14:glow w14:rad="38100">
                                    <w14:srgbClr w14:val="00B0F0">
                                      <w14:alpha w14:val="75000"/>
                                    </w14:srgbClr>
                                  </w14:glow>
                                </w:rPr>
                              </m:ctrlPr>
                            </m:sSubPr>
                            <m:e>
                              <m:r>
                                <m:rPr>
                                  <m:nor/>
                                </m:rPr>
                                <w:rPr>
                                  <w:b/>
                                  <w:bCs/>
                                  <w:i/>
                                  <w:iCs/>
                                  <w14:glow w14:rad="38100">
                                    <w14:srgbClr w14:val="00B0F0">
                                      <w14:alpha w14:val="75000"/>
                                    </w14:srgbClr>
                                  </w14:glow>
                                </w:rPr>
                                <m:t>r</m:t>
                              </m:r>
                            </m:e>
                            <m:sub>
                              <m:r>
                                <m:rPr>
                                  <m:nor/>
                                </m:rPr>
                                <w:rPr>
                                  <w:b/>
                                  <w:bCs/>
                                  <w:i/>
                                  <w:iCs/>
                                  <w14:glow w14:rad="38100">
                                    <w14:srgbClr w14:val="00B0F0">
                                      <w14:alpha w14:val="75000"/>
                                    </w14:srgbClr>
                                  </w14:glow>
                                </w:rPr>
                                <m:t>E</m:t>
                              </m:r>
                            </m:sub>
                          </m:sSub>
                        </m:e>
                      </m:d>
                    </m:e>
                    <m:sup>
                      <m:r>
                        <m:rPr>
                          <m:nor/>
                        </m:rPr>
                        <w:rPr>
                          <w:i/>
                          <w:iCs/>
                        </w:rPr>
                        <m:t>t</m:t>
                      </m:r>
                    </m:sup>
                  </m:sSup>
                </m:den>
              </m:f>
            </m:e>
          </m:nary>
          <m:r>
            <m:rPr>
              <m:sty m:val="p"/>
            </m:rPr>
            <w:rPr>
              <w:rFonts w:eastAsiaTheme="minorEastAsia"/>
            </w:rPr>
            <w:br/>
          </m:r>
        </m:oMath>
      </m:oMathPara>
      <w:r w:rsidR="00AE7F27" w:rsidRPr="00AE7F27">
        <w:rPr>
          <w:rFonts w:eastAsiaTheme="minorEastAsia"/>
          <w:iCs/>
        </w:rPr>
        <w:t xml:space="preserve">donde </w:t>
      </w:r>
      <m:oMath>
        <m:sSub>
          <m:sSubPr>
            <m:ctrlPr>
              <w:rPr>
                <w:rFonts w:ascii="Cambria Math" w:hAnsi="Cambria Math"/>
                <w:i/>
                <w:iCs/>
              </w:rPr>
            </m:ctrlPr>
          </m:sSubPr>
          <m:e>
            <m:r>
              <m:rPr>
                <m:nor/>
              </m:rPr>
              <w:rPr>
                <w:i/>
                <w:iCs/>
              </w:rPr>
              <m:t>D</m:t>
            </m:r>
          </m:e>
          <m:sub>
            <m:r>
              <m:rPr>
                <m:nor/>
              </m:rPr>
              <w:rPr>
                <w:i/>
                <w:iCs/>
              </w:rPr>
              <m:t>t</m:t>
            </m:r>
          </m:sub>
        </m:sSub>
      </m:oMath>
      <w:r w:rsidR="00AE7F27" w:rsidRPr="00AE7F27">
        <w:rPr>
          <w:rFonts w:eastAsiaTheme="minorEastAsia"/>
          <w:iCs/>
        </w:rPr>
        <w:t xml:space="preserve"> son los dividendos pagados e</w:t>
      </w:r>
      <w:r w:rsidR="00AE7F27">
        <w:rPr>
          <w:rFonts w:eastAsiaTheme="minorEastAsia"/>
          <w:iCs/>
        </w:rPr>
        <w:t>n el período</w:t>
      </w:r>
      <w:r w:rsidR="00B2464C">
        <w:rPr>
          <w:rFonts w:eastAsiaTheme="minorEastAsia"/>
          <w:iCs/>
        </w:rPr>
        <w:t> </w:t>
      </w:r>
      <w:r w:rsidR="00AE7F27">
        <w:rPr>
          <w:rFonts w:eastAsiaTheme="minorEastAsia"/>
          <w:i/>
        </w:rPr>
        <w:t>t</w:t>
      </w:r>
      <w:r w:rsidR="00AE7F27">
        <w:rPr>
          <w:rFonts w:eastAsiaTheme="minorEastAsia"/>
          <w:iCs/>
        </w:rPr>
        <w:t>.</w:t>
      </w:r>
    </w:p>
    <w:p w14:paraId="095487A7" w14:textId="3D8B43EC" w:rsidR="00B50B2C" w:rsidRDefault="008247BD" w:rsidP="00500701">
      <w:pPr>
        <w:pStyle w:val="Nmeroromano"/>
        <w:keepNext/>
        <w:numPr>
          <w:ilvl w:val="1"/>
          <w:numId w:val="7"/>
        </w:numPr>
        <w:tabs>
          <w:tab w:val="num" w:pos="643"/>
        </w:tabs>
        <w:spacing w:after="0"/>
        <w:ind w:left="964" w:hanging="198"/>
      </w:pPr>
      <w:r>
        <w:rPr>
          <w:i/>
          <w:iCs/>
          <w:u w:val="single"/>
          <w14:glow w14:rad="38100">
            <w14:srgbClr w14:val="FFC000">
              <w14:alpha w14:val="75000"/>
            </w14:srgbClr>
          </w14:glow>
        </w:rPr>
        <w:t>C</w:t>
      </w:r>
      <w:r w:rsidRPr="00A103A5">
        <w:rPr>
          <w:i/>
          <w:iCs/>
          <w:u w:val="single"/>
          <w14:glow w14:rad="38100">
            <w14:srgbClr w14:val="FFC000">
              <w14:alpha w14:val="75000"/>
            </w14:srgbClr>
          </w14:glow>
        </w:rPr>
        <w:t>oste de capital ajeno</w:t>
      </w:r>
      <w:r w:rsidRPr="00A103A5">
        <w:rPr>
          <w14:glow w14:rad="38100">
            <w14:srgbClr w14:val="FFC000">
              <w14:alpha w14:val="75000"/>
            </w14:srgbClr>
          </w14:glow>
        </w:rPr>
        <w:t xml:space="preserve"> (</w:t>
      </w:r>
      <w:r>
        <w:rPr>
          <w14:glow w14:rad="38100">
            <w14:srgbClr w14:val="FFC000">
              <w14:alpha w14:val="75000"/>
            </w14:srgbClr>
          </w14:glow>
        </w:rPr>
        <w:t xml:space="preserve">Tasa de rendimiento requerida de la deuda neta – </w:t>
      </w:r>
      <m:oMath>
        <m:sSub>
          <m:sSubPr>
            <m:ctrlPr>
              <w:rPr>
                <w:rFonts w:ascii="Cambria Math" w:hAnsi="Cambria Math"/>
                <w:i/>
                <w:iCs/>
                <w:lang w:val="en-US"/>
                <w14:glow w14:rad="38100">
                  <w14:srgbClr w14:val="FFC000">
                    <w14:alpha w14:val="75000"/>
                  </w14:srgbClr>
                </w14:glow>
              </w:rPr>
            </m:ctrlPr>
          </m:sSubPr>
          <m:e>
            <m:r>
              <m:rPr>
                <m:nor/>
              </m:rPr>
              <w:rPr>
                <w:i/>
                <w:iCs/>
                <w14:glow w14:rad="38100">
                  <w14:srgbClr w14:val="FFC000">
                    <w14:alpha w14:val="75000"/>
                  </w14:srgbClr>
                </w14:glow>
              </w:rPr>
              <m:t>r</m:t>
            </m:r>
          </m:e>
          <m:sub>
            <m:r>
              <m:rPr>
                <m:nor/>
              </m:rPr>
              <w:rPr>
                <w:i/>
                <w:iCs/>
                <w14:glow w14:rad="38100">
                  <w14:srgbClr w14:val="FFC000">
                    <w14:alpha w14:val="75000"/>
                  </w14:srgbClr>
                </w14:glow>
              </w:rPr>
              <m:t>D</m:t>
            </m:r>
          </m:sub>
        </m:sSub>
      </m:oMath>
      <w:r w:rsidRPr="00A103A5">
        <w:rPr>
          <w14:glow w14:rad="38100">
            <w14:srgbClr w14:val="FFC000">
              <w14:alpha w14:val="75000"/>
            </w14:srgbClr>
          </w14:glow>
        </w:rPr>
        <w:t>)</w:t>
      </w:r>
      <w:r w:rsidR="00B50B2C">
        <w:t xml:space="preserve">: El coste efectivo de </w:t>
      </w:r>
      <w:r w:rsidR="005E473A">
        <w:t>l</w:t>
      </w:r>
      <w:r w:rsidR="00B50B2C">
        <w:t>a deuda viene determinado por la tasa de descuento que iguala el valor actual de los fondos recibidos por la empresa (</w:t>
      </w:r>
      <m:oMath>
        <m:sSub>
          <m:sSubPr>
            <m:ctrlPr>
              <w:rPr>
                <w:rFonts w:ascii="Cambria Math" w:hAnsi="Cambria Math"/>
                <w:i/>
                <w:iCs/>
              </w:rPr>
            </m:ctrlPr>
          </m:sSubPr>
          <m:e>
            <m:r>
              <m:rPr>
                <m:nor/>
              </m:rPr>
              <w:rPr>
                <w:i/>
                <w:iCs/>
              </w:rPr>
              <m:t>I</m:t>
            </m:r>
          </m:e>
          <m:sub>
            <m:r>
              <m:rPr>
                <m:nor/>
              </m:rPr>
              <w:rPr>
                <w:i/>
                <w:iCs/>
              </w:rPr>
              <m:t>0</m:t>
            </m:r>
          </m:sub>
        </m:sSub>
      </m:oMath>
      <w:r w:rsidR="00B50B2C">
        <w:t>), netos de todo gasto, con el valor actual de las salidas de fondos previstas para atender al pago de intereses y la devolución del principal (</w:t>
      </w:r>
      <m:oMath>
        <m:sSub>
          <m:sSubPr>
            <m:ctrlPr>
              <w:rPr>
                <w:rFonts w:ascii="Cambria Math" w:hAnsi="Cambria Math"/>
                <w:i/>
                <w:iCs/>
              </w:rPr>
            </m:ctrlPr>
          </m:sSubPr>
          <m:e>
            <m:r>
              <m:rPr>
                <m:nor/>
              </m:rPr>
              <w:rPr>
                <w:i/>
                <w:iCs/>
              </w:rPr>
              <m:t>S</m:t>
            </m:r>
          </m:e>
          <m:sub>
            <m:r>
              <m:rPr>
                <m:nor/>
              </m:rPr>
              <w:rPr>
                <w:i/>
                <w:iCs/>
              </w:rPr>
              <m:t>t</m:t>
            </m:r>
          </m:sub>
        </m:sSub>
      </m:oMath>
      <w:r w:rsidR="00B50B2C">
        <w:t>)</w:t>
      </w:r>
      <w:bookmarkStart w:id="45" w:name="_Ref95038479"/>
      <w:r w:rsidR="00B50B2C">
        <w:rPr>
          <w:rStyle w:val="Refdenotaalpie"/>
        </w:rPr>
        <w:footnoteReference w:id="22"/>
      </w:r>
      <w:bookmarkEnd w:id="45"/>
      <w:r w:rsidR="00B50B2C">
        <w:t>.</w:t>
      </w:r>
    </w:p>
    <w:p w14:paraId="0AE4CF43" w14:textId="3910737C" w:rsidR="00B50B2C" w:rsidRDefault="00000000" w:rsidP="00500701">
      <w:pPr>
        <w:pStyle w:val="Nmeroromano"/>
        <w:numPr>
          <w:ilvl w:val="0"/>
          <w:numId w:val="0"/>
        </w:numPr>
        <w:spacing w:after="0"/>
        <w:ind w:left="964"/>
      </w:pPr>
      <m:oMathPara>
        <m:oMath>
          <m:sSub>
            <m:sSubPr>
              <m:ctrlPr>
                <w:rPr>
                  <w:rFonts w:ascii="Cambria Math" w:hAnsi="Cambria Math"/>
                  <w:i/>
                  <w:iCs/>
                </w:rPr>
              </m:ctrlPr>
            </m:sSubPr>
            <m:e>
              <m:r>
                <m:rPr>
                  <m:nor/>
                </m:rPr>
                <w:rPr>
                  <w:i/>
                  <w:iCs/>
                  <w:lang w:val="fr-FR"/>
                </w:rPr>
                <m:t>I</m:t>
              </m:r>
            </m:e>
            <m:sub>
              <m:r>
                <m:rPr>
                  <m:nor/>
                </m:rPr>
                <w:rPr>
                  <w:i/>
                  <w:iCs/>
                  <w:lang w:val="fr-FR"/>
                </w:rPr>
                <m:t>0</m:t>
              </m:r>
            </m:sub>
          </m:sSub>
          <m:r>
            <w:rPr>
              <w:rFonts w:ascii="Cambria Math" w:hAnsi="Cambria Math"/>
            </w:rPr>
            <m:t>=</m:t>
          </m:r>
          <m:nary>
            <m:naryPr>
              <m:chr m:val="∑"/>
              <m:limLoc m:val="undOvr"/>
              <m:ctrlPr>
                <w:rPr>
                  <w:rFonts w:ascii="Cambria Math" w:hAnsi="Cambria Math"/>
                  <w:i/>
                  <w:iCs/>
                </w:rPr>
              </m:ctrlPr>
            </m:naryPr>
            <m:sub>
              <m:r>
                <m:rPr>
                  <m:nor/>
                </m:rPr>
                <w:rPr>
                  <w:i/>
                  <w:iCs/>
                  <w:lang w:val="fr-FR"/>
                </w:rPr>
                <m:t>t</m:t>
              </m:r>
              <m:r>
                <w:rPr>
                  <w:rFonts w:ascii="Cambria Math" w:hAnsi="Cambria Math"/>
                  <w:lang w:val="fr-FR"/>
                </w:rPr>
                <m:t>=</m:t>
              </m:r>
              <m:r>
                <m:rPr>
                  <m:nor/>
                </m:rPr>
                <w:rPr>
                  <w:i/>
                  <w:iCs/>
                  <w:lang w:val="fr-FR"/>
                </w:rPr>
                <m:t>1</m:t>
              </m:r>
            </m:sub>
            <m:sup>
              <m:r>
                <w:rPr>
                  <w:rFonts w:ascii="Cambria Math" w:hAnsi="Cambria Math"/>
                  <w:lang w:val="fr-FR"/>
                </w:rPr>
                <m:t>+∞</m:t>
              </m:r>
            </m:sup>
            <m:e>
              <m:f>
                <m:fPr>
                  <m:ctrlPr>
                    <w:rPr>
                      <w:rFonts w:ascii="Cambria Math" w:hAnsi="Cambria Math"/>
                      <w:i/>
                      <w:iCs/>
                    </w:rPr>
                  </m:ctrlPr>
                </m:fPr>
                <m:num>
                  <m:sSub>
                    <m:sSubPr>
                      <m:ctrlPr>
                        <w:rPr>
                          <w:rFonts w:ascii="Cambria Math" w:hAnsi="Cambria Math"/>
                          <w:i/>
                          <w:iCs/>
                        </w:rPr>
                      </m:ctrlPr>
                    </m:sSubPr>
                    <m:e>
                      <m:r>
                        <m:rPr>
                          <m:nor/>
                        </m:rPr>
                        <w:rPr>
                          <w:i/>
                          <w:iCs/>
                          <w:lang w:val="fr-FR"/>
                        </w:rPr>
                        <m:t>S</m:t>
                      </m:r>
                    </m:e>
                    <m:sub>
                      <m:r>
                        <m:rPr>
                          <m:nor/>
                        </m:rPr>
                        <w:rPr>
                          <w:i/>
                          <w:iCs/>
                          <w:lang w:val="fr-FR"/>
                        </w:rPr>
                        <m:t>t</m:t>
                      </m:r>
                    </m:sub>
                  </m:sSub>
                </m:num>
                <m:den>
                  <m:sSup>
                    <m:sSupPr>
                      <m:ctrlPr>
                        <w:rPr>
                          <w:rFonts w:ascii="Cambria Math" w:hAnsi="Cambria Math"/>
                          <w:i/>
                          <w:iCs/>
                        </w:rPr>
                      </m:ctrlPr>
                    </m:sSupPr>
                    <m:e>
                      <m:d>
                        <m:dPr>
                          <m:ctrlPr>
                            <w:rPr>
                              <w:rFonts w:ascii="Cambria Math" w:hAnsi="Cambria Math"/>
                              <w:i/>
                              <w:iCs/>
                            </w:rPr>
                          </m:ctrlPr>
                        </m:dPr>
                        <m:e>
                          <m:r>
                            <m:rPr>
                              <m:nor/>
                            </m:rPr>
                            <w:rPr>
                              <w:i/>
                              <w:iCs/>
                              <w:lang w:val="fr-FR"/>
                            </w:rPr>
                            <m:t>1</m:t>
                          </m:r>
                          <m:r>
                            <w:rPr>
                              <w:rFonts w:ascii="Cambria Math" w:hAnsi="Cambria Math"/>
                              <w:lang w:val="fr-FR"/>
                            </w:rPr>
                            <m:t>+</m:t>
                          </m:r>
                          <m:sSub>
                            <m:sSubPr>
                              <m:ctrlPr>
                                <w:rPr>
                                  <w:rFonts w:ascii="Cambria Math" w:hAnsi="Cambria Math"/>
                                  <w:b/>
                                  <w:bCs/>
                                  <w:i/>
                                  <w:iCs/>
                                  <w:lang w:val="en-US"/>
                                  <w14:glow w14:rad="38100">
                                    <w14:srgbClr w14:val="FFC000">
                                      <w14:alpha w14:val="75000"/>
                                    </w14:srgbClr>
                                  </w14:glow>
                                </w:rPr>
                              </m:ctrlPr>
                            </m:sSubPr>
                            <m:e>
                              <m:r>
                                <m:rPr>
                                  <m:nor/>
                                </m:rPr>
                                <w:rPr>
                                  <w:b/>
                                  <w:bCs/>
                                  <w:i/>
                                  <w:iCs/>
                                  <w14:glow w14:rad="38100">
                                    <w14:srgbClr w14:val="FFC000">
                                      <w14:alpha w14:val="75000"/>
                                    </w14:srgbClr>
                                  </w14:glow>
                                </w:rPr>
                                <m:t>r</m:t>
                              </m:r>
                            </m:e>
                            <m:sub>
                              <m:r>
                                <m:rPr>
                                  <m:nor/>
                                </m:rPr>
                                <w:rPr>
                                  <w:b/>
                                  <w:bCs/>
                                  <w:i/>
                                  <w:iCs/>
                                  <w14:glow w14:rad="38100">
                                    <w14:srgbClr w14:val="FFC000">
                                      <w14:alpha w14:val="75000"/>
                                    </w14:srgbClr>
                                  </w14:glow>
                                </w:rPr>
                                <m:t>D</m:t>
                              </m:r>
                            </m:sub>
                          </m:sSub>
                        </m:e>
                      </m:d>
                    </m:e>
                    <m:sup>
                      <m:r>
                        <m:rPr>
                          <m:nor/>
                        </m:rPr>
                        <w:rPr>
                          <w:i/>
                          <w:iCs/>
                          <w:lang w:val="fr-FR"/>
                        </w:rPr>
                        <m:t>t</m:t>
                      </m:r>
                    </m:sup>
                  </m:sSup>
                </m:den>
              </m:f>
            </m:e>
          </m:nary>
        </m:oMath>
      </m:oMathPara>
    </w:p>
    <w:p w14:paraId="06EFFCA8" w14:textId="491EB918" w:rsidR="00B50B2C" w:rsidRPr="00645F6B" w:rsidRDefault="008247BD" w:rsidP="00500701">
      <w:pPr>
        <w:pStyle w:val="Nmeroromano"/>
        <w:keepNext/>
        <w:numPr>
          <w:ilvl w:val="1"/>
          <w:numId w:val="7"/>
        </w:numPr>
        <w:tabs>
          <w:tab w:val="num" w:pos="643"/>
        </w:tabs>
        <w:spacing w:after="0"/>
        <w:ind w:left="964" w:hanging="196"/>
        <w:rPr>
          <w:lang w:val="en-US"/>
        </w:rPr>
      </w:pPr>
      <w:r w:rsidRPr="008247BD">
        <w:rPr>
          <w:i/>
          <w:iCs/>
          <w:u w:val="single"/>
          <w:lang w:val="en-US"/>
          <w14:glow w14:rad="38100">
            <w14:srgbClr w14:val="92D050">
              <w14:alpha w14:val="75000"/>
            </w14:srgbClr>
          </w14:glow>
        </w:rPr>
        <w:lastRenderedPageBreak/>
        <w:t xml:space="preserve">Coste medio </w:t>
      </w:r>
      <w:proofErr w:type="spellStart"/>
      <w:r w:rsidRPr="008247BD">
        <w:rPr>
          <w:i/>
          <w:iCs/>
          <w:u w:val="single"/>
          <w:lang w:val="en-US"/>
          <w14:glow w14:rad="38100">
            <w14:srgbClr w14:val="92D050">
              <w14:alpha w14:val="75000"/>
            </w14:srgbClr>
          </w14:glow>
        </w:rPr>
        <w:t>ponderado</w:t>
      </w:r>
      <w:proofErr w:type="spellEnd"/>
      <w:r w:rsidRPr="008247BD">
        <w:rPr>
          <w:lang w:val="en-US"/>
          <w14:glow w14:rad="38100">
            <w14:srgbClr w14:val="92D050">
              <w14:alpha w14:val="75000"/>
            </w14:srgbClr>
          </w14:glow>
        </w:rPr>
        <w:t xml:space="preserve"> (</w:t>
      </w:r>
      <w:r w:rsidRPr="008247BD">
        <w:rPr>
          <w:i/>
          <w:iCs/>
          <w:lang w:val="en-US"/>
          <w14:glow w14:rad="38100">
            <w14:srgbClr w14:val="92D050">
              <w14:alpha w14:val="75000"/>
            </w14:srgbClr>
          </w14:glow>
        </w:rPr>
        <w:t>Weighted Average Co</w:t>
      </w:r>
      <w:r>
        <w:rPr>
          <w:i/>
          <w:iCs/>
          <w:lang w:val="en-US"/>
          <w14:glow w14:rad="38100">
            <w14:srgbClr w14:val="92D050">
              <w14:alpha w14:val="75000"/>
            </w14:srgbClr>
          </w14:glow>
        </w:rPr>
        <w:t>st of Capital</w:t>
      </w:r>
      <w:r w:rsidRPr="008247BD">
        <w:rPr>
          <w:lang w:val="en-US"/>
          <w14:glow w14:rad="38100">
            <w14:srgbClr w14:val="92D050">
              <w14:alpha w14:val="75000"/>
            </w14:srgbClr>
          </w14:glow>
        </w:rPr>
        <w:t xml:space="preserve"> </w:t>
      </w:r>
      <w:r w:rsidRPr="008247BD">
        <w:rPr>
          <w:rFonts w:eastAsiaTheme="minorEastAsia"/>
          <w:lang w:val="en-US"/>
          <w14:glow w14:rad="38100">
            <w14:srgbClr w14:val="92D050">
              <w14:alpha w14:val="75000"/>
            </w14:srgbClr>
          </w14:glow>
        </w:rPr>
        <w:t xml:space="preserve">– </w:t>
      </w:r>
      <m:oMath>
        <m:r>
          <m:rPr>
            <m:nor/>
          </m:rPr>
          <w:rPr>
            <w:i/>
            <w:iCs/>
            <w:lang w:val="en-US"/>
            <w14:glow w14:rad="38100">
              <w14:srgbClr w14:val="92D050">
                <w14:alpha w14:val="75000"/>
              </w14:srgbClr>
            </w14:glow>
          </w:rPr>
          <m:t>WACC</m:t>
        </m:r>
      </m:oMath>
      <w:r w:rsidRPr="008247BD">
        <w:rPr>
          <w:lang w:val="en-US"/>
          <w14:glow w14:rad="38100">
            <w14:srgbClr w14:val="92D050">
              <w14:alpha w14:val="75000"/>
            </w14:srgbClr>
          </w14:glow>
        </w:rPr>
        <w:t>)</w:t>
      </w:r>
      <w:r w:rsidR="00B50B2C" w:rsidRPr="00645F6B">
        <w:rPr>
          <w:lang w:val="en-US"/>
        </w:rPr>
        <w:t>:</w:t>
      </w:r>
    </w:p>
    <w:p w14:paraId="3FBC7F2A" w14:textId="7883FCE8" w:rsidR="00B50B2C" w:rsidRPr="00645F6B" w:rsidRDefault="00000000" w:rsidP="00500701">
      <w:pPr>
        <w:pStyle w:val="Nmeroromano"/>
        <w:keepNext/>
        <w:numPr>
          <w:ilvl w:val="0"/>
          <w:numId w:val="0"/>
        </w:numPr>
        <w:spacing w:after="0"/>
        <w:ind w:left="964"/>
        <w:rPr>
          <w:rFonts w:eastAsiaTheme="minorEastAsia"/>
          <w:iCs/>
        </w:rPr>
      </w:pPr>
      <m:oMathPara>
        <m:oMath>
          <m:borderBox>
            <m:borderBoxPr>
              <m:ctrlPr>
                <w:rPr>
                  <w:rFonts w:ascii="Cambria Math" w:hAnsi="Cambria Math"/>
                  <w:i/>
                  <w:iCs/>
                </w:rPr>
              </m:ctrlPr>
            </m:borderBoxPr>
            <m:e>
              <m:r>
                <m:rPr>
                  <m:nor/>
                </m:rPr>
                <w:rPr>
                  <w:b/>
                  <w:bCs/>
                  <w:i/>
                  <w:iCs/>
                  <w14:glow w14:rad="38100">
                    <w14:srgbClr w14:val="92D050">
                      <w14:alpha w14:val="75000"/>
                    </w14:srgbClr>
                  </w14:glow>
                </w:rPr>
                <m:t>WACC</m:t>
              </m:r>
              <m:r>
                <m:rPr>
                  <m:sty m:val="bi"/>
                </m:rPr>
                <w:rPr>
                  <w:rFonts w:ascii="Cambria Math"/>
                </w:rPr>
                <m:t>=</m:t>
              </m:r>
              <m:r>
                <m:rPr>
                  <m:nor/>
                </m:rPr>
                <w:rPr>
                  <w:b/>
                  <w:bCs/>
                  <w:i/>
                  <w:iCs/>
                </w:rPr>
                <m:t>k</m:t>
              </m:r>
              <m:r>
                <w:rPr>
                  <w:rFonts w:ascii="Cambria Math" w:hAnsi="Cambria Math"/>
                </w:rPr>
                <m:t>=</m:t>
              </m:r>
              <m:sSub>
                <m:sSubPr>
                  <m:ctrlPr>
                    <w:rPr>
                      <w:rFonts w:ascii="Cambria Math" w:hAnsi="Cambria Math"/>
                      <w:i/>
                      <w:iCs/>
                      <w:lang w:val="en-US"/>
                      <w14:glow w14:rad="38100">
                        <w14:srgbClr w14:val="00B0F0">
                          <w14:alpha w14:val="75000"/>
                        </w14:srgbClr>
                      </w14:glow>
                    </w:rPr>
                  </m:ctrlPr>
                </m:sSubPr>
                <m:e>
                  <m:r>
                    <m:rPr>
                      <m:nor/>
                    </m:rPr>
                    <w:rPr>
                      <w:i/>
                      <w:iCs/>
                      <w14:glow w14:rad="38100">
                        <w14:srgbClr w14:val="00B0F0">
                          <w14:alpha w14:val="75000"/>
                        </w14:srgbClr>
                      </w14:glow>
                    </w:rPr>
                    <m:t>r</m:t>
                  </m:r>
                </m:e>
                <m:sub>
                  <m:r>
                    <m:rPr>
                      <m:nor/>
                    </m:rPr>
                    <w:rPr>
                      <w:i/>
                      <w:iCs/>
                      <w14:glow w14:rad="38100">
                        <w14:srgbClr w14:val="00B0F0">
                          <w14:alpha w14:val="75000"/>
                        </w14:srgbClr>
                      </w14:glow>
                    </w:rPr>
                    <m:t>E</m:t>
                  </m:r>
                </m:sub>
              </m:sSub>
              <m:r>
                <w:rPr>
                  <w:rFonts w:ascii="Cambria Math" w:eastAsiaTheme="minorEastAsia" w:hAnsi="Cambria Math"/>
                </w:rPr>
                <m:t>∙</m:t>
              </m:r>
              <m:limLow>
                <m:limLowPr>
                  <m:ctrlPr>
                    <w:rPr>
                      <w:rFonts w:ascii="Cambria Math" w:eastAsiaTheme="minorEastAsia" w:hAnsi="Cambria Math"/>
                      <w:i/>
                      <w:iCs/>
                      <w:lang w:val="en-US"/>
                    </w:rPr>
                  </m:ctrlPr>
                </m:limLowPr>
                <m:e>
                  <m:groupChr>
                    <m:groupChrPr>
                      <m:ctrlPr>
                        <w:rPr>
                          <w:rFonts w:ascii="Cambria Math" w:eastAsiaTheme="minorEastAsia" w:hAnsi="Cambria Math"/>
                          <w:i/>
                          <w:iCs/>
                          <w:lang w:val="en-US"/>
                        </w:rPr>
                      </m:ctrlPr>
                    </m:groupChrPr>
                    <m:e>
                      <m:f>
                        <m:fPr>
                          <m:ctrlPr>
                            <w:rPr>
                              <w:rFonts w:ascii="Cambria Math" w:eastAsiaTheme="minorEastAsia" w:hAnsi="Cambria Math"/>
                              <w:i/>
                              <w:iCs/>
                              <w:lang w:val="en-US"/>
                            </w:rPr>
                          </m:ctrlPr>
                        </m:fPr>
                        <m:num>
                          <m:sSub>
                            <m:sSubPr>
                              <m:ctrlPr>
                                <w:rPr>
                                  <w:rFonts w:ascii="Cambria Math" w:hAnsi="Cambria Math"/>
                                  <w:i/>
                                  <w:iCs/>
                                </w:rPr>
                              </m:ctrlPr>
                            </m:sSubPr>
                            <m:e>
                              <m:r>
                                <m:rPr>
                                  <m:nor/>
                                </m:rPr>
                                <w:rPr>
                                  <w:i/>
                                  <w:iCs/>
                                </w:rPr>
                                <m:t>V</m:t>
                              </m:r>
                            </m:e>
                            <m:sub>
                              <m:r>
                                <m:rPr>
                                  <m:nor/>
                                </m:rPr>
                                <w:rPr>
                                  <w:i/>
                                  <w:iCs/>
                                </w:rPr>
                                <m:t>E</m:t>
                              </m:r>
                            </m:sub>
                          </m:sSub>
                        </m:num>
                        <m:den>
                          <m:sSub>
                            <m:sSubPr>
                              <m:ctrlPr>
                                <w:rPr>
                                  <w:rFonts w:ascii="Cambria Math" w:hAnsi="Cambria Math"/>
                                  <w:i/>
                                  <w:iCs/>
                                </w:rPr>
                              </m:ctrlPr>
                            </m:sSubPr>
                            <m:e>
                              <m:r>
                                <m:rPr>
                                  <m:nor/>
                                </m:rPr>
                                <w:rPr>
                                  <w:i/>
                                  <w:iCs/>
                                </w:rPr>
                                <m:t>V</m:t>
                              </m:r>
                            </m:e>
                            <m:sub>
                              <m:r>
                                <m:rPr>
                                  <m:nor/>
                                </m:rPr>
                                <w:rPr>
                                  <w:i/>
                                  <w:iCs/>
                                </w:rPr>
                                <m:t>D</m:t>
                              </m:r>
                            </m:sub>
                          </m:sSub>
                          <m:r>
                            <w:rPr>
                              <w:rFonts w:ascii="Cambria Math" w:eastAsiaTheme="minorEastAsia" w:hAnsi="Cambria Math"/>
                            </w:rPr>
                            <m:t>+</m:t>
                          </m:r>
                          <m:sSub>
                            <m:sSubPr>
                              <m:ctrlPr>
                                <w:rPr>
                                  <w:rFonts w:ascii="Cambria Math" w:hAnsi="Cambria Math"/>
                                  <w:i/>
                                  <w:iCs/>
                                </w:rPr>
                              </m:ctrlPr>
                            </m:sSubPr>
                            <m:e>
                              <m:r>
                                <m:rPr>
                                  <m:nor/>
                                </m:rPr>
                                <w:rPr>
                                  <w:i/>
                                  <w:iCs/>
                                </w:rPr>
                                <m:t>V</m:t>
                              </m:r>
                            </m:e>
                            <m:sub>
                              <m:r>
                                <m:rPr>
                                  <m:nor/>
                                </m:rPr>
                                <w:rPr>
                                  <w:i/>
                                  <w:iCs/>
                                </w:rPr>
                                <m:t>E</m:t>
                              </m:r>
                            </m:sub>
                          </m:sSub>
                        </m:den>
                      </m:f>
                    </m:e>
                  </m:groupChr>
                </m:e>
                <m:lim>
                  <m:r>
                    <m:rPr>
                      <m:nor/>
                    </m:rPr>
                    <w:rPr>
                      <w:rFonts w:eastAsiaTheme="minorEastAsia"/>
                      <w:i/>
                      <w:iCs/>
                    </w:rPr>
                    <m:t>1</m:t>
                  </m:r>
                  <m:r>
                    <w:rPr>
                      <w:rFonts w:ascii="Cambria Math" w:eastAsiaTheme="minorEastAsia" w:hAnsi="Cambria Math"/>
                    </w:rPr>
                    <m:t>-</m:t>
                  </m:r>
                  <m:r>
                    <m:rPr>
                      <m:nor/>
                    </m:rPr>
                    <w:rPr>
                      <w:rFonts w:eastAsiaTheme="minorEastAsia"/>
                      <w:i/>
                      <w:iCs/>
                    </w:rPr>
                    <m:t>L</m:t>
                  </m:r>
                </m:lim>
              </m:limLow>
              <m:r>
                <w:rPr>
                  <w:rFonts w:ascii="Cambria Math" w:eastAsiaTheme="minorEastAsia" w:hAnsi="Cambria Math"/>
                </w:rPr>
                <m:t>+</m:t>
              </m:r>
              <m:sSub>
                <m:sSubPr>
                  <m:ctrlPr>
                    <w:rPr>
                      <w:rFonts w:ascii="Cambria Math" w:hAnsi="Cambria Math"/>
                      <w:i/>
                      <w:iCs/>
                      <w:lang w:val="en-US"/>
                      <w14:glow w14:rad="38100">
                        <w14:srgbClr w14:val="FFC000">
                          <w14:alpha w14:val="75000"/>
                        </w14:srgbClr>
                      </w14:glow>
                    </w:rPr>
                  </m:ctrlPr>
                </m:sSubPr>
                <m:e>
                  <m:r>
                    <m:rPr>
                      <m:nor/>
                    </m:rPr>
                    <w:rPr>
                      <w:i/>
                      <w:iCs/>
                      <w14:glow w14:rad="38100">
                        <w14:srgbClr w14:val="FFC000">
                          <w14:alpha w14:val="75000"/>
                        </w14:srgbClr>
                      </w14:glow>
                    </w:rPr>
                    <m:t>r</m:t>
                  </m:r>
                </m:e>
                <m:sub>
                  <m:r>
                    <m:rPr>
                      <m:nor/>
                    </m:rPr>
                    <w:rPr>
                      <w:i/>
                      <w:iCs/>
                      <w14:glow w14:rad="38100">
                        <w14:srgbClr w14:val="FFC000">
                          <w14:alpha w14:val="75000"/>
                        </w14:srgbClr>
                      </w14:glow>
                    </w:rPr>
                    <m:t>D</m:t>
                  </m:r>
                </m:sub>
              </m:sSub>
              <m:r>
                <m:rPr>
                  <m:nor/>
                </m:rPr>
                <w:rPr>
                  <w:rFonts w:eastAsiaTheme="minorEastAsia"/>
                  <w:i/>
                  <w:iCs/>
                </w:rPr>
                <m:t>∙</m:t>
              </m:r>
              <m:limLow>
                <m:limLowPr>
                  <m:ctrlPr>
                    <w:rPr>
                      <w:rFonts w:ascii="Cambria Math" w:eastAsiaTheme="minorEastAsia" w:hAnsi="Cambria Math"/>
                      <w:i/>
                      <w:iCs/>
                      <w:lang w:val="en-US"/>
                    </w:rPr>
                  </m:ctrlPr>
                </m:limLowPr>
                <m:e>
                  <m:groupChr>
                    <m:groupChrPr>
                      <m:ctrlPr>
                        <w:rPr>
                          <w:rFonts w:ascii="Cambria Math" w:eastAsiaTheme="minorEastAsia" w:hAnsi="Cambria Math"/>
                          <w:i/>
                          <w:iCs/>
                          <w:lang w:val="en-US"/>
                        </w:rPr>
                      </m:ctrlPr>
                    </m:groupChrPr>
                    <m:e>
                      <m:f>
                        <m:fPr>
                          <m:ctrlPr>
                            <w:rPr>
                              <w:rFonts w:ascii="Cambria Math" w:eastAsiaTheme="minorEastAsia" w:hAnsi="Cambria Math"/>
                              <w:i/>
                              <w:iCs/>
                              <w:lang w:val="en-US"/>
                            </w:rPr>
                          </m:ctrlPr>
                        </m:fPr>
                        <m:num>
                          <m:sSub>
                            <m:sSubPr>
                              <m:ctrlPr>
                                <w:rPr>
                                  <w:rFonts w:ascii="Cambria Math" w:hAnsi="Cambria Math"/>
                                  <w:i/>
                                  <w:iCs/>
                                </w:rPr>
                              </m:ctrlPr>
                            </m:sSubPr>
                            <m:e>
                              <m:r>
                                <m:rPr>
                                  <m:nor/>
                                </m:rPr>
                                <w:rPr>
                                  <w:i/>
                                  <w:iCs/>
                                </w:rPr>
                                <m:t>V</m:t>
                              </m:r>
                            </m:e>
                            <m:sub>
                              <m:r>
                                <m:rPr>
                                  <m:nor/>
                                </m:rPr>
                                <w:rPr>
                                  <w:i/>
                                  <w:iCs/>
                                </w:rPr>
                                <m:t>D</m:t>
                              </m:r>
                            </m:sub>
                          </m:sSub>
                        </m:num>
                        <m:den>
                          <m:sSub>
                            <m:sSubPr>
                              <m:ctrlPr>
                                <w:rPr>
                                  <w:rFonts w:ascii="Cambria Math" w:hAnsi="Cambria Math"/>
                                  <w:i/>
                                  <w:iCs/>
                                </w:rPr>
                              </m:ctrlPr>
                            </m:sSubPr>
                            <m:e>
                              <m:r>
                                <m:rPr>
                                  <m:nor/>
                                </m:rPr>
                                <w:rPr>
                                  <w:i/>
                                  <w:iCs/>
                                </w:rPr>
                                <m:t>V</m:t>
                              </m:r>
                            </m:e>
                            <m:sub>
                              <m:r>
                                <m:rPr>
                                  <m:nor/>
                                </m:rPr>
                                <w:rPr>
                                  <w:i/>
                                  <w:iCs/>
                                </w:rPr>
                                <m:t>D</m:t>
                              </m:r>
                            </m:sub>
                          </m:sSub>
                          <m:r>
                            <w:rPr>
                              <w:rFonts w:ascii="Cambria Math" w:eastAsiaTheme="minorEastAsia" w:hAnsi="Cambria Math"/>
                            </w:rPr>
                            <m:t>+</m:t>
                          </m:r>
                          <m:sSub>
                            <m:sSubPr>
                              <m:ctrlPr>
                                <w:rPr>
                                  <w:rFonts w:ascii="Cambria Math" w:hAnsi="Cambria Math"/>
                                  <w:i/>
                                  <w:iCs/>
                                </w:rPr>
                              </m:ctrlPr>
                            </m:sSubPr>
                            <m:e>
                              <m:r>
                                <m:rPr>
                                  <m:nor/>
                                </m:rPr>
                                <w:rPr>
                                  <w:i/>
                                  <w:iCs/>
                                </w:rPr>
                                <m:t>V</m:t>
                              </m:r>
                            </m:e>
                            <m:sub>
                              <m:r>
                                <m:rPr>
                                  <m:nor/>
                                </m:rPr>
                                <w:rPr>
                                  <w:i/>
                                  <w:iCs/>
                                </w:rPr>
                                <m:t>E</m:t>
                              </m:r>
                            </m:sub>
                          </m:sSub>
                        </m:den>
                      </m:f>
                    </m:e>
                  </m:groupChr>
                </m:e>
                <m:lim>
                  <m:r>
                    <m:rPr>
                      <m:nor/>
                    </m:rPr>
                    <w:rPr>
                      <w:rFonts w:eastAsiaTheme="minorEastAsia"/>
                      <w:i/>
                      <w:iCs/>
                    </w:rPr>
                    <m:t>L</m:t>
                  </m:r>
                </m:lim>
              </m:limLow>
            </m:e>
          </m:borderBox>
        </m:oMath>
      </m:oMathPara>
    </w:p>
    <w:p w14:paraId="37BCA1CF" w14:textId="77777777" w:rsidR="00AE7F27" w:rsidRDefault="00B50B2C" w:rsidP="00AE7F27">
      <w:pPr>
        <w:pStyle w:val="Nivel4"/>
        <w:ind w:left="1474"/>
      </w:pPr>
      <w:r>
        <w:t xml:space="preserve">El WACC se ve influido por el grado de </w:t>
      </w:r>
      <w:r w:rsidR="0043137E">
        <w:t>endeudamiento</w:t>
      </w:r>
      <w:r>
        <w:t xml:space="preserve"> (</w:t>
      </w:r>
      <m:oMath>
        <m:r>
          <m:rPr>
            <m:nor/>
          </m:rPr>
          <w:rPr>
            <w:rFonts w:eastAsiaTheme="minorEastAsia"/>
            <w:i/>
            <w:iCs/>
          </w:rPr>
          <m:t>L</m:t>
        </m:r>
      </m:oMath>
      <w:r>
        <w:t>), que denota la estructura financiera de la empresa.</w:t>
      </w:r>
    </w:p>
    <w:p w14:paraId="1721C747" w14:textId="2DABF918" w:rsidR="00AE7F27" w:rsidRPr="00AE7F27" w:rsidRDefault="00B50B2C" w:rsidP="00DF50DA">
      <w:pPr>
        <w:pStyle w:val="Nivel4"/>
        <w:keepNext/>
        <w:ind w:left="1474"/>
        <w:rPr>
          <w:spacing w:val="-2"/>
        </w:rPr>
      </w:pPr>
      <w:r w:rsidRPr="00AE7F27">
        <w:rPr>
          <w:spacing w:val="-2"/>
        </w:rPr>
        <w:t xml:space="preserve">Por tanto, para minimizar el coste de capital y maximizar el valor de la empresa, es necesario determinar el grado de </w:t>
      </w:r>
      <w:r w:rsidR="0043137E" w:rsidRPr="00AE7F27">
        <w:rPr>
          <w:spacing w:val="-2"/>
        </w:rPr>
        <w:t>endeudamiento</w:t>
      </w:r>
      <w:r w:rsidRPr="00AE7F27">
        <w:rPr>
          <w:spacing w:val="-2"/>
        </w:rPr>
        <w:t xml:space="preserve"> óptimo (</w:t>
      </w:r>
      <m:oMath>
        <m:r>
          <m:rPr>
            <m:nor/>
          </m:rPr>
          <w:rPr>
            <w:rFonts w:eastAsiaTheme="minorEastAsia"/>
            <w:i/>
            <w:iCs/>
            <w:spacing w:val="-2"/>
          </w:rPr>
          <m:t>L*</m:t>
        </m:r>
      </m:oMath>
      <w:r w:rsidRPr="00AE7F27">
        <w:rPr>
          <w:spacing w:val="-2"/>
        </w:rPr>
        <w:t>) que minimiza el WACC.</w:t>
      </w:r>
      <w:r w:rsidR="00AE7F27" w:rsidRPr="00AE7F27">
        <w:rPr>
          <w:spacing w:val="-2"/>
        </w:rPr>
        <w:t xml:space="preserve"> </w:t>
      </w:r>
      <w:r w:rsidR="00216959" w:rsidRPr="00AE7F27">
        <w:rPr>
          <w:spacing w:val="-2"/>
        </w:rPr>
        <w:t>Además, es importante tener en cuenta, que los cambios en la estructura financiera de la empresa</w:t>
      </w:r>
      <w:r w:rsidR="004F11A4" w:rsidRPr="00AE7F27">
        <w:rPr>
          <w:spacing w:val="-2"/>
        </w:rPr>
        <w:t xml:space="preserve"> (</w:t>
      </w:r>
      <m:oMath>
        <m:r>
          <m:rPr>
            <m:nor/>
          </m:rPr>
          <w:rPr>
            <w:rFonts w:eastAsiaTheme="minorEastAsia"/>
            <w:i/>
            <w:iCs/>
            <w:spacing w:val="-2"/>
          </w:rPr>
          <m:t>L</m:t>
        </m:r>
      </m:oMath>
      <w:r w:rsidR="004F11A4" w:rsidRPr="00AE7F27">
        <w:rPr>
          <w:spacing w:val="-2"/>
        </w:rPr>
        <w:t>)</w:t>
      </w:r>
      <w:r w:rsidR="00216959" w:rsidRPr="00AE7F27">
        <w:rPr>
          <w:spacing w:val="-2"/>
        </w:rPr>
        <w:t xml:space="preserve"> pueden afectar al coste del capital propio (</w:t>
      </w:r>
      <m:oMath>
        <m:sSub>
          <m:sSubPr>
            <m:ctrlPr>
              <w:rPr>
                <w:rFonts w:ascii="Cambria Math" w:hAnsi="Cambria Math"/>
                <w:i/>
                <w:iCs/>
                <w:spacing w:val="-2"/>
                <w:lang w:val="en-US"/>
              </w:rPr>
            </m:ctrlPr>
          </m:sSubPr>
          <m:e>
            <m:r>
              <m:rPr>
                <m:nor/>
              </m:rPr>
              <w:rPr>
                <w:i/>
                <w:iCs/>
                <w:spacing w:val="-2"/>
              </w:rPr>
              <m:t>r</m:t>
            </m:r>
          </m:e>
          <m:sub>
            <m:r>
              <m:rPr>
                <m:nor/>
              </m:rPr>
              <w:rPr>
                <w:i/>
                <w:iCs/>
                <w:spacing w:val="-2"/>
              </w:rPr>
              <m:t>E</m:t>
            </m:r>
          </m:sub>
        </m:sSub>
      </m:oMath>
      <w:r w:rsidR="00216959" w:rsidRPr="00AE7F27">
        <w:rPr>
          <w:spacing w:val="-2"/>
        </w:rPr>
        <w:t>) y al coste de capital ajeno (</w:t>
      </w:r>
      <m:oMath>
        <m:sSub>
          <m:sSubPr>
            <m:ctrlPr>
              <w:rPr>
                <w:rFonts w:ascii="Cambria Math" w:hAnsi="Cambria Math"/>
                <w:i/>
                <w:iCs/>
                <w:spacing w:val="-2"/>
                <w:lang w:val="en-US"/>
              </w:rPr>
            </m:ctrlPr>
          </m:sSubPr>
          <m:e>
            <m:r>
              <m:rPr>
                <m:nor/>
              </m:rPr>
              <w:rPr>
                <w:i/>
                <w:iCs/>
                <w:spacing w:val="-2"/>
              </w:rPr>
              <m:t>r</m:t>
            </m:r>
          </m:e>
          <m:sub>
            <m:r>
              <m:rPr>
                <m:nor/>
              </m:rPr>
              <w:rPr>
                <w:i/>
                <w:iCs/>
                <w:spacing w:val="-2"/>
              </w:rPr>
              <m:t>D</m:t>
            </m:r>
          </m:sub>
        </m:sSub>
      </m:oMath>
      <w:r w:rsidR="00216959" w:rsidRPr="00AE7F27">
        <w:rPr>
          <w:spacing w:val="-2"/>
        </w:rPr>
        <w:t>)</w:t>
      </w:r>
      <w:r w:rsidR="004F11A4" w:rsidRPr="00AE7F27">
        <w:rPr>
          <w:spacing w:val="-2"/>
        </w:rPr>
        <w:t xml:space="preserve">, de forma que estas últimas pueden ser consideradas funciones de </w:t>
      </w:r>
      <m:oMath>
        <m:r>
          <m:rPr>
            <m:nor/>
          </m:rPr>
          <w:rPr>
            <w:rFonts w:eastAsiaTheme="minorEastAsia"/>
            <w:i/>
            <w:iCs/>
            <w:spacing w:val="-2"/>
          </w:rPr>
          <m:t>L</m:t>
        </m:r>
      </m:oMath>
      <w:r w:rsidR="00AA1A9C" w:rsidRPr="00AE7F27">
        <w:rPr>
          <w:rStyle w:val="Refdenotaalpie"/>
          <w:rFonts w:eastAsiaTheme="minorEastAsia"/>
          <w:iCs/>
          <w:spacing w:val="-2"/>
        </w:rPr>
        <w:footnoteReference w:id="23"/>
      </w:r>
      <w:r w:rsidR="00081579" w:rsidRPr="00AE7F27">
        <w:rPr>
          <w:rFonts w:eastAsiaTheme="minorEastAsia"/>
          <w:iCs/>
          <w:spacing w:val="-2"/>
        </w:rPr>
        <w:t>.</w:t>
      </w:r>
    </w:p>
    <w:p w14:paraId="1F12B8E5" w14:textId="1DC3BF43" w:rsidR="00216959" w:rsidRPr="00F244EF" w:rsidRDefault="004F11A4" w:rsidP="00AE7F27">
      <w:pPr>
        <w:pStyle w:val="Nivel5"/>
        <w:ind w:left="1871"/>
      </w:pPr>
      <w:r>
        <w:t xml:space="preserve">Omitir esta consideración en nuestro análisis podría ser un error grave, ya que puede hacer parecer fácil reducir el coste de financiación mediante un aumento del </w:t>
      </w:r>
      <w:r w:rsidR="0043137E">
        <w:t>endeud</w:t>
      </w:r>
      <w:r>
        <w:t>amiento (</w:t>
      </w:r>
      <m:oMath>
        <m:r>
          <m:rPr>
            <m:nor/>
          </m:rPr>
          <w:rPr>
            <w:i/>
          </w:rPr>
          <m:t>L</m:t>
        </m:r>
      </m:oMath>
      <w:r>
        <w:t>), ya que la financiación ajena siempre es más barata que la financiación interna</w:t>
      </w:r>
      <w:r w:rsidR="00081579">
        <w:t xml:space="preserve"> (</w:t>
      </w:r>
      <m:oMath>
        <m:sSub>
          <m:sSubPr>
            <m:ctrlPr>
              <w:rPr>
                <w:rFonts w:ascii="Cambria Math" w:hAnsi="Cambria Math"/>
                <w:i/>
                <w:iCs/>
                <w:lang w:val="en-US"/>
              </w:rPr>
            </m:ctrlPr>
          </m:sSubPr>
          <m:e>
            <m:r>
              <m:rPr>
                <m:nor/>
              </m:rPr>
              <w:rPr>
                <w:i/>
                <w:iCs/>
              </w:rPr>
              <m:t>r</m:t>
            </m:r>
          </m:e>
          <m:sub>
            <m:r>
              <m:rPr>
                <m:nor/>
              </m:rPr>
              <w:rPr>
                <w:i/>
                <w:iCs/>
              </w:rPr>
              <m:t>D</m:t>
            </m:r>
          </m:sub>
        </m:sSub>
        <m:r>
          <w:rPr>
            <w:rFonts w:ascii="Cambria Math" w:eastAsiaTheme="minorEastAsia" w:hAnsi="Cambria Math"/>
          </w:rPr>
          <m:t>&lt;</m:t>
        </m:r>
        <m:sSub>
          <m:sSubPr>
            <m:ctrlPr>
              <w:rPr>
                <w:rFonts w:ascii="Cambria Math" w:hAnsi="Cambria Math"/>
                <w:i/>
                <w:iCs/>
                <w:lang w:val="en-US"/>
              </w:rPr>
            </m:ctrlPr>
          </m:sSubPr>
          <m:e>
            <m:r>
              <m:rPr>
                <m:nor/>
              </m:rPr>
              <w:rPr>
                <w:i/>
                <w:iCs/>
              </w:rPr>
              <m:t>r</m:t>
            </m:r>
          </m:e>
          <m:sub>
            <m:r>
              <m:rPr>
                <m:nor/>
              </m:rPr>
              <w:rPr>
                <w:i/>
                <w:iCs/>
              </w:rPr>
              <m:t>E</m:t>
            </m:r>
          </m:sub>
        </m:sSub>
      </m:oMath>
      <w:r w:rsidR="00081579">
        <w:t>)</w:t>
      </w:r>
      <w:r>
        <w:t xml:space="preserve">. Sin embargo, a mayor </w:t>
      </w:r>
      <w:r w:rsidR="0043137E">
        <w:t>endeud</w:t>
      </w:r>
      <w:r>
        <w:t>amiento (</w:t>
      </w:r>
      <m:oMath>
        <m:r>
          <m:rPr>
            <m:nor/>
          </m:rPr>
          <w:rPr>
            <w:i/>
          </w:rPr>
          <m:t>L</m:t>
        </m:r>
      </m:oMath>
      <w:r>
        <w:t>) mayor es el coste de la financiación, tanto interna como externa.</w:t>
      </w:r>
    </w:p>
    <w:p w14:paraId="4B727D64" w14:textId="3109F0B3" w:rsidR="006F422A" w:rsidRPr="006F422A" w:rsidRDefault="006F422A" w:rsidP="006F422A">
      <w:pPr>
        <w:pStyle w:val="Ttulo2"/>
      </w:pPr>
      <w:bookmarkStart w:id="46" w:name="_Toc125044536"/>
      <w:r>
        <w:t>La estructura financiera óptima de la empresa</w:t>
      </w:r>
      <w:bookmarkEnd w:id="46"/>
    </w:p>
    <w:p w14:paraId="443E1475" w14:textId="0287FB81" w:rsidR="00D278F2" w:rsidRDefault="00D278F2" w:rsidP="00481420">
      <w:pPr>
        <w:pStyle w:val="Notaalopositor"/>
      </w:pPr>
      <w:r w:rsidRPr="00571C4E">
        <w:t xml:space="preserve">Suárez </w:t>
      </w:r>
      <w:proofErr w:type="spellStart"/>
      <w:r w:rsidRPr="00571C4E">
        <w:t>Suárez</w:t>
      </w:r>
      <w:proofErr w:type="spellEnd"/>
      <w:r w:rsidRPr="00571C4E">
        <w:t xml:space="preserve">, A. S., Rojo Suárez, J. &amp; Suárez García, P. (2014). </w:t>
      </w:r>
      <w:r w:rsidRPr="00571C4E">
        <w:rPr>
          <w:i/>
          <w:iCs/>
        </w:rPr>
        <w:t>Decisiones óptimas de inversión y financiación en la empresa</w:t>
      </w:r>
      <w:r w:rsidRPr="00571C4E">
        <w:t>. Pirámide.</w:t>
      </w:r>
      <w:r>
        <w:t xml:space="preserve"> Capítulos 3</w:t>
      </w:r>
      <w:r w:rsidR="009E2ACF">
        <w:t>7</w:t>
      </w:r>
      <w:r>
        <w:t>-3</w:t>
      </w:r>
      <w:r w:rsidR="009E2ACF">
        <w:t>8</w:t>
      </w:r>
    </w:p>
    <w:p w14:paraId="7DA8257C" w14:textId="07BF7F52" w:rsidR="00B95758" w:rsidRDefault="00B95758" w:rsidP="00C366D0">
      <w:pPr>
        <w:pStyle w:val="Nivel1SM"/>
        <w:spacing w:before="0"/>
      </w:pPr>
      <w:r>
        <w:t>La estructura financiera óptima es aquella que minimiza el WACC (i.e. que maximiza el valor de la empresa).</w:t>
      </w:r>
      <w:r w:rsidR="006F2E70">
        <w:t xml:space="preserve"> Esto abre la puerta a que sea posible que variando las proporciones de deuda y </w:t>
      </w:r>
      <w:proofErr w:type="spellStart"/>
      <w:r w:rsidR="006F2E70">
        <w:t>equity</w:t>
      </w:r>
      <w:proofErr w:type="spellEnd"/>
      <w:r w:rsidR="006F2E70">
        <w:t xml:space="preserve"> sea posible crear valor.</w:t>
      </w:r>
    </w:p>
    <w:p w14:paraId="6404B204" w14:textId="2E681777" w:rsidR="002F1679" w:rsidRDefault="005D4481" w:rsidP="006F422A">
      <w:pPr>
        <w:pStyle w:val="Ttulo3"/>
      </w:pPr>
      <w:bookmarkStart w:id="47" w:name="_Toc125044537"/>
      <w:r>
        <w:t>Perspectiva</w:t>
      </w:r>
      <w:r w:rsidR="002F1679">
        <w:t xml:space="preserve"> </w:t>
      </w:r>
      <w:r w:rsidR="00262381">
        <w:t>tradi</w:t>
      </w:r>
      <w:r w:rsidR="001932BB">
        <w:t>cional</w:t>
      </w:r>
      <w:bookmarkEnd w:id="47"/>
    </w:p>
    <w:p w14:paraId="13235D59" w14:textId="534B85B1" w:rsidR="001932BB" w:rsidRPr="00E11D30" w:rsidRDefault="001932BB" w:rsidP="0043137E">
      <w:pPr>
        <w:pStyle w:val="Cajadeanotaciones"/>
        <w:keepNext/>
        <w:spacing w:after="0"/>
        <w:rPr>
          <w:i/>
          <w:iCs/>
        </w:rPr>
      </w:pPr>
      <w:r w:rsidRPr="00E11D30">
        <w:rPr>
          <w:i/>
          <w:iCs/>
        </w:rPr>
        <w:t>“</w:t>
      </w:r>
      <w:proofErr w:type="spellStart"/>
      <w:r w:rsidRPr="00E11D30">
        <w:rPr>
          <w:i/>
          <w:iCs/>
        </w:rPr>
        <w:t>What</w:t>
      </w:r>
      <w:proofErr w:type="spellEnd"/>
      <w:r w:rsidRPr="00E11D30">
        <w:rPr>
          <w:i/>
          <w:iCs/>
        </w:rPr>
        <w:t xml:space="preserve"> </w:t>
      </w:r>
      <w:proofErr w:type="spellStart"/>
      <w:r w:rsidRPr="00E11D30">
        <w:rPr>
          <w:i/>
          <w:iCs/>
        </w:rPr>
        <w:t>our</w:t>
      </w:r>
      <w:proofErr w:type="spellEnd"/>
      <w:r w:rsidRPr="00E11D30">
        <w:rPr>
          <w:i/>
          <w:iCs/>
        </w:rPr>
        <w:t xml:space="preserve"> </w:t>
      </w:r>
      <w:proofErr w:type="spellStart"/>
      <w:r w:rsidRPr="00E11D30">
        <w:rPr>
          <w:i/>
          <w:iCs/>
        </w:rPr>
        <w:t>grandparents</w:t>
      </w:r>
      <w:proofErr w:type="spellEnd"/>
      <w:r w:rsidRPr="00E11D30">
        <w:rPr>
          <w:i/>
          <w:iCs/>
        </w:rPr>
        <w:t xml:space="preserve"> </w:t>
      </w:r>
      <w:proofErr w:type="spellStart"/>
      <w:r w:rsidRPr="00E11D30">
        <w:rPr>
          <w:i/>
          <w:iCs/>
        </w:rPr>
        <w:t>thought</w:t>
      </w:r>
      <w:proofErr w:type="spellEnd"/>
      <w:r w:rsidRPr="00E11D30">
        <w:rPr>
          <w:i/>
          <w:iCs/>
        </w:rPr>
        <w:t>”</w:t>
      </w:r>
    </w:p>
    <w:p w14:paraId="16CE50AC" w14:textId="35C8480D" w:rsidR="001932BB" w:rsidRPr="00E11D30" w:rsidRDefault="001932BB" w:rsidP="0043137E">
      <w:pPr>
        <w:pStyle w:val="Cajadeanotaciones"/>
        <w:keepNext/>
        <w:jc w:val="right"/>
      </w:pPr>
      <w:proofErr w:type="spellStart"/>
      <w:r w:rsidRPr="00E11D30">
        <w:rPr>
          <w:smallCaps/>
        </w:rPr>
        <w:t>Vernimmen</w:t>
      </w:r>
      <w:proofErr w:type="spellEnd"/>
      <w:r w:rsidRPr="00E11D30">
        <w:t xml:space="preserve"> </w:t>
      </w:r>
      <w:r w:rsidR="00C366D0">
        <w:t xml:space="preserve">et al. </w:t>
      </w:r>
      <w:r w:rsidRPr="00E11D30">
        <w:t>(2017)</w:t>
      </w:r>
    </w:p>
    <w:p w14:paraId="12F460DC" w14:textId="4B5C31D5" w:rsidR="00F131C0" w:rsidRDefault="00F131C0" w:rsidP="00C366D0">
      <w:pPr>
        <w:pStyle w:val="Nivel1SM"/>
        <w:spacing w:before="0"/>
      </w:pPr>
      <w:r>
        <w:t>Según la perspectiva tradicional, existe una estructura financiera óptima</w:t>
      </w:r>
      <w:r w:rsidR="00B50B2C">
        <w:t xml:space="preserve"> para la cual el coste de capital es mínimo y el valor de la empresa es máximo. Al estar determinado el coste de capital por la estructura del pasivo, las decisiones de inversión</w:t>
      </w:r>
      <w:r w:rsidR="00216959">
        <w:t xml:space="preserve"> y financiación están </w:t>
      </w:r>
      <w:r w:rsidR="00216959" w:rsidRPr="00B85B28">
        <w:rPr>
          <w:i/>
          <w:iCs/>
        </w:rPr>
        <w:t>relacionadas</w:t>
      </w:r>
      <w:r w:rsidR="00216959">
        <w:t>.</w:t>
      </w:r>
    </w:p>
    <w:p w14:paraId="2AF083D5" w14:textId="0AC8F60F" w:rsidR="00216959" w:rsidRDefault="00216959" w:rsidP="00081579">
      <w:pPr>
        <w:pStyle w:val="Nivel1SM"/>
        <w:keepNext/>
        <w:spacing w:after="0"/>
      </w:pPr>
      <w:r>
        <w:t>La perspectiva tradicional considera que:</w:t>
      </w:r>
    </w:p>
    <w:p w14:paraId="5A944157" w14:textId="61D0CD5F" w:rsidR="00216959" w:rsidRDefault="00216959" w:rsidP="00081579">
      <w:pPr>
        <w:pStyle w:val="Nivel2SM"/>
        <w:keepNext/>
        <w:spacing w:after="0"/>
      </w:pPr>
      <w:r>
        <w:t xml:space="preserve">El </w:t>
      </w:r>
      <w:r w:rsidRPr="00A103A5">
        <w:rPr>
          <w:i/>
          <w:iCs/>
          <w:u w:val="single"/>
          <w14:glow w14:rad="38100">
            <w14:srgbClr w14:val="00B0F0">
              <w14:alpha w14:val="75000"/>
            </w14:srgbClr>
          </w14:glow>
        </w:rPr>
        <w:t>coste de capital propio</w:t>
      </w:r>
      <w:r w:rsidRPr="00A103A5">
        <w:rPr>
          <w14:glow w14:rad="38100">
            <w14:srgbClr w14:val="00B0F0">
              <w14:alpha w14:val="75000"/>
            </w14:srgbClr>
          </w14:glow>
        </w:rPr>
        <w:t xml:space="preserve"> (</w:t>
      </w:r>
      <m:oMath>
        <m:sSub>
          <m:sSubPr>
            <m:ctrlPr>
              <w:rPr>
                <w:rFonts w:ascii="Cambria Math" w:hAnsi="Cambria Math"/>
                <w:i/>
                <w:iCs/>
                <w:lang w:val="en-US"/>
                <w14:glow w14:rad="38100">
                  <w14:srgbClr w14:val="00B0F0">
                    <w14:alpha w14:val="75000"/>
                  </w14:srgbClr>
                </w14:glow>
              </w:rPr>
            </m:ctrlPr>
          </m:sSubPr>
          <m:e>
            <m:r>
              <m:rPr>
                <m:nor/>
              </m:rPr>
              <w:rPr>
                <w:i/>
                <w:iCs/>
                <w14:glow w14:rad="38100">
                  <w14:srgbClr w14:val="00B0F0">
                    <w14:alpha w14:val="75000"/>
                  </w14:srgbClr>
                </w14:glow>
              </w:rPr>
              <m:t>r</m:t>
            </m:r>
          </m:e>
          <m:sub>
            <m:r>
              <m:rPr>
                <m:nor/>
              </m:rPr>
              <w:rPr>
                <w:i/>
                <w:iCs/>
                <w14:glow w14:rad="38100">
                  <w14:srgbClr w14:val="00B0F0">
                    <w14:alpha w14:val="75000"/>
                  </w14:srgbClr>
                </w14:glow>
              </w:rPr>
              <m:t>E</m:t>
            </m:r>
          </m:sub>
        </m:sSub>
      </m:oMath>
      <w:r w:rsidRPr="00A103A5">
        <w:rPr>
          <w14:glow w14:rad="38100">
            <w14:srgbClr w14:val="00B0F0">
              <w14:alpha w14:val="75000"/>
            </w14:srgbClr>
          </w14:glow>
        </w:rPr>
        <w:t>)</w:t>
      </w:r>
      <w:r>
        <w:t xml:space="preserve"> es creciente con el endeudamiento</w:t>
      </w:r>
      <w:r w:rsidR="00B2208D">
        <w:t xml:space="preserve"> (</w:t>
      </w:r>
      <m:oMath>
        <m:r>
          <m:rPr>
            <m:nor/>
          </m:rPr>
          <w:rPr>
            <w:rFonts w:eastAsiaTheme="minorEastAsia"/>
            <w:i/>
            <w:iCs/>
          </w:rPr>
          <m:t>L</m:t>
        </m:r>
      </m:oMath>
      <w:r w:rsidR="00B2208D">
        <w:t>) ya que:</w:t>
      </w:r>
    </w:p>
    <w:p w14:paraId="4FAA826B" w14:textId="68FD92F1" w:rsidR="00B2208D" w:rsidRDefault="00B2208D" w:rsidP="00081579">
      <w:pPr>
        <w:pStyle w:val="Nivel3SM"/>
      </w:pPr>
      <w:r>
        <w:t>Mayor endeudamiento implica mayor riesgo financiero, por lo que los accionistas exigirán una mayor rentabilidad a los fondos propios.</w:t>
      </w:r>
    </w:p>
    <w:p w14:paraId="61E98003" w14:textId="48088726" w:rsidR="00552D50" w:rsidRDefault="00B2208D" w:rsidP="00081579">
      <w:pPr>
        <w:pStyle w:val="Nivel3SM"/>
      </w:pPr>
      <w:r>
        <w:t xml:space="preserve">Además, parece lógico suponer que la relación entre endeudamiento y riesgo no sea lineal, sino </w:t>
      </w:r>
      <w:r>
        <w:rPr>
          <w:i/>
          <w:iCs/>
        </w:rPr>
        <w:t>convexa</w:t>
      </w:r>
      <w:r>
        <w:t xml:space="preserve">: conforme la ratio de endeudamiento crece, el riesgo y, por tanto, </w:t>
      </w:r>
      <w:r w:rsidR="00E4386B">
        <w:t>la rentabilidad exigida por los accionistas crece cada vez</w:t>
      </w:r>
      <w:r>
        <w:t xml:space="preserve"> en una mayor proporción.</w:t>
      </w:r>
    </w:p>
    <w:p w14:paraId="2DE1A953" w14:textId="3428EC1C" w:rsidR="00B2208D" w:rsidRDefault="00B2208D" w:rsidP="00081579">
      <w:pPr>
        <w:pStyle w:val="Nivel2SM"/>
      </w:pPr>
      <w:r>
        <w:t xml:space="preserve">El </w:t>
      </w:r>
      <w:r w:rsidRPr="00A103A5">
        <w:rPr>
          <w:i/>
          <w:iCs/>
          <w:u w:val="single"/>
          <w14:glow w14:rad="38100">
            <w14:srgbClr w14:val="FFC000">
              <w14:alpha w14:val="75000"/>
            </w14:srgbClr>
          </w14:glow>
        </w:rPr>
        <w:t>coste de capital ajeno</w:t>
      </w:r>
      <w:r w:rsidRPr="00A103A5">
        <w:rPr>
          <w14:glow w14:rad="38100">
            <w14:srgbClr w14:val="FFC000">
              <w14:alpha w14:val="75000"/>
            </w14:srgbClr>
          </w14:glow>
        </w:rPr>
        <w:t xml:space="preserve"> (</w:t>
      </w:r>
      <m:oMath>
        <m:sSub>
          <m:sSubPr>
            <m:ctrlPr>
              <w:rPr>
                <w:rFonts w:ascii="Cambria Math" w:hAnsi="Cambria Math"/>
                <w:i/>
                <w:iCs/>
                <w:lang w:val="en-US"/>
                <w14:glow w14:rad="38100">
                  <w14:srgbClr w14:val="FFC000">
                    <w14:alpha w14:val="75000"/>
                  </w14:srgbClr>
                </w14:glow>
              </w:rPr>
            </m:ctrlPr>
          </m:sSubPr>
          <m:e>
            <m:r>
              <m:rPr>
                <m:nor/>
              </m:rPr>
              <w:rPr>
                <w:i/>
                <w:iCs/>
                <w14:glow w14:rad="38100">
                  <w14:srgbClr w14:val="FFC000">
                    <w14:alpha w14:val="75000"/>
                  </w14:srgbClr>
                </w14:glow>
              </w:rPr>
              <m:t>r</m:t>
            </m:r>
          </m:e>
          <m:sub>
            <m:r>
              <m:rPr>
                <m:nor/>
              </m:rPr>
              <w:rPr>
                <w:i/>
                <w:iCs/>
                <w14:glow w14:rad="38100">
                  <w14:srgbClr w14:val="FFC000">
                    <w14:alpha w14:val="75000"/>
                  </w14:srgbClr>
                </w14:glow>
              </w:rPr>
              <m:t>D</m:t>
            </m:r>
          </m:sub>
        </m:sSub>
      </m:oMath>
      <w:r w:rsidRPr="00A103A5">
        <w:rPr>
          <w14:glow w14:rad="38100">
            <w14:srgbClr w14:val="FFC000">
              <w14:alpha w14:val="75000"/>
            </w14:srgbClr>
          </w14:glow>
        </w:rPr>
        <w:t>)</w:t>
      </w:r>
      <w:r>
        <w:t xml:space="preserve"> es constante hasta un cierto nivel de en</w:t>
      </w:r>
      <w:r w:rsidR="0009406E">
        <w:t>d</w:t>
      </w:r>
      <w:r>
        <w:t>eudamiento, pero creciente para niveles superiores (en los que el riesgo de insolvencia es más importante, por lo que los acreedores comienzan a exigir una mayor rentabilidad).</w:t>
      </w:r>
      <w:r w:rsidR="00552D50">
        <w:t xml:space="preserve"> Además, debido al orden de prelación de cobro en caso de liquidación, el </w:t>
      </w:r>
      <w:r w:rsidR="00552D50">
        <w:rPr>
          <w:i/>
          <w:iCs/>
        </w:rPr>
        <w:t>coste de capital ajeno es siempre inferior al coste de capital propio</w:t>
      </w:r>
      <w:r w:rsidR="00552D50">
        <w:t>.</w:t>
      </w:r>
    </w:p>
    <w:p w14:paraId="6C80DD3A" w14:textId="02A06854" w:rsidR="0048193E" w:rsidRDefault="00EE1200" w:rsidP="00081579">
      <w:pPr>
        <w:pStyle w:val="Nivel2SM"/>
      </w:pPr>
      <w:r>
        <w:t xml:space="preserve">El </w:t>
      </w:r>
      <w:r w:rsidRPr="00A103A5">
        <w:rPr>
          <w:i/>
          <w:iCs/>
          <w:u w:val="single"/>
          <w14:glow w14:rad="38100">
            <w14:srgbClr w14:val="92D050">
              <w14:alpha w14:val="75000"/>
            </w14:srgbClr>
          </w14:glow>
        </w:rPr>
        <w:t>coste medio ponderado</w:t>
      </w:r>
      <w:r w:rsidRPr="00A103A5">
        <w:rPr>
          <w14:glow w14:rad="38100">
            <w14:srgbClr w14:val="92D050">
              <w14:alpha w14:val="75000"/>
            </w14:srgbClr>
          </w14:glow>
        </w:rPr>
        <w:t xml:space="preserve"> (</w:t>
      </w:r>
      <m:oMath>
        <m:r>
          <m:rPr>
            <m:nor/>
          </m:rPr>
          <w:rPr>
            <w:i/>
            <w:iCs/>
            <w14:glow w14:rad="38100">
              <w14:srgbClr w14:val="92D050">
                <w14:alpha w14:val="75000"/>
              </w14:srgbClr>
            </w14:glow>
          </w:rPr>
          <m:t>WACC</m:t>
        </m:r>
      </m:oMath>
      <w:r w:rsidRPr="00A103A5">
        <w:rPr>
          <w14:glow w14:rad="38100">
            <w14:srgbClr w14:val="92D050">
              <w14:alpha w14:val="75000"/>
            </w14:srgbClr>
          </w14:glow>
        </w:rPr>
        <w:t>)</w:t>
      </w:r>
      <w:r w:rsidR="0033752C">
        <w:t xml:space="preserve"> </w:t>
      </w:r>
      <w:r>
        <w:t xml:space="preserve">será primero decreciente y después creciente. Esto es así ya que para niveles de </w:t>
      </w:r>
      <w:r w:rsidR="005A4B93">
        <w:t>endeudamiento</w:t>
      </w:r>
      <w:r>
        <w:t xml:space="preserve"> bajos, mayor endeudamiento es beneficioso para la empresa, ya que permite sustituir financiación más cara (recursos propios) por financiación más barata (recursos ajenos). Pero a partir de un determinado nivel de </w:t>
      </w:r>
      <w:r w:rsidR="005A4B93">
        <w:t>endeud</w:t>
      </w:r>
      <w:r>
        <w:t>amiento (</w:t>
      </w:r>
      <m:oMath>
        <m:r>
          <m:rPr>
            <m:nor/>
          </m:rPr>
          <w:rPr>
            <w:rFonts w:eastAsiaTheme="minorEastAsia"/>
            <w:i/>
            <w:iCs/>
          </w:rPr>
          <m:t>L*</m:t>
        </m:r>
      </m:oMath>
      <w:r>
        <w:t xml:space="preserve">), el </w:t>
      </w:r>
      <w:r>
        <w:lastRenderedPageBreak/>
        <w:t xml:space="preserve">endeudamiento se vuelve excesivo y el efecto positivo anterior se ve neutralizado por el aumento </w:t>
      </w:r>
      <w:r w:rsidR="0048193E">
        <w:t xml:space="preserve">tanto de </w:t>
      </w:r>
      <m:oMath>
        <m:sSub>
          <m:sSubPr>
            <m:ctrlPr>
              <w:rPr>
                <w:rFonts w:ascii="Cambria Math" w:hAnsi="Cambria Math"/>
                <w:i/>
                <w:iCs/>
                <w:lang w:val="en-US"/>
              </w:rPr>
            </m:ctrlPr>
          </m:sSubPr>
          <m:e>
            <m:r>
              <m:rPr>
                <m:nor/>
              </m:rPr>
              <w:rPr>
                <w:i/>
                <w:iCs/>
              </w:rPr>
              <m:t>r</m:t>
            </m:r>
          </m:e>
          <m:sub>
            <m:r>
              <m:rPr>
                <m:nor/>
              </m:rPr>
              <w:rPr>
                <w:i/>
                <w:iCs/>
              </w:rPr>
              <m:t>E</m:t>
            </m:r>
          </m:sub>
        </m:sSub>
      </m:oMath>
      <w:r w:rsidR="0048193E" w:rsidRPr="0048193E">
        <w:rPr>
          <w:rFonts w:eastAsiaTheme="minorEastAsia"/>
          <w:iCs/>
        </w:rPr>
        <w:t xml:space="preserve"> </w:t>
      </w:r>
      <w:r w:rsidR="0048193E">
        <w:rPr>
          <w:rFonts w:eastAsiaTheme="minorEastAsia"/>
          <w:iCs/>
        </w:rPr>
        <w:t xml:space="preserve">como de </w:t>
      </w:r>
      <m:oMath>
        <m:sSub>
          <m:sSubPr>
            <m:ctrlPr>
              <w:rPr>
                <w:rFonts w:ascii="Cambria Math" w:hAnsi="Cambria Math"/>
                <w:i/>
                <w:iCs/>
                <w:lang w:val="en-US"/>
              </w:rPr>
            </m:ctrlPr>
          </m:sSubPr>
          <m:e>
            <m:r>
              <m:rPr>
                <m:nor/>
              </m:rPr>
              <w:rPr>
                <w:i/>
                <w:iCs/>
              </w:rPr>
              <m:t>r</m:t>
            </m:r>
          </m:e>
          <m:sub>
            <m:r>
              <m:rPr>
                <m:nor/>
              </m:rPr>
              <w:rPr>
                <w:i/>
                <w:iCs/>
              </w:rPr>
              <m:t>D</m:t>
            </m:r>
          </m:sub>
        </m:sSub>
      </m:oMath>
      <w:r w:rsidR="0048193E" w:rsidRPr="0048193E">
        <w:rPr>
          <w:rFonts w:eastAsiaTheme="minorEastAsia"/>
          <w:iCs/>
        </w:rPr>
        <w:t xml:space="preserve"> </w:t>
      </w:r>
      <w:r w:rsidR="0048193E">
        <w:rPr>
          <w:rFonts w:eastAsiaTheme="minorEastAsia"/>
          <w:iCs/>
        </w:rPr>
        <w:t>en respuesta al mayor riesgo</w:t>
      </w:r>
      <w:r w:rsidR="0048193E">
        <w:t xml:space="preserve"> de la empresa.</w:t>
      </w:r>
    </w:p>
    <w:p w14:paraId="2EB89E86" w14:textId="0145E553" w:rsidR="00542CBE" w:rsidRDefault="00542CBE" w:rsidP="00542CBE">
      <w:pPr>
        <w:pStyle w:val="Nivel1"/>
        <w:numPr>
          <w:ilvl w:val="0"/>
          <w:numId w:val="0"/>
        </w:numPr>
        <w:spacing w:after="0"/>
        <w:ind w:left="623"/>
      </w:pPr>
      <m:oMathPara>
        <m:oMath>
          <m:r>
            <m:rPr>
              <m:sty m:val="bi"/>
            </m:rPr>
            <w:rPr>
              <w:rFonts w:ascii="Cambria Math" w:eastAsiaTheme="minorEastAsia" w:hAnsi="Cambria Math"/>
            </w:rPr>
            <m:t xml:space="preserve"> </m:t>
          </m:r>
          <m:r>
            <m:rPr>
              <m:nor/>
            </m:rPr>
            <w:rPr>
              <w:b/>
              <w:bCs/>
              <w:i/>
              <w:iCs/>
              <w:color w:val="92D050"/>
            </w:rPr>
            <m:t>WACC</m:t>
          </m:r>
          <m:r>
            <w:rPr>
              <w:rFonts w:ascii="Cambria Math" w:hAnsi="Cambria Math"/>
            </w:rPr>
            <m:t>=</m:t>
          </m:r>
          <m:sSub>
            <m:sSubPr>
              <m:ctrlPr>
                <w:rPr>
                  <w:rFonts w:ascii="Cambria Math" w:hAnsi="Cambria Math"/>
                  <w:i/>
                  <w:iCs/>
                  <w:color w:val="00B0F0"/>
                  <w:lang w:val="en-US"/>
                </w:rPr>
              </m:ctrlPr>
            </m:sSubPr>
            <m:e>
              <m:r>
                <m:rPr>
                  <m:nor/>
                </m:rPr>
                <w:rPr>
                  <w:i/>
                  <w:iCs/>
                  <w:color w:val="00B0F0"/>
                </w:rPr>
                <m:t>r</m:t>
              </m:r>
            </m:e>
            <m:sub>
              <m:r>
                <m:rPr>
                  <m:nor/>
                </m:rPr>
                <w:rPr>
                  <w:i/>
                  <w:iCs/>
                  <w:color w:val="00B0F0"/>
                </w:rPr>
                <m:t>E</m:t>
              </m:r>
            </m:sub>
          </m:sSub>
          <m:r>
            <w:rPr>
              <w:rFonts w:ascii="Cambria Math" w:eastAsiaTheme="minorEastAsia" w:hAnsi="Cambria Math"/>
            </w:rPr>
            <m:t>∙</m:t>
          </m:r>
          <m:limLow>
            <m:limLowPr>
              <m:ctrlPr>
                <w:rPr>
                  <w:rFonts w:ascii="Cambria Math" w:eastAsiaTheme="minorEastAsia" w:hAnsi="Cambria Math"/>
                  <w:i/>
                  <w:iCs/>
                  <w:lang w:val="en-US"/>
                </w:rPr>
              </m:ctrlPr>
            </m:limLowPr>
            <m:e>
              <m:groupChr>
                <m:groupChrPr>
                  <m:ctrlPr>
                    <w:rPr>
                      <w:rFonts w:ascii="Cambria Math" w:eastAsiaTheme="minorEastAsia" w:hAnsi="Cambria Math"/>
                      <w:i/>
                      <w:iCs/>
                      <w:lang w:val="en-US"/>
                    </w:rPr>
                  </m:ctrlPr>
                </m:groupChrPr>
                <m:e>
                  <m:f>
                    <m:fPr>
                      <m:ctrlPr>
                        <w:rPr>
                          <w:rFonts w:ascii="Cambria Math" w:eastAsiaTheme="minorEastAsia" w:hAnsi="Cambria Math"/>
                          <w:i/>
                          <w:iCs/>
                          <w:lang w:val="en-US"/>
                        </w:rPr>
                      </m:ctrlPr>
                    </m:fPr>
                    <m:num>
                      <m:sSub>
                        <m:sSubPr>
                          <m:ctrlPr>
                            <w:rPr>
                              <w:rFonts w:ascii="Cambria Math" w:hAnsi="Cambria Math"/>
                              <w:i/>
                              <w:iCs/>
                            </w:rPr>
                          </m:ctrlPr>
                        </m:sSubPr>
                        <m:e>
                          <m:r>
                            <m:rPr>
                              <m:nor/>
                            </m:rPr>
                            <w:rPr>
                              <w:i/>
                              <w:iCs/>
                            </w:rPr>
                            <m:t>V</m:t>
                          </m:r>
                        </m:e>
                        <m:sub>
                          <m:r>
                            <m:rPr>
                              <m:nor/>
                            </m:rPr>
                            <w:rPr>
                              <w:i/>
                              <w:iCs/>
                            </w:rPr>
                            <m:t>E</m:t>
                          </m:r>
                        </m:sub>
                      </m:sSub>
                    </m:num>
                    <m:den>
                      <m:sSub>
                        <m:sSubPr>
                          <m:ctrlPr>
                            <w:rPr>
                              <w:rFonts w:ascii="Cambria Math" w:hAnsi="Cambria Math"/>
                              <w:i/>
                              <w:iCs/>
                            </w:rPr>
                          </m:ctrlPr>
                        </m:sSubPr>
                        <m:e>
                          <m:r>
                            <m:rPr>
                              <m:nor/>
                            </m:rPr>
                            <w:rPr>
                              <w:i/>
                              <w:iCs/>
                            </w:rPr>
                            <m:t>V</m:t>
                          </m:r>
                        </m:e>
                        <m:sub>
                          <m:r>
                            <m:rPr>
                              <m:nor/>
                            </m:rPr>
                            <w:rPr>
                              <w:i/>
                              <w:iCs/>
                            </w:rPr>
                            <m:t>D</m:t>
                          </m:r>
                        </m:sub>
                      </m:sSub>
                      <m:r>
                        <w:rPr>
                          <w:rFonts w:ascii="Cambria Math" w:eastAsiaTheme="minorEastAsia" w:hAnsi="Cambria Math"/>
                        </w:rPr>
                        <m:t>+</m:t>
                      </m:r>
                      <m:sSub>
                        <m:sSubPr>
                          <m:ctrlPr>
                            <w:rPr>
                              <w:rFonts w:ascii="Cambria Math" w:hAnsi="Cambria Math"/>
                              <w:i/>
                              <w:iCs/>
                            </w:rPr>
                          </m:ctrlPr>
                        </m:sSubPr>
                        <m:e>
                          <m:r>
                            <m:rPr>
                              <m:nor/>
                            </m:rPr>
                            <w:rPr>
                              <w:i/>
                              <w:iCs/>
                            </w:rPr>
                            <m:t>V</m:t>
                          </m:r>
                        </m:e>
                        <m:sub>
                          <m:r>
                            <m:rPr>
                              <m:nor/>
                            </m:rPr>
                            <w:rPr>
                              <w:i/>
                              <w:iCs/>
                            </w:rPr>
                            <m:t>E</m:t>
                          </m:r>
                        </m:sub>
                      </m:sSub>
                    </m:den>
                  </m:f>
                </m:e>
              </m:groupChr>
            </m:e>
            <m:lim>
              <m:r>
                <m:rPr>
                  <m:nor/>
                </m:rPr>
                <w:rPr>
                  <w:rFonts w:eastAsiaTheme="minorEastAsia"/>
                  <w:i/>
                  <w:iCs/>
                </w:rPr>
                <m:t>1</m:t>
              </m:r>
              <m:r>
                <w:rPr>
                  <w:rFonts w:ascii="Cambria Math" w:eastAsiaTheme="minorEastAsia" w:hAnsi="Cambria Math"/>
                </w:rPr>
                <m:t>-</m:t>
              </m:r>
              <m:r>
                <m:rPr>
                  <m:nor/>
                </m:rPr>
                <w:rPr>
                  <w:rFonts w:eastAsiaTheme="minorEastAsia"/>
                  <w:i/>
                  <w:iCs/>
                </w:rPr>
                <m:t>L</m:t>
              </m:r>
            </m:lim>
          </m:limLow>
          <m:r>
            <w:rPr>
              <w:rFonts w:ascii="Cambria Math" w:eastAsiaTheme="minorEastAsia" w:hAnsi="Cambria Math"/>
            </w:rPr>
            <m:t>+</m:t>
          </m:r>
          <m:sSub>
            <m:sSubPr>
              <m:ctrlPr>
                <w:rPr>
                  <w:rFonts w:ascii="Cambria Math" w:hAnsi="Cambria Math"/>
                  <w:i/>
                  <w:iCs/>
                  <w:color w:val="FFC000"/>
                  <w:lang w:val="en-US"/>
                </w:rPr>
              </m:ctrlPr>
            </m:sSubPr>
            <m:e>
              <m:r>
                <m:rPr>
                  <m:nor/>
                </m:rPr>
                <w:rPr>
                  <w:i/>
                  <w:iCs/>
                  <w:color w:val="FFC000"/>
                </w:rPr>
                <m:t>r</m:t>
              </m:r>
            </m:e>
            <m:sub>
              <m:r>
                <m:rPr>
                  <m:nor/>
                </m:rPr>
                <w:rPr>
                  <w:i/>
                  <w:iCs/>
                  <w:color w:val="FFC000"/>
                </w:rPr>
                <m:t>D</m:t>
              </m:r>
            </m:sub>
          </m:sSub>
          <m:r>
            <m:rPr>
              <m:nor/>
            </m:rPr>
            <w:rPr>
              <w:rFonts w:eastAsiaTheme="minorEastAsia"/>
              <w:i/>
              <w:iCs/>
            </w:rPr>
            <m:t>∙</m:t>
          </m:r>
          <m:limLow>
            <m:limLowPr>
              <m:ctrlPr>
                <w:rPr>
                  <w:rFonts w:ascii="Cambria Math" w:eastAsiaTheme="minorEastAsia" w:hAnsi="Cambria Math"/>
                  <w:i/>
                  <w:iCs/>
                  <w:lang w:val="en-US"/>
                </w:rPr>
              </m:ctrlPr>
            </m:limLowPr>
            <m:e>
              <m:groupChr>
                <m:groupChrPr>
                  <m:ctrlPr>
                    <w:rPr>
                      <w:rFonts w:ascii="Cambria Math" w:eastAsiaTheme="minorEastAsia" w:hAnsi="Cambria Math"/>
                      <w:i/>
                      <w:iCs/>
                      <w:lang w:val="en-US"/>
                    </w:rPr>
                  </m:ctrlPr>
                </m:groupChrPr>
                <m:e>
                  <m:f>
                    <m:fPr>
                      <m:ctrlPr>
                        <w:rPr>
                          <w:rFonts w:ascii="Cambria Math" w:eastAsiaTheme="minorEastAsia" w:hAnsi="Cambria Math"/>
                          <w:i/>
                          <w:iCs/>
                          <w:lang w:val="en-US"/>
                        </w:rPr>
                      </m:ctrlPr>
                    </m:fPr>
                    <m:num>
                      <m:sSub>
                        <m:sSubPr>
                          <m:ctrlPr>
                            <w:rPr>
                              <w:rFonts w:ascii="Cambria Math" w:hAnsi="Cambria Math"/>
                              <w:i/>
                              <w:iCs/>
                            </w:rPr>
                          </m:ctrlPr>
                        </m:sSubPr>
                        <m:e>
                          <m:r>
                            <m:rPr>
                              <m:nor/>
                            </m:rPr>
                            <w:rPr>
                              <w:i/>
                              <w:iCs/>
                            </w:rPr>
                            <m:t>V</m:t>
                          </m:r>
                        </m:e>
                        <m:sub>
                          <m:r>
                            <m:rPr>
                              <m:nor/>
                            </m:rPr>
                            <w:rPr>
                              <w:i/>
                              <w:iCs/>
                            </w:rPr>
                            <m:t>D</m:t>
                          </m:r>
                        </m:sub>
                      </m:sSub>
                    </m:num>
                    <m:den>
                      <m:sSub>
                        <m:sSubPr>
                          <m:ctrlPr>
                            <w:rPr>
                              <w:rFonts w:ascii="Cambria Math" w:hAnsi="Cambria Math"/>
                              <w:i/>
                              <w:iCs/>
                            </w:rPr>
                          </m:ctrlPr>
                        </m:sSubPr>
                        <m:e>
                          <m:r>
                            <m:rPr>
                              <m:nor/>
                            </m:rPr>
                            <w:rPr>
                              <w:i/>
                              <w:iCs/>
                            </w:rPr>
                            <m:t>V</m:t>
                          </m:r>
                        </m:e>
                        <m:sub>
                          <m:r>
                            <m:rPr>
                              <m:nor/>
                            </m:rPr>
                            <w:rPr>
                              <w:i/>
                              <w:iCs/>
                            </w:rPr>
                            <m:t>D</m:t>
                          </m:r>
                        </m:sub>
                      </m:sSub>
                      <m:r>
                        <w:rPr>
                          <w:rFonts w:ascii="Cambria Math" w:eastAsiaTheme="minorEastAsia" w:hAnsi="Cambria Math"/>
                        </w:rPr>
                        <m:t>+</m:t>
                      </m:r>
                      <m:sSub>
                        <m:sSubPr>
                          <m:ctrlPr>
                            <w:rPr>
                              <w:rFonts w:ascii="Cambria Math" w:hAnsi="Cambria Math"/>
                              <w:i/>
                              <w:iCs/>
                            </w:rPr>
                          </m:ctrlPr>
                        </m:sSubPr>
                        <m:e>
                          <m:r>
                            <m:rPr>
                              <m:nor/>
                            </m:rPr>
                            <w:rPr>
                              <w:i/>
                              <w:iCs/>
                            </w:rPr>
                            <m:t>V</m:t>
                          </m:r>
                        </m:e>
                        <m:sub>
                          <m:r>
                            <m:rPr>
                              <m:nor/>
                            </m:rPr>
                            <w:rPr>
                              <w:i/>
                              <w:iCs/>
                            </w:rPr>
                            <m:t>E</m:t>
                          </m:r>
                        </m:sub>
                      </m:sSub>
                    </m:den>
                  </m:f>
                </m:e>
              </m:groupChr>
            </m:e>
            <m:lim>
              <m:r>
                <m:rPr>
                  <m:nor/>
                </m:rPr>
                <w:rPr>
                  <w:rFonts w:eastAsiaTheme="minorEastAsia"/>
                  <w:i/>
                  <w:iCs/>
                </w:rPr>
                <m:t>L</m:t>
              </m:r>
            </m:lim>
          </m:limLow>
        </m:oMath>
      </m:oMathPara>
    </w:p>
    <w:p w14:paraId="3F72003F" w14:textId="3FB4D845" w:rsidR="00262381" w:rsidRPr="0060179A" w:rsidRDefault="00262381" w:rsidP="00262381">
      <w:pPr>
        <w:pStyle w:val="Ttuloimagen"/>
        <w:rPr>
          <w:i/>
          <w:iCs/>
          <w:spacing w:val="-4"/>
          <w:sz w:val="18"/>
          <w:szCs w:val="18"/>
        </w:rPr>
      </w:pPr>
      <w:r w:rsidRPr="0060179A">
        <w:rPr>
          <w:spacing w:val="-4"/>
        </w:rPr>
        <w:t>Imagen</w:t>
      </w:r>
      <w:r w:rsidR="00C366D0">
        <w:rPr>
          <w:spacing w:val="-4"/>
        </w:rPr>
        <w:t> </w:t>
      </w:r>
      <w:r w:rsidRPr="0060179A">
        <w:rPr>
          <w:spacing w:val="-4"/>
        </w:rPr>
        <w:fldChar w:fldCharType="begin"/>
      </w:r>
      <w:r w:rsidRPr="0060179A">
        <w:rPr>
          <w:spacing w:val="-4"/>
        </w:rPr>
        <w:instrText xml:space="preserve"> SEQ Ilustración \* ARABIC </w:instrText>
      </w:r>
      <w:r w:rsidRPr="0060179A">
        <w:rPr>
          <w:spacing w:val="-4"/>
        </w:rPr>
        <w:fldChar w:fldCharType="separate"/>
      </w:r>
      <w:r w:rsidR="00583A5D">
        <w:rPr>
          <w:spacing w:val="-4"/>
        </w:rPr>
        <w:t>1</w:t>
      </w:r>
      <w:r w:rsidRPr="0060179A">
        <w:rPr>
          <w:spacing w:val="-4"/>
        </w:rPr>
        <w:fldChar w:fldCharType="end"/>
      </w:r>
      <w:r w:rsidRPr="0060179A">
        <w:rPr>
          <w:smallCaps w:val="0"/>
          <w:spacing w:val="-4"/>
        </w:rPr>
        <w:t>.–</w:t>
      </w:r>
      <w:r w:rsidRPr="0060179A">
        <w:rPr>
          <w:i/>
          <w:iCs/>
          <w:smallCaps w:val="0"/>
          <w:spacing w:val="-4"/>
          <w:sz w:val="18"/>
          <w:szCs w:val="18"/>
        </w:rPr>
        <w:t xml:space="preserve"> Coste de capital en función de la estructura de capital de la empresa (</w:t>
      </w:r>
      <w:r>
        <w:rPr>
          <w:i/>
          <w:iCs/>
          <w:smallCaps w:val="0"/>
          <w:spacing w:val="-4"/>
          <w:sz w:val="18"/>
          <w:szCs w:val="18"/>
        </w:rPr>
        <w:t>Perspectiva tradicional</w:t>
      </w:r>
      <w:r w:rsidRPr="0060179A">
        <w:rPr>
          <w:i/>
          <w:iCs/>
          <w:smallCaps w:val="0"/>
          <w:spacing w:val="-4"/>
          <w:sz w:val="18"/>
          <w:szCs w:val="18"/>
        </w:rPr>
        <w:t>)</w:t>
      </w:r>
    </w:p>
    <w:p w14:paraId="13804A81" w14:textId="77777777" w:rsidR="00262381" w:rsidRDefault="00262381" w:rsidP="00262381">
      <w:pPr>
        <w:pStyle w:val="Imagen"/>
      </w:pPr>
      <w:r>
        <w:drawing>
          <wp:inline distT="0" distB="0" distL="0" distR="0" wp14:anchorId="377910A0" wp14:editId="5C149FE2">
            <wp:extent cx="2502298" cy="180000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a:blip r:embed="rId9"/>
                    <a:srcRect l="10902" r="10902"/>
                    <a:stretch>
                      <a:fillRect/>
                    </a:stretch>
                  </pic:blipFill>
                  <pic:spPr bwMode="auto">
                    <a:xfrm>
                      <a:off x="0" y="0"/>
                      <a:ext cx="2502298" cy="1800000"/>
                    </a:xfrm>
                    <a:prstGeom prst="rect">
                      <a:avLst/>
                    </a:prstGeom>
                    <a:ln>
                      <a:noFill/>
                    </a:ln>
                    <a:extLst>
                      <a:ext uri="{53640926-AAD7-44D8-BBD7-CCE9431645EC}">
                        <a14:shadowObscured xmlns:a14="http://schemas.microsoft.com/office/drawing/2010/main"/>
                      </a:ext>
                    </a:extLst>
                  </pic:spPr>
                </pic:pic>
              </a:graphicData>
            </a:graphic>
          </wp:inline>
        </w:drawing>
      </w:r>
    </w:p>
    <w:p w14:paraId="670AA05F" w14:textId="108C268A" w:rsidR="0048193E" w:rsidRPr="00262381" w:rsidRDefault="00262381" w:rsidP="00262381">
      <w:pPr>
        <w:pStyle w:val="PiedeImagen"/>
        <w:rPr>
          <w:i w:val="0"/>
          <w:iCs/>
        </w:rPr>
      </w:pPr>
      <w:r>
        <w:t>Fuente</w:t>
      </w:r>
      <w:r>
        <w:rPr>
          <w:i w:val="0"/>
          <w:iCs/>
        </w:rPr>
        <w:t>: Elaboración propia</w:t>
      </w:r>
    </w:p>
    <w:p w14:paraId="048A5E9C" w14:textId="43123A49" w:rsidR="00216959" w:rsidRPr="00F131C0" w:rsidRDefault="00EE1200" w:rsidP="00081579">
      <w:pPr>
        <w:pStyle w:val="Nivel1SM"/>
      </w:pPr>
      <w:r>
        <w:t>Por lo tanto, según la teoría tradicional existe un nivel de endeudamiento óptimo</w:t>
      </w:r>
      <w:r w:rsidR="0048193E">
        <w:t xml:space="preserve"> (</w:t>
      </w:r>
      <m:oMath>
        <m:r>
          <m:rPr>
            <m:nor/>
          </m:rPr>
          <w:rPr>
            <w:rFonts w:eastAsiaTheme="minorEastAsia"/>
            <w:i/>
            <w:iCs/>
          </w:rPr>
          <m:t>L*</m:t>
        </m:r>
      </m:oMath>
      <w:r w:rsidR="0048193E">
        <w:t>)</w:t>
      </w:r>
      <w:r>
        <w:t xml:space="preserve"> que minimiza el coste de capital y, por lo tanto, maximiza el valor de la empresa.</w:t>
      </w:r>
    </w:p>
    <w:p w14:paraId="0117DD4A" w14:textId="3319B113" w:rsidR="003E4089" w:rsidRPr="003E4089" w:rsidRDefault="005D4481" w:rsidP="006F422A">
      <w:pPr>
        <w:pStyle w:val="Ttulo3"/>
      </w:pPr>
      <w:bookmarkStart w:id="48" w:name="_Toc125044538"/>
      <w:r>
        <w:t>Perspectiva</w:t>
      </w:r>
      <w:r w:rsidR="003E4089" w:rsidRPr="003E4089">
        <w:t xml:space="preserve"> moderna</w:t>
      </w:r>
      <w:r w:rsidR="00830E36">
        <w:t xml:space="preserve"> (</w:t>
      </w:r>
      <w:r w:rsidR="00830E36" w:rsidRPr="00830E36">
        <w:rPr>
          <w:smallCaps/>
        </w:rPr>
        <w:t>Modigliani</w:t>
      </w:r>
      <w:r w:rsidR="00830E36">
        <w:t xml:space="preserve"> y </w:t>
      </w:r>
      <w:r w:rsidR="00830E36" w:rsidRPr="00830E36">
        <w:rPr>
          <w:smallCaps/>
        </w:rPr>
        <w:t>Miller</w:t>
      </w:r>
      <w:r w:rsidR="00830E36">
        <w:t xml:space="preserve"> (1958) y extensiones)</w:t>
      </w:r>
      <w:bookmarkEnd w:id="48"/>
    </w:p>
    <w:p w14:paraId="0FA89504" w14:textId="71926E28" w:rsidR="00A103A5" w:rsidRPr="00A103A5" w:rsidRDefault="00A103A5" w:rsidP="00C366D0">
      <w:pPr>
        <w:pStyle w:val="Ttulo6"/>
        <w:spacing w:before="0"/>
      </w:pPr>
      <w:bookmarkStart w:id="49" w:name="_Toc125044539"/>
      <w:r>
        <w:t>Idea</w:t>
      </w:r>
      <w:bookmarkEnd w:id="49"/>
    </w:p>
    <w:p w14:paraId="47536AE8" w14:textId="2BCE99EA" w:rsidR="00874181" w:rsidRDefault="00B85B28" w:rsidP="00C366D0">
      <w:pPr>
        <w:pStyle w:val="Nivel1SM"/>
        <w:spacing w:before="0"/>
      </w:pPr>
      <w:r>
        <w:rPr>
          <w:smallCaps/>
        </w:rPr>
        <w:t>Modigliani</w:t>
      </w:r>
      <w:r>
        <w:t xml:space="preserve"> y </w:t>
      </w:r>
      <w:r>
        <w:rPr>
          <w:smallCaps/>
        </w:rPr>
        <w:t>Miller</w:t>
      </w:r>
      <w:r>
        <w:t xml:space="preserve"> (1958) </w:t>
      </w:r>
      <w:r w:rsidR="000726A8">
        <w:t>rompen con la perspectiva tradicional. D</w:t>
      </w:r>
      <w:r>
        <w:t>emuestran que</w:t>
      </w:r>
      <w:r w:rsidR="00874181">
        <w:t>,</w:t>
      </w:r>
      <w:r>
        <w:t xml:space="preserve"> </w:t>
      </w:r>
      <w:r w:rsidR="00874181">
        <w:t xml:space="preserve">si se cumplen una serie de supuestos, </w:t>
      </w:r>
      <w:r>
        <w:t xml:space="preserve">el valor de la empresa viene determinado por sus activos y los flujos de caja que </w:t>
      </w:r>
      <w:r w:rsidR="00F77DCC">
        <w:t>ést</w:t>
      </w:r>
      <w:r>
        <w:t>os generan</w:t>
      </w:r>
      <w:r w:rsidR="00874181">
        <w:t xml:space="preserve"> (decisión de inversión)</w:t>
      </w:r>
      <w:r>
        <w:t>, y por tanto, no depende de la estructura de sus pasivos y fondos propios</w:t>
      </w:r>
      <w:r w:rsidR="00874181">
        <w:t xml:space="preserve"> (decisión de financiación)</w:t>
      </w:r>
      <w:r>
        <w:t>.</w:t>
      </w:r>
    </w:p>
    <w:p w14:paraId="314DFEC4" w14:textId="71F9902E" w:rsidR="00830E36" w:rsidRDefault="00A103A5" w:rsidP="00830E36">
      <w:pPr>
        <w:pStyle w:val="Ttulo6"/>
        <w:spacing w:before="0"/>
      </w:pPr>
      <w:bookmarkStart w:id="50" w:name="_Toc125044540"/>
      <w:r>
        <w:t>Modelo</w:t>
      </w:r>
      <w:r w:rsidR="00830E36">
        <w:t xml:space="preserve"> de</w:t>
      </w:r>
      <w:r w:rsidR="00830E36" w:rsidRPr="00830E36">
        <w:t xml:space="preserve"> </w:t>
      </w:r>
      <w:r w:rsidR="00830E36" w:rsidRPr="003E4089">
        <w:rPr>
          <w:smallCaps/>
        </w:rPr>
        <w:t>Modigliani</w:t>
      </w:r>
      <w:r w:rsidR="00830E36">
        <w:t xml:space="preserve"> y </w:t>
      </w:r>
      <w:r w:rsidR="00830E36" w:rsidRPr="003E4089">
        <w:rPr>
          <w:smallCaps/>
        </w:rPr>
        <w:t>Miller</w:t>
      </w:r>
      <w:r w:rsidR="00830E36">
        <w:t xml:space="preserve"> (1958)</w:t>
      </w:r>
      <w:bookmarkEnd w:id="50"/>
    </w:p>
    <w:p w14:paraId="13F425DE" w14:textId="2971C204" w:rsidR="00A103A5" w:rsidRPr="00A103A5" w:rsidRDefault="00A103A5" w:rsidP="00C366D0">
      <w:pPr>
        <w:pStyle w:val="Ttulo7"/>
        <w:spacing w:before="0"/>
      </w:pPr>
      <w:bookmarkStart w:id="51" w:name="_Toc125044541"/>
      <w:r>
        <w:t>Supuestos</w:t>
      </w:r>
      <w:bookmarkEnd w:id="51"/>
    </w:p>
    <w:p w14:paraId="75A26BC7" w14:textId="4A823ED1" w:rsidR="00B85B28" w:rsidRDefault="00B85B28" w:rsidP="00C366D0">
      <w:pPr>
        <w:pStyle w:val="Nivel1SM"/>
        <w:keepNext/>
        <w:spacing w:before="0" w:after="0"/>
      </w:pPr>
      <w:r>
        <w:t xml:space="preserve">Se basan en los siguientes </w:t>
      </w:r>
      <w:r w:rsidRPr="00A103A5">
        <w:rPr>
          <w:b/>
          <w:bCs/>
        </w:rPr>
        <w:t>supuestos</w:t>
      </w:r>
      <w:r>
        <w:t>:</w:t>
      </w:r>
    </w:p>
    <w:p w14:paraId="163504E1" w14:textId="77777777" w:rsidR="00A103A5" w:rsidRDefault="00B85B28" w:rsidP="00F77DCC">
      <w:pPr>
        <w:pStyle w:val="Prrafodelista"/>
        <w:numPr>
          <w:ilvl w:val="5"/>
          <w:numId w:val="7"/>
        </w:numPr>
        <w:spacing w:after="100"/>
        <w:ind w:left="567" w:hanging="57"/>
      </w:pPr>
      <w:r w:rsidRPr="00A103A5">
        <w:rPr>
          <w:i/>
          <w:iCs/>
        </w:rPr>
        <w:t>Mercados de capitales perfectos</w:t>
      </w:r>
      <w:r>
        <w:t xml:space="preserve"> (sin impuestos, costes de </w:t>
      </w:r>
      <w:r w:rsidR="00505FFC">
        <w:t>insolvencia</w:t>
      </w:r>
      <w:r>
        <w:t xml:space="preserve"> nulos, etc.)</w:t>
      </w:r>
      <w:r w:rsidR="00511F8C">
        <w:t>;</w:t>
      </w:r>
    </w:p>
    <w:p w14:paraId="350DA90F" w14:textId="77777777" w:rsidR="00A103A5" w:rsidRDefault="00B85B28" w:rsidP="00F77DCC">
      <w:pPr>
        <w:pStyle w:val="Prrafodelista"/>
        <w:numPr>
          <w:ilvl w:val="5"/>
          <w:numId w:val="7"/>
        </w:numPr>
        <w:spacing w:after="100"/>
        <w:ind w:left="567" w:hanging="57"/>
      </w:pPr>
      <w:r w:rsidRPr="00A103A5">
        <w:rPr>
          <w:i/>
          <w:iCs/>
        </w:rPr>
        <w:t>Agentes racionales</w:t>
      </w:r>
      <w:r>
        <w:t xml:space="preserve"> (todo accionista prefiere más riqueza a menos, y es indiferente entre un aumento de los dividendos o un incremento equivalente del precio de las acciones)</w:t>
      </w:r>
      <w:r w:rsidR="00511F8C">
        <w:t>;</w:t>
      </w:r>
    </w:p>
    <w:p w14:paraId="69521C84" w14:textId="77777777" w:rsidR="00EC22DD" w:rsidRDefault="00EC22DD" w:rsidP="00EC22DD">
      <w:pPr>
        <w:pStyle w:val="Prrafodelista"/>
        <w:numPr>
          <w:ilvl w:val="5"/>
          <w:numId w:val="7"/>
        </w:numPr>
        <w:spacing w:after="100"/>
        <w:ind w:left="567" w:hanging="57"/>
      </w:pPr>
      <w:r w:rsidRPr="00A103A5">
        <w:rPr>
          <w:i/>
          <w:iCs/>
        </w:rPr>
        <w:t>Agentes neutrales al riesgo</w:t>
      </w:r>
      <w:r>
        <w:t>;</w:t>
      </w:r>
    </w:p>
    <w:p w14:paraId="3C553AF1" w14:textId="1872DF37" w:rsidR="00EC22DD" w:rsidRDefault="00EC22DD" w:rsidP="00EC22DD">
      <w:pPr>
        <w:pStyle w:val="Prrafodelista"/>
        <w:numPr>
          <w:ilvl w:val="5"/>
          <w:numId w:val="7"/>
        </w:numPr>
        <w:spacing w:after="100"/>
        <w:ind w:left="567" w:hanging="57"/>
      </w:pPr>
      <w:r w:rsidRPr="00A103A5">
        <w:rPr>
          <w:i/>
          <w:iCs/>
        </w:rPr>
        <w:t>Ausencia de incertidumbre</w:t>
      </w:r>
      <w:r>
        <w:t>; y</w:t>
      </w:r>
    </w:p>
    <w:p w14:paraId="48B18565" w14:textId="5B11982C" w:rsidR="00A103A5" w:rsidRDefault="000731D1" w:rsidP="00F77DCC">
      <w:pPr>
        <w:pStyle w:val="Prrafodelista"/>
        <w:numPr>
          <w:ilvl w:val="5"/>
          <w:numId w:val="7"/>
        </w:numPr>
        <w:spacing w:after="100"/>
        <w:ind w:left="567" w:hanging="57"/>
      </w:pPr>
      <w:r w:rsidRPr="00A103A5">
        <w:rPr>
          <w:i/>
          <w:iCs/>
        </w:rPr>
        <w:t>Mismos costes de financiación para empresas e inversores</w:t>
      </w:r>
      <w:r w:rsidR="00FE194B">
        <w:t xml:space="preserve"> (esto será crucial para que funcione la estrategia de arbitraje)</w:t>
      </w:r>
      <w:r w:rsidR="00EC22DD">
        <w:t>.</w:t>
      </w:r>
    </w:p>
    <w:p w14:paraId="47548587" w14:textId="77777777" w:rsidR="00DC1A0F" w:rsidRDefault="00DC1A0F" w:rsidP="00DC1A0F">
      <w:pPr>
        <w:pStyle w:val="Nivel1SM"/>
      </w:pPr>
      <w:r>
        <w:t xml:space="preserve">El objetivo de </w:t>
      </w:r>
      <w:r>
        <w:rPr>
          <w:smallCaps/>
        </w:rPr>
        <w:t>Modigliani</w:t>
      </w:r>
      <w:r>
        <w:t xml:space="preserve"> y </w:t>
      </w:r>
      <w:r>
        <w:rPr>
          <w:smallCaps/>
        </w:rPr>
        <w:t>Miller</w:t>
      </w:r>
      <w:r>
        <w:t xml:space="preserve"> no es afirmar que la estructura de capital es irrelevante, sino caracterizar los factores que la hacen relevante, es decir, como el incumplimiento de estos supuestos podría dar lugar a que la estructura de capital sea relevante.</w:t>
      </w:r>
    </w:p>
    <w:p w14:paraId="09922AF0" w14:textId="275952DD" w:rsidR="00A103A5" w:rsidRDefault="00A103A5" w:rsidP="00830E36">
      <w:pPr>
        <w:pStyle w:val="Ttulo7"/>
      </w:pPr>
      <w:bookmarkStart w:id="52" w:name="_Toc125044542"/>
      <w:r>
        <w:t>Desarrollo</w:t>
      </w:r>
      <w:bookmarkEnd w:id="52"/>
    </w:p>
    <w:p w14:paraId="537726F8" w14:textId="58DEC9C5" w:rsidR="003F03CF" w:rsidRPr="003F03CF" w:rsidRDefault="003F03CF" w:rsidP="00976193">
      <w:pPr>
        <w:pStyle w:val="Ttulo8"/>
        <w:spacing w:before="0"/>
      </w:pPr>
      <w:r>
        <w:t xml:space="preserve">Proposiciones fundamentales de </w:t>
      </w:r>
      <w:r>
        <w:rPr>
          <w:smallCaps/>
        </w:rPr>
        <w:t>Modigliani</w:t>
      </w:r>
      <w:r>
        <w:t xml:space="preserve"> y </w:t>
      </w:r>
      <w:r>
        <w:rPr>
          <w:smallCaps/>
        </w:rPr>
        <w:t>Miller</w:t>
      </w:r>
    </w:p>
    <w:p w14:paraId="1066E1E1" w14:textId="247F4F19" w:rsidR="009D5820" w:rsidRDefault="009D5820" w:rsidP="00976193">
      <w:pPr>
        <w:pStyle w:val="Nivel1SM"/>
        <w:keepNext/>
        <w:spacing w:before="0" w:after="0"/>
      </w:pPr>
      <w:r>
        <w:rPr>
          <w:smallCaps/>
        </w:rPr>
        <w:t>Modigliani</w:t>
      </w:r>
      <w:r>
        <w:t xml:space="preserve"> y </w:t>
      </w:r>
      <w:r>
        <w:rPr>
          <w:smallCaps/>
        </w:rPr>
        <w:t>Miller</w:t>
      </w:r>
      <w:r>
        <w:t xml:space="preserve"> (1958) hacen </w:t>
      </w:r>
      <w:r w:rsidR="00976193">
        <w:t>2 </w:t>
      </w:r>
      <w:r>
        <w:t>proposiciones fundamentales:</w:t>
      </w:r>
    </w:p>
    <w:p w14:paraId="3900AAB2" w14:textId="77777777" w:rsidR="002E02DF" w:rsidRDefault="009D5820">
      <w:pPr>
        <w:pStyle w:val="Prrafodelista"/>
        <w:numPr>
          <w:ilvl w:val="0"/>
          <w:numId w:val="13"/>
        </w:numPr>
        <w:spacing w:after="0"/>
        <w:ind w:left="568" w:hanging="284"/>
      </w:pPr>
      <w:r w:rsidRPr="002E02DF">
        <w:rPr>
          <w:b/>
          <w:bCs/>
          <w:u w:val="single"/>
        </w:rPr>
        <w:t xml:space="preserve">Primera proposición fundamental de </w:t>
      </w:r>
      <w:r w:rsidRPr="002E02DF">
        <w:rPr>
          <w:b/>
          <w:bCs/>
          <w:smallCaps/>
          <w:u w:val="single"/>
        </w:rPr>
        <w:t>Modigliani</w:t>
      </w:r>
      <w:r w:rsidRPr="002E02DF">
        <w:rPr>
          <w:b/>
          <w:bCs/>
          <w:u w:val="single"/>
        </w:rPr>
        <w:t xml:space="preserve"> y </w:t>
      </w:r>
      <w:r w:rsidRPr="002E02DF">
        <w:rPr>
          <w:b/>
          <w:bCs/>
          <w:smallCaps/>
          <w:u w:val="single"/>
        </w:rPr>
        <w:t>Miller</w:t>
      </w:r>
      <w:r>
        <w:t>:</w:t>
      </w:r>
      <w:r w:rsidR="003C5AED">
        <w:t xml:space="preserve"> El valor de mercado de cualquier empresa es independiente de su estructura de capital, de manera que depende únicamente de la capacidad de sus activos para generar beneficios.</w:t>
      </w:r>
    </w:p>
    <w:p w14:paraId="58229387" w14:textId="0324E20C" w:rsidR="002E02DF" w:rsidRDefault="002E02DF" w:rsidP="002E02DF">
      <w:pPr>
        <w:pStyle w:val="Prrafodelista"/>
        <w:keepNext/>
        <w:spacing w:after="0"/>
        <w:ind w:left="568"/>
      </w:pPr>
      <w:r>
        <w:lastRenderedPageBreak/>
        <w:t xml:space="preserve">Partimos de una situación con </w:t>
      </w:r>
      <w:r w:rsidRPr="002E02DF">
        <w:rPr>
          <w:b/>
          <w:bCs/>
        </w:rPr>
        <w:t>2 empresas</w:t>
      </w:r>
      <w:r>
        <w:t xml:space="preserve"> que generan los </w:t>
      </w:r>
      <w:r w:rsidRPr="002E02DF">
        <w:rPr>
          <w:b/>
          <w:bCs/>
        </w:rPr>
        <w:t>mismos beneficios</w:t>
      </w:r>
      <w:r>
        <w:t xml:space="preserve"> y que se diferencian únicamente en su estructura de capital:</w:t>
      </w:r>
    </w:p>
    <w:p w14:paraId="41829150" w14:textId="77777777" w:rsidR="002E02DF" w:rsidRDefault="002E02DF" w:rsidP="002E02DF">
      <w:pPr>
        <w:pStyle w:val="Letra"/>
        <w:keepNext/>
        <w:spacing w:after="100"/>
        <w:ind w:left="1134"/>
        <w:contextualSpacing/>
      </w:pPr>
      <w:r>
        <w:t>La empresa </w:t>
      </w:r>
      <w:r>
        <w:rPr>
          <w:i/>
          <w:iCs/>
        </w:rPr>
        <w:t xml:space="preserve">A </w:t>
      </w:r>
      <w:r>
        <w:t>no está apalancada (i.e. no tiene deuda) y, por tanto, el valor total de sus activos (</w:t>
      </w:r>
      <m:oMath>
        <m:sSup>
          <m:sSupPr>
            <m:ctrlPr>
              <w:rPr>
                <w:rFonts w:ascii="Cambria Math" w:hAnsi="Cambria Math"/>
                <w:i/>
                <w:iCs/>
              </w:rPr>
            </m:ctrlPr>
          </m:sSupPr>
          <m:e>
            <m:r>
              <m:rPr>
                <m:nor/>
              </m:rPr>
              <w:rPr>
                <w:i/>
                <w:iCs/>
              </w:rPr>
              <m:t>V</m:t>
            </m:r>
          </m:e>
          <m:sup>
            <m:r>
              <m:rPr>
                <m:nor/>
              </m:rPr>
              <w:rPr>
                <w:i/>
                <w:iCs/>
              </w:rPr>
              <m:t>A</m:t>
            </m:r>
          </m:sup>
        </m:sSup>
      </m:oMath>
      <w:r>
        <w:t>) es igual al valor de sus fondos propios (</w:t>
      </w:r>
      <m:oMath>
        <m:sSubSup>
          <m:sSubSupPr>
            <m:ctrlPr>
              <w:rPr>
                <w:rFonts w:ascii="Cambria Math" w:hAnsi="Cambria Math"/>
                <w:i/>
              </w:rPr>
            </m:ctrlPr>
          </m:sSubSupPr>
          <m:e>
            <m:r>
              <m:rPr>
                <m:nor/>
              </m:rPr>
              <w:rPr>
                <w:i/>
                <w:iCs/>
              </w:rPr>
              <m:t>V</m:t>
            </m:r>
          </m:e>
          <m:sub>
            <m:r>
              <m:rPr>
                <m:nor/>
              </m:rPr>
              <w:rPr>
                <w:i/>
                <w:iCs/>
              </w:rPr>
              <m:t>E</m:t>
            </m:r>
          </m:sub>
          <m:sup>
            <m:r>
              <m:rPr>
                <m:nor/>
              </m:rPr>
              <w:rPr>
                <w:i/>
                <w:iCs/>
              </w:rPr>
              <m:t>A</m:t>
            </m:r>
          </m:sup>
        </m:sSubSup>
      </m:oMath>
      <w:r>
        <w:t>).</w:t>
      </w:r>
    </w:p>
    <w:p w14:paraId="490D79C9" w14:textId="77777777" w:rsidR="002E02DF" w:rsidRDefault="002E02DF" w:rsidP="002E02DF">
      <w:pPr>
        <w:pStyle w:val="Letra"/>
        <w:spacing w:after="0"/>
        <w:ind w:left="1134"/>
        <w:contextualSpacing/>
      </w:pPr>
      <w:r>
        <w:t>La empresa </w:t>
      </w:r>
      <w:r>
        <w:rPr>
          <w:i/>
          <w:iCs/>
        </w:rPr>
        <w:t xml:space="preserve">B </w:t>
      </w:r>
      <w:r>
        <w:t>está apalancada y, por tanto, el valor total de sus activos (</w:t>
      </w:r>
      <m:oMath>
        <m:sSup>
          <m:sSupPr>
            <m:ctrlPr>
              <w:rPr>
                <w:rFonts w:ascii="Cambria Math" w:hAnsi="Cambria Math"/>
                <w:i/>
                <w:iCs/>
              </w:rPr>
            </m:ctrlPr>
          </m:sSupPr>
          <m:e>
            <m:r>
              <m:rPr>
                <m:nor/>
              </m:rPr>
              <w:rPr>
                <w:i/>
                <w:iCs/>
              </w:rPr>
              <m:t>V</m:t>
            </m:r>
          </m:e>
          <m:sup>
            <m:r>
              <m:rPr>
                <m:nor/>
              </m:rPr>
              <w:rPr>
                <w:i/>
                <w:iCs/>
              </w:rPr>
              <m:t>B</m:t>
            </m:r>
          </m:sup>
        </m:sSup>
      </m:oMath>
      <w:r>
        <w:t>) es igual al valor de sus fondos propios (</w:t>
      </w:r>
      <m:oMath>
        <m:sSubSup>
          <m:sSubSupPr>
            <m:ctrlPr>
              <w:rPr>
                <w:rFonts w:ascii="Cambria Math" w:hAnsi="Cambria Math"/>
                <w:i/>
              </w:rPr>
            </m:ctrlPr>
          </m:sSubSupPr>
          <m:e>
            <m:r>
              <m:rPr>
                <m:nor/>
              </m:rPr>
              <w:rPr>
                <w:i/>
                <w:iCs/>
              </w:rPr>
              <m:t>V</m:t>
            </m:r>
          </m:e>
          <m:sub>
            <m:r>
              <m:rPr>
                <m:nor/>
              </m:rPr>
              <w:rPr>
                <w:i/>
                <w:iCs/>
              </w:rPr>
              <m:t>E</m:t>
            </m:r>
          </m:sub>
          <m:sup>
            <m:r>
              <m:rPr>
                <m:nor/>
              </m:rPr>
              <w:rPr>
                <w:i/>
                <w:iCs/>
              </w:rPr>
              <m:t>B</m:t>
            </m:r>
          </m:sup>
        </m:sSubSup>
      </m:oMath>
      <w:r>
        <w:t>) más el valor de sus pasivos (</w:t>
      </w:r>
      <m:oMath>
        <m:sSubSup>
          <m:sSubSupPr>
            <m:ctrlPr>
              <w:rPr>
                <w:rFonts w:ascii="Cambria Math" w:hAnsi="Cambria Math"/>
                <w:i/>
              </w:rPr>
            </m:ctrlPr>
          </m:sSubSupPr>
          <m:e>
            <m:r>
              <m:rPr>
                <m:nor/>
              </m:rPr>
              <w:rPr>
                <w:i/>
                <w:iCs/>
              </w:rPr>
              <m:t>V</m:t>
            </m:r>
          </m:e>
          <m:sub>
            <m:r>
              <m:rPr>
                <m:nor/>
              </m:rPr>
              <w:rPr>
                <w:i/>
                <w:iCs/>
              </w:rPr>
              <m:t>D</m:t>
            </m:r>
          </m:sub>
          <m:sup>
            <m:r>
              <m:rPr>
                <m:nor/>
              </m:rPr>
              <w:rPr>
                <w:i/>
                <w:iCs/>
              </w:rPr>
              <m:t>B</m:t>
            </m:r>
          </m:sup>
        </m:sSubSup>
      </m:oMath>
      <w:r>
        <w:t>).</w:t>
      </w:r>
    </w:p>
    <w:p w14:paraId="4532CF94" w14:textId="0FF6ABB2" w:rsidR="002E02DF" w:rsidRDefault="002E02DF" w:rsidP="002E02DF">
      <w:pPr>
        <w:pStyle w:val="Prrafodelista"/>
        <w:keepNext/>
        <w:spacing w:after="100"/>
        <w:ind w:left="568"/>
      </w:pPr>
      <w:r>
        <w:t>El valor de mercado de cualquier empresa es independiente de su estructura de capital, de manera que depende únicamente de la capacidad de sus activos para generar beneficios</w:t>
      </w:r>
    </w:p>
    <w:p w14:paraId="1D9C0BA7" w14:textId="2111EBFF" w:rsidR="003C5AED" w:rsidRPr="003A129A" w:rsidRDefault="003C5AED">
      <w:pPr>
        <w:pStyle w:val="Prrafodelista"/>
        <w:numPr>
          <w:ilvl w:val="2"/>
          <w:numId w:val="21"/>
        </w:numPr>
        <w:spacing w:after="0"/>
        <w:ind w:left="1134" w:hanging="113"/>
      </w:pPr>
      <w:r w:rsidRPr="003A129A">
        <w:t xml:space="preserve">Si compramos </w:t>
      </w:r>
      <w:r w:rsidR="0093731D" w:rsidRPr="003A129A">
        <w:t>el</w:t>
      </w:r>
      <w:r w:rsidRPr="003A129A">
        <w:t xml:space="preserve"> 1</w:t>
      </w:r>
      <w:r w:rsidR="00A103A5" w:rsidRPr="003A129A">
        <w:t> </w:t>
      </w:r>
      <w:r w:rsidRPr="003A129A">
        <w:t>% de las acciones de la empresa</w:t>
      </w:r>
      <w:r w:rsidR="003A129A" w:rsidRPr="003A129A">
        <w:t> </w:t>
      </w:r>
      <w:r w:rsidRPr="003A129A">
        <w:rPr>
          <w:i/>
          <w:iCs/>
        </w:rPr>
        <w:t>A</w:t>
      </w:r>
      <w:r w:rsidRPr="003A129A">
        <w:t xml:space="preserve">, la rentabilidad será </w:t>
      </w:r>
      <m:oMath>
        <m:r>
          <m:rPr>
            <m:nor/>
          </m:rPr>
          <w:rPr>
            <w:i/>
          </w:rPr>
          <m:t>0,01</m:t>
        </m:r>
        <m:r>
          <w:rPr>
            <w:rFonts w:ascii="Cambria Math" w:hAnsi="Cambria Math"/>
          </w:rPr>
          <m:t>∙</m:t>
        </m:r>
        <m:r>
          <m:rPr>
            <m:nor/>
          </m:rPr>
          <w:rPr>
            <w:i/>
          </w:rPr>
          <m:t>Beneficios</m:t>
        </m:r>
      </m:oMath>
      <w:r w:rsidRPr="003A129A">
        <w:rPr>
          <w:rFonts w:eastAsiaTheme="minorEastAsia"/>
        </w:rPr>
        <w:t>.</w:t>
      </w:r>
    </w:p>
    <w:p w14:paraId="28FCBF7A" w14:textId="19D99B62" w:rsidR="003C5AED" w:rsidRDefault="003C5AED">
      <w:pPr>
        <w:pStyle w:val="Prrafodelista"/>
        <w:keepNext/>
        <w:numPr>
          <w:ilvl w:val="2"/>
          <w:numId w:val="21"/>
        </w:numPr>
        <w:spacing w:after="0"/>
        <w:ind w:left="1134" w:hanging="113"/>
      </w:pPr>
      <w:r>
        <w:t>Si compramos un 1</w:t>
      </w:r>
      <w:r w:rsidR="00A103A5">
        <w:t> </w:t>
      </w:r>
      <w:r>
        <w:t>% de las acciones de la empresa</w:t>
      </w:r>
      <w:r w:rsidR="003A129A">
        <w:t> </w:t>
      </w:r>
      <w:r>
        <w:rPr>
          <w:i/>
          <w:iCs/>
        </w:rPr>
        <w:t>B</w:t>
      </w:r>
      <w:r>
        <w:t xml:space="preserve"> y un 1</w:t>
      </w:r>
      <w:r w:rsidR="00A103A5">
        <w:t> </w:t>
      </w:r>
      <w:r>
        <w:t>% de su deuda (porque recordemos que esta empresa tiene deuda), la rentabilidad será:</w:t>
      </w:r>
    </w:p>
    <w:p w14:paraId="791A1EF8" w14:textId="46E64834" w:rsidR="003C5AED" w:rsidRPr="003C5AED" w:rsidRDefault="0093731D">
      <w:pPr>
        <w:pStyle w:val="Prrafodelista"/>
        <w:numPr>
          <w:ilvl w:val="3"/>
          <w:numId w:val="21"/>
        </w:numPr>
        <w:spacing w:after="0"/>
        <w:ind w:left="1701" w:hanging="142"/>
      </w:pPr>
      <m:oMath>
        <m:r>
          <w:rPr>
            <w:rFonts w:ascii="Cambria Math" w:eastAsiaTheme="minorEastAsia" w:hAnsi="Cambria Math"/>
          </w:rPr>
          <m:t>+</m:t>
        </m:r>
        <m:r>
          <m:rPr>
            <m:nor/>
          </m:rPr>
          <w:rPr>
            <w:i/>
          </w:rPr>
          <m:t>0,01</m:t>
        </m:r>
        <m:r>
          <w:rPr>
            <w:rFonts w:ascii="Cambria Math" w:hAnsi="Cambria Math"/>
          </w:rPr>
          <m:t>∙</m:t>
        </m:r>
        <m:r>
          <m:rPr>
            <m:nor/>
          </m:rPr>
          <w:rPr>
            <w:i/>
          </w:rPr>
          <m:t>Interés</m:t>
        </m:r>
      </m:oMath>
      <w:r>
        <w:rPr>
          <w:rFonts w:eastAsiaTheme="minorEastAsia"/>
        </w:rPr>
        <w:t xml:space="preserve"> por ser obligacionistas</w:t>
      </w:r>
      <w:r w:rsidR="003A129A">
        <w:rPr>
          <w:rFonts w:eastAsiaTheme="minorEastAsia"/>
        </w:rPr>
        <w:t>.</w:t>
      </w:r>
    </w:p>
    <w:p w14:paraId="6DF3BF65" w14:textId="70BAD627" w:rsidR="003C5AED" w:rsidRPr="003C5AED" w:rsidRDefault="003C5AED">
      <w:pPr>
        <w:pStyle w:val="Prrafodelista"/>
        <w:numPr>
          <w:ilvl w:val="3"/>
          <w:numId w:val="21"/>
        </w:numPr>
        <w:spacing w:after="0"/>
        <w:ind w:left="1701" w:hanging="142"/>
      </w:pPr>
      <m:oMath>
        <m:r>
          <w:rPr>
            <w:rFonts w:ascii="Cambria Math" w:eastAsiaTheme="minorEastAsia" w:hAnsi="Cambria Math"/>
          </w:rPr>
          <m:t>+</m:t>
        </m:r>
        <m:r>
          <m:rPr>
            <m:nor/>
          </m:rPr>
          <w:rPr>
            <w:i/>
          </w:rPr>
          <m:t>0,01</m:t>
        </m:r>
        <m:r>
          <w:rPr>
            <w:rFonts w:ascii="Cambria Math" w:hAnsi="Cambria Math"/>
          </w:rPr>
          <m:t>∙</m:t>
        </m:r>
        <m:d>
          <m:dPr>
            <m:ctrlPr>
              <w:rPr>
                <w:rFonts w:ascii="Cambria Math" w:hAnsi="Cambria Math"/>
                <w:i/>
                <w:iCs/>
              </w:rPr>
            </m:ctrlPr>
          </m:dPr>
          <m:e>
            <m:r>
              <m:rPr>
                <m:nor/>
              </m:rPr>
              <w:rPr>
                <w:i/>
              </w:rPr>
              <m:t>Beneficios</m:t>
            </m:r>
            <m:r>
              <w:rPr>
                <w:rFonts w:ascii="Cambria Math" w:hAnsi="Cambria Math"/>
              </w:rPr>
              <m:t>-</m:t>
            </m:r>
            <m:r>
              <m:rPr>
                <m:nor/>
              </m:rPr>
              <w:rPr>
                <w:i/>
              </w:rPr>
              <m:t>Interés</m:t>
            </m:r>
          </m:e>
        </m:d>
      </m:oMath>
      <w:r w:rsidR="0093731D">
        <w:rPr>
          <w:rFonts w:eastAsiaTheme="minorEastAsia"/>
        </w:rPr>
        <w:t xml:space="preserve"> por ser accionistas.</w:t>
      </w:r>
    </w:p>
    <w:p w14:paraId="77A88D41" w14:textId="694D0437" w:rsidR="003C5AED" w:rsidRPr="0093731D" w:rsidRDefault="003C5AED">
      <w:pPr>
        <w:pStyle w:val="Prrafodelista"/>
        <w:numPr>
          <w:ilvl w:val="3"/>
          <w:numId w:val="21"/>
        </w:numPr>
        <w:spacing w:after="0"/>
        <w:ind w:left="1701" w:hanging="142"/>
      </w:pPr>
      <w:r w:rsidRPr="003C5AED">
        <w:rPr>
          <w:i/>
          <w:iCs/>
        </w:rPr>
        <w:t>Total</w:t>
      </w:r>
      <w:r>
        <w:t xml:space="preserve">: </w:t>
      </w:r>
      <m:oMath>
        <m:r>
          <m:rPr>
            <m:nor/>
          </m:rPr>
          <w:rPr>
            <w:i/>
          </w:rPr>
          <m:t>0,01</m:t>
        </m:r>
        <m:r>
          <w:rPr>
            <w:rFonts w:ascii="Cambria Math" w:hAnsi="Cambria Math"/>
          </w:rPr>
          <m:t>∙</m:t>
        </m:r>
        <m:r>
          <m:rPr>
            <m:nor/>
          </m:rPr>
          <w:rPr>
            <w:i/>
          </w:rPr>
          <m:t>Beneficios</m:t>
        </m:r>
      </m:oMath>
      <w:r w:rsidR="0093731D">
        <w:rPr>
          <w:rFonts w:eastAsiaTheme="minorEastAsia"/>
        </w:rPr>
        <w:t>, que es la misma rentabilidad que la de la empresa</w:t>
      </w:r>
      <w:r w:rsidR="003A129A">
        <w:rPr>
          <w:rFonts w:eastAsiaTheme="minorEastAsia"/>
        </w:rPr>
        <w:t> </w:t>
      </w:r>
      <w:r w:rsidR="0093731D">
        <w:rPr>
          <w:rFonts w:eastAsiaTheme="minorEastAsia"/>
          <w:i/>
          <w:iCs/>
        </w:rPr>
        <w:t>A.</w:t>
      </w:r>
    </w:p>
    <w:p w14:paraId="187D7F9F" w14:textId="77777777" w:rsidR="002E02DF" w:rsidRDefault="0093731D" w:rsidP="002E02DF">
      <w:pPr>
        <w:pStyle w:val="Nivel3SM"/>
      </w:pPr>
      <w:r>
        <w:t xml:space="preserve">Que el valor de la empresa sea independiente de la estructura de capital implica que el </w:t>
      </w:r>
      <w:r w:rsidRPr="002E02DF">
        <w:rPr>
          <w:i/>
          <w:iCs/>
        </w:rPr>
        <w:t>WACC</w:t>
      </w:r>
      <w:r>
        <w:t xml:space="preserve"> no varía con el nivel de endeudamiento (i.e. porque la estructura de capital no afecta a los flujos generados por los activos).</w:t>
      </w:r>
    </w:p>
    <w:p w14:paraId="499B3E10" w14:textId="77777777" w:rsidR="002E02DF" w:rsidRDefault="002E02DF" w:rsidP="002E02DF">
      <w:pPr>
        <w:pStyle w:val="Nivel3SM"/>
        <w:keepNext/>
      </w:pPr>
      <w:r>
        <w:t xml:space="preserve">El WACC será el mismo en las 2 empresas por </w:t>
      </w:r>
      <w:r w:rsidRPr="002E02DF">
        <w:rPr>
          <w:i/>
          <w:iCs/>
        </w:rPr>
        <w:t>arbitraje</w:t>
      </w:r>
      <w:r>
        <w:t xml:space="preserve">. De no ser así, cualquier inversor podría obtener </w:t>
      </w:r>
      <w:r w:rsidRPr="002E02DF">
        <w:t>mayores</w:t>
      </w:r>
      <w:r>
        <w:t xml:space="preserve"> beneficios con el mismo riesgo vendiendo su posición en la empresa con menor WACC y adquiriendo la posición de </w:t>
      </w:r>
      <w:r w:rsidRPr="00345308">
        <w:t>la empresa con mayor WACC replicando la estructura de capital de la empresa endeudada</w:t>
      </w:r>
      <w:r>
        <w:t>.</w:t>
      </w:r>
    </w:p>
    <w:p w14:paraId="7036AEED" w14:textId="2BE34A04" w:rsidR="002E02DF" w:rsidRDefault="002E02DF" w:rsidP="002E02DF">
      <w:pPr>
        <w:pStyle w:val="Nivel4"/>
        <w:ind w:left="1474"/>
      </w:pPr>
      <w:r>
        <w:t>Por ejemplo, si la empresa endeudada tiene menor WACC, el inversor puede obtener mayores beneficios manteniendo el mismo nivel de riesgo vendiendo su posición en la empresa con deuda y adquiriendo la posición de la empresa sin endeudar replicando la estructura de capital de la empresa endeudada</w:t>
      </w:r>
      <w:r>
        <w:rPr>
          <w:rStyle w:val="Refdenotaalpie"/>
        </w:rPr>
        <w:footnoteReference w:id="24"/>
      </w:r>
      <w:r>
        <w:t>.</w:t>
      </w:r>
    </w:p>
    <w:p w14:paraId="7CE1B474" w14:textId="77777777" w:rsidR="002E02DF" w:rsidRDefault="002E02DF" w:rsidP="002E02DF">
      <w:pPr>
        <w:pStyle w:val="Nivel4"/>
        <w:ind w:left="1474"/>
      </w:pPr>
      <w:r>
        <w:t>En cambio, si la empresa endeudada tiene un mayor WACC (y teniendo en cuenta que el coste de la financiación ajena es inferior al de la financiación propia), el inversor podría obtener mayores beneficios al mismo riesgo vendiendo la empresa sin endeudar y destinando los ingresos de la venta a la compra de la acciones y obligaciones de la endeudada de acuerdo a su estructura de capital.</w:t>
      </w:r>
    </w:p>
    <w:p w14:paraId="547FD80B" w14:textId="1D2C3282" w:rsidR="009F303D" w:rsidRPr="00787A4D" w:rsidRDefault="003C5AED">
      <w:pPr>
        <w:pStyle w:val="Prrafodelista"/>
        <w:keepNext/>
        <w:numPr>
          <w:ilvl w:val="0"/>
          <w:numId w:val="13"/>
        </w:numPr>
        <w:spacing w:after="100"/>
        <w:ind w:left="568" w:hanging="284"/>
        <w:rPr>
          <w:spacing w:val="-2"/>
        </w:rPr>
      </w:pPr>
      <w:r w:rsidRPr="00787A4D">
        <w:rPr>
          <w:b/>
          <w:bCs/>
          <w:spacing w:val="-2"/>
          <w:u w:val="single"/>
        </w:rPr>
        <w:t>Segund</w:t>
      </w:r>
      <w:r w:rsidR="009D5820" w:rsidRPr="00787A4D">
        <w:rPr>
          <w:b/>
          <w:bCs/>
          <w:spacing w:val="-2"/>
          <w:u w:val="single"/>
        </w:rPr>
        <w:t xml:space="preserve">a proposición fundamental de </w:t>
      </w:r>
      <w:r w:rsidR="009D5820" w:rsidRPr="00787A4D">
        <w:rPr>
          <w:b/>
          <w:bCs/>
          <w:smallCaps/>
          <w:spacing w:val="-2"/>
          <w:u w:val="single"/>
        </w:rPr>
        <w:t>Modigliani</w:t>
      </w:r>
      <w:r w:rsidR="009D5820" w:rsidRPr="00787A4D">
        <w:rPr>
          <w:b/>
          <w:bCs/>
          <w:spacing w:val="-2"/>
          <w:u w:val="single"/>
        </w:rPr>
        <w:t xml:space="preserve"> y </w:t>
      </w:r>
      <w:r w:rsidR="009D5820" w:rsidRPr="00787A4D">
        <w:rPr>
          <w:b/>
          <w:bCs/>
          <w:smallCaps/>
          <w:spacing w:val="-2"/>
          <w:u w:val="single"/>
        </w:rPr>
        <w:t>Miller</w:t>
      </w:r>
      <w:r w:rsidR="009D5820" w:rsidRPr="00787A4D">
        <w:rPr>
          <w:spacing w:val="-2"/>
        </w:rPr>
        <w:t>:</w:t>
      </w:r>
      <w:r w:rsidR="0093731D" w:rsidRPr="00787A4D">
        <w:rPr>
          <w:spacing w:val="-2"/>
        </w:rPr>
        <w:t xml:space="preserve"> La rentabilidad esperada de las acciones de la empresa aumenta conforme aumenta la ratio deuda-fondos propios (</w:t>
      </w:r>
      <m:oMath>
        <m:f>
          <m:fPr>
            <m:type m:val="lin"/>
            <m:ctrlPr>
              <w:rPr>
                <w:rFonts w:ascii="Cambria Math" w:hAnsi="Cambria Math"/>
                <w:i/>
                <w:spacing w:val="-2"/>
              </w:rPr>
            </m:ctrlPr>
          </m:fPr>
          <m:num>
            <m:sSub>
              <m:sSubPr>
                <m:ctrlPr>
                  <w:rPr>
                    <w:rFonts w:ascii="Cambria Math" w:hAnsi="Cambria Math"/>
                    <w:i/>
                    <w:iCs/>
                    <w:color w:val="000000"/>
                    <w:spacing w:val="-2"/>
                  </w:rPr>
                </m:ctrlPr>
              </m:sSubPr>
              <m:e>
                <m:r>
                  <m:rPr>
                    <m:nor/>
                  </m:rPr>
                  <w:rPr>
                    <w:i/>
                    <w:iCs/>
                    <w:color w:val="000000"/>
                    <w:spacing w:val="-2"/>
                  </w:rPr>
                  <m:t>V</m:t>
                </m:r>
              </m:e>
              <m:sub>
                <m:r>
                  <m:rPr>
                    <m:nor/>
                  </m:rPr>
                  <w:rPr>
                    <w:i/>
                    <w:iCs/>
                    <w:color w:val="000000"/>
                    <w:spacing w:val="-2"/>
                  </w:rPr>
                  <m:t>D</m:t>
                </m:r>
              </m:sub>
            </m:sSub>
          </m:num>
          <m:den>
            <m:sSub>
              <m:sSubPr>
                <m:ctrlPr>
                  <w:rPr>
                    <w:rFonts w:ascii="Cambria Math" w:hAnsi="Cambria Math"/>
                    <w:i/>
                    <w:iCs/>
                    <w:color w:val="000000"/>
                    <w:spacing w:val="-2"/>
                  </w:rPr>
                </m:ctrlPr>
              </m:sSubPr>
              <m:e>
                <m:r>
                  <m:rPr>
                    <m:nor/>
                  </m:rPr>
                  <w:rPr>
                    <w:i/>
                    <w:iCs/>
                    <w:color w:val="000000"/>
                    <w:spacing w:val="-2"/>
                  </w:rPr>
                  <m:t>V</m:t>
                </m:r>
              </m:e>
              <m:sub>
                <m:r>
                  <m:rPr>
                    <m:nor/>
                  </m:rPr>
                  <w:rPr>
                    <w:i/>
                    <w:iCs/>
                    <w:color w:val="000000"/>
                    <w:spacing w:val="-2"/>
                  </w:rPr>
                  <m:t>E</m:t>
                </m:r>
              </m:sub>
            </m:sSub>
          </m:den>
        </m:f>
      </m:oMath>
      <w:r w:rsidR="0093731D" w:rsidRPr="00787A4D">
        <w:rPr>
          <w:spacing w:val="-2"/>
        </w:rPr>
        <w:t>)</w:t>
      </w:r>
      <w:r w:rsidR="0093731D" w:rsidRPr="00787A4D">
        <w:rPr>
          <w:rStyle w:val="Refdenotaalpie"/>
          <w:spacing w:val="-2"/>
        </w:rPr>
        <w:footnoteReference w:id="25"/>
      </w:r>
      <w:r w:rsidR="0093731D" w:rsidRPr="00787A4D">
        <w:rPr>
          <w:spacing w:val="-2"/>
        </w:rPr>
        <w:t>.</w:t>
      </w:r>
    </w:p>
    <w:p w14:paraId="68269A86" w14:textId="4550E297" w:rsidR="00EC0B36" w:rsidRDefault="00EC0B36" w:rsidP="00A103A5">
      <w:pPr>
        <w:pStyle w:val="Prrafodelista"/>
        <w:keepNext/>
        <w:spacing w:after="0"/>
        <w:ind w:left="568"/>
      </w:pPr>
      <w:r w:rsidRPr="00EC0B36">
        <w:t>Pa</w:t>
      </w:r>
      <w:r w:rsidR="009F303D">
        <w:t>ra esta segunda proposición, los autores parten de</w:t>
      </w:r>
      <w:r w:rsidR="00BD4C4A">
        <w:t xml:space="preserve"> la fórmula del WACC, y llegan a la siguiente ecuación:</w:t>
      </w:r>
    </w:p>
    <w:p w14:paraId="10C143A4" w14:textId="1B62EBC2" w:rsidR="00F70DF2" w:rsidRDefault="00BD4C4A" w:rsidP="00DC1A0F">
      <w:pPr>
        <w:pStyle w:val="Prrafodelista"/>
        <w:keepLines/>
        <w:ind w:left="567"/>
        <w:rPr>
          <w:rFonts w:eastAsiaTheme="minorEastAsia"/>
          <w:spacing w:val="-4"/>
        </w:rPr>
      </w:pPr>
      <m:oMathPara>
        <m:oMath>
          <m:r>
            <m:rPr>
              <m:sty m:val="bi"/>
            </m:rPr>
            <w:rPr>
              <w:rFonts w:ascii="Cambria Math" w:eastAsiaTheme="minorEastAsia" w:hAnsi="Cambria Math"/>
              <w:color w:val="92D050"/>
            </w:rPr>
            <m:t xml:space="preserve"> </m:t>
          </m:r>
          <m:r>
            <m:rPr>
              <m:nor/>
            </m:rPr>
            <w:rPr>
              <w:i/>
              <w:iCs/>
              <w:color w:val="92D050"/>
            </w:rPr>
            <m:t>WACC</m:t>
          </m:r>
          <m:r>
            <w:rPr>
              <w:rFonts w:ascii="Cambria Math" w:hAnsi="Cambria Math"/>
            </w:rPr>
            <m:t>=</m:t>
          </m:r>
          <m:sSub>
            <m:sSubPr>
              <m:ctrlPr>
                <w:rPr>
                  <w:rFonts w:ascii="Cambria Math" w:hAnsi="Cambria Math"/>
                  <w:i/>
                  <w:iCs/>
                  <w:color w:val="00B0F0"/>
                  <w:lang w:val="en-US"/>
                </w:rPr>
              </m:ctrlPr>
            </m:sSubPr>
            <m:e>
              <m:r>
                <m:rPr>
                  <m:nor/>
                </m:rPr>
                <w:rPr>
                  <w:i/>
                  <w:iCs/>
                  <w:color w:val="00B0F0"/>
                </w:rPr>
                <m:t>r</m:t>
              </m:r>
            </m:e>
            <m:sub>
              <m:r>
                <m:rPr>
                  <m:nor/>
                </m:rPr>
                <w:rPr>
                  <w:i/>
                  <w:iCs/>
                  <w:color w:val="00B0F0"/>
                </w:rPr>
                <m:t>E</m:t>
              </m:r>
            </m:sub>
          </m:sSub>
          <m:r>
            <w:rPr>
              <w:rFonts w:ascii="Cambria Math" w:eastAsiaTheme="minorEastAsia" w:hAnsi="Cambria Math"/>
            </w:rPr>
            <m:t>∙</m:t>
          </m:r>
          <m:limLow>
            <m:limLowPr>
              <m:ctrlPr>
                <w:rPr>
                  <w:rFonts w:ascii="Cambria Math" w:eastAsiaTheme="minorEastAsia" w:hAnsi="Cambria Math"/>
                  <w:i/>
                  <w:iCs/>
                  <w:lang w:val="en-US"/>
                </w:rPr>
              </m:ctrlPr>
            </m:limLowPr>
            <m:e>
              <m:groupChr>
                <m:groupChrPr>
                  <m:ctrlPr>
                    <w:rPr>
                      <w:rFonts w:ascii="Cambria Math" w:eastAsiaTheme="minorEastAsia" w:hAnsi="Cambria Math"/>
                      <w:i/>
                      <w:iCs/>
                      <w:lang w:val="en-US"/>
                    </w:rPr>
                  </m:ctrlPr>
                </m:groupChrPr>
                <m:e>
                  <m:f>
                    <m:fPr>
                      <m:ctrlPr>
                        <w:rPr>
                          <w:rFonts w:ascii="Cambria Math" w:eastAsiaTheme="minorEastAsia" w:hAnsi="Cambria Math"/>
                          <w:i/>
                          <w:iCs/>
                          <w:lang w:val="en-US"/>
                        </w:rPr>
                      </m:ctrlPr>
                    </m:fPr>
                    <m:num>
                      <m:sSub>
                        <m:sSubPr>
                          <m:ctrlPr>
                            <w:rPr>
                              <w:rFonts w:ascii="Cambria Math" w:hAnsi="Cambria Math"/>
                              <w:i/>
                              <w:iCs/>
                            </w:rPr>
                          </m:ctrlPr>
                        </m:sSubPr>
                        <m:e>
                          <m:r>
                            <m:rPr>
                              <m:nor/>
                            </m:rPr>
                            <w:rPr>
                              <w:i/>
                              <w:iCs/>
                            </w:rPr>
                            <m:t>V</m:t>
                          </m:r>
                        </m:e>
                        <m:sub>
                          <m:r>
                            <m:rPr>
                              <m:nor/>
                            </m:rPr>
                            <w:rPr>
                              <w:i/>
                              <w:iCs/>
                            </w:rPr>
                            <m:t>E</m:t>
                          </m:r>
                        </m:sub>
                      </m:sSub>
                    </m:num>
                    <m:den>
                      <m:sSub>
                        <m:sSubPr>
                          <m:ctrlPr>
                            <w:rPr>
                              <w:rFonts w:ascii="Cambria Math" w:hAnsi="Cambria Math"/>
                              <w:i/>
                              <w:iCs/>
                            </w:rPr>
                          </m:ctrlPr>
                        </m:sSubPr>
                        <m:e>
                          <m:r>
                            <m:rPr>
                              <m:nor/>
                            </m:rPr>
                            <w:rPr>
                              <w:i/>
                              <w:iCs/>
                            </w:rPr>
                            <m:t>V</m:t>
                          </m:r>
                        </m:e>
                        <m:sub>
                          <m:r>
                            <m:rPr>
                              <m:nor/>
                            </m:rPr>
                            <w:rPr>
                              <w:i/>
                              <w:iCs/>
                            </w:rPr>
                            <m:t>D</m:t>
                          </m:r>
                        </m:sub>
                      </m:sSub>
                      <m:r>
                        <w:rPr>
                          <w:rFonts w:ascii="Cambria Math" w:eastAsiaTheme="minorEastAsia" w:hAnsi="Cambria Math"/>
                        </w:rPr>
                        <m:t>+</m:t>
                      </m:r>
                      <m:sSub>
                        <m:sSubPr>
                          <m:ctrlPr>
                            <w:rPr>
                              <w:rFonts w:ascii="Cambria Math" w:hAnsi="Cambria Math"/>
                              <w:i/>
                              <w:iCs/>
                            </w:rPr>
                          </m:ctrlPr>
                        </m:sSubPr>
                        <m:e>
                          <m:r>
                            <m:rPr>
                              <m:nor/>
                            </m:rPr>
                            <w:rPr>
                              <w:i/>
                              <w:iCs/>
                            </w:rPr>
                            <m:t>V</m:t>
                          </m:r>
                        </m:e>
                        <m:sub>
                          <m:r>
                            <m:rPr>
                              <m:nor/>
                            </m:rPr>
                            <w:rPr>
                              <w:i/>
                              <w:iCs/>
                            </w:rPr>
                            <m:t>E</m:t>
                          </m:r>
                        </m:sub>
                      </m:sSub>
                    </m:den>
                  </m:f>
                </m:e>
              </m:groupChr>
            </m:e>
            <m:lim>
              <m:r>
                <m:rPr>
                  <m:nor/>
                </m:rPr>
                <w:rPr>
                  <w:rFonts w:eastAsiaTheme="minorEastAsia"/>
                  <w:i/>
                  <w:iCs/>
                </w:rPr>
                <m:t>1</m:t>
              </m:r>
              <m:r>
                <w:rPr>
                  <w:rFonts w:ascii="Cambria Math" w:eastAsiaTheme="minorEastAsia" w:hAnsi="Cambria Math"/>
                </w:rPr>
                <m:t>-</m:t>
              </m:r>
              <m:r>
                <m:rPr>
                  <m:nor/>
                </m:rPr>
                <w:rPr>
                  <w:rFonts w:eastAsiaTheme="minorEastAsia"/>
                  <w:i/>
                  <w:iCs/>
                </w:rPr>
                <m:t>L</m:t>
              </m:r>
            </m:lim>
          </m:limLow>
          <m:r>
            <w:rPr>
              <w:rFonts w:ascii="Cambria Math" w:eastAsiaTheme="minorEastAsia" w:hAnsi="Cambria Math"/>
            </w:rPr>
            <m:t>+</m:t>
          </m:r>
          <m:sSub>
            <m:sSubPr>
              <m:ctrlPr>
                <w:rPr>
                  <w:rFonts w:ascii="Cambria Math" w:hAnsi="Cambria Math"/>
                  <w:i/>
                  <w:iCs/>
                  <w:color w:val="FFC000"/>
                  <w:lang w:val="en-US"/>
                </w:rPr>
              </m:ctrlPr>
            </m:sSubPr>
            <m:e>
              <m:r>
                <m:rPr>
                  <m:nor/>
                </m:rPr>
                <w:rPr>
                  <w:i/>
                  <w:iCs/>
                  <w:color w:val="FFC000"/>
                </w:rPr>
                <m:t>r</m:t>
              </m:r>
            </m:e>
            <m:sub>
              <m:r>
                <m:rPr>
                  <m:nor/>
                </m:rPr>
                <w:rPr>
                  <w:i/>
                  <w:iCs/>
                  <w:color w:val="FFC000"/>
                </w:rPr>
                <m:t>D</m:t>
              </m:r>
            </m:sub>
          </m:sSub>
          <m:r>
            <m:rPr>
              <m:nor/>
            </m:rPr>
            <w:rPr>
              <w:rFonts w:eastAsiaTheme="minorEastAsia"/>
              <w:i/>
              <w:iCs/>
            </w:rPr>
            <m:t>∙</m:t>
          </m:r>
          <m:limLow>
            <m:limLowPr>
              <m:ctrlPr>
                <w:rPr>
                  <w:rFonts w:ascii="Cambria Math" w:eastAsiaTheme="minorEastAsia" w:hAnsi="Cambria Math"/>
                  <w:i/>
                  <w:iCs/>
                  <w:lang w:val="en-US"/>
                </w:rPr>
              </m:ctrlPr>
            </m:limLowPr>
            <m:e>
              <m:groupChr>
                <m:groupChrPr>
                  <m:ctrlPr>
                    <w:rPr>
                      <w:rFonts w:ascii="Cambria Math" w:eastAsiaTheme="minorEastAsia" w:hAnsi="Cambria Math"/>
                      <w:i/>
                      <w:iCs/>
                      <w:lang w:val="en-US"/>
                    </w:rPr>
                  </m:ctrlPr>
                </m:groupChrPr>
                <m:e>
                  <m:f>
                    <m:fPr>
                      <m:ctrlPr>
                        <w:rPr>
                          <w:rFonts w:ascii="Cambria Math" w:eastAsiaTheme="minorEastAsia" w:hAnsi="Cambria Math"/>
                          <w:i/>
                          <w:iCs/>
                          <w:lang w:val="en-US"/>
                        </w:rPr>
                      </m:ctrlPr>
                    </m:fPr>
                    <m:num>
                      <m:sSub>
                        <m:sSubPr>
                          <m:ctrlPr>
                            <w:rPr>
                              <w:rFonts w:ascii="Cambria Math" w:hAnsi="Cambria Math"/>
                              <w:i/>
                              <w:iCs/>
                            </w:rPr>
                          </m:ctrlPr>
                        </m:sSubPr>
                        <m:e>
                          <m:r>
                            <m:rPr>
                              <m:nor/>
                            </m:rPr>
                            <w:rPr>
                              <w:i/>
                              <w:iCs/>
                            </w:rPr>
                            <m:t>V</m:t>
                          </m:r>
                        </m:e>
                        <m:sub>
                          <m:r>
                            <m:rPr>
                              <m:nor/>
                            </m:rPr>
                            <w:rPr>
                              <w:i/>
                              <w:iCs/>
                            </w:rPr>
                            <m:t>D</m:t>
                          </m:r>
                        </m:sub>
                      </m:sSub>
                    </m:num>
                    <m:den>
                      <m:sSub>
                        <m:sSubPr>
                          <m:ctrlPr>
                            <w:rPr>
                              <w:rFonts w:ascii="Cambria Math" w:hAnsi="Cambria Math"/>
                              <w:i/>
                              <w:iCs/>
                            </w:rPr>
                          </m:ctrlPr>
                        </m:sSubPr>
                        <m:e>
                          <m:r>
                            <m:rPr>
                              <m:nor/>
                            </m:rPr>
                            <w:rPr>
                              <w:i/>
                              <w:iCs/>
                            </w:rPr>
                            <m:t>V</m:t>
                          </m:r>
                        </m:e>
                        <m:sub>
                          <m:r>
                            <m:rPr>
                              <m:nor/>
                            </m:rPr>
                            <w:rPr>
                              <w:i/>
                              <w:iCs/>
                            </w:rPr>
                            <m:t>D</m:t>
                          </m:r>
                        </m:sub>
                      </m:sSub>
                      <m:r>
                        <w:rPr>
                          <w:rFonts w:ascii="Cambria Math" w:eastAsiaTheme="minorEastAsia" w:hAnsi="Cambria Math"/>
                        </w:rPr>
                        <m:t>+</m:t>
                      </m:r>
                      <m:sSub>
                        <m:sSubPr>
                          <m:ctrlPr>
                            <w:rPr>
                              <w:rFonts w:ascii="Cambria Math" w:hAnsi="Cambria Math"/>
                              <w:i/>
                              <w:iCs/>
                            </w:rPr>
                          </m:ctrlPr>
                        </m:sSubPr>
                        <m:e>
                          <m:r>
                            <m:rPr>
                              <m:nor/>
                            </m:rPr>
                            <w:rPr>
                              <w:i/>
                              <w:iCs/>
                            </w:rPr>
                            <m:t>V</m:t>
                          </m:r>
                        </m:e>
                        <m:sub>
                          <m:r>
                            <m:rPr>
                              <m:nor/>
                            </m:rPr>
                            <w:rPr>
                              <w:i/>
                              <w:iCs/>
                            </w:rPr>
                            <m:t>E</m:t>
                          </m:r>
                        </m:sub>
                      </m:sSub>
                    </m:den>
                  </m:f>
                </m:e>
              </m:groupChr>
            </m:e>
            <m:lim>
              <m:r>
                <m:rPr>
                  <m:nor/>
                </m:rPr>
                <w:rPr>
                  <w:rFonts w:eastAsiaTheme="minorEastAsia"/>
                  <w:i/>
                  <w:iCs/>
                </w:rPr>
                <m:t>L</m:t>
              </m:r>
            </m:lim>
          </m:limLow>
          <m:r>
            <w:rPr>
              <w:rFonts w:ascii="Cambria Math" w:eastAsiaTheme="minorEastAsia" w:hAnsi="Cambria Math"/>
              <w:lang w:val="en-US"/>
            </w:rPr>
            <m:t>⟹</m:t>
          </m:r>
          <m:r>
            <m:rPr>
              <m:nor/>
            </m:rPr>
            <w:rPr>
              <w:i/>
              <w:iCs/>
              <w:color w:val="92D050"/>
            </w:rPr>
            <m:t>WACC</m:t>
          </m:r>
          <m:r>
            <w:rPr>
              <w:rFonts w:ascii="Cambria Math" w:eastAsiaTheme="minorEastAsia" w:hAnsi="Cambria Math"/>
            </w:rPr>
            <m:t>∙</m:t>
          </m:r>
          <m:d>
            <m:dPr>
              <m:ctrlPr>
                <w:rPr>
                  <w:rFonts w:ascii="Cambria Math" w:eastAsiaTheme="minorEastAsia" w:hAnsi="Cambria Math"/>
                  <w:i/>
                  <w:iCs/>
                </w:rPr>
              </m:ctrlPr>
            </m:dPr>
            <m:e>
              <m:sSub>
                <m:sSubPr>
                  <m:ctrlPr>
                    <w:rPr>
                      <w:rFonts w:ascii="Cambria Math" w:hAnsi="Cambria Math"/>
                      <w:i/>
                      <w:iCs/>
                    </w:rPr>
                  </m:ctrlPr>
                </m:sSubPr>
                <m:e>
                  <m:r>
                    <m:rPr>
                      <m:nor/>
                    </m:rPr>
                    <w:rPr>
                      <w:i/>
                      <w:iCs/>
                    </w:rPr>
                    <m:t>V</m:t>
                  </m:r>
                </m:e>
                <m:sub>
                  <m:r>
                    <m:rPr>
                      <m:nor/>
                    </m:rPr>
                    <w:rPr>
                      <w:i/>
                      <w:iCs/>
                    </w:rPr>
                    <m:t>D</m:t>
                  </m:r>
                </m:sub>
              </m:sSub>
              <m:r>
                <w:rPr>
                  <w:rFonts w:ascii="Cambria Math" w:eastAsiaTheme="minorEastAsia" w:hAnsi="Cambria Math"/>
                </w:rPr>
                <m:t>+</m:t>
              </m:r>
              <m:sSub>
                <m:sSubPr>
                  <m:ctrlPr>
                    <w:rPr>
                      <w:rFonts w:ascii="Cambria Math" w:hAnsi="Cambria Math"/>
                      <w:i/>
                      <w:iCs/>
                    </w:rPr>
                  </m:ctrlPr>
                </m:sSubPr>
                <m:e>
                  <m:r>
                    <m:rPr>
                      <m:nor/>
                    </m:rPr>
                    <w:rPr>
                      <w:i/>
                      <w:iCs/>
                    </w:rPr>
                    <m:t>V</m:t>
                  </m:r>
                </m:e>
                <m:sub>
                  <m:r>
                    <m:rPr>
                      <m:nor/>
                    </m:rPr>
                    <w:rPr>
                      <w:i/>
                      <w:iCs/>
                    </w:rPr>
                    <m:t>E</m:t>
                  </m:r>
                </m:sub>
              </m:sSub>
            </m:e>
          </m:d>
          <m:r>
            <w:rPr>
              <w:rFonts w:ascii="Cambria Math" w:hAnsi="Cambria Math"/>
            </w:rPr>
            <m:t>=</m:t>
          </m:r>
          <m:sSub>
            <m:sSubPr>
              <m:ctrlPr>
                <w:rPr>
                  <w:rFonts w:ascii="Cambria Math" w:hAnsi="Cambria Math"/>
                  <w:i/>
                  <w:iCs/>
                  <w:color w:val="00B0F0"/>
                  <w:lang w:val="en-US"/>
                </w:rPr>
              </m:ctrlPr>
            </m:sSubPr>
            <m:e>
              <m:r>
                <m:rPr>
                  <m:nor/>
                </m:rPr>
                <w:rPr>
                  <w:i/>
                  <w:iCs/>
                  <w:color w:val="00B0F0"/>
                </w:rPr>
                <m:t>r</m:t>
              </m:r>
            </m:e>
            <m:sub>
              <m:r>
                <m:rPr>
                  <m:nor/>
                </m:rPr>
                <w:rPr>
                  <w:i/>
                  <w:iCs/>
                  <w:color w:val="00B0F0"/>
                </w:rPr>
                <m:t>E</m:t>
              </m:r>
            </m:sub>
          </m:sSub>
          <m:r>
            <w:rPr>
              <w:rFonts w:ascii="Cambria Math" w:eastAsiaTheme="minorEastAsia" w:hAnsi="Cambria Math"/>
            </w:rPr>
            <m:t>∙</m:t>
          </m:r>
          <m:sSub>
            <m:sSubPr>
              <m:ctrlPr>
                <w:rPr>
                  <w:rFonts w:ascii="Cambria Math" w:hAnsi="Cambria Math"/>
                  <w:i/>
                  <w:iCs/>
                </w:rPr>
              </m:ctrlPr>
            </m:sSubPr>
            <m:e>
              <m:r>
                <m:rPr>
                  <m:nor/>
                </m:rPr>
                <w:rPr>
                  <w:i/>
                  <w:iCs/>
                </w:rPr>
                <m:t>V</m:t>
              </m:r>
            </m:e>
            <m:sub>
              <m:r>
                <m:rPr>
                  <m:nor/>
                </m:rPr>
                <w:rPr>
                  <w:i/>
                  <w:iCs/>
                </w:rPr>
                <m:t>E</m:t>
              </m:r>
            </m:sub>
          </m:sSub>
          <m:r>
            <w:rPr>
              <w:rFonts w:ascii="Cambria Math" w:eastAsiaTheme="minorEastAsia" w:hAnsi="Cambria Math"/>
            </w:rPr>
            <m:t>+</m:t>
          </m:r>
          <m:sSub>
            <m:sSubPr>
              <m:ctrlPr>
                <w:rPr>
                  <w:rFonts w:ascii="Cambria Math" w:hAnsi="Cambria Math"/>
                  <w:i/>
                  <w:iCs/>
                  <w:color w:val="FFC000"/>
                  <w:lang w:val="en-US"/>
                </w:rPr>
              </m:ctrlPr>
            </m:sSubPr>
            <m:e>
              <m:r>
                <m:rPr>
                  <m:nor/>
                </m:rPr>
                <w:rPr>
                  <w:i/>
                  <w:iCs/>
                  <w:color w:val="FFC000"/>
                </w:rPr>
                <m:t>r</m:t>
              </m:r>
            </m:e>
            <m:sub>
              <m:r>
                <m:rPr>
                  <m:nor/>
                </m:rPr>
                <w:rPr>
                  <w:i/>
                  <w:iCs/>
                  <w:color w:val="FFC000"/>
                </w:rPr>
                <m:t>D</m:t>
              </m:r>
            </m:sub>
          </m:sSub>
          <m:r>
            <m:rPr>
              <m:nor/>
            </m:rPr>
            <w:rPr>
              <w:rFonts w:eastAsiaTheme="minorEastAsia"/>
              <w:i/>
              <w:iCs/>
            </w:rPr>
            <m:t>∙</m:t>
          </m:r>
          <m:sSub>
            <m:sSubPr>
              <m:ctrlPr>
                <w:rPr>
                  <w:rFonts w:ascii="Cambria Math" w:hAnsi="Cambria Math"/>
                  <w:i/>
                  <w:iCs/>
                </w:rPr>
              </m:ctrlPr>
            </m:sSubPr>
            <m:e>
              <m:r>
                <m:rPr>
                  <m:nor/>
                </m:rPr>
                <w:rPr>
                  <w:i/>
                  <w:iCs/>
                </w:rPr>
                <m:t>V</m:t>
              </m:r>
            </m:e>
            <m:sub>
              <m:r>
                <m:rPr>
                  <m:nor/>
                </m:rPr>
                <w:rPr>
                  <w:i/>
                  <w:iCs/>
                </w:rPr>
                <m:t>D</m:t>
              </m:r>
            </m:sub>
          </m:sSub>
          <m:r>
            <m:rPr>
              <m:sty m:val="p"/>
            </m:rPr>
            <w:rPr>
              <w:rFonts w:ascii="Cambria Math" w:hAnsi="Cambria Math"/>
            </w:rPr>
            <w:br/>
          </m:r>
        </m:oMath>
        <m:oMath>
          <m:sSub>
            <m:sSubPr>
              <m:ctrlPr>
                <w:rPr>
                  <w:rFonts w:ascii="Cambria Math" w:hAnsi="Cambria Math"/>
                  <w:i/>
                  <w:iCs/>
                  <w:color w:val="00B0F0"/>
                  <w:lang w:val="en-US"/>
                </w:rPr>
              </m:ctrlPr>
            </m:sSubPr>
            <m:e>
              <m:r>
                <m:rPr>
                  <m:nor/>
                </m:rPr>
                <w:rPr>
                  <w:i/>
                  <w:iCs/>
                  <w:color w:val="00B0F0"/>
                </w:rPr>
                <m:t>r</m:t>
              </m:r>
            </m:e>
            <m:sub>
              <m:r>
                <m:rPr>
                  <m:nor/>
                </m:rPr>
                <w:rPr>
                  <w:i/>
                  <w:iCs/>
                  <w:color w:val="00B0F0"/>
                </w:rPr>
                <m:t>E</m:t>
              </m:r>
            </m:sub>
          </m:sSub>
          <m:r>
            <w:rPr>
              <w:rFonts w:ascii="Cambria Math" w:hAnsi="Cambria Math"/>
            </w:rPr>
            <m:t>=</m:t>
          </m:r>
          <m:f>
            <m:fPr>
              <m:ctrlPr>
                <w:rPr>
                  <w:rFonts w:ascii="Cambria Math" w:hAnsi="Cambria Math"/>
                  <w:i/>
                  <w:iCs/>
                  <w:color w:val="000000"/>
                </w:rPr>
              </m:ctrlPr>
            </m:fPr>
            <m:num>
              <m:r>
                <m:rPr>
                  <m:nor/>
                </m:rPr>
                <w:rPr>
                  <w:i/>
                  <w:iCs/>
                  <w:color w:val="92D050"/>
                </w:rPr>
                <m:t>WACC</m:t>
              </m:r>
              <m:r>
                <w:rPr>
                  <w:rFonts w:ascii="Cambria Math" w:eastAsiaTheme="minorEastAsia" w:hAnsi="Cambria Math"/>
                  <w:color w:val="000000"/>
                </w:rPr>
                <m:t>∙</m:t>
              </m:r>
              <m:d>
                <m:dPr>
                  <m:ctrlPr>
                    <w:rPr>
                      <w:rFonts w:ascii="Cambria Math" w:eastAsiaTheme="minorEastAsia" w:hAnsi="Cambria Math"/>
                      <w:i/>
                      <w:iCs/>
                      <w:color w:val="000000"/>
                    </w:rPr>
                  </m:ctrlPr>
                </m:dPr>
                <m:e>
                  <m:sSub>
                    <m:sSubPr>
                      <m:ctrlPr>
                        <w:rPr>
                          <w:rFonts w:ascii="Cambria Math" w:hAnsi="Cambria Math"/>
                          <w:i/>
                          <w:iCs/>
                          <w:color w:val="000000"/>
                        </w:rPr>
                      </m:ctrlPr>
                    </m:sSubPr>
                    <m:e>
                      <m:r>
                        <m:rPr>
                          <m:nor/>
                        </m:rPr>
                        <w:rPr>
                          <w:i/>
                          <w:iCs/>
                          <w:color w:val="000000"/>
                        </w:rPr>
                        <m:t>V</m:t>
                      </m:r>
                    </m:e>
                    <m:sub>
                      <m:r>
                        <m:rPr>
                          <m:nor/>
                        </m:rPr>
                        <w:rPr>
                          <w:i/>
                          <w:iCs/>
                          <w:color w:val="000000"/>
                        </w:rPr>
                        <m:t>D</m:t>
                      </m:r>
                    </m:sub>
                  </m:sSub>
                  <m:r>
                    <w:rPr>
                      <w:rFonts w:ascii="Cambria Math" w:eastAsiaTheme="minorEastAsia" w:hAnsi="Cambria Math"/>
                      <w:color w:val="000000"/>
                    </w:rPr>
                    <m:t>+</m:t>
                  </m:r>
                  <m:sSub>
                    <m:sSubPr>
                      <m:ctrlPr>
                        <w:rPr>
                          <w:rFonts w:ascii="Cambria Math" w:hAnsi="Cambria Math"/>
                          <w:i/>
                          <w:iCs/>
                          <w:color w:val="000000"/>
                        </w:rPr>
                      </m:ctrlPr>
                    </m:sSubPr>
                    <m:e>
                      <m:r>
                        <m:rPr>
                          <m:nor/>
                        </m:rPr>
                        <w:rPr>
                          <w:i/>
                          <w:iCs/>
                          <w:color w:val="000000"/>
                        </w:rPr>
                        <m:t>V</m:t>
                      </m:r>
                    </m:e>
                    <m:sub>
                      <m:r>
                        <m:rPr>
                          <m:nor/>
                        </m:rPr>
                        <w:rPr>
                          <w:i/>
                          <w:iCs/>
                          <w:color w:val="000000"/>
                        </w:rPr>
                        <m:t>E</m:t>
                      </m:r>
                    </m:sub>
                  </m:sSub>
                </m:e>
              </m:d>
              <m:r>
                <w:rPr>
                  <w:rFonts w:ascii="Cambria Math" w:eastAsiaTheme="minorEastAsia" w:hAnsi="Cambria Math"/>
                  <w:color w:val="000000"/>
                </w:rPr>
                <m:t>-</m:t>
              </m:r>
              <m:sSub>
                <m:sSubPr>
                  <m:ctrlPr>
                    <w:rPr>
                      <w:rFonts w:ascii="Cambria Math" w:hAnsi="Cambria Math"/>
                      <w:i/>
                      <w:iCs/>
                      <w:color w:val="FFC000"/>
                      <w:lang w:val="en-US"/>
                    </w:rPr>
                  </m:ctrlPr>
                </m:sSubPr>
                <m:e>
                  <m:r>
                    <m:rPr>
                      <m:nor/>
                    </m:rPr>
                    <w:rPr>
                      <w:i/>
                      <w:iCs/>
                      <w:color w:val="FFC000"/>
                    </w:rPr>
                    <m:t>r</m:t>
                  </m:r>
                </m:e>
                <m:sub>
                  <m:r>
                    <m:rPr>
                      <m:nor/>
                    </m:rPr>
                    <w:rPr>
                      <w:i/>
                      <w:iCs/>
                      <w:color w:val="FFC000"/>
                    </w:rPr>
                    <m:t>D</m:t>
                  </m:r>
                </m:sub>
              </m:sSub>
              <m:r>
                <w:rPr>
                  <w:rFonts w:ascii="Cambria Math" w:eastAsiaTheme="minorEastAsia" w:hAnsi="Cambria Math"/>
                  <w:color w:val="000000"/>
                </w:rPr>
                <m:t>∙</m:t>
              </m:r>
              <m:sSub>
                <m:sSubPr>
                  <m:ctrlPr>
                    <w:rPr>
                      <w:rFonts w:ascii="Cambria Math" w:hAnsi="Cambria Math"/>
                      <w:i/>
                      <w:iCs/>
                      <w:color w:val="000000"/>
                    </w:rPr>
                  </m:ctrlPr>
                </m:sSubPr>
                <m:e>
                  <m:r>
                    <m:rPr>
                      <m:nor/>
                    </m:rPr>
                    <w:rPr>
                      <w:i/>
                      <w:iCs/>
                      <w:color w:val="000000"/>
                    </w:rPr>
                    <m:t>V</m:t>
                  </m:r>
                </m:e>
                <m:sub>
                  <m:r>
                    <m:rPr>
                      <m:nor/>
                    </m:rPr>
                    <w:rPr>
                      <w:i/>
                      <w:iCs/>
                      <w:color w:val="000000"/>
                    </w:rPr>
                    <m:t>D</m:t>
                  </m:r>
                </m:sub>
              </m:sSub>
            </m:num>
            <m:den>
              <m:sSub>
                <m:sSubPr>
                  <m:ctrlPr>
                    <w:rPr>
                      <w:rFonts w:ascii="Cambria Math" w:hAnsi="Cambria Math"/>
                      <w:i/>
                      <w:iCs/>
                    </w:rPr>
                  </m:ctrlPr>
                </m:sSubPr>
                <m:e>
                  <m:r>
                    <m:rPr>
                      <m:nor/>
                    </m:rPr>
                    <w:rPr>
                      <w:i/>
                      <w:iCs/>
                    </w:rPr>
                    <m:t>V</m:t>
                  </m:r>
                </m:e>
                <m:sub>
                  <m:r>
                    <m:rPr>
                      <m:nor/>
                    </m:rPr>
                    <w:rPr>
                      <w:i/>
                      <w:iCs/>
                    </w:rPr>
                    <m:t>E</m:t>
                  </m:r>
                </m:sub>
              </m:sSub>
            </m:den>
          </m:f>
          <m:r>
            <m:rPr>
              <m:sty m:val="p"/>
            </m:rPr>
            <w:rPr>
              <w:rFonts w:ascii="Cambria Math" w:hAnsi="Cambria Math"/>
              <w:color w:val="000000"/>
            </w:rPr>
            <w:br/>
          </m:r>
        </m:oMath>
        <m:oMath>
          <m:borderBox>
            <m:borderBoxPr>
              <m:ctrlPr>
                <w:rPr>
                  <w:rFonts w:ascii="Cambria Math" w:hAnsi="Cambria Math"/>
                  <w:i/>
                  <w:iCs/>
                  <w:color w:val="000000"/>
                  <w:lang w:val="en-US"/>
                </w:rPr>
              </m:ctrlPr>
            </m:borderBoxPr>
            <m:e>
              <m:sSub>
                <m:sSubPr>
                  <m:ctrlPr>
                    <w:rPr>
                      <w:rFonts w:ascii="Cambria Math" w:hAnsi="Cambria Math"/>
                      <w:i/>
                      <w:iCs/>
                      <w:color w:val="00B0F0"/>
                      <w:lang w:val="en-US"/>
                    </w:rPr>
                  </m:ctrlPr>
                </m:sSubPr>
                <m:e>
                  <m:r>
                    <m:rPr>
                      <m:nor/>
                    </m:rPr>
                    <w:rPr>
                      <w:i/>
                      <w:iCs/>
                      <w:color w:val="00B0F0"/>
                    </w:rPr>
                    <m:t>r</m:t>
                  </m:r>
                </m:e>
                <m:sub>
                  <m:r>
                    <m:rPr>
                      <m:nor/>
                    </m:rPr>
                    <w:rPr>
                      <w:i/>
                      <w:iCs/>
                      <w:color w:val="00B0F0"/>
                    </w:rPr>
                    <m:t>E</m:t>
                  </m:r>
                </m:sub>
              </m:sSub>
              <m:r>
                <w:rPr>
                  <w:rFonts w:ascii="Cambria Math" w:hAnsi="Cambria Math"/>
                  <w:color w:val="000000"/>
                </w:rPr>
                <m:t>=</m:t>
              </m:r>
              <m:r>
                <m:rPr>
                  <m:nor/>
                </m:rPr>
                <w:rPr>
                  <w:i/>
                  <w:iCs/>
                  <w:color w:val="92D050"/>
                </w:rPr>
                <m:t>WACC</m:t>
              </m:r>
              <m:r>
                <w:rPr>
                  <w:rFonts w:ascii="Cambria Math" w:eastAsiaTheme="minorEastAsia" w:hAnsi="Cambria Math"/>
                  <w:color w:val="000000"/>
                </w:rPr>
                <m:t>+</m:t>
              </m:r>
              <m:d>
                <m:dPr>
                  <m:ctrlPr>
                    <w:rPr>
                      <w:rFonts w:ascii="Cambria Math" w:hAnsi="Cambria Math"/>
                      <w:i/>
                      <w:iCs/>
                      <w:color w:val="000000"/>
                    </w:rPr>
                  </m:ctrlPr>
                </m:dPr>
                <m:e>
                  <m:r>
                    <m:rPr>
                      <m:nor/>
                    </m:rPr>
                    <w:rPr>
                      <w:i/>
                      <w:iCs/>
                      <w:color w:val="92D050"/>
                    </w:rPr>
                    <m:t>WACC</m:t>
                  </m:r>
                  <m:r>
                    <w:rPr>
                      <w:rFonts w:ascii="Cambria Math" w:eastAsiaTheme="minorEastAsia" w:hAnsi="Cambria Math"/>
                      <w:color w:val="000000"/>
                    </w:rPr>
                    <m:t>-</m:t>
                  </m:r>
                  <m:sSub>
                    <m:sSubPr>
                      <m:ctrlPr>
                        <w:rPr>
                          <w:rFonts w:ascii="Cambria Math" w:hAnsi="Cambria Math"/>
                          <w:i/>
                          <w:iCs/>
                          <w:color w:val="FFC000"/>
                          <w:lang w:val="en-US"/>
                        </w:rPr>
                      </m:ctrlPr>
                    </m:sSubPr>
                    <m:e>
                      <m:r>
                        <m:rPr>
                          <m:nor/>
                        </m:rPr>
                        <w:rPr>
                          <w:i/>
                          <w:iCs/>
                          <w:color w:val="FFC000"/>
                        </w:rPr>
                        <m:t>r</m:t>
                      </m:r>
                    </m:e>
                    <m:sub>
                      <m:r>
                        <m:rPr>
                          <m:nor/>
                        </m:rPr>
                        <w:rPr>
                          <w:i/>
                          <w:iCs/>
                          <w:color w:val="FFC000"/>
                        </w:rPr>
                        <m:t>D</m:t>
                      </m:r>
                    </m:sub>
                  </m:sSub>
                </m:e>
              </m:d>
              <m:r>
                <w:rPr>
                  <w:rFonts w:ascii="Cambria Math" w:eastAsiaTheme="minorEastAsia" w:hAnsi="Cambria Math"/>
                  <w:color w:val="000000"/>
                </w:rPr>
                <m:t>∙</m:t>
              </m:r>
              <m:f>
                <m:fPr>
                  <m:ctrlPr>
                    <w:rPr>
                      <w:rFonts w:ascii="Cambria Math" w:hAnsi="Cambria Math"/>
                      <w:i/>
                      <w:iCs/>
                      <w:color w:val="000000"/>
                    </w:rPr>
                  </m:ctrlPr>
                </m:fPr>
                <m:num>
                  <m:sSub>
                    <m:sSubPr>
                      <m:ctrlPr>
                        <w:rPr>
                          <w:rFonts w:ascii="Cambria Math" w:hAnsi="Cambria Math"/>
                          <w:i/>
                          <w:iCs/>
                          <w:color w:val="000000"/>
                        </w:rPr>
                      </m:ctrlPr>
                    </m:sSubPr>
                    <m:e>
                      <m:r>
                        <m:rPr>
                          <m:nor/>
                        </m:rPr>
                        <w:rPr>
                          <w:i/>
                          <w:iCs/>
                          <w:color w:val="000000"/>
                        </w:rPr>
                        <m:t>V</m:t>
                      </m:r>
                    </m:e>
                    <m:sub>
                      <m:r>
                        <m:rPr>
                          <m:nor/>
                        </m:rPr>
                        <w:rPr>
                          <w:i/>
                          <w:iCs/>
                          <w:color w:val="000000"/>
                        </w:rPr>
                        <m:t>D</m:t>
                      </m:r>
                    </m:sub>
                  </m:sSub>
                </m:num>
                <m:den>
                  <m:sSub>
                    <m:sSubPr>
                      <m:ctrlPr>
                        <w:rPr>
                          <w:rFonts w:ascii="Cambria Math" w:hAnsi="Cambria Math"/>
                          <w:i/>
                          <w:iCs/>
                          <w:color w:val="000000"/>
                        </w:rPr>
                      </m:ctrlPr>
                    </m:sSubPr>
                    <m:e>
                      <m:r>
                        <m:rPr>
                          <m:nor/>
                        </m:rPr>
                        <w:rPr>
                          <w:i/>
                          <w:iCs/>
                          <w:color w:val="000000"/>
                        </w:rPr>
                        <m:t>V</m:t>
                      </m:r>
                    </m:e>
                    <m:sub>
                      <m:r>
                        <m:rPr>
                          <m:nor/>
                        </m:rPr>
                        <w:rPr>
                          <w:i/>
                          <w:iCs/>
                          <w:color w:val="000000"/>
                        </w:rPr>
                        <m:t>E</m:t>
                      </m:r>
                    </m:sub>
                  </m:sSub>
                </m:den>
              </m:f>
            </m:e>
          </m:borderBox>
          <m:r>
            <m:rPr>
              <m:sty m:val="p"/>
            </m:rPr>
            <w:rPr>
              <w:rFonts w:eastAsiaTheme="minorEastAsia"/>
              <w:color w:val="000000"/>
            </w:rPr>
            <w:br/>
          </m:r>
        </m:oMath>
      </m:oMathPara>
      <w:r w:rsidR="00EB504E">
        <w:rPr>
          <w:rFonts w:eastAsiaTheme="minorEastAsia"/>
          <w:color w:val="000000"/>
        </w:rPr>
        <w:t xml:space="preserve">donde al aumentar </w:t>
      </w:r>
      <w:r w:rsidR="00D93FBC">
        <w:rPr>
          <w:rFonts w:eastAsiaTheme="minorEastAsia"/>
          <w:color w:val="000000"/>
        </w:rPr>
        <w:t xml:space="preserve">la </w:t>
      </w:r>
      <w:r w:rsidR="00EB504E">
        <w:rPr>
          <w:rFonts w:eastAsiaTheme="minorEastAsia"/>
          <w:color w:val="000000"/>
        </w:rPr>
        <w:t>ratio</w:t>
      </w:r>
      <w:r w:rsidR="00F447B6">
        <w:rPr>
          <w:rFonts w:eastAsiaTheme="minorEastAsia"/>
          <w:color w:val="000000"/>
        </w:rPr>
        <w:t xml:space="preserve"> de apalancamiento,</w:t>
      </w:r>
      <w:r w:rsidR="00EB504E">
        <w:rPr>
          <w:rFonts w:eastAsiaTheme="minorEastAsia"/>
          <w:color w:val="000000"/>
        </w:rPr>
        <w:t xml:space="preserve"> </w:t>
      </w:r>
      <m:oMath>
        <m:f>
          <m:fPr>
            <m:type m:val="lin"/>
            <m:ctrlPr>
              <w:rPr>
                <w:rFonts w:ascii="Cambria Math" w:hAnsi="Cambria Math"/>
                <w:i/>
                <w:spacing w:val="-4"/>
              </w:rPr>
            </m:ctrlPr>
          </m:fPr>
          <m:num>
            <m:sSub>
              <m:sSubPr>
                <m:ctrlPr>
                  <w:rPr>
                    <w:rFonts w:ascii="Cambria Math" w:hAnsi="Cambria Math"/>
                    <w:i/>
                    <w:iCs/>
                    <w:color w:val="000000"/>
                    <w:spacing w:val="-4"/>
                  </w:rPr>
                </m:ctrlPr>
              </m:sSubPr>
              <m:e>
                <m:r>
                  <m:rPr>
                    <m:nor/>
                  </m:rPr>
                  <w:rPr>
                    <w:i/>
                    <w:iCs/>
                    <w:color w:val="000000"/>
                    <w:spacing w:val="-4"/>
                  </w:rPr>
                  <m:t>V</m:t>
                </m:r>
              </m:e>
              <m:sub>
                <m:r>
                  <m:rPr>
                    <m:nor/>
                  </m:rPr>
                  <w:rPr>
                    <w:i/>
                    <w:iCs/>
                    <w:color w:val="000000"/>
                    <w:spacing w:val="-4"/>
                  </w:rPr>
                  <m:t>D</m:t>
                </m:r>
              </m:sub>
            </m:sSub>
          </m:num>
          <m:den>
            <m:sSub>
              <m:sSubPr>
                <m:ctrlPr>
                  <w:rPr>
                    <w:rFonts w:ascii="Cambria Math" w:hAnsi="Cambria Math"/>
                    <w:i/>
                    <w:iCs/>
                    <w:color w:val="000000"/>
                    <w:spacing w:val="-4"/>
                  </w:rPr>
                </m:ctrlPr>
              </m:sSubPr>
              <m:e>
                <m:r>
                  <m:rPr>
                    <m:nor/>
                  </m:rPr>
                  <w:rPr>
                    <w:i/>
                    <w:iCs/>
                    <w:color w:val="000000"/>
                    <w:spacing w:val="-4"/>
                  </w:rPr>
                  <m:t>V</m:t>
                </m:r>
              </m:e>
              <m:sub>
                <m:r>
                  <m:rPr>
                    <m:nor/>
                  </m:rPr>
                  <w:rPr>
                    <w:i/>
                    <w:iCs/>
                    <w:color w:val="000000"/>
                    <w:spacing w:val="-4"/>
                  </w:rPr>
                  <m:t>E</m:t>
                </m:r>
              </m:sub>
            </m:sSub>
          </m:den>
        </m:f>
      </m:oMath>
      <w:r w:rsidR="00EB504E">
        <w:rPr>
          <w:rFonts w:eastAsiaTheme="minorEastAsia"/>
          <w:spacing w:val="-4"/>
        </w:rPr>
        <w:t>, aumenta la rentabilidad de las acciones.</w:t>
      </w:r>
    </w:p>
    <w:p w14:paraId="2B8DD19A" w14:textId="0DC09EDE" w:rsidR="002A6689" w:rsidRDefault="002A6689" w:rsidP="002A6689">
      <w:pPr>
        <w:pStyle w:val="Ttulo8"/>
        <w:rPr>
          <w:rFonts w:eastAsiaTheme="minorEastAsia"/>
        </w:rPr>
      </w:pPr>
      <w:r>
        <w:rPr>
          <w:rFonts w:eastAsiaTheme="minorEastAsia"/>
        </w:rPr>
        <w:lastRenderedPageBreak/>
        <w:t>Sin posibilidad de bancarrota</w:t>
      </w:r>
    </w:p>
    <w:p w14:paraId="25A7B9F3" w14:textId="03313BC4" w:rsidR="000757C2" w:rsidRDefault="00F70DF2" w:rsidP="002A6689">
      <w:pPr>
        <w:pStyle w:val="Nivel1SM"/>
        <w:keepNext/>
        <w:spacing w:before="0" w:after="0"/>
      </w:pPr>
      <w:r>
        <w:t>Si consideramos que no</w:t>
      </w:r>
      <w:r w:rsidR="0006155C">
        <w:t> </w:t>
      </w:r>
      <w:r>
        <w:t xml:space="preserve">existe posibilidad de bancarrota (como originalmente hicieron </w:t>
      </w:r>
      <w:r>
        <w:rPr>
          <w:smallCaps/>
        </w:rPr>
        <w:t>Modigliani</w:t>
      </w:r>
      <w:r>
        <w:t xml:space="preserve"> y </w:t>
      </w:r>
      <w:r>
        <w:rPr>
          <w:smallCaps/>
        </w:rPr>
        <w:t>Miller</w:t>
      </w:r>
      <w:r w:rsidR="000757C2">
        <w:t>):</w:t>
      </w:r>
    </w:p>
    <w:p w14:paraId="71C6B511" w14:textId="006C8100" w:rsidR="000757C2" w:rsidRDefault="000757C2" w:rsidP="000757C2">
      <w:pPr>
        <w:pStyle w:val="Nivel2"/>
        <w:ind w:left="454" w:hanging="170"/>
      </w:pPr>
      <w:r>
        <w:t xml:space="preserve">El coste de capital propio aumenta con el nivel de </w:t>
      </w:r>
      <w:r w:rsidR="008D45FA">
        <w:t>endeud</w:t>
      </w:r>
      <w:r>
        <w:t>amiento, ya que los accionistas requieren más rentabilidad en una empresa con mayor nivel de deuda (tal y como hemos visto en la segunda proposición)</w:t>
      </w:r>
      <w:r w:rsidR="008D45FA">
        <w:t>. Además, el coste de capital propio es mayor que el de la deuda para cualquier nivel de endeudamiento</w:t>
      </w:r>
      <w:r w:rsidR="001624C2">
        <w:t xml:space="preserve"> ya que conlleva más riesgo</w:t>
      </w:r>
      <w:r w:rsidR="008D45FA">
        <w:t>.</w:t>
      </w:r>
    </w:p>
    <w:p w14:paraId="7844514A" w14:textId="7B96D83A" w:rsidR="00F70DF2" w:rsidRDefault="000757C2" w:rsidP="00F70DF2">
      <w:pPr>
        <w:pStyle w:val="Nivel2"/>
        <w:ind w:left="454" w:hanging="170"/>
      </w:pPr>
      <w:r>
        <w:t>El coste de la deuda se mantendría constante (no se da en ningún caso la situación de bancarrota)</w:t>
      </w:r>
      <w:r w:rsidR="00F77CAF">
        <w:t xml:space="preserve"> e igual al tipo de interés libre de riesgo</w:t>
      </w:r>
      <w:r w:rsidR="003D56CA">
        <w:rPr>
          <w:rStyle w:val="Refdenotaalpie"/>
        </w:rPr>
        <w:footnoteReference w:id="26"/>
      </w:r>
      <w:r>
        <w:t>.</w:t>
      </w:r>
    </w:p>
    <w:p w14:paraId="6ED24FB4" w14:textId="64F08041" w:rsidR="000757C2" w:rsidRPr="0060179A" w:rsidRDefault="000757C2" w:rsidP="000757C2">
      <w:pPr>
        <w:pStyle w:val="Ttuloimagen"/>
        <w:rPr>
          <w:i/>
          <w:iCs/>
          <w:spacing w:val="-4"/>
          <w:sz w:val="18"/>
          <w:szCs w:val="18"/>
        </w:rPr>
      </w:pPr>
      <w:r w:rsidRPr="0060179A">
        <w:rPr>
          <w:spacing w:val="-4"/>
        </w:rPr>
        <w:t>Imagen</w:t>
      </w:r>
      <w:r w:rsidR="00976193">
        <w:rPr>
          <w:spacing w:val="-4"/>
        </w:rPr>
        <w:t> </w:t>
      </w:r>
      <w:r w:rsidRPr="0060179A">
        <w:rPr>
          <w:spacing w:val="-4"/>
        </w:rPr>
        <w:fldChar w:fldCharType="begin"/>
      </w:r>
      <w:r w:rsidRPr="0060179A">
        <w:rPr>
          <w:spacing w:val="-4"/>
        </w:rPr>
        <w:instrText xml:space="preserve"> SEQ Ilustración \* ARABIC </w:instrText>
      </w:r>
      <w:r w:rsidRPr="0060179A">
        <w:rPr>
          <w:spacing w:val="-4"/>
        </w:rPr>
        <w:fldChar w:fldCharType="separate"/>
      </w:r>
      <w:r w:rsidR="00583A5D">
        <w:rPr>
          <w:spacing w:val="-4"/>
        </w:rPr>
        <w:t>2</w:t>
      </w:r>
      <w:r w:rsidRPr="0060179A">
        <w:rPr>
          <w:spacing w:val="-4"/>
        </w:rPr>
        <w:fldChar w:fldCharType="end"/>
      </w:r>
      <w:r w:rsidRPr="0060179A">
        <w:rPr>
          <w:smallCaps w:val="0"/>
          <w:spacing w:val="-4"/>
        </w:rPr>
        <w:t>.–</w:t>
      </w:r>
      <w:r w:rsidRPr="0060179A">
        <w:rPr>
          <w:i/>
          <w:iCs/>
          <w:smallCaps w:val="0"/>
          <w:spacing w:val="-4"/>
          <w:sz w:val="18"/>
          <w:szCs w:val="18"/>
        </w:rPr>
        <w:t xml:space="preserve"> Coste de capital en función de la estructura de capital de la empresa (</w:t>
      </w:r>
      <w:r w:rsidRPr="00DC1A0F">
        <w:rPr>
          <w:i/>
          <w:iCs/>
          <w:spacing w:val="-4"/>
          <w:sz w:val="18"/>
          <w:szCs w:val="18"/>
        </w:rPr>
        <w:t>Modigliani</w:t>
      </w:r>
      <w:r w:rsidRPr="0060179A">
        <w:rPr>
          <w:i/>
          <w:iCs/>
          <w:smallCaps w:val="0"/>
          <w:spacing w:val="-4"/>
          <w:sz w:val="18"/>
          <w:szCs w:val="18"/>
        </w:rPr>
        <w:t xml:space="preserve"> y </w:t>
      </w:r>
      <w:r w:rsidRPr="00DC1A0F">
        <w:rPr>
          <w:i/>
          <w:iCs/>
          <w:spacing w:val="-4"/>
          <w:sz w:val="18"/>
          <w:szCs w:val="18"/>
        </w:rPr>
        <w:t>Miller</w:t>
      </w:r>
      <w:r w:rsidRPr="0060179A">
        <w:rPr>
          <w:i/>
          <w:iCs/>
          <w:smallCaps w:val="0"/>
          <w:spacing w:val="-4"/>
          <w:sz w:val="18"/>
          <w:szCs w:val="18"/>
        </w:rPr>
        <w:t xml:space="preserve"> </w:t>
      </w:r>
      <w:r>
        <w:rPr>
          <w:i/>
          <w:iCs/>
          <w:smallCaps w:val="0"/>
          <w:spacing w:val="-4"/>
          <w:sz w:val="18"/>
          <w:szCs w:val="18"/>
        </w:rPr>
        <w:t>sin</w:t>
      </w:r>
      <w:r w:rsidRPr="0060179A">
        <w:rPr>
          <w:i/>
          <w:iCs/>
          <w:smallCaps w:val="0"/>
          <w:spacing w:val="-4"/>
          <w:sz w:val="18"/>
          <w:szCs w:val="18"/>
        </w:rPr>
        <w:t xml:space="preserve"> posibilidad de bancarrota)</w:t>
      </w:r>
    </w:p>
    <w:p w14:paraId="1548A3AE" w14:textId="37865125" w:rsidR="000757C2" w:rsidRDefault="00526280" w:rsidP="000757C2">
      <w:pPr>
        <w:pStyle w:val="Imagen"/>
      </w:pPr>
      <w:r>
        <w:drawing>
          <wp:inline distT="0" distB="0" distL="0" distR="0" wp14:anchorId="22D5B6E3" wp14:editId="36E3B7C2">
            <wp:extent cx="3200221" cy="1800000"/>
            <wp:effectExtent l="0" t="0" r="635" b="0"/>
            <wp:docPr id="2" name="Imagen 2" descr="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Gráfico de líneas&#10;&#10;Descripción generada automáticamente"/>
                    <pic:cNvPicPr/>
                  </pic:nvPicPr>
                  <pic:blipFill>
                    <a:blip r:embed="rId10"/>
                    <a:stretch>
                      <a:fillRect/>
                    </a:stretch>
                  </pic:blipFill>
                  <pic:spPr>
                    <a:xfrm>
                      <a:off x="0" y="0"/>
                      <a:ext cx="3200221" cy="1800000"/>
                    </a:xfrm>
                    <a:prstGeom prst="rect">
                      <a:avLst/>
                    </a:prstGeom>
                  </pic:spPr>
                </pic:pic>
              </a:graphicData>
            </a:graphic>
          </wp:inline>
        </w:drawing>
      </w:r>
    </w:p>
    <w:p w14:paraId="55350A20" w14:textId="1BDDCAF7" w:rsidR="000757C2" w:rsidRPr="000757C2" w:rsidRDefault="000757C2" w:rsidP="000757C2">
      <w:pPr>
        <w:pStyle w:val="PiedeImagen"/>
        <w:rPr>
          <w:i w:val="0"/>
          <w:iCs/>
        </w:rPr>
      </w:pPr>
      <w:r>
        <w:t>Fuente</w:t>
      </w:r>
      <w:r>
        <w:rPr>
          <w:i w:val="0"/>
          <w:iCs/>
        </w:rPr>
        <w:t>: Elaboración propia</w:t>
      </w:r>
    </w:p>
    <w:p w14:paraId="6EFB5223" w14:textId="5FECCD3E" w:rsidR="002A6689" w:rsidRDefault="002A6689" w:rsidP="002A6689">
      <w:pPr>
        <w:pStyle w:val="Ttulo8"/>
        <w:rPr>
          <w:rFonts w:eastAsiaTheme="minorEastAsia"/>
        </w:rPr>
      </w:pPr>
      <w:r>
        <w:rPr>
          <w:rFonts w:eastAsiaTheme="minorEastAsia"/>
        </w:rPr>
        <w:t>Con posibilidad de bancarrota</w:t>
      </w:r>
    </w:p>
    <w:p w14:paraId="474B6AE6" w14:textId="77777777" w:rsidR="002A6689" w:rsidRPr="00022BA9" w:rsidRDefault="00F70DF2" w:rsidP="002A6689">
      <w:pPr>
        <w:pStyle w:val="Nivel1SM"/>
        <w:keepNext/>
        <w:spacing w:before="0" w:after="0"/>
        <w:rPr>
          <w:spacing w:val="-2"/>
        </w:rPr>
      </w:pPr>
      <w:r w:rsidRPr="00022BA9">
        <w:rPr>
          <w:rFonts w:eastAsiaTheme="minorEastAsia"/>
          <w:spacing w:val="-2"/>
        </w:rPr>
        <w:t>¿</w:t>
      </w:r>
      <w:r w:rsidRPr="00022BA9">
        <w:rPr>
          <w:spacing w:val="-2"/>
        </w:rPr>
        <w:t>Qué pasaría si añadimos el supuesto (más realista) de que se pudiera dar bancarrota para la empresa?</w:t>
      </w:r>
    </w:p>
    <w:p w14:paraId="5EC78703" w14:textId="36612168" w:rsidR="002A6689" w:rsidRPr="002A6689" w:rsidRDefault="000757C2" w:rsidP="002A6689">
      <w:pPr>
        <w:pStyle w:val="Nivel2SM"/>
        <w:keepNext/>
        <w:spacing w:after="0"/>
      </w:pPr>
      <w:r>
        <w:t>En este caso</w:t>
      </w:r>
      <w:r w:rsidR="00EB504E" w:rsidRPr="000757C2">
        <w:t xml:space="preserve">, a partir de un determinado nivel, al aumentar </w:t>
      </w:r>
      <m:oMath>
        <m:f>
          <m:fPr>
            <m:type m:val="lin"/>
            <m:ctrlPr>
              <w:rPr>
                <w:rFonts w:ascii="Cambria Math" w:hAnsi="Cambria Math"/>
                <w:i/>
              </w:rPr>
            </m:ctrlPr>
          </m:fPr>
          <m:num>
            <m:sSub>
              <m:sSubPr>
                <m:ctrlPr>
                  <w:rPr>
                    <w:rFonts w:ascii="Cambria Math" w:hAnsi="Cambria Math"/>
                    <w:i/>
                    <w:iCs/>
                    <w:color w:val="000000"/>
                  </w:rPr>
                </m:ctrlPr>
              </m:sSubPr>
              <m:e>
                <m:r>
                  <m:rPr>
                    <m:nor/>
                  </m:rPr>
                  <w:rPr>
                    <w:i/>
                    <w:iCs/>
                    <w:color w:val="000000"/>
                  </w:rPr>
                  <m:t>V</m:t>
                </m:r>
              </m:e>
              <m:sub>
                <m:r>
                  <m:rPr>
                    <m:nor/>
                  </m:rPr>
                  <w:rPr>
                    <w:i/>
                    <w:iCs/>
                    <w:color w:val="000000"/>
                  </w:rPr>
                  <m:t>D</m:t>
                </m:r>
              </m:sub>
            </m:sSub>
          </m:num>
          <m:den>
            <m:sSub>
              <m:sSubPr>
                <m:ctrlPr>
                  <w:rPr>
                    <w:rFonts w:ascii="Cambria Math" w:hAnsi="Cambria Math"/>
                    <w:i/>
                    <w:iCs/>
                    <w:color w:val="000000"/>
                  </w:rPr>
                </m:ctrlPr>
              </m:sSubPr>
              <m:e>
                <m:r>
                  <m:rPr>
                    <m:nor/>
                  </m:rPr>
                  <w:rPr>
                    <w:i/>
                    <w:iCs/>
                    <w:color w:val="000000"/>
                  </w:rPr>
                  <m:t>V</m:t>
                </m:r>
              </m:e>
              <m:sub>
                <m:r>
                  <m:rPr>
                    <m:nor/>
                  </m:rPr>
                  <w:rPr>
                    <w:i/>
                    <w:iCs/>
                    <w:color w:val="000000"/>
                  </w:rPr>
                  <m:t>E</m:t>
                </m:r>
              </m:sub>
            </m:sSub>
          </m:den>
        </m:f>
      </m:oMath>
      <w:r w:rsidR="00EB504E" w:rsidRPr="000757C2">
        <w:t xml:space="preserve"> aumenta el coste del capital ajeno (</w:t>
      </w:r>
      <m:oMath>
        <m:sSub>
          <m:sSubPr>
            <m:ctrlPr>
              <w:rPr>
                <w:rFonts w:ascii="Cambria Math" w:hAnsi="Cambria Math"/>
                <w:lang w:val="en-US"/>
              </w:rPr>
            </m:ctrlPr>
          </m:sSubPr>
          <m:e>
            <m:r>
              <m:rPr>
                <m:nor/>
              </m:rPr>
              <w:rPr>
                <w:i/>
                <w:iCs/>
              </w:rPr>
              <m:t>r</m:t>
            </m:r>
          </m:e>
          <m:sub>
            <m:r>
              <m:rPr>
                <m:nor/>
              </m:rPr>
              <w:rPr>
                <w:i/>
                <w:iCs/>
              </w:rPr>
              <m:t>D</m:t>
            </m:r>
          </m:sub>
        </m:sSub>
      </m:oMath>
      <w:r w:rsidR="00EB504E" w:rsidRPr="000757C2">
        <w:t>), entonces</w:t>
      </w:r>
      <w:r w:rsidR="00EB504E">
        <w:t xml:space="preserve"> la rentabilidad de las acciones (</w:t>
      </w:r>
      <m:oMath>
        <m:sSub>
          <m:sSubPr>
            <m:ctrlPr>
              <w:rPr>
                <w:rFonts w:ascii="Cambria Math" w:hAnsi="Cambria Math"/>
                <w:i/>
                <w:iCs/>
                <w:color w:val="000000"/>
                <w:lang w:val="en-US"/>
              </w:rPr>
            </m:ctrlPr>
          </m:sSubPr>
          <m:e>
            <m:r>
              <m:rPr>
                <m:nor/>
              </m:rPr>
              <w:rPr>
                <w:i/>
                <w:iCs/>
                <w:color w:val="000000"/>
              </w:rPr>
              <m:t>r</m:t>
            </m:r>
          </m:e>
          <m:sub>
            <m:r>
              <m:rPr>
                <m:nor/>
              </m:rPr>
              <w:rPr>
                <w:i/>
                <w:iCs/>
                <w:color w:val="000000"/>
              </w:rPr>
              <m:t>E</m:t>
            </m:r>
          </m:sub>
        </m:sSub>
      </m:oMath>
      <w:r w:rsidR="00EB504E">
        <w:t>) aumentará, pero cada vez menos (i.e. curva cóncava</w:t>
      </w:r>
      <w:r w:rsidR="008F4B1C">
        <w:t xml:space="preserve"> a partir del punto en el que </w:t>
      </w:r>
      <m:oMath>
        <m:sSub>
          <m:sSubPr>
            <m:ctrlPr>
              <w:rPr>
                <w:rFonts w:ascii="Cambria Math" w:hAnsi="Cambria Math"/>
                <w:lang w:val="en-US"/>
              </w:rPr>
            </m:ctrlPr>
          </m:sSubPr>
          <m:e>
            <m:r>
              <m:rPr>
                <m:nor/>
              </m:rPr>
              <w:rPr>
                <w:i/>
                <w:iCs/>
              </w:rPr>
              <m:t>r</m:t>
            </m:r>
          </m:e>
          <m:sub>
            <m:r>
              <m:rPr>
                <m:nor/>
              </m:rPr>
              <w:rPr>
                <w:i/>
                <w:iCs/>
              </w:rPr>
              <m:t>D</m:t>
            </m:r>
          </m:sub>
        </m:sSub>
      </m:oMath>
      <w:r w:rsidR="008F4B1C">
        <w:t xml:space="preserve"> aumente</w:t>
      </w:r>
      <w:r w:rsidR="00EB504E">
        <w:t>).</w:t>
      </w:r>
    </w:p>
    <w:p w14:paraId="37DEF0B4" w14:textId="6996F1CF" w:rsidR="00EB504E" w:rsidRPr="000757C2" w:rsidRDefault="001624C2" w:rsidP="002A6689">
      <w:pPr>
        <w:pStyle w:val="Nivel3SM"/>
      </w:pPr>
      <w:r>
        <w:t>De este modo, se seguirían cumpliendo ambas proposiciones.</w:t>
      </w:r>
    </w:p>
    <w:p w14:paraId="44D5611B" w14:textId="4B6BA5B2" w:rsidR="00262381" w:rsidRPr="0060179A" w:rsidRDefault="00262381" w:rsidP="00262381">
      <w:pPr>
        <w:pStyle w:val="Ttuloimagen"/>
        <w:rPr>
          <w:i/>
          <w:iCs/>
          <w:spacing w:val="-4"/>
          <w:sz w:val="18"/>
          <w:szCs w:val="18"/>
        </w:rPr>
      </w:pPr>
      <w:r w:rsidRPr="0060179A">
        <w:rPr>
          <w:spacing w:val="-4"/>
        </w:rPr>
        <w:t>Imagen</w:t>
      </w:r>
      <w:r w:rsidR="00976193">
        <w:rPr>
          <w:spacing w:val="-4"/>
        </w:rPr>
        <w:t> </w:t>
      </w:r>
      <w:r w:rsidRPr="0060179A">
        <w:rPr>
          <w:spacing w:val="-4"/>
        </w:rPr>
        <w:fldChar w:fldCharType="begin"/>
      </w:r>
      <w:r w:rsidRPr="0060179A">
        <w:rPr>
          <w:spacing w:val="-4"/>
        </w:rPr>
        <w:instrText xml:space="preserve"> SEQ Ilustración \* ARABIC </w:instrText>
      </w:r>
      <w:r w:rsidRPr="0060179A">
        <w:rPr>
          <w:spacing w:val="-4"/>
        </w:rPr>
        <w:fldChar w:fldCharType="separate"/>
      </w:r>
      <w:r w:rsidR="00583A5D">
        <w:rPr>
          <w:spacing w:val="-4"/>
        </w:rPr>
        <w:t>3</w:t>
      </w:r>
      <w:r w:rsidRPr="0060179A">
        <w:rPr>
          <w:spacing w:val="-4"/>
        </w:rPr>
        <w:fldChar w:fldCharType="end"/>
      </w:r>
      <w:r w:rsidRPr="0060179A">
        <w:rPr>
          <w:smallCaps w:val="0"/>
          <w:spacing w:val="-4"/>
        </w:rPr>
        <w:t>.–</w:t>
      </w:r>
      <w:r w:rsidRPr="0060179A">
        <w:rPr>
          <w:i/>
          <w:iCs/>
          <w:smallCaps w:val="0"/>
          <w:spacing w:val="-4"/>
          <w:sz w:val="18"/>
          <w:szCs w:val="18"/>
        </w:rPr>
        <w:t xml:space="preserve"> Coste de capital en función de la estructura de capital de la empresa (</w:t>
      </w:r>
      <w:r w:rsidRPr="00DC1A0F">
        <w:rPr>
          <w:i/>
          <w:iCs/>
          <w:spacing w:val="-4"/>
          <w:sz w:val="18"/>
          <w:szCs w:val="18"/>
        </w:rPr>
        <w:t>Modigliani</w:t>
      </w:r>
      <w:r w:rsidRPr="0060179A">
        <w:rPr>
          <w:i/>
          <w:iCs/>
          <w:smallCaps w:val="0"/>
          <w:spacing w:val="-4"/>
          <w:sz w:val="18"/>
          <w:szCs w:val="18"/>
        </w:rPr>
        <w:t xml:space="preserve"> y </w:t>
      </w:r>
      <w:r w:rsidRPr="00DC1A0F">
        <w:rPr>
          <w:i/>
          <w:iCs/>
          <w:spacing w:val="-4"/>
          <w:sz w:val="18"/>
          <w:szCs w:val="18"/>
        </w:rPr>
        <w:t>Miller</w:t>
      </w:r>
      <w:r w:rsidRPr="0060179A">
        <w:rPr>
          <w:i/>
          <w:iCs/>
          <w:smallCaps w:val="0"/>
          <w:spacing w:val="-4"/>
          <w:sz w:val="18"/>
          <w:szCs w:val="18"/>
        </w:rPr>
        <w:t xml:space="preserve"> con posibilidad de bancarrota)</w:t>
      </w:r>
    </w:p>
    <w:p w14:paraId="48FB28CB" w14:textId="77777777" w:rsidR="00262381" w:rsidRDefault="00262381" w:rsidP="00262381">
      <w:pPr>
        <w:pStyle w:val="Imagen"/>
      </w:pPr>
      <w:r>
        <w:drawing>
          <wp:inline distT="0" distB="0" distL="0" distR="0" wp14:anchorId="75FF3A3E" wp14:editId="601F929E">
            <wp:extent cx="2502298" cy="1800000"/>
            <wp:effectExtent l="0" t="0" r="0" b="0"/>
            <wp:docPr id="5" name="Imagen 5"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Gráfico, Gráfico de líneas&#10;&#10;Descripción generada automáticamente"/>
                    <pic:cNvPicPr/>
                  </pic:nvPicPr>
                  <pic:blipFill>
                    <a:blip r:embed="rId11"/>
                    <a:srcRect l="10902" r="10902"/>
                    <a:stretch>
                      <a:fillRect/>
                    </a:stretch>
                  </pic:blipFill>
                  <pic:spPr bwMode="auto">
                    <a:xfrm>
                      <a:off x="0" y="0"/>
                      <a:ext cx="2502298" cy="1800000"/>
                    </a:xfrm>
                    <a:prstGeom prst="rect">
                      <a:avLst/>
                    </a:prstGeom>
                    <a:ln>
                      <a:noFill/>
                    </a:ln>
                    <a:extLst>
                      <a:ext uri="{53640926-AAD7-44D8-BBD7-CCE9431645EC}">
                        <a14:shadowObscured xmlns:a14="http://schemas.microsoft.com/office/drawing/2010/main"/>
                      </a:ext>
                    </a:extLst>
                  </pic:spPr>
                </pic:pic>
              </a:graphicData>
            </a:graphic>
          </wp:inline>
        </w:drawing>
      </w:r>
    </w:p>
    <w:p w14:paraId="6658C15F" w14:textId="4D303091" w:rsidR="00262381" w:rsidRDefault="00262381" w:rsidP="00262381">
      <w:pPr>
        <w:pStyle w:val="PiedeImagen"/>
        <w:rPr>
          <w:i w:val="0"/>
          <w:iCs/>
        </w:rPr>
      </w:pPr>
      <w:r>
        <w:t>Fuente</w:t>
      </w:r>
      <w:r>
        <w:rPr>
          <w:i w:val="0"/>
          <w:iCs/>
        </w:rPr>
        <w:t>: Elaboración propia</w:t>
      </w:r>
    </w:p>
    <w:p w14:paraId="1243F006" w14:textId="77777777" w:rsidR="002E02DF" w:rsidRDefault="002E02DF" w:rsidP="002E02DF">
      <w:pPr>
        <w:pStyle w:val="Ttulo7"/>
      </w:pPr>
      <w:bookmarkStart w:id="53" w:name="_Toc125044543"/>
      <w:r>
        <w:lastRenderedPageBreak/>
        <w:t>Implicaciones</w:t>
      </w:r>
      <w:bookmarkEnd w:id="53"/>
    </w:p>
    <w:p w14:paraId="4CC3F887" w14:textId="4130E1B6" w:rsidR="003F03CF" w:rsidRPr="003F03CF" w:rsidRDefault="003F03CF" w:rsidP="002E02DF">
      <w:pPr>
        <w:pStyle w:val="Ttulo8"/>
        <w:spacing w:before="0"/>
      </w:pPr>
      <w:r>
        <w:t>Proposición de irrelevancia</w:t>
      </w:r>
    </w:p>
    <w:p w14:paraId="69314911" w14:textId="77777777" w:rsidR="00830E36" w:rsidRDefault="00E22630" w:rsidP="00E31269">
      <w:pPr>
        <w:pStyle w:val="Nivel1SM"/>
        <w:keepNext/>
        <w:keepLines/>
        <w:spacing w:before="0" w:after="0"/>
      </w:pPr>
      <w:r>
        <w:t>Del estudio de las decisiones de inversión, sabemos que t</w:t>
      </w:r>
      <w:r w:rsidR="00FB7E1C">
        <w:t>oda empresa que quiera maximizar el valor para sus accionistas deberá realizar sólo aquellas inversiones cuya tasa de retorno</w:t>
      </w:r>
      <w:r>
        <w:t xml:space="preserve"> (TIR)</w:t>
      </w:r>
      <w:r w:rsidR="00FB7E1C">
        <w:t xml:space="preserve"> sea, al menos, igual a su coste de capital medio ponderado (WACC)</w:t>
      </w:r>
      <w:r w:rsidR="00830E36">
        <w:t xml:space="preserve"> </w:t>
      </w:r>
      <w:r w:rsidR="00830E36" w:rsidRPr="00830E36">
        <w:rPr>
          <w:color w:val="767171" w:themeColor="background2" w:themeShade="80"/>
          <w:sz w:val="19"/>
          <w:szCs w:val="19"/>
        </w:rPr>
        <w:t>[ver tema 3.B.2]</w:t>
      </w:r>
      <w:r>
        <w:t>. Como el WACC es constante</w:t>
      </w:r>
      <w:r w:rsidR="00FB7E1C">
        <w:t xml:space="preserve"> cualquiera que sea el tipo de recursos empleados en su financiación</w:t>
      </w:r>
      <w:r w:rsidR="00791796">
        <w:t>,</w:t>
      </w:r>
      <w:r>
        <w:t xml:space="preserve"> esto implica que</w:t>
      </w:r>
      <w:r w:rsidR="00791796">
        <w:t xml:space="preserve"> </w:t>
      </w:r>
      <w:r w:rsidR="00791796" w:rsidRPr="00E22630">
        <w:rPr>
          <w:i/>
          <w:iCs/>
        </w:rPr>
        <w:t>las decisiones de inversión y de financiación son independientes</w:t>
      </w:r>
      <w:r w:rsidR="00791796">
        <w:t>.</w:t>
      </w:r>
    </w:p>
    <w:p w14:paraId="33FBE5FE" w14:textId="2997761D" w:rsidR="00830E36" w:rsidRDefault="00830E36" w:rsidP="00830E36">
      <w:pPr>
        <w:pStyle w:val="Nivel2SM"/>
        <w:keepNext/>
        <w:spacing w:after="0"/>
      </w:pPr>
      <w:r>
        <w:t xml:space="preserve">Esto es lo que se conoce como la </w:t>
      </w:r>
      <w:r w:rsidRPr="00830E36">
        <w:rPr>
          <w:b/>
          <w:bCs/>
        </w:rPr>
        <w:t>proposición de irrelevancia</w:t>
      </w:r>
      <w:r w:rsidR="002F168A">
        <w:rPr>
          <w:rStyle w:val="Refdenotaalpie"/>
        </w:rPr>
        <w:footnoteReference w:id="27"/>
      </w:r>
      <w:r>
        <w:t>.</w:t>
      </w:r>
    </w:p>
    <w:p w14:paraId="0B87AA8F" w14:textId="2283C3D1" w:rsidR="00791796" w:rsidRDefault="00EC7260" w:rsidP="00830E36">
      <w:pPr>
        <w:pStyle w:val="Nivel3SM"/>
      </w:pPr>
      <w:r w:rsidRPr="00EC7260">
        <w:rPr>
          <w:smallCaps/>
        </w:rPr>
        <w:t>Miller</w:t>
      </w:r>
      <w:r w:rsidRPr="00EC7260">
        <w:t xml:space="preserve"> llegó a </w:t>
      </w:r>
      <w:r w:rsidR="003850C5">
        <w:t>hace</w:t>
      </w:r>
      <w:r w:rsidR="00830E36">
        <w:t>r</w:t>
      </w:r>
      <w:r w:rsidR="003850C5">
        <w:t xml:space="preserve"> la analogía</w:t>
      </w:r>
      <w:r>
        <w:t xml:space="preserve"> de </w:t>
      </w:r>
      <w:r w:rsidR="003850C5">
        <w:t xml:space="preserve">que </w:t>
      </w:r>
      <w:r>
        <w:t xml:space="preserve">su </w:t>
      </w:r>
      <w:r w:rsidRPr="00830E36">
        <w:t>proposición de irrelevancia</w:t>
      </w:r>
      <w:r>
        <w:t xml:space="preserve"> </w:t>
      </w:r>
      <w:r w:rsidR="003850C5">
        <w:t xml:space="preserve">es igual a </w:t>
      </w:r>
      <w:r w:rsidRPr="00EC7260">
        <w:t xml:space="preserve">decir que el tamaño de una </w:t>
      </w:r>
      <w:r w:rsidR="003850C5">
        <w:t>pizza no depende de en cuantos trozos la partas.</w:t>
      </w:r>
    </w:p>
    <w:p w14:paraId="2A4B2976" w14:textId="6B2D0DB3" w:rsidR="00D52A44" w:rsidRPr="00D52A44" w:rsidRDefault="00D52A44" w:rsidP="00DC1A0F">
      <w:pPr>
        <w:pStyle w:val="Nivel1SM"/>
      </w:pPr>
      <w:r>
        <w:t>En el mundo real, puede haber preferencia por alguna forma de financiación, por lo que esta teoría no se cumple, pero sirve como punto de partida para explicar los motivos de su incumplimiento</w:t>
      </w:r>
      <w:r w:rsidR="00661A50">
        <w:t xml:space="preserve"> (i.e. incumplimientos de los supuestos del modelo)</w:t>
      </w:r>
      <w:r>
        <w:t xml:space="preserve">. </w:t>
      </w:r>
      <w:r w:rsidR="00661A50">
        <w:t>Por ello</w:t>
      </w:r>
      <w:r>
        <w:t xml:space="preserve">, en los años posteriores, </w:t>
      </w:r>
      <w:r>
        <w:rPr>
          <w:smallCaps/>
        </w:rPr>
        <w:t>Modigliani</w:t>
      </w:r>
      <w:r>
        <w:t xml:space="preserve"> y </w:t>
      </w:r>
      <w:r>
        <w:rPr>
          <w:smallCaps/>
        </w:rPr>
        <w:t>Miller</w:t>
      </w:r>
      <w:r>
        <w:t xml:space="preserve"> van a relajar algunos supuestos para explicar por</w:t>
      </w:r>
      <w:r w:rsidR="00281F4D">
        <w:t xml:space="preserve"> </w:t>
      </w:r>
      <w:r>
        <w:t>qu</w:t>
      </w:r>
      <w:r w:rsidR="00281F4D">
        <w:t>é</w:t>
      </w:r>
      <w:r>
        <w:t xml:space="preserve"> en el mundo real puede haber preferencia por alguna forma de financiación.</w:t>
      </w:r>
    </w:p>
    <w:p w14:paraId="58BE0712" w14:textId="79426EED" w:rsidR="009E6C76" w:rsidRDefault="00830E36" w:rsidP="009E6C76">
      <w:pPr>
        <w:pStyle w:val="Ttulo6"/>
      </w:pPr>
      <w:bookmarkStart w:id="54" w:name="_Toc125044544"/>
      <w:r>
        <w:lastRenderedPageBreak/>
        <w:t xml:space="preserve">Extensiones: </w:t>
      </w:r>
      <w:r w:rsidR="009E6C76" w:rsidRPr="00830E36">
        <w:rPr>
          <w:sz w:val="19"/>
          <w:szCs w:val="19"/>
        </w:rPr>
        <w:t>Relajamiento de supuestos – ¿Qué factores influyen en la estructura financiera óptima?</w:t>
      </w:r>
      <w:bookmarkEnd w:id="54"/>
    </w:p>
    <w:p w14:paraId="5299A7A9" w14:textId="557725A9" w:rsidR="005C37D0" w:rsidRDefault="005C37D0">
      <w:pPr>
        <w:pStyle w:val="Ttulo7"/>
        <w:numPr>
          <w:ilvl w:val="0"/>
          <w:numId w:val="27"/>
        </w:numPr>
        <w:spacing w:before="0"/>
        <w:ind w:left="850" w:hanging="113"/>
      </w:pPr>
      <w:bookmarkStart w:id="55" w:name="_Toc125044545"/>
      <w:r>
        <w:t>Efecto de los impuestos sobre la estructura financiera óptima</w:t>
      </w:r>
      <w:bookmarkEnd w:id="55"/>
    </w:p>
    <w:p w14:paraId="6E4DC776" w14:textId="47907E98" w:rsidR="005C37D0" w:rsidRDefault="005C37D0" w:rsidP="00976193">
      <w:pPr>
        <w:pStyle w:val="Nivel1SM"/>
        <w:keepNext/>
        <w:spacing w:before="0" w:after="0"/>
      </w:pPr>
      <w:r w:rsidRPr="002141AE">
        <w:t xml:space="preserve">Cuando </w:t>
      </w:r>
      <w:r w:rsidRPr="002141AE">
        <w:rPr>
          <w:smallCaps/>
        </w:rPr>
        <w:t>Modigliani</w:t>
      </w:r>
      <w:r w:rsidRPr="002141AE">
        <w:t xml:space="preserve"> y </w:t>
      </w:r>
      <w:r w:rsidRPr="002141AE">
        <w:rPr>
          <w:smallCaps/>
        </w:rPr>
        <w:t>Miller</w:t>
      </w:r>
      <w:r w:rsidRPr="002141AE">
        <w:t xml:space="preserve"> (1963) introducen los </w:t>
      </w:r>
      <w:r w:rsidRPr="002141AE">
        <w:rPr>
          <w:b/>
          <w:bCs/>
        </w:rPr>
        <w:t>impuestos</w:t>
      </w:r>
      <w:r w:rsidRPr="002141AE">
        <w:t xml:space="preserve"> en su análisis, se </w:t>
      </w:r>
      <w:r w:rsidRPr="002141AE">
        <w:rPr>
          <w:b/>
          <w:bCs/>
        </w:rPr>
        <w:t>rompe el supuesto fundamental de mercados de capitales perfectos</w:t>
      </w:r>
      <w:r w:rsidRPr="002141AE">
        <w:t xml:space="preserve"> y sus conclusiones cambian radicalmente</w:t>
      </w:r>
      <w:r>
        <w:rPr>
          <w:rStyle w:val="Refdenotaalpie"/>
          <w:spacing w:val="-3"/>
        </w:rPr>
        <w:footnoteReference w:id="28"/>
      </w:r>
      <w:r>
        <w:t>.</w:t>
      </w:r>
    </w:p>
    <w:p w14:paraId="70EC27AB" w14:textId="77777777" w:rsidR="004435D3" w:rsidRDefault="005C37D0" w:rsidP="0029703E">
      <w:pPr>
        <w:pStyle w:val="Prrafodelista"/>
        <w:numPr>
          <w:ilvl w:val="6"/>
          <w:numId w:val="7"/>
        </w:numPr>
        <w:spacing w:after="100"/>
        <w:ind w:left="568" w:hanging="284"/>
      </w:pPr>
      <w:r>
        <w:t xml:space="preserve">Primero, </w:t>
      </w:r>
      <w:r w:rsidRPr="004435D3">
        <w:rPr>
          <w:smallCaps/>
        </w:rPr>
        <w:t>Modigliani</w:t>
      </w:r>
      <w:r>
        <w:t xml:space="preserve"> y </w:t>
      </w:r>
      <w:r w:rsidRPr="004435D3">
        <w:rPr>
          <w:smallCaps/>
        </w:rPr>
        <w:t>Miller</w:t>
      </w:r>
      <w:r>
        <w:t> (1963) estudiarían el efecto del impuesto de sociedades (IS) sobre la estructura financiera óptima.</w:t>
      </w:r>
    </w:p>
    <w:p w14:paraId="5FC454EF" w14:textId="680A5F05" w:rsidR="005C37D0" w:rsidRPr="002141AE" w:rsidRDefault="005C37D0" w:rsidP="0029703E">
      <w:pPr>
        <w:pStyle w:val="Prrafodelista"/>
        <w:numPr>
          <w:ilvl w:val="6"/>
          <w:numId w:val="7"/>
        </w:numPr>
        <w:spacing w:after="100"/>
        <w:ind w:left="568" w:hanging="284"/>
      </w:pPr>
      <w:r>
        <w:t xml:space="preserve">Posteriormente, </w:t>
      </w:r>
      <w:r w:rsidRPr="004435D3">
        <w:rPr>
          <w:smallCaps/>
        </w:rPr>
        <w:t>Miller</w:t>
      </w:r>
      <w:r>
        <w:t xml:space="preserve"> (1977) consideraría el efecto conjunto del IS y del IRPF.</w:t>
      </w:r>
    </w:p>
    <w:p w14:paraId="146DAB66" w14:textId="583B4837" w:rsidR="002F1679" w:rsidRPr="00796200" w:rsidRDefault="002F1679">
      <w:pPr>
        <w:pStyle w:val="Ttulo8"/>
        <w:numPr>
          <w:ilvl w:val="0"/>
          <w:numId w:val="22"/>
        </w:numPr>
        <w:ind w:left="1276" w:hanging="57"/>
      </w:pPr>
      <w:r>
        <w:t>Efecto de</w:t>
      </w:r>
      <w:r w:rsidR="003E4089">
        <w:t xml:space="preserve">l </w:t>
      </w:r>
      <w:r w:rsidR="00262381">
        <w:t>IS</w:t>
      </w:r>
      <w:r>
        <w:t xml:space="preserve"> sobre la estructura financiera</w:t>
      </w:r>
      <w:r w:rsidR="005C37D0">
        <w:t xml:space="preserve"> óptima</w:t>
      </w:r>
      <w:r w:rsidR="003431D0">
        <w:t xml:space="preserve"> </w:t>
      </w:r>
      <w:r>
        <w:t>(</w:t>
      </w:r>
      <w:r>
        <w:rPr>
          <w:smallCaps/>
        </w:rPr>
        <w:t>Modigliani</w:t>
      </w:r>
      <w:r>
        <w:t xml:space="preserve"> y </w:t>
      </w:r>
      <w:r>
        <w:rPr>
          <w:smallCaps/>
        </w:rPr>
        <w:t>Miller</w:t>
      </w:r>
      <w:r>
        <w:t>, 1963)</w:t>
      </w:r>
    </w:p>
    <w:p w14:paraId="2DB4D45D" w14:textId="20F7AA13" w:rsidR="005C37D0" w:rsidRDefault="00A37940" w:rsidP="00BA7715">
      <w:pPr>
        <w:pStyle w:val="Nivel1SM"/>
        <w:keepNext/>
        <w:spacing w:before="0" w:after="0"/>
      </w:pPr>
      <w:r>
        <w:t xml:space="preserve">Como decíamos antes, los </w:t>
      </w:r>
      <w:r>
        <w:rPr>
          <w:b/>
          <w:bCs/>
        </w:rPr>
        <w:t>intereses</w:t>
      </w:r>
      <w:r>
        <w:t xml:space="preserve"> que paga la deuda son un </w:t>
      </w:r>
      <w:r w:rsidRPr="00A37940">
        <w:rPr>
          <w:b/>
          <w:bCs/>
        </w:rPr>
        <w:t>gasto</w:t>
      </w:r>
      <w:r>
        <w:rPr>
          <w:b/>
          <w:bCs/>
        </w:rPr>
        <w:t xml:space="preserve"> fiscalmente deducible</w:t>
      </w:r>
      <w:r>
        <w:t xml:space="preserve"> en muchos países</w:t>
      </w:r>
      <w:r w:rsidRPr="002F50CD">
        <w:rPr>
          <w:color w:val="767171" w:themeColor="background2" w:themeShade="80"/>
          <w:sz w:val="19"/>
          <w:szCs w:val="19"/>
        </w:rPr>
        <w:t xml:space="preserve"> </w:t>
      </w:r>
      <w:r w:rsidRPr="00F206D4">
        <w:t>(</w:t>
      </w:r>
      <w:r w:rsidR="009F4408" w:rsidRPr="00F206D4">
        <w:rPr>
          <w:i/>
          <w:iCs/>
        </w:rPr>
        <w:t>escudo fiscal</w:t>
      </w:r>
      <w:r w:rsidR="009F4408" w:rsidRPr="00F206D4">
        <w:rPr>
          <w:sz w:val="19"/>
          <w:szCs w:val="19"/>
        </w:rPr>
        <w:t xml:space="preserve"> </w:t>
      </w:r>
      <w:r w:rsidR="00F206D4">
        <w:rPr>
          <w:color w:val="767171" w:themeColor="background2" w:themeShade="80"/>
          <w:sz w:val="19"/>
          <w:szCs w:val="19"/>
        </w:rPr>
        <w:t>[</w:t>
      </w:r>
      <w:r w:rsidRPr="002F50CD">
        <w:rPr>
          <w:color w:val="767171" w:themeColor="background2" w:themeShade="80"/>
          <w:sz w:val="19"/>
          <w:szCs w:val="19"/>
        </w:rPr>
        <w:t>v</w:t>
      </w:r>
      <w:r w:rsidR="002F50CD" w:rsidRPr="002F50CD">
        <w:rPr>
          <w:color w:val="767171" w:themeColor="background2" w:themeShade="80"/>
          <w:sz w:val="19"/>
          <w:szCs w:val="19"/>
        </w:rPr>
        <w:t>er</w:t>
      </w:r>
      <w:r w:rsidRPr="002F50CD">
        <w:rPr>
          <w:color w:val="767171" w:themeColor="background2" w:themeShade="80"/>
          <w:sz w:val="19"/>
          <w:szCs w:val="19"/>
        </w:rPr>
        <w:t xml:space="preserve"> nota al pie</w:t>
      </w:r>
      <w:r w:rsidR="00976193">
        <w:rPr>
          <w:color w:val="767171" w:themeColor="background2" w:themeShade="80"/>
          <w:sz w:val="19"/>
          <w:szCs w:val="19"/>
        </w:rPr>
        <w:t> </w:t>
      </w:r>
      <w:r w:rsidR="00503D17" w:rsidRPr="002F50CD">
        <w:rPr>
          <w:color w:val="767171" w:themeColor="background2" w:themeShade="80"/>
          <w:sz w:val="19"/>
          <w:szCs w:val="19"/>
        </w:rPr>
        <w:fldChar w:fldCharType="begin"/>
      </w:r>
      <w:r w:rsidR="00503D17" w:rsidRPr="002F50CD">
        <w:rPr>
          <w:color w:val="767171" w:themeColor="background2" w:themeShade="80"/>
          <w:sz w:val="19"/>
          <w:szCs w:val="19"/>
        </w:rPr>
        <w:instrText xml:space="preserve"> NOTEREF _Ref95038479 \h  \* MERGEFORMAT </w:instrText>
      </w:r>
      <w:r w:rsidR="00503D17" w:rsidRPr="002F50CD">
        <w:rPr>
          <w:color w:val="767171" w:themeColor="background2" w:themeShade="80"/>
          <w:sz w:val="19"/>
          <w:szCs w:val="19"/>
        </w:rPr>
      </w:r>
      <w:r w:rsidR="00503D17" w:rsidRPr="002F50CD">
        <w:rPr>
          <w:color w:val="767171" w:themeColor="background2" w:themeShade="80"/>
          <w:sz w:val="19"/>
          <w:szCs w:val="19"/>
        </w:rPr>
        <w:fldChar w:fldCharType="separate"/>
      </w:r>
      <w:r w:rsidR="00583A5D">
        <w:rPr>
          <w:color w:val="767171" w:themeColor="background2" w:themeShade="80"/>
          <w:sz w:val="19"/>
          <w:szCs w:val="19"/>
        </w:rPr>
        <w:t>21</w:t>
      </w:r>
      <w:r w:rsidR="00503D17" w:rsidRPr="002F50CD">
        <w:rPr>
          <w:color w:val="767171" w:themeColor="background2" w:themeShade="80"/>
          <w:sz w:val="19"/>
          <w:szCs w:val="19"/>
        </w:rPr>
        <w:fldChar w:fldCharType="end"/>
      </w:r>
      <w:r w:rsidR="00F206D4">
        <w:rPr>
          <w:color w:val="767171" w:themeColor="background2" w:themeShade="80"/>
          <w:sz w:val="19"/>
          <w:szCs w:val="19"/>
        </w:rPr>
        <w:t>]</w:t>
      </w:r>
      <w:r w:rsidRPr="00F206D4">
        <w:t>)</w:t>
      </w:r>
      <w:r w:rsidR="002F50CD" w:rsidRPr="002F50CD">
        <w:rPr>
          <w:rStyle w:val="Refdenotaalpie"/>
        </w:rPr>
        <w:footnoteReference w:id="29"/>
      </w:r>
      <w:r>
        <w:t>.</w:t>
      </w:r>
    </w:p>
    <w:p w14:paraId="3D220F75" w14:textId="2FE63610" w:rsidR="00A37940" w:rsidRDefault="00A37940" w:rsidP="005C37D0">
      <w:pPr>
        <w:pStyle w:val="Nivel2SM"/>
      </w:pPr>
      <w:r>
        <w:t xml:space="preserve">Así, un aumento del </w:t>
      </w:r>
      <w:r w:rsidR="005A4B93">
        <w:t>endeuda</w:t>
      </w:r>
      <w:r>
        <w:t xml:space="preserve">miento de la empresa aumentaría el valor de la empresa. Por lo tanto, según este enfoque la </w:t>
      </w:r>
      <w:r>
        <w:rPr>
          <w:b/>
          <w:bCs/>
        </w:rPr>
        <w:t>estructura de capital óptima</w:t>
      </w:r>
      <w:r>
        <w:t xml:space="preserve"> correspondería a un </w:t>
      </w:r>
      <w:r>
        <w:rPr>
          <w:b/>
          <w:bCs/>
        </w:rPr>
        <w:t>100</w:t>
      </w:r>
      <w:r w:rsidR="00F206D4">
        <w:rPr>
          <w:b/>
          <w:bCs/>
        </w:rPr>
        <w:t> </w:t>
      </w:r>
      <w:r>
        <w:rPr>
          <w:b/>
          <w:bCs/>
        </w:rPr>
        <w:t>% de deuda</w:t>
      </w:r>
      <w:r>
        <w:t>.</w:t>
      </w:r>
    </w:p>
    <w:p w14:paraId="5F03D951" w14:textId="4D1326D0" w:rsidR="005704DC" w:rsidRDefault="005704DC" w:rsidP="00345158">
      <w:pPr>
        <w:pStyle w:val="Nivel2SM"/>
      </w:pPr>
      <w:r>
        <w:t xml:space="preserve">Antes, al hablar del artículo de </w:t>
      </w:r>
      <w:r w:rsidRPr="00F42E68">
        <w:rPr>
          <w:smallCaps/>
        </w:rPr>
        <w:t>Modigliani</w:t>
      </w:r>
      <w:r>
        <w:t xml:space="preserve"> y </w:t>
      </w:r>
      <w:r w:rsidRPr="00F42E68">
        <w:rPr>
          <w:smallCaps/>
        </w:rPr>
        <w:t>Miller</w:t>
      </w:r>
      <w:r>
        <w:t xml:space="preserve"> sin impuestos, se mencionó la analogía con la pizza que </w:t>
      </w:r>
      <w:r w:rsidRPr="00F42E68">
        <w:rPr>
          <w:smallCaps/>
        </w:rPr>
        <w:t>Merton Miller</w:t>
      </w:r>
      <w:r>
        <w:t xml:space="preserve"> utilizó alguna vez para describir las proposiciones de MM con mercados de capital perfectos</w:t>
      </w:r>
      <w:r w:rsidR="00F42E68">
        <w:t xml:space="preserve">: </w:t>
      </w:r>
      <w:r w:rsidRPr="00F42E68">
        <w:rPr>
          <w:i/>
          <w:iCs/>
        </w:rPr>
        <w:t xml:space="preserve">No importa cómo se corte la pizza, siempre se tendrá la misma cantidad de </w:t>
      </w:r>
      <w:r w:rsidR="000943B8">
        <w:rPr>
          <w:i/>
          <w:iCs/>
        </w:rPr>
        <w:t>e</w:t>
      </w:r>
      <w:r w:rsidRPr="00F42E68">
        <w:rPr>
          <w:i/>
          <w:iCs/>
        </w:rPr>
        <w:t>sta</w:t>
      </w:r>
      <w:r>
        <w:t>.</w:t>
      </w:r>
    </w:p>
    <w:p w14:paraId="2091223A" w14:textId="338DDA8E" w:rsidR="005704DC" w:rsidRDefault="005704DC" w:rsidP="00CD20FD">
      <w:pPr>
        <w:pStyle w:val="Nivel2SM"/>
      </w:pPr>
      <w:r>
        <w:t>Esta analogía se extiende al planteamiento con impuestos, pero la historia es un poco diferente.</w:t>
      </w:r>
      <w:r w:rsidR="00F42E68">
        <w:t xml:space="preserve"> </w:t>
      </w:r>
      <w:r>
        <w:t xml:space="preserve">En este caso, cada vez que el propietario vende una rebanada de pizza a los accionistas, debe darle otra al </w:t>
      </w:r>
      <w:r w:rsidR="00120EFE">
        <w:t>Estado</w:t>
      </w:r>
      <w:r>
        <w:t xml:space="preserve"> como pago de sus impuestos. Pero si el dueño vende una rebanada a los acreedores, no hay impuestos. Entonces, al vender más rebanadas a los acreedores que a los accionistas, aumentan los ingresos por una pizza. Si bien la cantidad total de pizza no cambia, el dueño entrega menos en impuestos, y deja más para los clientes.</w:t>
      </w:r>
    </w:p>
    <w:p w14:paraId="5FF27200" w14:textId="169E139C" w:rsidR="00527ED0" w:rsidRPr="00527ED0" w:rsidRDefault="00527ED0" w:rsidP="00527ED0">
      <w:pPr>
        <w:pStyle w:val="Ttuloimagen"/>
        <w:rPr>
          <w:i/>
          <w:iCs/>
          <w:spacing w:val="-5"/>
          <w:sz w:val="18"/>
          <w:szCs w:val="18"/>
        </w:rPr>
      </w:pPr>
      <w:r w:rsidRPr="00527ED0">
        <w:rPr>
          <w:spacing w:val="-5"/>
        </w:rPr>
        <w:t>Imagen </w:t>
      </w:r>
      <w:r w:rsidRPr="00527ED0">
        <w:rPr>
          <w:spacing w:val="-5"/>
        </w:rPr>
        <w:fldChar w:fldCharType="begin"/>
      </w:r>
      <w:r w:rsidRPr="00527ED0">
        <w:rPr>
          <w:spacing w:val="-5"/>
        </w:rPr>
        <w:instrText xml:space="preserve"> SEQ Ilustración \* ARABIC </w:instrText>
      </w:r>
      <w:r w:rsidRPr="00527ED0">
        <w:rPr>
          <w:spacing w:val="-5"/>
        </w:rPr>
        <w:fldChar w:fldCharType="separate"/>
      </w:r>
      <w:r w:rsidR="00583A5D">
        <w:rPr>
          <w:spacing w:val="-5"/>
        </w:rPr>
        <w:t>4</w:t>
      </w:r>
      <w:r w:rsidRPr="00527ED0">
        <w:rPr>
          <w:spacing w:val="-5"/>
        </w:rPr>
        <w:fldChar w:fldCharType="end"/>
      </w:r>
      <w:r w:rsidRPr="00527ED0">
        <w:rPr>
          <w:smallCaps w:val="0"/>
          <w:spacing w:val="-5"/>
        </w:rPr>
        <w:t>.–</w:t>
      </w:r>
      <w:r w:rsidRPr="00527ED0">
        <w:rPr>
          <w:i/>
          <w:iCs/>
          <w:smallCaps w:val="0"/>
          <w:spacing w:val="-5"/>
          <w:sz w:val="18"/>
          <w:szCs w:val="18"/>
        </w:rPr>
        <w:t xml:space="preserve"> Coste de capital en función de la estructura de capital de la empresa (</w:t>
      </w:r>
      <w:r w:rsidRPr="00527ED0">
        <w:rPr>
          <w:i/>
          <w:iCs/>
          <w:spacing w:val="-5"/>
          <w:sz w:val="18"/>
          <w:szCs w:val="18"/>
        </w:rPr>
        <w:t>Modigliani</w:t>
      </w:r>
      <w:r w:rsidRPr="00527ED0">
        <w:rPr>
          <w:i/>
          <w:iCs/>
          <w:smallCaps w:val="0"/>
          <w:spacing w:val="-5"/>
          <w:sz w:val="18"/>
          <w:szCs w:val="18"/>
        </w:rPr>
        <w:t xml:space="preserve"> y </w:t>
      </w:r>
      <w:r w:rsidRPr="00527ED0">
        <w:rPr>
          <w:i/>
          <w:iCs/>
          <w:spacing w:val="-5"/>
          <w:sz w:val="18"/>
          <w:szCs w:val="18"/>
        </w:rPr>
        <w:t>Miller</w:t>
      </w:r>
      <w:r w:rsidRPr="00527ED0">
        <w:rPr>
          <w:i/>
          <w:iCs/>
          <w:smallCaps w:val="0"/>
          <w:spacing w:val="-5"/>
          <w:sz w:val="18"/>
          <w:szCs w:val="18"/>
        </w:rPr>
        <w:t>, 1963 con Impuesto de Sociedades)</w:t>
      </w:r>
    </w:p>
    <w:p w14:paraId="730C4124" w14:textId="12D88F25" w:rsidR="00527ED0" w:rsidRDefault="00FE5781" w:rsidP="00527ED0">
      <w:pPr>
        <w:pStyle w:val="Imagen"/>
      </w:pPr>
      <w:r>
        <w:drawing>
          <wp:inline distT="0" distB="0" distL="0" distR="0" wp14:anchorId="11DD7634" wp14:editId="5C1E2CC8">
            <wp:extent cx="3200221" cy="1800000"/>
            <wp:effectExtent l="0" t="0" r="635" b="0"/>
            <wp:docPr id="498332969" name="Imagen 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332969" name="Imagen 1" descr="Gráfico, Gráfico de líneas&#10;&#10;Descripción generada automáticamente"/>
                    <pic:cNvPicPr/>
                  </pic:nvPicPr>
                  <pic:blipFill>
                    <a:blip r:embed="rId12"/>
                    <a:stretch>
                      <a:fillRect/>
                    </a:stretch>
                  </pic:blipFill>
                  <pic:spPr>
                    <a:xfrm>
                      <a:off x="0" y="0"/>
                      <a:ext cx="3200221" cy="1800000"/>
                    </a:xfrm>
                    <a:prstGeom prst="rect">
                      <a:avLst/>
                    </a:prstGeom>
                  </pic:spPr>
                </pic:pic>
              </a:graphicData>
            </a:graphic>
          </wp:inline>
        </w:drawing>
      </w:r>
    </w:p>
    <w:p w14:paraId="382BE56F" w14:textId="77777777" w:rsidR="00527ED0" w:rsidRDefault="00527ED0" w:rsidP="00527ED0">
      <w:pPr>
        <w:pStyle w:val="PiedeImagen"/>
        <w:rPr>
          <w:i w:val="0"/>
          <w:iCs/>
        </w:rPr>
      </w:pPr>
      <w:r>
        <w:t>Fuente</w:t>
      </w:r>
      <w:r>
        <w:rPr>
          <w:i w:val="0"/>
          <w:iCs/>
        </w:rPr>
        <w:t>: Elaboración propia</w:t>
      </w:r>
    </w:p>
    <w:p w14:paraId="2C29FF14" w14:textId="590FDA3D" w:rsidR="00A37940" w:rsidRDefault="00A37940" w:rsidP="00796200">
      <w:pPr>
        <w:pStyle w:val="Nivel1SM"/>
        <w:keepNext/>
        <w:spacing w:after="0"/>
      </w:pPr>
      <w:r>
        <w:t xml:space="preserve">Sin embargo, la </w:t>
      </w:r>
      <w:r w:rsidR="00503D17">
        <w:rPr>
          <w:b/>
          <w:bCs/>
        </w:rPr>
        <w:t>realidad observada</w:t>
      </w:r>
      <w:r w:rsidRPr="00A37940">
        <w:t xml:space="preserve"> </w:t>
      </w:r>
      <w:r>
        <w:t xml:space="preserve">es </w:t>
      </w:r>
      <w:r>
        <w:rPr>
          <w:b/>
          <w:bCs/>
        </w:rPr>
        <w:t>contraria</w:t>
      </w:r>
      <w:r>
        <w:t xml:space="preserve"> a la conclusión anterior en 2</w:t>
      </w:r>
      <w:r w:rsidR="00976193">
        <w:t> </w:t>
      </w:r>
      <w:r>
        <w:t>sentidos</w:t>
      </w:r>
      <w:r w:rsidR="001B7DC3">
        <w:t>:</w:t>
      </w:r>
    </w:p>
    <w:p w14:paraId="36B99170" w14:textId="4AE69DA3" w:rsidR="00A37940" w:rsidRPr="001D00B0" w:rsidRDefault="00A37940">
      <w:pPr>
        <w:pStyle w:val="Letra"/>
        <w:numPr>
          <w:ilvl w:val="0"/>
          <w:numId w:val="18"/>
        </w:numPr>
        <w:spacing w:after="100"/>
        <w:ind w:left="568" w:hanging="284"/>
        <w:contextualSpacing/>
        <w:rPr>
          <w:i/>
          <w:iCs/>
        </w:rPr>
      </w:pPr>
      <w:r w:rsidRPr="001D00B0">
        <w:rPr>
          <w:i/>
          <w:iCs/>
        </w:rPr>
        <w:t>No se observa que cambios en el tipo impositivo del IS produzcan variaciones significativas</w:t>
      </w:r>
      <w:r w:rsidR="00503D17" w:rsidRPr="001D00B0">
        <w:rPr>
          <w:i/>
          <w:iCs/>
        </w:rPr>
        <w:t xml:space="preserve"> en la estructura financiera de las empresas.</w:t>
      </w:r>
    </w:p>
    <w:p w14:paraId="0C3A6124" w14:textId="76B1F0A4" w:rsidR="00503D17" w:rsidRDefault="00503D17">
      <w:pPr>
        <w:pStyle w:val="Letra"/>
        <w:numPr>
          <w:ilvl w:val="0"/>
          <w:numId w:val="11"/>
        </w:numPr>
        <w:spacing w:after="100"/>
        <w:ind w:left="568" w:hanging="284"/>
        <w:contextualSpacing/>
      </w:pPr>
      <w:r w:rsidRPr="00503D17">
        <w:rPr>
          <w:i/>
          <w:iCs/>
        </w:rPr>
        <w:t>No encontramos muchas empresas que tengan en la práctica dicha estructura</w:t>
      </w:r>
      <w:r>
        <w:t>.</w:t>
      </w:r>
    </w:p>
    <w:p w14:paraId="2369A80F" w14:textId="7CE8C441" w:rsidR="00503D17" w:rsidRDefault="00503D17" w:rsidP="00DC1A0F">
      <w:pPr>
        <w:pStyle w:val="Nivel1SM"/>
        <w:keepNext/>
        <w:spacing w:after="0"/>
      </w:pPr>
      <w:r>
        <w:lastRenderedPageBreak/>
        <w:t xml:space="preserve">¿A qué se debe lo anterior? A que el efecto </w:t>
      </w:r>
      <w:r w:rsidRPr="00503D17">
        <w:rPr>
          <w:b/>
          <w:bCs/>
        </w:rPr>
        <w:t>positivo</w:t>
      </w:r>
      <w:r>
        <w:t xml:space="preserve"> sobre el endeudamiento del impuesto de sociedades puede verse </w:t>
      </w:r>
      <w:r w:rsidRPr="00503D17">
        <w:rPr>
          <w:b/>
          <w:bCs/>
        </w:rPr>
        <w:t>contrarrestado</w:t>
      </w:r>
      <w:r>
        <w:t xml:space="preserve"> por 2</w:t>
      </w:r>
      <w:r w:rsidR="00976193">
        <w:t> </w:t>
      </w:r>
      <w:r>
        <w:t xml:space="preserve">efectos </w:t>
      </w:r>
      <w:r w:rsidRPr="00503D17">
        <w:rPr>
          <w:b/>
          <w:bCs/>
        </w:rPr>
        <w:t>negativos</w:t>
      </w:r>
      <w:r>
        <w:t xml:space="preserve"> derivados de ese endeudamiento:</w:t>
      </w:r>
    </w:p>
    <w:p w14:paraId="27D7D999" w14:textId="27BC6C77" w:rsidR="00503D17" w:rsidRDefault="00503D17">
      <w:pPr>
        <w:pStyle w:val="Prrafodelista"/>
        <w:keepNext/>
        <w:numPr>
          <w:ilvl w:val="0"/>
          <w:numId w:val="14"/>
        </w:numPr>
        <w:spacing w:after="100"/>
        <w:ind w:left="568" w:hanging="284"/>
      </w:pPr>
      <w:r>
        <w:rPr>
          <w:i/>
          <w:iCs/>
          <w:u w:val="single"/>
        </w:rPr>
        <w:t>Costes de insolvencia</w:t>
      </w:r>
      <w:r>
        <w:t>.</w:t>
      </w:r>
    </w:p>
    <w:p w14:paraId="0299D5B8" w14:textId="750F29D9" w:rsidR="00503D17" w:rsidRDefault="00277374">
      <w:pPr>
        <w:pStyle w:val="Prrafodelista"/>
        <w:numPr>
          <w:ilvl w:val="0"/>
          <w:numId w:val="14"/>
        </w:numPr>
        <w:spacing w:after="100"/>
        <w:ind w:left="568" w:hanging="284"/>
      </w:pPr>
      <w:r>
        <w:rPr>
          <w:i/>
          <w:iCs/>
          <w:u w:val="single"/>
        </w:rPr>
        <w:t>Costes de una tributación desfavorable de las ganancias de capital</w:t>
      </w:r>
      <w:r>
        <w:t xml:space="preserve"> (i.e. de los cupones de la deuda que reciben los obligacionistas que compraron deuda</w:t>
      </w:r>
      <w:r w:rsidR="001B7DC3">
        <w:t>)</w:t>
      </w:r>
      <w:r>
        <w:t>.</w:t>
      </w:r>
    </w:p>
    <w:p w14:paraId="00AA5D57" w14:textId="587E3D4F" w:rsidR="007917AE" w:rsidRDefault="002F1679">
      <w:pPr>
        <w:pStyle w:val="Ttulo8"/>
        <w:numPr>
          <w:ilvl w:val="0"/>
          <w:numId w:val="22"/>
        </w:numPr>
        <w:ind w:left="1276" w:hanging="57"/>
      </w:pPr>
      <w:r>
        <w:t xml:space="preserve">Efecto </w:t>
      </w:r>
      <w:r w:rsidRPr="005C37D0">
        <w:t>conjunto</w:t>
      </w:r>
      <w:r>
        <w:t xml:space="preserve"> del IS y del IRPF (</w:t>
      </w:r>
      <w:r w:rsidR="00E7152B">
        <w:t>M</w:t>
      </w:r>
      <w:r>
        <w:rPr>
          <w:smallCaps/>
        </w:rPr>
        <w:t>iller</w:t>
      </w:r>
      <w:r w:rsidR="0031650D">
        <w:rPr>
          <w:smallCaps/>
        </w:rPr>
        <w:t>, 1977</w:t>
      </w:r>
      <w:r>
        <w:t>)</w:t>
      </w:r>
    </w:p>
    <w:p w14:paraId="7523B3E1" w14:textId="64567CFD" w:rsidR="007917AE" w:rsidRDefault="007917AE" w:rsidP="00141243">
      <w:pPr>
        <w:pStyle w:val="Nivel1SM"/>
        <w:keepNext/>
        <w:spacing w:before="0" w:after="0"/>
      </w:pPr>
      <w:r>
        <w:t>Al introducir el IRPF</w:t>
      </w:r>
      <w:r w:rsidR="008E6F07">
        <w:t xml:space="preserve"> y el IS</w:t>
      </w:r>
      <w:r w:rsidR="006C0561">
        <w:rPr>
          <w:rStyle w:val="Refdenotaalpie"/>
        </w:rPr>
        <w:footnoteReference w:id="30"/>
      </w:r>
      <w:r>
        <w:t>, la empresa deber</w:t>
      </w:r>
      <w:r w:rsidR="002E4EA4">
        <w:t>í</w:t>
      </w:r>
      <w:r>
        <w:t>a tratar de minimizar el valor actual de todos los impuestos pagados sobre la renta (tanto los impuestos pagados por la sociedad en concepto de IS como los impuestos pagados por accionistas y obligacionistas en concepto de IRPF)</w:t>
      </w:r>
      <w:r w:rsidR="008C74F9">
        <w:rPr>
          <w:rStyle w:val="Refdenotaalpie"/>
        </w:rPr>
        <w:footnoteReference w:id="31"/>
      </w:r>
      <w:r>
        <w:t>.</w:t>
      </w:r>
    </w:p>
    <w:p w14:paraId="5B0028D0" w14:textId="76165768" w:rsidR="00141243" w:rsidRDefault="00141243" w:rsidP="00141243">
      <w:pPr>
        <w:pStyle w:val="Nivel2SM"/>
      </w:pPr>
      <w:r>
        <w:t>Si todas las clases de renta personal (plusvalías, dividendos e intereses) estuviesen gravadas al mismo tipo impositivo, el IRPF no reduciría las ventajas del endeudamiento empresarial. Sin embargo, debido al distinto tratamiento fiscal de las ganancias de capital (el pago de impuestos se demora hasta que se realizan las plusvalías), dividendos (el pago puede retrasarse si la empresa decide no repartir dividendos) e intereses, el rendimiento total neto de impuestos que perciben los accionistas y obligacionistas será diferente en función de cuál sea la estructura financiera de la empresa.</w:t>
      </w:r>
    </w:p>
    <w:p w14:paraId="4752B6A5" w14:textId="1FAD8F5D" w:rsidR="00BC434C" w:rsidRDefault="00BC434C" w:rsidP="00BC434C">
      <w:pPr>
        <w:pStyle w:val="Ttuloimagen"/>
        <w:rPr>
          <w:i/>
          <w:iCs/>
          <w:smallCaps w:val="0"/>
        </w:rPr>
      </w:pPr>
      <w:r>
        <w:t>Imagen </w:t>
      </w:r>
      <w:r>
        <w:fldChar w:fldCharType="begin"/>
      </w:r>
      <w:r>
        <w:instrText xml:space="preserve"> SEQ Ilustración \* ARABIC </w:instrText>
      </w:r>
      <w:r>
        <w:fldChar w:fldCharType="separate"/>
      </w:r>
      <w:r w:rsidR="00583A5D">
        <w:t>5</w:t>
      </w:r>
      <w:r>
        <w:fldChar w:fldCharType="end"/>
      </w:r>
      <w:r w:rsidRPr="00BC434C">
        <w:rPr>
          <w:smallCaps w:val="0"/>
        </w:rPr>
        <w:t xml:space="preserve">.– </w:t>
      </w:r>
      <w:r>
        <w:rPr>
          <w:i/>
          <w:iCs/>
          <w:smallCaps w:val="0"/>
        </w:rPr>
        <w:t>Lógica detrás del efecto conjunto del IS y del IRPF (</w:t>
      </w:r>
      <w:r>
        <w:rPr>
          <w:i/>
          <w:iCs/>
        </w:rPr>
        <w:t>Miller</w:t>
      </w:r>
      <w:r>
        <w:rPr>
          <w:i/>
          <w:iCs/>
          <w:smallCaps w:val="0"/>
        </w:rPr>
        <w:t>, 1977)</w:t>
      </w:r>
    </w:p>
    <w:p w14:paraId="7660EDD1" w14:textId="54D2DF7F" w:rsidR="00BC434C" w:rsidRDefault="00996605" w:rsidP="00BC434C">
      <w:pPr>
        <w:pStyle w:val="Imagen"/>
      </w:pPr>
      <w:r>
        <w:drawing>
          <wp:inline distT="0" distB="0" distL="0" distR="0" wp14:anchorId="2C452405" wp14:editId="38D4EF18">
            <wp:extent cx="3368535" cy="2743200"/>
            <wp:effectExtent l="0" t="0" r="3810" b="0"/>
            <wp:docPr id="227631464" name="Imagen 2"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631464" name="Imagen 2" descr="Diagrama&#10;&#10;Descripción generada automáticamente"/>
                    <pic:cNvPicPr>
                      <a:picLocks noChangeAspect="1" noChangeArrowheads="1"/>
                    </pic:cNvPicPr>
                  </pic:nvPicPr>
                  <pic:blipFill rotWithShape="1">
                    <a:blip r:embed="rId13">
                      <a:extLst>
                        <a:ext uri="{BEBA8EAE-BF5A-486C-A8C5-ECC9F3942E4B}">
                          <a14:imgProps xmlns:a14="http://schemas.microsoft.com/office/drawing/2010/main">
                            <a14:imgLayer r:embed="rId14">
                              <a14:imgEffect>
                                <a14:brightnessContrast bright="20000" contrast="-40000"/>
                              </a14:imgEffect>
                            </a14:imgLayer>
                          </a14:imgProps>
                        </a:ext>
                        <a:ext uri="{28A0092B-C50C-407E-A947-70E740481C1C}">
                          <a14:useLocalDpi xmlns:a14="http://schemas.microsoft.com/office/drawing/2010/main" val="0"/>
                        </a:ext>
                      </a:extLst>
                    </a:blip>
                    <a:srcRect t="1695"/>
                    <a:stretch/>
                  </pic:blipFill>
                  <pic:spPr bwMode="auto">
                    <a:xfrm>
                      <a:off x="0" y="0"/>
                      <a:ext cx="3371613" cy="2745707"/>
                    </a:xfrm>
                    <a:prstGeom prst="rect">
                      <a:avLst/>
                    </a:prstGeom>
                    <a:noFill/>
                    <a:ln>
                      <a:noFill/>
                    </a:ln>
                    <a:extLst>
                      <a:ext uri="{53640926-AAD7-44D8-BBD7-CCE9431645EC}">
                        <a14:shadowObscured xmlns:a14="http://schemas.microsoft.com/office/drawing/2010/main"/>
                      </a:ext>
                    </a:extLst>
                  </pic:spPr>
                </pic:pic>
              </a:graphicData>
            </a:graphic>
          </wp:inline>
        </w:drawing>
      </w:r>
    </w:p>
    <w:p w14:paraId="5F8AC3D7" w14:textId="09EF5760" w:rsidR="00BC434C" w:rsidRPr="00BC434C" w:rsidRDefault="00BC434C" w:rsidP="00BC434C">
      <w:pPr>
        <w:pStyle w:val="PiedeImagen"/>
        <w:rPr>
          <w:i w:val="0"/>
          <w:iCs/>
        </w:rPr>
      </w:pPr>
      <w:r>
        <w:t>Fuente</w:t>
      </w:r>
      <w:r>
        <w:rPr>
          <w:i w:val="0"/>
          <w:iCs/>
        </w:rPr>
        <w:t xml:space="preserve">: </w:t>
      </w:r>
    </w:p>
    <w:p w14:paraId="77DBFC16" w14:textId="70056F2D" w:rsidR="007917AE" w:rsidRDefault="007917AE" w:rsidP="00DC1A0F">
      <w:pPr>
        <w:pStyle w:val="Nivel1SM"/>
        <w:keepNext/>
        <w:spacing w:after="0"/>
      </w:pPr>
      <w:r>
        <w:t>La empresa se endeudará</w:t>
      </w:r>
      <w:r w:rsidR="002E4EA4">
        <w:t xml:space="preserve"> siempre que exista un ahorro fiscal, es decir, </w:t>
      </w:r>
      <w:r w:rsidR="00A127BE">
        <w:t xml:space="preserve">hasta </w:t>
      </w:r>
      <w:r w:rsidR="002E4EA4">
        <w:t xml:space="preserve">que la renta disponible (después de impuesto) en el caso de una empresa endeudada sea </w:t>
      </w:r>
      <w:r w:rsidR="00A127BE">
        <w:t>igual</w:t>
      </w:r>
      <w:r w:rsidR="002E4EA4">
        <w:t xml:space="preserve"> que la renta disponible para accionistas en el cas</w:t>
      </w:r>
      <w:r w:rsidR="002E4EA4" w:rsidRPr="00746FB8">
        <w:t>o de una empresa no endeudada:</w:t>
      </w:r>
    </w:p>
    <w:p w14:paraId="273205FA" w14:textId="446DA986" w:rsidR="00AE3AEF" w:rsidRPr="007B755C" w:rsidRDefault="00000000" w:rsidP="00AE3AEF">
      <w:pPr>
        <w:keepNext/>
        <w:spacing w:after="0"/>
        <w:rPr>
          <w:rFonts w:eastAsiaTheme="minorEastAsia"/>
          <w:iCs/>
          <w:color w:val="000000"/>
          <w:spacing w:val="-4"/>
        </w:rPr>
      </w:pPr>
      <m:oMathPara>
        <m:oMath>
          <m:m>
            <m:mPr>
              <m:mcs>
                <m:mc>
                  <m:mcPr>
                    <m:count m:val="1"/>
                    <m:mcJc m:val="center"/>
                  </m:mcPr>
                </m:mc>
              </m:mcs>
              <m:ctrlPr>
                <w:rPr>
                  <w:rFonts w:ascii="Cambria Math" w:hAnsi="Cambria Math"/>
                  <w:i/>
                </w:rPr>
              </m:ctrlPr>
            </m:mPr>
            <m:mr>
              <m:e>
                <m:limUpp>
                  <m:limUppPr>
                    <m:ctrlPr>
                      <w:rPr>
                        <w:rFonts w:ascii="Cambria Math" w:hAnsi="Cambria Math"/>
                        <w:i/>
                      </w:rPr>
                    </m:ctrlPr>
                  </m:limUppPr>
                  <m:e>
                    <m:groupChr>
                      <m:groupChrPr>
                        <m:chr m:val="⏞"/>
                        <m:pos m:val="top"/>
                        <m:vertJc m:val="bot"/>
                        <m:ctrlPr>
                          <w:rPr>
                            <w:rFonts w:ascii="Cambria Math" w:hAnsi="Cambria Math"/>
                            <w:i/>
                          </w:rPr>
                        </m:ctrlPr>
                      </m:groupChrPr>
                      <m:e>
                        <m:limLow>
                          <m:limLowPr>
                            <m:ctrlPr>
                              <w:rPr>
                                <w:rFonts w:ascii="Cambria Math" w:hAnsi="Cambria Math"/>
                                <w:i/>
                                <w:iCs/>
                                <w:color w:val="000000"/>
                                <w:spacing w:val="-4"/>
                              </w:rPr>
                            </m:ctrlPr>
                          </m:limLowPr>
                          <m:e>
                            <m:groupChr>
                              <m:groupChrPr>
                                <m:ctrlPr>
                                  <w:rPr>
                                    <w:rFonts w:ascii="Cambria Math" w:hAnsi="Cambria Math"/>
                                    <w:i/>
                                    <w:iCs/>
                                    <w:color w:val="000000"/>
                                    <w:spacing w:val="-4"/>
                                  </w:rPr>
                                </m:ctrlPr>
                              </m:groupChrPr>
                              <m:e>
                                <m:r>
                                  <m:rPr>
                                    <m:nor/>
                                  </m:rPr>
                                  <w:rPr>
                                    <w:i/>
                                    <w:iCs/>
                                    <w:color w:val="000000"/>
                                    <w:spacing w:val="-4"/>
                                  </w:rPr>
                                  <m:t>B</m:t>
                                </m:r>
                                <m:r>
                                  <w:rPr>
                                    <w:rFonts w:ascii="Cambria Math" w:hAnsi="Cambria Math"/>
                                    <w:color w:val="000000"/>
                                    <w:spacing w:val="-4"/>
                                  </w:rPr>
                                  <m:t>∙</m:t>
                                </m:r>
                                <m:d>
                                  <m:dPr>
                                    <m:ctrlPr>
                                      <w:rPr>
                                        <w:rFonts w:ascii="Cambria Math" w:hAnsi="Cambria Math"/>
                                        <w:i/>
                                        <w:iCs/>
                                        <w:color w:val="000000"/>
                                        <w:spacing w:val="-4"/>
                                      </w:rPr>
                                    </m:ctrlPr>
                                  </m:dPr>
                                  <m:e>
                                    <m:r>
                                      <m:rPr>
                                        <m:nor/>
                                      </m:rPr>
                                      <w:rPr>
                                        <w:i/>
                                        <w:color w:val="000000"/>
                                        <w:spacing w:val="-4"/>
                                      </w:rPr>
                                      <m:t>1</m:t>
                                    </m:r>
                                    <m:r>
                                      <w:rPr>
                                        <w:rFonts w:ascii="Cambria Math" w:hAnsi="Cambria Math"/>
                                        <w:color w:val="000000"/>
                                        <w:spacing w:val="-4"/>
                                      </w:rPr>
                                      <m:t>-</m:t>
                                    </m:r>
                                    <m:sSub>
                                      <m:sSubPr>
                                        <m:ctrlPr>
                                          <w:rPr>
                                            <w:rFonts w:ascii="Cambria Math" w:hAnsi="Cambria Math"/>
                                            <w:i/>
                                            <w:iCs/>
                                            <w:color w:val="000000"/>
                                            <w:spacing w:val="-4"/>
                                          </w:rPr>
                                        </m:ctrlPr>
                                      </m:sSubPr>
                                      <m:e>
                                        <m:r>
                                          <m:rPr>
                                            <m:nor/>
                                          </m:rPr>
                                          <w:rPr>
                                            <w:i/>
                                            <w:iCs/>
                                            <w:color w:val="000000"/>
                                            <w:spacing w:val="-4"/>
                                          </w:rPr>
                                          <m:t>t</m:t>
                                        </m:r>
                                      </m:e>
                                      <m:sub>
                                        <m:r>
                                          <m:rPr>
                                            <m:nor/>
                                          </m:rPr>
                                          <w:rPr>
                                            <w:i/>
                                            <w:iCs/>
                                            <w:color w:val="000000"/>
                                            <w:spacing w:val="-4"/>
                                          </w:rPr>
                                          <m:t>IS</m:t>
                                        </m:r>
                                      </m:sub>
                                    </m:sSub>
                                  </m:e>
                                </m:d>
                                <m:r>
                                  <w:rPr>
                                    <w:rFonts w:ascii="Cambria Math" w:hAnsi="Cambria Math"/>
                                    <w:color w:val="000000"/>
                                    <w:spacing w:val="-4"/>
                                  </w:rPr>
                                  <m:t>∙</m:t>
                                </m:r>
                                <m:d>
                                  <m:dPr>
                                    <m:ctrlPr>
                                      <w:rPr>
                                        <w:rFonts w:ascii="Cambria Math" w:hAnsi="Cambria Math"/>
                                        <w:i/>
                                        <w:iCs/>
                                        <w:color w:val="000000"/>
                                        <w:spacing w:val="-4"/>
                                      </w:rPr>
                                    </m:ctrlPr>
                                  </m:dPr>
                                  <m:e>
                                    <m:r>
                                      <m:rPr>
                                        <m:nor/>
                                      </m:rPr>
                                      <w:rPr>
                                        <w:i/>
                                        <w:color w:val="000000"/>
                                        <w:spacing w:val="-4"/>
                                      </w:rPr>
                                      <m:t>1</m:t>
                                    </m:r>
                                    <m:r>
                                      <w:rPr>
                                        <w:rFonts w:ascii="Cambria Math" w:hAnsi="Cambria Math"/>
                                        <w:color w:val="000000"/>
                                        <w:spacing w:val="-4"/>
                                      </w:rPr>
                                      <m:t>-</m:t>
                                    </m:r>
                                    <m:sSubSup>
                                      <m:sSubSupPr>
                                        <m:ctrlPr>
                                          <w:rPr>
                                            <w:rFonts w:ascii="Cambria Math" w:hAnsi="Cambria Math"/>
                                            <w:i/>
                                            <w:iCs/>
                                            <w:color w:val="000000"/>
                                            <w:spacing w:val="-4"/>
                                            <w:lang w:val="fr-FR"/>
                                          </w:rPr>
                                        </m:ctrlPr>
                                      </m:sSubSupPr>
                                      <m:e>
                                        <m:r>
                                          <m:rPr>
                                            <m:nor/>
                                          </m:rPr>
                                          <w:rPr>
                                            <w:i/>
                                            <w:iCs/>
                                            <w:color w:val="000000"/>
                                            <w:spacing w:val="-4"/>
                                          </w:rPr>
                                          <m:t>t</m:t>
                                        </m:r>
                                      </m:e>
                                      <m:sub>
                                        <m:r>
                                          <m:rPr>
                                            <m:nor/>
                                          </m:rPr>
                                          <w:rPr>
                                            <w:i/>
                                            <w:iCs/>
                                            <w:color w:val="000000"/>
                                            <w:spacing w:val="-4"/>
                                          </w:rPr>
                                          <m:t>IRPF</m:t>
                                        </m:r>
                                      </m:sub>
                                      <m:sup>
                                        <m:r>
                                          <m:rPr>
                                            <m:nor/>
                                          </m:rPr>
                                          <w:rPr>
                                            <w:i/>
                                            <w:iCs/>
                                            <w:color w:val="000000"/>
                                            <w:spacing w:val="-4"/>
                                          </w:rPr>
                                          <m:t>E</m:t>
                                        </m:r>
                                      </m:sup>
                                    </m:sSubSup>
                                  </m:e>
                                </m:d>
                              </m:e>
                            </m:groupChr>
                          </m:e>
                          <m:lim>
                            <m:r>
                              <m:rPr>
                                <m:nor/>
                              </m:rPr>
                              <w:rPr>
                                <w:i/>
                                <w:color w:val="000000"/>
                                <w:spacing w:val="-4"/>
                              </w:rPr>
                              <m:t>Beneficio tras impuestos</m:t>
                            </m:r>
                          </m:lim>
                        </m:limLow>
                        <m:r>
                          <w:rPr>
                            <w:rFonts w:ascii="Cambria Math" w:hAnsi="Cambria Math"/>
                            <w:color w:val="000000"/>
                            <w:spacing w:val="-4"/>
                          </w:rPr>
                          <m:t>-</m:t>
                        </m:r>
                        <m:limLow>
                          <m:limLowPr>
                            <m:ctrlPr>
                              <w:rPr>
                                <w:rFonts w:ascii="Cambria Math" w:hAnsi="Cambria Math"/>
                                <w:i/>
                                <w:iCs/>
                                <w:color w:val="000000"/>
                                <w:spacing w:val="-4"/>
                              </w:rPr>
                            </m:ctrlPr>
                          </m:limLowPr>
                          <m:e>
                            <m:groupChr>
                              <m:groupChrPr>
                                <m:ctrlPr>
                                  <w:rPr>
                                    <w:rFonts w:ascii="Cambria Math" w:hAnsi="Cambria Math"/>
                                    <w:i/>
                                    <w:iCs/>
                                    <w:color w:val="000000"/>
                                    <w:spacing w:val="-4"/>
                                  </w:rPr>
                                </m:ctrlPr>
                              </m:groupChrPr>
                              <m:e>
                                <m:sSub>
                                  <m:sSubPr>
                                    <m:ctrlPr>
                                      <w:rPr>
                                        <w:rFonts w:ascii="Cambria Math" w:hAnsi="Cambria Math"/>
                                        <w:i/>
                                        <w:iCs/>
                                        <w:color w:val="000000"/>
                                        <w:spacing w:val="-4"/>
                                      </w:rPr>
                                    </m:ctrlPr>
                                  </m:sSubPr>
                                  <m:e>
                                    <m:r>
                                      <m:rPr>
                                        <m:nor/>
                                      </m:rPr>
                                      <w:rPr>
                                        <w:i/>
                                        <w:iCs/>
                                        <w:color w:val="000000"/>
                                        <w:spacing w:val="-4"/>
                                      </w:rPr>
                                      <m:t>V</m:t>
                                    </m:r>
                                  </m:e>
                                  <m:sub>
                                    <m:r>
                                      <m:rPr>
                                        <m:nor/>
                                      </m:rPr>
                                      <w:rPr>
                                        <w:i/>
                                        <w:iCs/>
                                        <w:color w:val="000000"/>
                                        <w:spacing w:val="-4"/>
                                      </w:rPr>
                                      <m:t>D</m:t>
                                    </m:r>
                                  </m:sub>
                                </m:sSub>
                                <m:r>
                                  <w:rPr>
                                    <w:rFonts w:ascii="Cambria Math" w:hAnsi="Cambria Math"/>
                                    <w:color w:val="000000"/>
                                    <w:spacing w:val="-4"/>
                                  </w:rPr>
                                  <m:t>∙</m:t>
                                </m:r>
                                <m:d>
                                  <m:dPr>
                                    <m:ctrlPr>
                                      <w:rPr>
                                        <w:rFonts w:ascii="Cambria Math" w:hAnsi="Cambria Math"/>
                                        <w:i/>
                                        <w:iCs/>
                                        <w:color w:val="000000"/>
                                        <w:spacing w:val="-4"/>
                                      </w:rPr>
                                    </m:ctrlPr>
                                  </m:dPr>
                                  <m:e>
                                    <m:d>
                                      <m:dPr>
                                        <m:ctrlPr>
                                          <w:rPr>
                                            <w:rFonts w:ascii="Cambria Math" w:hAnsi="Cambria Math"/>
                                            <w:i/>
                                            <w:iCs/>
                                            <w:color w:val="000000"/>
                                            <w:spacing w:val="-4"/>
                                          </w:rPr>
                                        </m:ctrlPr>
                                      </m:dPr>
                                      <m:e>
                                        <m:r>
                                          <m:rPr>
                                            <m:nor/>
                                          </m:rPr>
                                          <w:rPr>
                                            <w:i/>
                                            <w:color w:val="000000"/>
                                            <w:spacing w:val="-4"/>
                                          </w:rPr>
                                          <m:t>1</m:t>
                                        </m:r>
                                        <m:r>
                                          <w:rPr>
                                            <w:rFonts w:ascii="Cambria Math" w:hAnsi="Cambria Math"/>
                                            <w:color w:val="000000"/>
                                            <w:spacing w:val="-4"/>
                                          </w:rPr>
                                          <m:t>-</m:t>
                                        </m:r>
                                        <m:sSub>
                                          <m:sSubPr>
                                            <m:ctrlPr>
                                              <w:rPr>
                                                <w:rFonts w:ascii="Cambria Math" w:hAnsi="Cambria Math"/>
                                                <w:i/>
                                                <w:iCs/>
                                                <w:color w:val="000000"/>
                                                <w:spacing w:val="-4"/>
                                              </w:rPr>
                                            </m:ctrlPr>
                                          </m:sSubPr>
                                          <m:e>
                                            <m:r>
                                              <m:rPr>
                                                <m:nor/>
                                              </m:rPr>
                                              <w:rPr>
                                                <w:i/>
                                                <w:iCs/>
                                                <w:color w:val="000000"/>
                                                <w:spacing w:val="-4"/>
                                              </w:rPr>
                                              <m:t>t</m:t>
                                            </m:r>
                                          </m:e>
                                          <m:sub>
                                            <m:r>
                                              <m:rPr>
                                                <m:nor/>
                                              </m:rPr>
                                              <w:rPr>
                                                <w:i/>
                                                <w:iCs/>
                                                <w:color w:val="000000"/>
                                                <w:spacing w:val="-4"/>
                                              </w:rPr>
                                              <m:t>IS</m:t>
                                            </m:r>
                                          </m:sub>
                                        </m:sSub>
                                      </m:e>
                                    </m:d>
                                    <m:r>
                                      <w:rPr>
                                        <w:rFonts w:ascii="Cambria Math" w:hAnsi="Cambria Math"/>
                                        <w:color w:val="000000"/>
                                        <w:spacing w:val="-4"/>
                                      </w:rPr>
                                      <m:t>∙</m:t>
                                    </m:r>
                                    <m:f>
                                      <m:fPr>
                                        <m:type m:val="lin"/>
                                        <m:ctrlPr>
                                          <w:rPr>
                                            <w:rFonts w:ascii="Cambria Math" w:hAnsi="Cambria Math"/>
                                            <w:i/>
                                            <w:iCs/>
                                            <w:color w:val="000000"/>
                                            <w:spacing w:val="-4"/>
                                          </w:rPr>
                                        </m:ctrlPr>
                                      </m:fPr>
                                      <m:num>
                                        <m:d>
                                          <m:dPr>
                                            <m:ctrlPr>
                                              <w:rPr>
                                                <w:rFonts w:ascii="Cambria Math" w:hAnsi="Cambria Math"/>
                                                <w:i/>
                                                <w:iCs/>
                                                <w:color w:val="000000"/>
                                                <w:spacing w:val="-4"/>
                                              </w:rPr>
                                            </m:ctrlPr>
                                          </m:dPr>
                                          <m:e>
                                            <m:r>
                                              <m:rPr>
                                                <m:nor/>
                                              </m:rPr>
                                              <w:rPr>
                                                <w:i/>
                                                <w:color w:val="000000"/>
                                                <w:spacing w:val="-4"/>
                                              </w:rPr>
                                              <m:t>1</m:t>
                                            </m:r>
                                            <m:r>
                                              <w:rPr>
                                                <w:rFonts w:ascii="Cambria Math" w:hAnsi="Cambria Math"/>
                                                <w:color w:val="000000"/>
                                                <w:spacing w:val="-4"/>
                                              </w:rPr>
                                              <m:t>-</m:t>
                                            </m:r>
                                            <m:sSubSup>
                                              <m:sSubSupPr>
                                                <m:ctrlPr>
                                                  <w:rPr>
                                                    <w:rFonts w:ascii="Cambria Math" w:hAnsi="Cambria Math"/>
                                                    <w:i/>
                                                    <w:iCs/>
                                                    <w:color w:val="000000"/>
                                                    <w:spacing w:val="-4"/>
                                                    <w:lang w:val="fr-FR"/>
                                                  </w:rPr>
                                                </m:ctrlPr>
                                              </m:sSubSupPr>
                                              <m:e>
                                                <m:r>
                                                  <m:rPr>
                                                    <m:nor/>
                                                  </m:rPr>
                                                  <w:rPr>
                                                    <w:i/>
                                                    <w:iCs/>
                                                    <w:color w:val="000000"/>
                                                    <w:spacing w:val="-4"/>
                                                  </w:rPr>
                                                  <m:t>t</m:t>
                                                </m:r>
                                              </m:e>
                                              <m:sub>
                                                <m:r>
                                                  <m:rPr>
                                                    <m:nor/>
                                                  </m:rPr>
                                                  <w:rPr>
                                                    <w:i/>
                                                    <w:iCs/>
                                                    <w:color w:val="000000"/>
                                                    <w:spacing w:val="-4"/>
                                                  </w:rPr>
                                                  <m:t>IRPF</m:t>
                                                </m:r>
                                              </m:sub>
                                              <m:sup>
                                                <m:r>
                                                  <m:rPr>
                                                    <m:nor/>
                                                  </m:rPr>
                                                  <w:rPr>
                                                    <w:i/>
                                                    <w:iCs/>
                                                    <w:color w:val="000000"/>
                                                    <w:spacing w:val="-4"/>
                                                  </w:rPr>
                                                  <m:t>E</m:t>
                                                </m:r>
                                              </m:sup>
                                            </m:sSubSup>
                                          </m:e>
                                        </m:d>
                                      </m:num>
                                      <m:den>
                                        <m:d>
                                          <m:dPr>
                                            <m:ctrlPr>
                                              <w:rPr>
                                                <w:rFonts w:ascii="Cambria Math" w:hAnsi="Cambria Math"/>
                                                <w:i/>
                                                <w:iCs/>
                                                <w:color w:val="000000"/>
                                                <w:spacing w:val="-4"/>
                                              </w:rPr>
                                            </m:ctrlPr>
                                          </m:dPr>
                                          <m:e>
                                            <m:r>
                                              <m:rPr>
                                                <m:nor/>
                                              </m:rPr>
                                              <w:rPr>
                                                <w:i/>
                                                <w:color w:val="000000"/>
                                                <w:spacing w:val="-4"/>
                                              </w:rPr>
                                              <m:t>1</m:t>
                                            </m:r>
                                            <m:r>
                                              <w:rPr>
                                                <w:rFonts w:ascii="Cambria Math" w:hAnsi="Cambria Math"/>
                                                <w:color w:val="000000"/>
                                                <w:spacing w:val="-4"/>
                                              </w:rPr>
                                              <m:t>-</m:t>
                                            </m:r>
                                            <m:sSubSup>
                                              <m:sSubSupPr>
                                                <m:ctrlPr>
                                                  <w:rPr>
                                                    <w:rFonts w:ascii="Cambria Math" w:hAnsi="Cambria Math"/>
                                                    <w:i/>
                                                    <w:iCs/>
                                                    <w:color w:val="000000"/>
                                                    <w:spacing w:val="-4"/>
                                                    <w:lang w:val="fr-FR"/>
                                                  </w:rPr>
                                                </m:ctrlPr>
                                              </m:sSubSupPr>
                                              <m:e>
                                                <m:r>
                                                  <m:rPr>
                                                    <m:nor/>
                                                  </m:rPr>
                                                  <w:rPr>
                                                    <w:i/>
                                                    <w:iCs/>
                                                    <w:color w:val="000000"/>
                                                    <w:spacing w:val="-4"/>
                                                  </w:rPr>
                                                  <m:t>t</m:t>
                                                </m:r>
                                              </m:e>
                                              <m:sub>
                                                <m:r>
                                                  <m:rPr>
                                                    <m:nor/>
                                                  </m:rPr>
                                                  <w:rPr>
                                                    <w:i/>
                                                    <w:iCs/>
                                                    <w:color w:val="000000"/>
                                                    <w:spacing w:val="-4"/>
                                                  </w:rPr>
                                                  <m:t>IRPF</m:t>
                                                </m:r>
                                              </m:sub>
                                              <m:sup>
                                                <m:r>
                                                  <m:rPr>
                                                    <m:nor/>
                                                  </m:rPr>
                                                  <w:rPr>
                                                    <w:i/>
                                                    <w:iCs/>
                                                    <w:color w:val="000000"/>
                                                    <w:spacing w:val="-4"/>
                                                  </w:rPr>
                                                  <m:t>D</m:t>
                                                </m:r>
                                              </m:sup>
                                            </m:sSubSup>
                                          </m:e>
                                        </m:d>
                                      </m:den>
                                    </m:f>
                                  </m:e>
                                </m:d>
                              </m:e>
                            </m:groupChr>
                          </m:e>
                          <m:lim>
                            <m:r>
                              <m:rPr>
                                <m:nor/>
                              </m:rPr>
                              <w:rPr>
                                <w:i/>
                                <w:color w:val="000000"/>
                                <w:spacing w:val="-4"/>
                              </w:rPr>
                              <m:t>Coste de la deuda tras impuestos</m:t>
                            </m:r>
                          </m:lim>
                        </m:limLow>
                      </m:e>
                    </m:groupChr>
                  </m:e>
                  <m:lim>
                    <m:eqArr>
                      <m:eqArrPr>
                        <m:ctrlPr>
                          <w:rPr>
                            <w:rFonts w:ascii="Cambria Math" w:hAnsi="Cambria Math"/>
                            <w:i/>
                            <w:iCs/>
                            <w:color w:val="000000"/>
                            <w:spacing w:val="-4"/>
                            <w:lang w:val="fr-FR"/>
                          </w:rPr>
                        </m:ctrlPr>
                      </m:eqArrPr>
                      <m:e>
                        <m:r>
                          <m:rPr>
                            <m:nor/>
                          </m:rPr>
                          <w:rPr>
                            <w:i/>
                            <w:iCs/>
                            <w:color w:val="000000"/>
                            <w:spacing w:val="-4"/>
                          </w:rPr>
                          <m:t>Renta disponible para accionistas y obligacionistas</m:t>
                        </m:r>
                      </m:e>
                      <m:e>
                        <m:r>
                          <m:rPr>
                            <m:nor/>
                          </m:rPr>
                          <w:rPr>
                            <w:i/>
                            <w:iCs/>
                            <w:color w:val="000000"/>
                            <w:spacing w:val="-4"/>
                          </w:rPr>
                          <m:t>en el caso de una empresa endeudada</m:t>
                        </m:r>
                      </m:e>
                    </m:eqArr>
                  </m:lim>
                </m:limUpp>
                <m:r>
                  <w:rPr>
                    <w:rFonts w:ascii="Cambria Math" w:hAnsi="Cambria Math"/>
                    <w:color w:val="000000"/>
                    <w:spacing w:val="-4"/>
                  </w:rPr>
                  <m:t>=</m:t>
                </m:r>
                <m:limUpp>
                  <m:limUppPr>
                    <m:ctrlPr>
                      <w:rPr>
                        <w:rFonts w:ascii="Cambria Math" w:hAnsi="Cambria Math"/>
                        <w:i/>
                        <w:iCs/>
                        <w:color w:val="000000"/>
                        <w:spacing w:val="-4"/>
                        <w:lang w:val="fr-FR"/>
                      </w:rPr>
                    </m:ctrlPr>
                  </m:limUppPr>
                  <m:e>
                    <m:groupChr>
                      <m:groupChrPr>
                        <m:chr m:val="⏞"/>
                        <m:pos m:val="top"/>
                        <m:vertJc m:val="bot"/>
                        <m:ctrlPr>
                          <w:rPr>
                            <w:rFonts w:ascii="Cambria Math" w:hAnsi="Cambria Math"/>
                            <w:i/>
                            <w:iCs/>
                            <w:color w:val="000000"/>
                            <w:spacing w:val="-4"/>
                            <w:lang w:val="fr-FR"/>
                          </w:rPr>
                        </m:ctrlPr>
                      </m:groupChrPr>
                      <m:e>
                        <m:limLow>
                          <m:limLowPr>
                            <m:ctrlPr>
                              <w:rPr>
                                <w:rFonts w:ascii="Cambria Math" w:hAnsi="Cambria Math"/>
                                <w:i/>
                                <w:iCs/>
                                <w:color w:val="000000"/>
                                <w:spacing w:val="-4"/>
                              </w:rPr>
                            </m:ctrlPr>
                          </m:limLowPr>
                          <m:e>
                            <m:groupChr>
                              <m:groupChrPr>
                                <m:ctrlPr>
                                  <w:rPr>
                                    <w:rFonts w:ascii="Cambria Math" w:hAnsi="Cambria Math"/>
                                    <w:i/>
                                    <w:iCs/>
                                    <w:color w:val="000000"/>
                                    <w:spacing w:val="-4"/>
                                  </w:rPr>
                                </m:ctrlPr>
                              </m:groupChrPr>
                              <m:e>
                                <m:r>
                                  <m:rPr>
                                    <m:nor/>
                                  </m:rPr>
                                  <w:rPr>
                                    <w:i/>
                                    <w:iCs/>
                                    <w:color w:val="000000"/>
                                    <w:spacing w:val="-4"/>
                                  </w:rPr>
                                  <m:t>B</m:t>
                                </m:r>
                                <m:r>
                                  <w:rPr>
                                    <w:rFonts w:ascii="Cambria Math" w:hAnsi="Cambria Math"/>
                                    <w:color w:val="000000"/>
                                    <w:spacing w:val="-4"/>
                                  </w:rPr>
                                  <m:t>∙</m:t>
                                </m:r>
                                <m:d>
                                  <m:dPr>
                                    <m:ctrlPr>
                                      <w:rPr>
                                        <w:rFonts w:ascii="Cambria Math" w:hAnsi="Cambria Math"/>
                                        <w:i/>
                                        <w:iCs/>
                                        <w:color w:val="000000"/>
                                        <w:spacing w:val="-4"/>
                                      </w:rPr>
                                    </m:ctrlPr>
                                  </m:dPr>
                                  <m:e>
                                    <m:r>
                                      <m:rPr>
                                        <m:nor/>
                                      </m:rPr>
                                      <w:rPr>
                                        <w:i/>
                                        <w:color w:val="000000"/>
                                        <w:spacing w:val="-4"/>
                                      </w:rPr>
                                      <m:t>1</m:t>
                                    </m:r>
                                    <m:r>
                                      <w:rPr>
                                        <w:rFonts w:ascii="Cambria Math" w:hAnsi="Cambria Math"/>
                                        <w:color w:val="000000"/>
                                        <w:spacing w:val="-4"/>
                                      </w:rPr>
                                      <m:t>-</m:t>
                                    </m:r>
                                    <m:sSub>
                                      <m:sSubPr>
                                        <m:ctrlPr>
                                          <w:rPr>
                                            <w:rFonts w:ascii="Cambria Math" w:hAnsi="Cambria Math"/>
                                            <w:i/>
                                            <w:iCs/>
                                            <w:color w:val="000000"/>
                                            <w:spacing w:val="-4"/>
                                          </w:rPr>
                                        </m:ctrlPr>
                                      </m:sSubPr>
                                      <m:e>
                                        <m:r>
                                          <m:rPr>
                                            <m:nor/>
                                          </m:rPr>
                                          <w:rPr>
                                            <w:i/>
                                            <w:iCs/>
                                            <w:color w:val="000000"/>
                                            <w:spacing w:val="-4"/>
                                          </w:rPr>
                                          <m:t>t</m:t>
                                        </m:r>
                                      </m:e>
                                      <m:sub>
                                        <m:r>
                                          <m:rPr>
                                            <m:nor/>
                                          </m:rPr>
                                          <w:rPr>
                                            <w:i/>
                                            <w:iCs/>
                                            <w:color w:val="000000"/>
                                            <w:spacing w:val="-4"/>
                                          </w:rPr>
                                          <m:t>IS</m:t>
                                        </m:r>
                                      </m:sub>
                                    </m:sSub>
                                  </m:e>
                                </m:d>
                                <m:r>
                                  <w:rPr>
                                    <w:rFonts w:ascii="Cambria Math" w:hAnsi="Cambria Math"/>
                                    <w:color w:val="000000"/>
                                    <w:spacing w:val="-4"/>
                                  </w:rPr>
                                  <m:t>∙</m:t>
                                </m:r>
                                <m:d>
                                  <m:dPr>
                                    <m:ctrlPr>
                                      <w:rPr>
                                        <w:rFonts w:ascii="Cambria Math" w:hAnsi="Cambria Math"/>
                                        <w:i/>
                                        <w:iCs/>
                                        <w:color w:val="000000"/>
                                        <w:spacing w:val="-4"/>
                                      </w:rPr>
                                    </m:ctrlPr>
                                  </m:dPr>
                                  <m:e>
                                    <m:r>
                                      <m:rPr>
                                        <m:nor/>
                                      </m:rPr>
                                      <w:rPr>
                                        <w:i/>
                                        <w:color w:val="000000"/>
                                        <w:spacing w:val="-4"/>
                                      </w:rPr>
                                      <m:t>1</m:t>
                                    </m:r>
                                    <m:r>
                                      <w:rPr>
                                        <w:rFonts w:ascii="Cambria Math" w:hAnsi="Cambria Math"/>
                                        <w:color w:val="000000"/>
                                        <w:spacing w:val="-4"/>
                                      </w:rPr>
                                      <m:t>-</m:t>
                                    </m:r>
                                    <m:sSubSup>
                                      <m:sSubSupPr>
                                        <m:ctrlPr>
                                          <w:rPr>
                                            <w:rFonts w:ascii="Cambria Math" w:hAnsi="Cambria Math"/>
                                            <w:i/>
                                            <w:iCs/>
                                            <w:color w:val="000000"/>
                                            <w:spacing w:val="-4"/>
                                            <w:lang w:val="fr-FR"/>
                                          </w:rPr>
                                        </m:ctrlPr>
                                      </m:sSubSupPr>
                                      <m:e>
                                        <m:r>
                                          <m:rPr>
                                            <m:nor/>
                                          </m:rPr>
                                          <w:rPr>
                                            <w:i/>
                                            <w:iCs/>
                                            <w:color w:val="000000"/>
                                            <w:spacing w:val="-4"/>
                                          </w:rPr>
                                          <m:t>t</m:t>
                                        </m:r>
                                      </m:e>
                                      <m:sub>
                                        <m:r>
                                          <m:rPr>
                                            <m:nor/>
                                          </m:rPr>
                                          <w:rPr>
                                            <w:i/>
                                            <w:iCs/>
                                            <w:color w:val="000000"/>
                                            <w:spacing w:val="-4"/>
                                          </w:rPr>
                                          <m:t>IRPF</m:t>
                                        </m:r>
                                      </m:sub>
                                      <m:sup>
                                        <m:r>
                                          <m:rPr>
                                            <m:nor/>
                                          </m:rPr>
                                          <w:rPr>
                                            <w:i/>
                                            <w:iCs/>
                                            <w:color w:val="000000"/>
                                            <w:spacing w:val="-4"/>
                                          </w:rPr>
                                          <m:t>E</m:t>
                                        </m:r>
                                      </m:sup>
                                    </m:sSubSup>
                                  </m:e>
                                </m:d>
                              </m:e>
                            </m:groupChr>
                          </m:e>
                          <m:lim>
                            <m:r>
                              <m:rPr>
                                <m:nor/>
                              </m:rPr>
                              <w:rPr>
                                <w:i/>
                                <w:color w:val="000000"/>
                                <w:spacing w:val="-4"/>
                              </w:rPr>
                              <m:t>Beneficio tras impuestos</m:t>
                            </m:r>
                          </m:lim>
                        </m:limLow>
                      </m:e>
                    </m:groupChr>
                  </m:e>
                  <m:lim>
                    <m:eqArr>
                      <m:eqArrPr>
                        <m:ctrlPr>
                          <w:rPr>
                            <w:rFonts w:ascii="Cambria Math" w:hAnsi="Cambria Math"/>
                            <w:i/>
                            <w:iCs/>
                            <w:color w:val="000000"/>
                            <w:spacing w:val="-4"/>
                            <w:lang w:val="fr-FR"/>
                          </w:rPr>
                        </m:ctrlPr>
                      </m:eqArrPr>
                      <m:e>
                        <m:r>
                          <m:rPr>
                            <m:nor/>
                          </m:rPr>
                          <w:rPr>
                            <w:i/>
                            <w:iCs/>
                            <w:color w:val="000000"/>
                            <w:spacing w:val="-4"/>
                          </w:rPr>
                          <m:t>Renta disponible para accionistas</m:t>
                        </m:r>
                      </m:e>
                      <m:e>
                        <m:r>
                          <m:rPr>
                            <m:nor/>
                          </m:rPr>
                          <w:rPr>
                            <w:i/>
                            <w:iCs/>
                            <w:color w:val="000000"/>
                            <w:spacing w:val="-4"/>
                          </w:rPr>
                          <m:t>en el caso de una empresa no endeudada</m:t>
                        </m:r>
                      </m:e>
                    </m:eqArr>
                  </m:lim>
                </m:limUpp>
              </m:e>
            </m:mr>
            <m:mr>
              <m:e>
                <m:r>
                  <w:rPr>
                    <w:rFonts w:ascii="Cambria Math" w:hAnsi="Cambria Math"/>
                  </w:rPr>
                  <m:t xml:space="preserve">                                                </m:t>
                </m:r>
                <m:m>
                  <m:mPr>
                    <m:mcs>
                      <m:mc>
                        <m:mcPr>
                          <m:count m:val="2"/>
                          <m:mcJc m:val="center"/>
                        </m:mcPr>
                      </m:mc>
                    </m:mcs>
                    <m:ctrlPr>
                      <w:rPr>
                        <w:rFonts w:ascii="Cambria Math" w:hAnsi="Cambria Math"/>
                        <w:i/>
                      </w:rPr>
                    </m:ctrlPr>
                  </m:mPr>
                  <m:mr>
                    <m:e>
                      <m:r>
                        <w:rPr>
                          <w:rFonts w:ascii="Cambria Math" w:hAnsi="Cambria Math"/>
                        </w:rPr>
                        <m:t>⇓</m:t>
                      </m:r>
                    </m:e>
                    <m:e>
                      <m:d>
                        <m:dPr>
                          <m:begChr m:val="{"/>
                          <m:endChr m:val=""/>
                          <m:ctrlPr>
                            <w:rPr>
                              <w:rFonts w:ascii="Cambria Math" w:hAnsi="Cambria Math"/>
                              <w:i/>
                            </w:rPr>
                          </m:ctrlPr>
                        </m:dPr>
                        <m:e>
                          <m:r>
                            <m:rPr>
                              <m:nor/>
                            </m:rPr>
                            <w:rPr>
                              <w:i/>
                              <w:iCs/>
                              <w:sz w:val="16"/>
                              <w:szCs w:val="16"/>
                            </w:rPr>
                            <m:t>Pasamos lo de la derecha restando</m:t>
                          </m:r>
                        </m:e>
                      </m:d>
                    </m:e>
                  </m:mr>
                </m:m>
              </m:e>
            </m:mr>
            <m:mr>
              <m:e>
                <m:r>
                  <m:rPr>
                    <m:nor/>
                  </m:rPr>
                  <w:rPr>
                    <w:i/>
                    <w:iCs/>
                    <w:color w:val="000000"/>
                    <w:spacing w:val="-4"/>
                  </w:rPr>
                  <m:t xml:space="preserve">Ahorro fiscal por endeudarse una cantidad </m:t>
                </m:r>
                <m:sSub>
                  <m:sSubPr>
                    <m:ctrlPr>
                      <w:rPr>
                        <w:rFonts w:ascii="Cambria Math" w:hAnsi="Cambria Math"/>
                        <w:i/>
                        <w:iCs/>
                        <w:color w:val="000000"/>
                        <w:spacing w:val="-4"/>
                      </w:rPr>
                    </m:ctrlPr>
                  </m:sSubPr>
                  <m:e>
                    <m:r>
                      <m:rPr>
                        <m:nor/>
                      </m:rPr>
                      <w:rPr>
                        <w:i/>
                        <w:iCs/>
                        <w:color w:val="000000"/>
                        <w:spacing w:val="-4"/>
                      </w:rPr>
                      <m:t>V</m:t>
                    </m:r>
                  </m:e>
                  <m:sub>
                    <m:r>
                      <m:rPr>
                        <m:nor/>
                      </m:rPr>
                      <w:rPr>
                        <w:i/>
                        <w:iCs/>
                        <w:color w:val="000000"/>
                        <w:spacing w:val="-4"/>
                      </w:rPr>
                      <m:t>D</m:t>
                    </m:r>
                  </m:sub>
                </m:sSub>
                <m:r>
                  <w:rPr>
                    <w:rFonts w:ascii="Cambria Math" w:hAnsi="Cambria Math"/>
                    <w:color w:val="000000"/>
                    <w:spacing w:val="-4"/>
                  </w:rPr>
                  <m:t xml:space="preserve">: </m:t>
                </m:r>
                <m:borderBox>
                  <m:borderBoxPr>
                    <m:ctrlPr>
                      <w:rPr>
                        <w:rFonts w:ascii="Cambria Math" w:hAnsi="Cambria Math"/>
                        <w:i/>
                        <w:iCs/>
                        <w:color w:val="000000"/>
                        <w:spacing w:val="-4"/>
                      </w:rPr>
                    </m:ctrlPr>
                  </m:borderBoxPr>
                  <m:e>
                    <m:sSub>
                      <m:sSubPr>
                        <m:ctrlPr>
                          <w:rPr>
                            <w:rFonts w:ascii="Cambria Math" w:hAnsi="Cambria Math"/>
                            <w:i/>
                            <w:iCs/>
                            <w:color w:val="000000"/>
                            <w:spacing w:val="-4"/>
                          </w:rPr>
                        </m:ctrlPr>
                      </m:sSubPr>
                      <m:e>
                        <m:r>
                          <m:rPr>
                            <m:nor/>
                          </m:rPr>
                          <w:rPr>
                            <w:i/>
                            <w:iCs/>
                            <w:color w:val="000000"/>
                            <w:spacing w:val="-4"/>
                          </w:rPr>
                          <m:t>V</m:t>
                        </m:r>
                      </m:e>
                      <m:sub>
                        <m:r>
                          <m:rPr>
                            <m:nor/>
                          </m:rPr>
                          <w:rPr>
                            <w:i/>
                            <w:iCs/>
                            <w:color w:val="000000"/>
                            <w:spacing w:val="-4"/>
                          </w:rPr>
                          <m:t>D</m:t>
                        </m:r>
                      </m:sub>
                    </m:sSub>
                    <m:r>
                      <w:rPr>
                        <w:rFonts w:ascii="Cambria Math" w:hAnsi="Cambria Math"/>
                        <w:color w:val="000000"/>
                        <w:spacing w:val="-4"/>
                      </w:rPr>
                      <m:t>∙</m:t>
                    </m:r>
                    <m:d>
                      <m:dPr>
                        <m:ctrlPr>
                          <w:rPr>
                            <w:rFonts w:ascii="Cambria Math" w:hAnsi="Cambria Math"/>
                            <w:i/>
                            <w:iCs/>
                            <w:color w:val="000000"/>
                            <w:spacing w:val="-4"/>
                          </w:rPr>
                        </m:ctrlPr>
                      </m:dPr>
                      <m:e>
                        <m:r>
                          <m:rPr>
                            <m:nor/>
                          </m:rPr>
                          <w:rPr>
                            <w:i/>
                            <w:color w:val="000000"/>
                            <w:spacing w:val="-4"/>
                          </w:rPr>
                          <m:t>1</m:t>
                        </m:r>
                        <m:r>
                          <w:rPr>
                            <w:rFonts w:ascii="Cambria Math" w:hAnsi="Cambria Math"/>
                            <w:color w:val="000000"/>
                            <w:spacing w:val="-4"/>
                          </w:rPr>
                          <m:t>-</m:t>
                        </m:r>
                        <m:d>
                          <m:dPr>
                            <m:ctrlPr>
                              <w:rPr>
                                <w:rFonts w:ascii="Cambria Math" w:hAnsi="Cambria Math"/>
                                <w:i/>
                                <w:iCs/>
                                <w:color w:val="000000"/>
                                <w:spacing w:val="-4"/>
                              </w:rPr>
                            </m:ctrlPr>
                          </m:dPr>
                          <m:e>
                            <m:r>
                              <m:rPr>
                                <m:nor/>
                              </m:rPr>
                              <w:rPr>
                                <w:i/>
                                <w:color w:val="000000"/>
                                <w:spacing w:val="-4"/>
                              </w:rPr>
                              <m:t>1</m:t>
                            </m:r>
                            <m:r>
                              <w:rPr>
                                <w:rFonts w:ascii="Cambria Math" w:hAnsi="Cambria Math"/>
                                <w:color w:val="000000"/>
                                <w:spacing w:val="-4"/>
                              </w:rPr>
                              <m:t>-</m:t>
                            </m:r>
                            <m:sSub>
                              <m:sSubPr>
                                <m:ctrlPr>
                                  <w:rPr>
                                    <w:rFonts w:ascii="Cambria Math" w:hAnsi="Cambria Math"/>
                                    <w:i/>
                                    <w:iCs/>
                                    <w:color w:val="000000"/>
                                    <w:spacing w:val="-4"/>
                                  </w:rPr>
                                </m:ctrlPr>
                              </m:sSubPr>
                              <m:e>
                                <m:r>
                                  <m:rPr>
                                    <m:nor/>
                                  </m:rPr>
                                  <w:rPr>
                                    <w:i/>
                                    <w:iCs/>
                                    <w:color w:val="000000"/>
                                    <w:spacing w:val="-4"/>
                                  </w:rPr>
                                  <m:t>t</m:t>
                                </m:r>
                              </m:e>
                              <m:sub>
                                <m:r>
                                  <m:rPr>
                                    <m:nor/>
                                  </m:rPr>
                                  <w:rPr>
                                    <w:i/>
                                    <w:iCs/>
                                    <w:color w:val="000000"/>
                                    <w:spacing w:val="-4"/>
                                  </w:rPr>
                                  <m:t>IS</m:t>
                                </m:r>
                              </m:sub>
                            </m:sSub>
                          </m:e>
                        </m:d>
                        <m:r>
                          <w:rPr>
                            <w:rFonts w:ascii="Cambria Math" w:hAnsi="Cambria Math"/>
                            <w:color w:val="000000"/>
                            <w:spacing w:val="-4"/>
                          </w:rPr>
                          <m:t>∙</m:t>
                        </m:r>
                        <m:f>
                          <m:fPr>
                            <m:type m:val="lin"/>
                            <m:ctrlPr>
                              <w:rPr>
                                <w:rFonts w:ascii="Cambria Math" w:hAnsi="Cambria Math"/>
                                <w:i/>
                                <w:iCs/>
                                <w:color w:val="000000"/>
                                <w:spacing w:val="-4"/>
                              </w:rPr>
                            </m:ctrlPr>
                          </m:fPr>
                          <m:num>
                            <m:d>
                              <m:dPr>
                                <m:ctrlPr>
                                  <w:rPr>
                                    <w:rFonts w:ascii="Cambria Math" w:hAnsi="Cambria Math"/>
                                    <w:i/>
                                    <w:iCs/>
                                    <w:color w:val="000000"/>
                                    <w:spacing w:val="-4"/>
                                  </w:rPr>
                                </m:ctrlPr>
                              </m:dPr>
                              <m:e>
                                <m:r>
                                  <m:rPr>
                                    <m:nor/>
                                  </m:rPr>
                                  <w:rPr>
                                    <w:i/>
                                    <w:color w:val="000000"/>
                                    <w:spacing w:val="-4"/>
                                  </w:rPr>
                                  <m:t>1</m:t>
                                </m:r>
                                <m:r>
                                  <w:rPr>
                                    <w:rFonts w:ascii="Cambria Math" w:hAnsi="Cambria Math"/>
                                    <w:color w:val="000000"/>
                                    <w:spacing w:val="-4"/>
                                  </w:rPr>
                                  <m:t>-</m:t>
                                </m:r>
                                <m:sSubSup>
                                  <m:sSubSupPr>
                                    <m:ctrlPr>
                                      <w:rPr>
                                        <w:rFonts w:ascii="Cambria Math" w:hAnsi="Cambria Math"/>
                                        <w:i/>
                                        <w:iCs/>
                                        <w:color w:val="000000"/>
                                        <w:spacing w:val="-4"/>
                                        <w:lang w:val="fr-FR"/>
                                      </w:rPr>
                                    </m:ctrlPr>
                                  </m:sSubSupPr>
                                  <m:e>
                                    <m:r>
                                      <m:rPr>
                                        <m:nor/>
                                      </m:rPr>
                                      <w:rPr>
                                        <w:i/>
                                        <w:iCs/>
                                        <w:color w:val="000000"/>
                                        <w:spacing w:val="-4"/>
                                      </w:rPr>
                                      <m:t>t</m:t>
                                    </m:r>
                                  </m:e>
                                  <m:sub>
                                    <m:r>
                                      <m:rPr>
                                        <m:nor/>
                                      </m:rPr>
                                      <w:rPr>
                                        <w:i/>
                                        <w:iCs/>
                                        <w:color w:val="000000"/>
                                        <w:spacing w:val="-4"/>
                                      </w:rPr>
                                      <m:t>IRPF</m:t>
                                    </m:r>
                                  </m:sub>
                                  <m:sup>
                                    <m:r>
                                      <m:rPr>
                                        <m:nor/>
                                      </m:rPr>
                                      <w:rPr>
                                        <w:i/>
                                        <w:iCs/>
                                        <w:color w:val="000000"/>
                                        <w:spacing w:val="-4"/>
                                      </w:rPr>
                                      <m:t>E</m:t>
                                    </m:r>
                                  </m:sup>
                                </m:sSubSup>
                              </m:e>
                            </m:d>
                          </m:num>
                          <m:den>
                            <m:d>
                              <m:dPr>
                                <m:ctrlPr>
                                  <w:rPr>
                                    <w:rFonts w:ascii="Cambria Math" w:hAnsi="Cambria Math"/>
                                    <w:i/>
                                    <w:iCs/>
                                    <w:color w:val="000000"/>
                                    <w:spacing w:val="-4"/>
                                  </w:rPr>
                                </m:ctrlPr>
                              </m:dPr>
                              <m:e>
                                <m:r>
                                  <m:rPr>
                                    <m:nor/>
                                  </m:rPr>
                                  <w:rPr>
                                    <w:i/>
                                    <w:color w:val="000000"/>
                                    <w:spacing w:val="-4"/>
                                  </w:rPr>
                                  <m:t>1</m:t>
                                </m:r>
                                <m:r>
                                  <w:rPr>
                                    <w:rFonts w:ascii="Cambria Math" w:hAnsi="Cambria Math"/>
                                    <w:color w:val="000000"/>
                                    <w:spacing w:val="-4"/>
                                  </w:rPr>
                                  <m:t>-</m:t>
                                </m:r>
                                <m:sSubSup>
                                  <m:sSubSupPr>
                                    <m:ctrlPr>
                                      <w:rPr>
                                        <w:rFonts w:ascii="Cambria Math" w:hAnsi="Cambria Math"/>
                                        <w:i/>
                                        <w:iCs/>
                                        <w:color w:val="000000"/>
                                        <w:spacing w:val="-4"/>
                                        <w:lang w:val="fr-FR"/>
                                      </w:rPr>
                                    </m:ctrlPr>
                                  </m:sSubSupPr>
                                  <m:e>
                                    <m:r>
                                      <m:rPr>
                                        <m:nor/>
                                      </m:rPr>
                                      <w:rPr>
                                        <w:i/>
                                        <w:iCs/>
                                        <w:color w:val="000000"/>
                                        <w:spacing w:val="-4"/>
                                      </w:rPr>
                                      <m:t>t</m:t>
                                    </m:r>
                                  </m:e>
                                  <m:sub>
                                    <m:r>
                                      <m:rPr>
                                        <m:nor/>
                                      </m:rPr>
                                      <w:rPr>
                                        <w:i/>
                                        <w:iCs/>
                                        <w:color w:val="000000"/>
                                        <w:spacing w:val="-4"/>
                                      </w:rPr>
                                      <m:t>IRPF</m:t>
                                    </m:r>
                                  </m:sub>
                                  <m:sup>
                                    <m:r>
                                      <m:rPr>
                                        <m:nor/>
                                      </m:rPr>
                                      <w:rPr>
                                        <w:i/>
                                        <w:iCs/>
                                        <w:color w:val="000000"/>
                                        <w:spacing w:val="-4"/>
                                      </w:rPr>
                                      <m:t>D</m:t>
                                    </m:r>
                                  </m:sup>
                                </m:sSubSup>
                              </m:e>
                            </m:d>
                          </m:den>
                        </m:f>
                      </m:e>
                    </m:d>
                  </m:e>
                </m:borderBox>
              </m:e>
            </m:mr>
          </m:m>
        </m:oMath>
      </m:oMathPara>
    </w:p>
    <w:p w14:paraId="7B270725" w14:textId="5FB1BFB5" w:rsidR="003472F3" w:rsidRDefault="003472F3" w:rsidP="00350A36">
      <w:pPr>
        <w:keepNext/>
        <w:spacing w:after="0"/>
      </w:pPr>
      <w:r>
        <w:t>donde:</w:t>
      </w:r>
    </w:p>
    <w:p w14:paraId="10738F34" w14:textId="15A26957" w:rsidR="003472F3" w:rsidRPr="003472F3" w:rsidRDefault="00000000">
      <w:pPr>
        <w:pStyle w:val="Prrafodelista"/>
        <w:numPr>
          <w:ilvl w:val="0"/>
          <w:numId w:val="23"/>
        </w:numPr>
        <w:spacing w:after="100"/>
        <w:ind w:left="567" w:hanging="198"/>
      </w:pPr>
      <m:oMath>
        <m:sSubSup>
          <m:sSubSupPr>
            <m:ctrlPr>
              <w:rPr>
                <w:rFonts w:ascii="Cambria Math" w:hAnsi="Cambria Math"/>
                <w:i/>
                <w:lang w:val="fr-FR"/>
              </w:rPr>
            </m:ctrlPr>
          </m:sSubSupPr>
          <m:e>
            <m:r>
              <m:rPr>
                <m:nor/>
              </m:rPr>
              <w:rPr>
                <w:i/>
              </w:rPr>
              <m:t>t</m:t>
            </m:r>
          </m:e>
          <m:sub>
            <m:r>
              <m:rPr>
                <m:nor/>
              </m:rPr>
              <w:rPr>
                <w:i/>
              </w:rPr>
              <m:t>IRPF</m:t>
            </m:r>
          </m:sub>
          <m:sup>
            <m:r>
              <m:rPr>
                <m:nor/>
              </m:rPr>
              <w:rPr>
                <w:i/>
              </w:rPr>
              <m:t>D</m:t>
            </m:r>
          </m:sup>
        </m:sSubSup>
      </m:oMath>
      <w:r w:rsidR="003472F3" w:rsidRPr="003472F3">
        <w:t xml:space="preserve"> representa e</w:t>
      </w:r>
      <w:r w:rsidR="003472F3">
        <w:t>l tipo impositivo del IRPF en concepto de intereses de deudas;</w:t>
      </w:r>
    </w:p>
    <w:p w14:paraId="12AFDC04" w14:textId="3AD7FEE7" w:rsidR="003472F3" w:rsidRPr="00AB0451" w:rsidRDefault="00000000">
      <w:pPr>
        <w:pStyle w:val="Prrafodelista"/>
        <w:numPr>
          <w:ilvl w:val="0"/>
          <w:numId w:val="23"/>
        </w:numPr>
        <w:spacing w:after="100"/>
        <w:ind w:left="567" w:hanging="198"/>
      </w:pPr>
      <m:oMath>
        <m:sSubSup>
          <m:sSubSupPr>
            <m:ctrlPr>
              <w:rPr>
                <w:rFonts w:ascii="Cambria Math" w:hAnsi="Cambria Math"/>
                <w:i/>
                <w:lang w:val="fr-FR"/>
              </w:rPr>
            </m:ctrlPr>
          </m:sSubSupPr>
          <m:e>
            <m:r>
              <m:rPr>
                <m:nor/>
              </m:rPr>
              <w:rPr>
                <w:i/>
              </w:rPr>
              <m:t>t</m:t>
            </m:r>
          </m:e>
          <m:sub>
            <m:r>
              <m:rPr>
                <m:nor/>
              </m:rPr>
              <w:rPr>
                <w:i/>
              </w:rPr>
              <m:t>IRPF</m:t>
            </m:r>
          </m:sub>
          <m:sup>
            <m:r>
              <m:rPr>
                <m:nor/>
              </m:rPr>
              <w:rPr>
                <w:i/>
              </w:rPr>
              <m:t>E</m:t>
            </m:r>
          </m:sup>
        </m:sSubSup>
      </m:oMath>
      <w:r w:rsidR="00AB0451" w:rsidRPr="00AB0451">
        <w:t xml:space="preserve"> representa e</w:t>
      </w:r>
      <w:r w:rsidR="00AB0451">
        <w:t>l tipo impositivo del IRPF correspondiente al rendimiento de las acciones (tanto por plusvalías como por dividendos);</w:t>
      </w:r>
    </w:p>
    <w:p w14:paraId="0C17A5A0" w14:textId="634585E4" w:rsidR="00AB0451" w:rsidRDefault="00000000">
      <w:pPr>
        <w:pStyle w:val="Prrafodelista"/>
        <w:numPr>
          <w:ilvl w:val="0"/>
          <w:numId w:val="23"/>
        </w:numPr>
        <w:spacing w:after="100"/>
        <w:ind w:left="567" w:hanging="198"/>
      </w:pPr>
      <m:oMath>
        <m:sSub>
          <m:sSubPr>
            <m:ctrlPr>
              <w:rPr>
                <w:rFonts w:ascii="Cambria Math" w:hAnsi="Cambria Math"/>
                <w:i/>
              </w:rPr>
            </m:ctrlPr>
          </m:sSubPr>
          <m:e>
            <m:r>
              <m:rPr>
                <m:nor/>
              </m:rPr>
              <w:rPr>
                <w:i/>
              </w:rPr>
              <m:t>t</m:t>
            </m:r>
          </m:e>
          <m:sub>
            <m:r>
              <m:rPr>
                <m:nor/>
              </m:rPr>
              <w:rPr>
                <w:i/>
              </w:rPr>
              <m:t>IS</m:t>
            </m:r>
          </m:sub>
        </m:sSub>
      </m:oMath>
      <w:r w:rsidR="00AB0451">
        <w:t xml:space="preserve"> representa el tipo impositivo del impuesto de sociedades.</w:t>
      </w:r>
    </w:p>
    <w:p w14:paraId="10F4B3BA" w14:textId="47BEBB5F" w:rsidR="00D87A72" w:rsidRDefault="00D87A72" w:rsidP="00350A36">
      <w:pPr>
        <w:pStyle w:val="Nivel1SM"/>
        <w:keepNext/>
        <w:spacing w:after="0"/>
      </w:pPr>
      <w:r>
        <w:t xml:space="preserve">En este caso también existe un </w:t>
      </w:r>
      <w:proofErr w:type="spellStart"/>
      <w:r>
        <w:rPr>
          <w:b/>
          <w:bCs/>
        </w:rPr>
        <w:t>trade</w:t>
      </w:r>
      <w:proofErr w:type="spellEnd"/>
      <w:r>
        <w:rPr>
          <w:b/>
          <w:bCs/>
        </w:rPr>
        <w:t>-off</w:t>
      </w:r>
      <w:r>
        <w:t xml:space="preserve"> para la empresa entre </w:t>
      </w:r>
      <w:r w:rsidR="00977C9A">
        <w:t>las ventajas de un impuesto de sociedades y las desventajas de un impuesto sobre la renta que grava las ganancias de capital de los tenedores de deuda (y que, por tanto, van a exigir a la empresa una rentabilidad mayor).</w:t>
      </w:r>
    </w:p>
    <w:p w14:paraId="20BB8BBA" w14:textId="134ABC68" w:rsidR="00746FB8" w:rsidRDefault="00746FB8" w:rsidP="00350A36">
      <w:pPr>
        <w:pStyle w:val="Nivel2SM"/>
        <w:keepNext/>
        <w:spacing w:after="0"/>
      </w:pPr>
      <w:r>
        <w:t>Concretamente</w:t>
      </w:r>
      <w:r w:rsidR="003472F3">
        <w:t>:</w:t>
      </w:r>
    </w:p>
    <w:p w14:paraId="352AAC90" w14:textId="5BB26F12" w:rsidR="003472F3" w:rsidRPr="00AB0451" w:rsidRDefault="003472F3" w:rsidP="00350A36">
      <w:pPr>
        <w:pStyle w:val="Nivel3SM"/>
      </w:pPr>
      <w:r w:rsidRPr="00AB0451">
        <w:t xml:space="preserve">Si </w:t>
      </w:r>
      <m:oMath>
        <m:d>
          <m:dPr>
            <m:ctrlPr>
              <w:rPr>
                <w:rFonts w:ascii="Cambria Math" w:hAnsi="Cambria Math"/>
                <w:i/>
              </w:rPr>
            </m:ctrlPr>
          </m:dPr>
          <m:e>
            <m:r>
              <m:rPr>
                <m:nor/>
              </m:rPr>
              <w:rPr>
                <w:i/>
              </w:rPr>
              <m:t>1</m:t>
            </m:r>
            <m:r>
              <w:rPr>
                <w:rFonts w:ascii="Cambria Math" w:hAnsi="Cambria Math"/>
              </w:rPr>
              <m:t>-</m:t>
            </m:r>
            <m:sSubSup>
              <m:sSubSupPr>
                <m:ctrlPr>
                  <w:rPr>
                    <w:rFonts w:ascii="Cambria Math" w:hAnsi="Cambria Math"/>
                    <w:i/>
                    <w:lang w:val="fr-FR"/>
                  </w:rPr>
                </m:ctrlPr>
              </m:sSubSupPr>
              <m:e>
                <m:r>
                  <m:rPr>
                    <m:nor/>
                  </m:rPr>
                  <w:rPr>
                    <w:i/>
                  </w:rPr>
                  <m:t>t</m:t>
                </m:r>
              </m:e>
              <m:sub>
                <m:r>
                  <m:rPr>
                    <m:nor/>
                  </m:rPr>
                  <w:rPr>
                    <w:i/>
                  </w:rPr>
                  <m:t>IRPF</m:t>
                </m:r>
              </m:sub>
              <m:sup>
                <m:r>
                  <m:rPr>
                    <m:nor/>
                  </m:rPr>
                  <w:rPr>
                    <w:i/>
                  </w:rPr>
                  <m:t>D</m:t>
                </m:r>
              </m:sup>
            </m:sSubSup>
          </m:e>
        </m:d>
        <m:r>
          <w:rPr>
            <w:rFonts w:ascii="Cambria Math" w:hAnsi="Cambria Math"/>
          </w:rPr>
          <m:t>&lt;</m:t>
        </m:r>
        <m:d>
          <m:dPr>
            <m:ctrlPr>
              <w:rPr>
                <w:rFonts w:ascii="Cambria Math" w:hAnsi="Cambria Math"/>
                <w:i/>
              </w:rPr>
            </m:ctrlPr>
          </m:dPr>
          <m:e>
            <m:r>
              <m:rPr>
                <m:nor/>
              </m:rPr>
              <w:rPr>
                <w:i/>
              </w:rPr>
              <m:t>1</m:t>
            </m:r>
            <m:r>
              <w:rPr>
                <w:rFonts w:ascii="Cambria Math" w:hAnsi="Cambria Math"/>
              </w:rPr>
              <m:t>-</m:t>
            </m:r>
            <m:sSubSup>
              <m:sSubSupPr>
                <m:ctrlPr>
                  <w:rPr>
                    <w:rFonts w:ascii="Cambria Math" w:hAnsi="Cambria Math"/>
                    <w:i/>
                    <w:lang w:val="fr-FR"/>
                  </w:rPr>
                </m:ctrlPr>
              </m:sSubSupPr>
              <m:e>
                <m:r>
                  <m:rPr>
                    <m:nor/>
                  </m:rPr>
                  <w:rPr>
                    <w:i/>
                  </w:rPr>
                  <m:t>t</m:t>
                </m:r>
              </m:e>
              <m:sub>
                <m:r>
                  <m:rPr>
                    <m:nor/>
                  </m:rPr>
                  <w:rPr>
                    <w:i/>
                  </w:rPr>
                  <m:t>IRPF</m:t>
                </m:r>
              </m:sub>
              <m:sup>
                <m:r>
                  <m:rPr>
                    <m:nor/>
                  </m:rPr>
                  <w:rPr>
                    <w:i/>
                  </w:rPr>
                  <m:t>E</m:t>
                </m:r>
              </m:sup>
            </m:sSubSup>
          </m:e>
        </m:d>
      </m:oMath>
      <w:r w:rsidR="00AB0451" w:rsidRPr="00AB0451">
        <w:t xml:space="preserve">, </w:t>
      </w:r>
      <w:r w:rsidR="00F50F9C">
        <w:t xml:space="preserve">el escudo fiscal es mayor que en el caso en que sólo tenemos en cuenta el impuesto de sociedades (i.e. </w:t>
      </w:r>
      <w:r w:rsidR="00F50F9C">
        <w:rPr>
          <w:smallCaps/>
        </w:rPr>
        <w:t>Modigliani</w:t>
      </w:r>
      <w:r w:rsidR="00F50F9C">
        <w:t xml:space="preserve"> y </w:t>
      </w:r>
      <w:r w:rsidR="00F50F9C">
        <w:rPr>
          <w:smallCaps/>
        </w:rPr>
        <w:t>Miller</w:t>
      </w:r>
      <w:r w:rsidR="00F50F9C">
        <w:t xml:space="preserve"> (1963)).</w:t>
      </w:r>
    </w:p>
    <w:p w14:paraId="7527C9BB" w14:textId="0BCA6A20" w:rsidR="003472F3" w:rsidRPr="00A127BE" w:rsidRDefault="003472F3" w:rsidP="00350A36">
      <w:pPr>
        <w:pStyle w:val="Nivel3SM"/>
      </w:pPr>
      <w:r w:rsidRPr="00A127BE">
        <w:t xml:space="preserve">Si </w:t>
      </w:r>
      <m:oMath>
        <m:d>
          <m:dPr>
            <m:ctrlPr>
              <w:rPr>
                <w:rFonts w:ascii="Cambria Math" w:hAnsi="Cambria Math"/>
                <w:i/>
              </w:rPr>
            </m:ctrlPr>
          </m:dPr>
          <m:e>
            <m:r>
              <m:rPr>
                <m:nor/>
              </m:rPr>
              <w:rPr>
                <w:i/>
              </w:rPr>
              <m:t>1</m:t>
            </m:r>
            <m:r>
              <w:rPr>
                <w:rFonts w:ascii="Cambria Math" w:hAnsi="Cambria Math"/>
              </w:rPr>
              <m:t>-</m:t>
            </m:r>
            <m:sSubSup>
              <m:sSubSupPr>
                <m:ctrlPr>
                  <w:rPr>
                    <w:rFonts w:ascii="Cambria Math" w:hAnsi="Cambria Math"/>
                    <w:i/>
                    <w:lang w:val="fr-FR"/>
                  </w:rPr>
                </m:ctrlPr>
              </m:sSubSupPr>
              <m:e>
                <m:r>
                  <m:rPr>
                    <m:nor/>
                  </m:rPr>
                  <w:rPr>
                    <w:i/>
                  </w:rPr>
                  <m:t>t</m:t>
                </m:r>
              </m:e>
              <m:sub>
                <m:r>
                  <m:rPr>
                    <m:nor/>
                  </m:rPr>
                  <w:rPr>
                    <w:i/>
                  </w:rPr>
                  <m:t>IRPF</m:t>
                </m:r>
              </m:sub>
              <m:sup>
                <m:r>
                  <m:rPr>
                    <m:nor/>
                  </m:rPr>
                  <w:rPr>
                    <w:i/>
                  </w:rPr>
                  <m:t>D</m:t>
                </m:r>
              </m:sup>
            </m:sSubSup>
          </m:e>
        </m:d>
        <m:r>
          <w:rPr>
            <w:rFonts w:ascii="Cambria Math" w:hAnsi="Cambria Math"/>
          </w:rPr>
          <m:t>=</m:t>
        </m:r>
        <m:d>
          <m:dPr>
            <m:ctrlPr>
              <w:rPr>
                <w:rFonts w:ascii="Cambria Math" w:hAnsi="Cambria Math"/>
                <w:i/>
              </w:rPr>
            </m:ctrlPr>
          </m:dPr>
          <m:e>
            <m:r>
              <m:rPr>
                <m:nor/>
              </m:rPr>
              <w:rPr>
                <w:i/>
              </w:rPr>
              <m:t>1</m:t>
            </m:r>
            <m:r>
              <w:rPr>
                <w:rFonts w:ascii="Cambria Math" w:hAnsi="Cambria Math"/>
              </w:rPr>
              <m:t>-</m:t>
            </m:r>
            <m:sSubSup>
              <m:sSubSupPr>
                <m:ctrlPr>
                  <w:rPr>
                    <w:rFonts w:ascii="Cambria Math" w:hAnsi="Cambria Math"/>
                    <w:i/>
                    <w:lang w:val="fr-FR"/>
                  </w:rPr>
                </m:ctrlPr>
              </m:sSubSupPr>
              <m:e>
                <m:r>
                  <m:rPr>
                    <m:nor/>
                  </m:rPr>
                  <w:rPr>
                    <w:i/>
                  </w:rPr>
                  <m:t>t</m:t>
                </m:r>
              </m:e>
              <m:sub>
                <m:r>
                  <m:rPr>
                    <m:nor/>
                  </m:rPr>
                  <w:rPr>
                    <w:i/>
                  </w:rPr>
                  <m:t>IRPF</m:t>
                </m:r>
              </m:sub>
              <m:sup>
                <m:r>
                  <m:rPr>
                    <m:nor/>
                  </m:rPr>
                  <w:rPr>
                    <w:i/>
                  </w:rPr>
                  <m:t>E</m:t>
                </m:r>
              </m:sup>
            </m:sSubSup>
          </m:e>
        </m:d>
      </m:oMath>
      <w:r w:rsidR="00AB0451" w:rsidRPr="00A127BE">
        <w:t xml:space="preserve">, </w:t>
      </w:r>
      <w:r w:rsidR="00F50F9C">
        <w:t>el escudo fiscal es igual al caso en que sólo tenemos en cuenta el impuesto de sociedades</w:t>
      </w:r>
      <w:r w:rsidR="00AB0451" w:rsidRPr="00A127BE">
        <w:t>.</w:t>
      </w:r>
    </w:p>
    <w:p w14:paraId="0439AEED" w14:textId="61265DC8" w:rsidR="003472F3" w:rsidRPr="00AB0451" w:rsidRDefault="003472F3" w:rsidP="00350A36">
      <w:pPr>
        <w:pStyle w:val="Nivel3SM"/>
      </w:pPr>
      <w:r w:rsidRPr="00AB0451">
        <w:t xml:space="preserve">Si </w:t>
      </w:r>
      <m:oMath>
        <m:d>
          <m:dPr>
            <m:ctrlPr>
              <w:rPr>
                <w:rFonts w:ascii="Cambria Math" w:hAnsi="Cambria Math"/>
                <w:i/>
              </w:rPr>
            </m:ctrlPr>
          </m:dPr>
          <m:e>
            <m:r>
              <m:rPr>
                <m:nor/>
              </m:rPr>
              <w:rPr>
                <w:i/>
              </w:rPr>
              <m:t>1</m:t>
            </m:r>
            <m:r>
              <w:rPr>
                <w:rFonts w:ascii="Cambria Math" w:hAnsi="Cambria Math"/>
              </w:rPr>
              <m:t>-</m:t>
            </m:r>
            <m:sSubSup>
              <m:sSubSupPr>
                <m:ctrlPr>
                  <w:rPr>
                    <w:rFonts w:ascii="Cambria Math" w:hAnsi="Cambria Math"/>
                    <w:i/>
                    <w:lang w:val="fr-FR"/>
                  </w:rPr>
                </m:ctrlPr>
              </m:sSubSupPr>
              <m:e>
                <m:r>
                  <m:rPr>
                    <m:nor/>
                  </m:rPr>
                  <w:rPr>
                    <w:i/>
                  </w:rPr>
                  <m:t>t</m:t>
                </m:r>
              </m:e>
              <m:sub>
                <m:r>
                  <m:rPr>
                    <m:nor/>
                  </m:rPr>
                  <w:rPr>
                    <w:i/>
                  </w:rPr>
                  <m:t>IRPF</m:t>
                </m:r>
              </m:sub>
              <m:sup>
                <m:r>
                  <m:rPr>
                    <m:nor/>
                  </m:rPr>
                  <w:rPr>
                    <w:i/>
                  </w:rPr>
                  <m:t>D</m:t>
                </m:r>
              </m:sup>
            </m:sSubSup>
          </m:e>
        </m:d>
        <m:r>
          <w:rPr>
            <w:rFonts w:ascii="Cambria Math" w:hAnsi="Cambria Math"/>
          </w:rPr>
          <m:t>&gt;</m:t>
        </m:r>
        <m:d>
          <m:dPr>
            <m:ctrlPr>
              <w:rPr>
                <w:rFonts w:ascii="Cambria Math" w:hAnsi="Cambria Math"/>
                <w:i/>
              </w:rPr>
            </m:ctrlPr>
          </m:dPr>
          <m:e>
            <m:r>
              <m:rPr>
                <m:nor/>
              </m:rPr>
              <w:rPr>
                <w:i/>
              </w:rPr>
              <m:t>1</m:t>
            </m:r>
            <m:r>
              <w:rPr>
                <w:rFonts w:ascii="Cambria Math" w:hAnsi="Cambria Math"/>
              </w:rPr>
              <m:t>-</m:t>
            </m:r>
            <m:sSubSup>
              <m:sSubSupPr>
                <m:ctrlPr>
                  <w:rPr>
                    <w:rFonts w:ascii="Cambria Math" w:hAnsi="Cambria Math"/>
                    <w:i/>
                    <w:lang w:val="fr-FR"/>
                  </w:rPr>
                </m:ctrlPr>
              </m:sSubSupPr>
              <m:e>
                <m:r>
                  <m:rPr>
                    <m:nor/>
                  </m:rPr>
                  <w:rPr>
                    <w:i/>
                  </w:rPr>
                  <m:t>t</m:t>
                </m:r>
              </m:e>
              <m:sub>
                <m:r>
                  <m:rPr>
                    <m:nor/>
                  </m:rPr>
                  <w:rPr>
                    <w:i/>
                  </w:rPr>
                  <m:t>IRPF</m:t>
                </m:r>
              </m:sub>
              <m:sup>
                <m:r>
                  <m:rPr>
                    <m:nor/>
                  </m:rPr>
                  <w:rPr>
                    <w:i/>
                  </w:rPr>
                  <m:t>E</m:t>
                </m:r>
              </m:sup>
            </m:sSubSup>
          </m:e>
        </m:d>
      </m:oMath>
      <w:r w:rsidR="00F50F9C" w:rsidRPr="00AB0451">
        <w:t xml:space="preserve">, </w:t>
      </w:r>
      <w:r w:rsidR="00F50F9C">
        <w:t xml:space="preserve">el escudo fiscal </w:t>
      </w:r>
      <w:r w:rsidR="008772F7">
        <w:t>tenderá a ser</w:t>
      </w:r>
      <w:r w:rsidR="00F50F9C">
        <w:t xml:space="preserve"> menor que en el caso en que sólo tenemos en cuenta el impuesto de sociedades (i.e. </w:t>
      </w:r>
      <w:r w:rsidR="00F50F9C">
        <w:rPr>
          <w:smallCaps/>
        </w:rPr>
        <w:t>Modigliani</w:t>
      </w:r>
      <w:r w:rsidR="00F50F9C">
        <w:t xml:space="preserve"> y </w:t>
      </w:r>
      <w:r w:rsidR="00F50F9C">
        <w:rPr>
          <w:smallCaps/>
        </w:rPr>
        <w:t>Miller</w:t>
      </w:r>
      <w:r w:rsidR="00F50F9C">
        <w:t xml:space="preserve"> (1963)).</w:t>
      </w:r>
    </w:p>
    <w:p w14:paraId="0D5AEB02" w14:textId="77777777" w:rsidR="008C74F9" w:rsidRDefault="00746FB8" w:rsidP="008C74F9">
      <w:pPr>
        <w:pStyle w:val="Nivel1SM"/>
        <w:keepNext/>
        <w:spacing w:after="0"/>
      </w:pPr>
      <w:r>
        <w:t>E</w:t>
      </w:r>
      <w:r w:rsidR="00A82034">
        <w:t>ste enfoque nos hace ver los impuestos podrían ser determinantes de la estructura financiera de las empresas. E</w:t>
      </w:r>
      <w:r>
        <w:t>n términos generales, el nivel de endeudamiento óptimo será directamente proporcional al tipo de gravamen del IS e inversamente proporcional al tipo de gravamen del IRPF.</w:t>
      </w:r>
    </w:p>
    <w:p w14:paraId="03A37600" w14:textId="23519F59" w:rsidR="00746FB8" w:rsidRDefault="008C74F9" w:rsidP="008C74F9">
      <w:pPr>
        <w:pStyle w:val="Nivel2SM"/>
      </w:pPr>
      <w:r>
        <w:t xml:space="preserve">Por tanto, en la vida real las cosas son más complicadas y hay que tener en cuenta el sistema fiscal, pero bien podría volverse a la conclusión inicial de </w:t>
      </w:r>
      <w:r>
        <w:rPr>
          <w:smallCaps/>
        </w:rPr>
        <w:t>Modigliani</w:t>
      </w:r>
      <w:r>
        <w:t xml:space="preserve"> y </w:t>
      </w:r>
      <w:r>
        <w:rPr>
          <w:smallCaps/>
        </w:rPr>
        <w:t>Miller</w:t>
      </w:r>
      <w:r>
        <w:t> (1958) si la cancelación de efectos entre ambos impuestos es completa.</w:t>
      </w:r>
    </w:p>
    <w:p w14:paraId="076491A5" w14:textId="12FD3507" w:rsidR="002F1679" w:rsidRDefault="009E6C76">
      <w:pPr>
        <w:pStyle w:val="Ttulo7"/>
        <w:numPr>
          <w:ilvl w:val="0"/>
          <w:numId w:val="27"/>
        </w:numPr>
        <w:ind w:left="850" w:hanging="113"/>
      </w:pPr>
      <w:bookmarkStart w:id="56" w:name="_Toc125044546"/>
      <w:r>
        <w:t>Efecto de l</w:t>
      </w:r>
      <w:r w:rsidR="002F1679">
        <w:t>os costes de insolvencia</w:t>
      </w:r>
      <w:r w:rsidR="0031650D">
        <w:t xml:space="preserve"> (</w:t>
      </w:r>
      <w:r w:rsidR="0031650D">
        <w:rPr>
          <w:smallCaps/>
        </w:rPr>
        <w:t>Kim</w:t>
      </w:r>
      <w:r w:rsidR="0031650D">
        <w:t>, 197</w:t>
      </w:r>
      <w:r w:rsidR="003D5636">
        <w:t>8</w:t>
      </w:r>
      <w:r w:rsidR="0031650D">
        <w:t>)</w:t>
      </w:r>
      <w:bookmarkEnd w:id="56"/>
    </w:p>
    <w:p w14:paraId="2CA5DBC8" w14:textId="5EA3417B" w:rsidR="00277374" w:rsidRDefault="00277374" w:rsidP="00976193">
      <w:pPr>
        <w:pStyle w:val="Nivel1SM"/>
        <w:spacing w:before="0"/>
      </w:pPr>
      <w:r>
        <w:t xml:space="preserve">Un endeudamiento excesivo tiene el riesgo que de la empresa se vea obligada a declararse </w:t>
      </w:r>
      <w:r>
        <w:rPr>
          <w:b/>
          <w:bCs/>
        </w:rPr>
        <w:t>insolvente</w:t>
      </w:r>
      <w:r>
        <w:t>, lo que incorpora costes (</w:t>
      </w:r>
      <w:proofErr w:type="spellStart"/>
      <w:r w:rsidR="003472F3">
        <w:rPr>
          <w:i/>
          <w:iCs/>
        </w:rPr>
        <w:t>bankruptcy</w:t>
      </w:r>
      <w:proofErr w:type="spellEnd"/>
      <w:r w:rsidR="003472F3">
        <w:rPr>
          <w:i/>
          <w:iCs/>
        </w:rPr>
        <w:t xml:space="preserve"> </w:t>
      </w:r>
      <w:proofErr w:type="spellStart"/>
      <w:r w:rsidR="003472F3" w:rsidRPr="003472F3">
        <w:rPr>
          <w:i/>
          <w:iCs/>
        </w:rPr>
        <w:t>costs</w:t>
      </w:r>
      <w:proofErr w:type="spellEnd"/>
      <w:r w:rsidR="003472F3">
        <w:t xml:space="preserve"> que pueden ser </w:t>
      </w:r>
      <w:r w:rsidRPr="003472F3">
        <w:t>de</w:t>
      </w:r>
      <w:r>
        <w:t xml:space="preserve"> tipo administrativo, honorarios de abogados, judiciales, deterioro de la imagen, prima de riesgo, etc.).</w:t>
      </w:r>
    </w:p>
    <w:p w14:paraId="673E4043" w14:textId="00ADED56" w:rsidR="00A002E0" w:rsidRDefault="00277374" w:rsidP="000077CB">
      <w:pPr>
        <w:pStyle w:val="Nivel1SM"/>
        <w:keepNext/>
        <w:spacing w:after="0"/>
      </w:pPr>
      <w:r>
        <w:t xml:space="preserve">Por lo tanto, a la hora de endeudarse existe un </w:t>
      </w:r>
      <w:proofErr w:type="spellStart"/>
      <w:r>
        <w:rPr>
          <w:b/>
          <w:bCs/>
        </w:rPr>
        <w:t>trade</w:t>
      </w:r>
      <w:proofErr w:type="spellEnd"/>
      <w:r>
        <w:rPr>
          <w:b/>
          <w:bCs/>
        </w:rPr>
        <w:t>-off</w:t>
      </w:r>
      <w:r>
        <w:t xml:space="preserve"> para la empresa entre las ventajas fiscales del impuesto de sociedades y las des</w:t>
      </w:r>
      <w:r w:rsidR="00D87A72">
        <w:t>v</w:t>
      </w:r>
      <w:r>
        <w:t>entajas de los costes por riesgo de insolvencia: para niveles de endeudamiento, la posibilidad de insolvencia es pequeña, y por tanto, las ventajas fiscales suelen dominar; sin embargo, conforme el endeudamiento aumenta, los costes esperados de insolvencia van aumentando.</w:t>
      </w:r>
      <w:r w:rsidR="00A002E0">
        <w:t xml:space="preserve"> </w:t>
      </w:r>
      <w:r w:rsidR="00A002E0" w:rsidRPr="00A002E0">
        <w:rPr>
          <w:b/>
          <w:bCs/>
        </w:rPr>
        <w:t>Esto supone en la práctica el principal freno a un excesivo endeudamiento</w:t>
      </w:r>
      <w:r w:rsidR="00A002E0">
        <w:t>.</w:t>
      </w:r>
    </w:p>
    <w:p w14:paraId="00DCF1CD" w14:textId="5322C7F4" w:rsidR="0028075B" w:rsidRDefault="00D87A72" w:rsidP="000077CB">
      <w:pPr>
        <w:pStyle w:val="Nivel2SM"/>
      </w:pPr>
      <w:r>
        <w:t>Por tanto, es de esperar que exista una estructura financiera óptima que no suponga un 100</w:t>
      </w:r>
      <w:r w:rsidR="00040BCA">
        <w:t> </w:t>
      </w:r>
      <w:r>
        <w:t>% de endeudamiento.</w:t>
      </w:r>
    </w:p>
    <w:p w14:paraId="16576932" w14:textId="7BF0841B" w:rsidR="00040BCA" w:rsidRDefault="00040BCA" w:rsidP="000077CB">
      <w:pPr>
        <w:pStyle w:val="Nivel1SM"/>
        <w:numPr>
          <w:ilvl w:val="0"/>
          <w:numId w:val="0"/>
        </w:numPr>
        <w:spacing w:after="0"/>
        <w:jc w:val="center"/>
      </w:pPr>
      <w:r>
        <w:rPr>
          <w:noProof/>
        </w:rPr>
        <w:drawing>
          <wp:inline distT="0" distB="0" distL="0" distR="0" wp14:anchorId="2F772D10" wp14:editId="5E058561">
            <wp:extent cx="2324100" cy="363440"/>
            <wp:effectExtent l="0" t="0" r="0" b="0"/>
            <wp:docPr id="3" name="Imagen 3" descr="Texto, Chat o mensaje d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 Chat o mensaje de texto&#10;&#10;Descripción generada automáticamente"/>
                    <pic:cNvPicPr/>
                  </pic:nvPicPr>
                  <pic:blipFill>
                    <a:blip r:embed="rId15"/>
                    <a:stretch>
                      <a:fillRect/>
                    </a:stretch>
                  </pic:blipFill>
                  <pic:spPr>
                    <a:xfrm>
                      <a:off x="0" y="0"/>
                      <a:ext cx="2389551" cy="373675"/>
                    </a:xfrm>
                    <a:prstGeom prst="rect">
                      <a:avLst/>
                    </a:prstGeom>
                  </pic:spPr>
                </pic:pic>
              </a:graphicData>
            </a:graphic>
          </wp:inline>
        </w:drawing>
      </w:r>
    </w:p>
    <w:p w14:paraId="5509021C" w14:textId="62BF777C" w:rsidR="000077CB" w:rsidRDefault="000077CB" w:rsidP="000077CB">
      <w:pPr>
        <w:pStyle w:val="Nivel1SM"/>
        <w:numPr>
          <w:ilvl w:val="0"/>
          <w:numId w:val="0"/>
        </w:numPr>
        <w:spacing w:before="0"/>
        <w:jc w:val="center"/>
      </w:pPr>
      <w:r>
        <w:rPr>
          <w:noProof/>
        </w:rPr>
        <w:drawing>
          <wp:inline distT="0" distB="0" distL="0" distR="0" wp14:anchorId="6B996AE0" wp14:editId="1CEFE024">
            <wp:extent cx="1619249" cy="1387928"/>
            <wp:effectExtent l="0" t="0" r="635" b="3175"/>
            <wp:docPr id="7" name="Imagen 7"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Diagrama&#10;&#10;Descripción generada automáticamente"/>
                    <pic:cNvPicPr/>
                  </pic:nvPicPr>
                  <pic:blipFill>
                    <a:blip r:embed="rId16"/>
                    <a:stretch>
                      <a:fillRect/>
                    </a:stretch>
                  </pic:blipFill>
                  <pic:spPr>
                    <a:xfrm>
                      <a:off x="0" y="0"/>
                      <a:ext cx="1629328" cy="1396567"/>
                    </a:xfrm>
                    <a:prstGeom prst="rect">
                      <a:avLst/>
                    </a:prstGeom>
                  </pic:spPr>
                </pic:pic>
              </a:graphicData>
            </a:graphic>
          </wp:inline>
        </w:drawing>
      </w:r>
    </w:p>
    <w:p w14:paraId="26629C8C" w14:textId="77777777" w:rsidR="00281F4D" w:rsidRDefault="00281F4D">
      <w:pPr>
        <w:pStyle w:val="Ttulo7"/>
        <w:numPr>
          <w:ilvl w:val="0"/>
          <w:numId w:val="27"/>
        </w:numPr>
        <w:ind w:left="850" w:hanging="113"/>
      </w:pPr>
      <w:bookmarkStart w:id="57" w:name="_Toc125044547"/>
      <w:r>
        <w:t>Agentes no racionales</w:t>
      </w:r>
    </w:p>
    <w:p w14:paraId="47309778" w14:textId="77777777" w:rsidR="00281F4D" w:rsidRDefault="00281F4D">
      <w:pPr>
        <w:pStyle w:val="Ttulo7"/>
        <w:numPr>
          <w:ilvl w:val="0"/>
          <w:numId w:val="27"/>
        </w:numPr>
        <w:ind w:left="850" w:hanging="113"/>
      </w:pPr>
      <w:r>
        <w:t>Costes de financiación distintos para empresas e inversores</w:t>
      </w:r>
    </w:p>
    <w:p w14:paraId="5EB12E23" w14:textId="4FA73DEA" w:rsidR="00281F4D" w:rsidRDefault="00281F4D">
      <w:pPr>
        <w:pStyle w:val="Ttulo7"/>
        <w:numPr>
          <w:ilvl w:val="0"/>
          <w:numId w:val="27"/>
        </w:numPr>
        <w:ind w:left="850" w:hanging="113"/>
      </w:pPr>
      <w:r>
        <w:t>Agentes aversos al riesgo</w:t>
      </w:r>
    </w:p>
    <w:p w14:paraId="1DFAAA41" w14:textId="268A2B74" w:rsidR="002649E5" w:rsidRDefault="00281F4D">
      <w:pPr>
        <w:pStyle w:val="Ttulo7"/>
        <w:numPr>
          <w:ilvl w:val="0"/>
          <w:numId w:val="27"/>
        </w:numPr>
        <w:ind w:left="850" w:hanging="113"/>
      </w:pPr>
      <w:r>
        <w:t xml:space="preserve">Existencia de incertidumbre: </w:t>
      </w:r>
      <w:r w:rsidR="002649E5">
        <w:t>Problemas de agencia</w:t>
      </w:r>
      <w:r w:rsidR="006569EC">
        <w:t xml:space="preserve"> y asimetrías de información</w:t>
      </w:r>
      <w:bookmarkEnd w:id="57"/>
    </w:p>
    <w:p w14:paraId="72834581" w14:textId="300A7A72" w:rsidR="00373316" w:rsidRDefault="008E50C4">
      <w:pPr>
        <w:pStyle w:val="Ttulo8"/>
        <w:numPr>
          <w:ilvl w:val="5"/>
          <w:numId w:val="21"/>
        </w:numPr>
        <w:spacing w:before="0"/>
        <w:ind w:left="1276" w:hanging="57"/>
      </w:pPr>
      <w:r>
        <w:t>Problemas de agencia</w:t>
      </w:r>
    </w:p>
    <w:p w14:paraId="600FB40B" w14:textId="12EED4BE" w:rsidR="00373316" w:rsidRPr="006155EF" w:rsidRDefault="00373316" w:rsidP="00373316">
      <w:pPr>
        <w:pStyle w:val="Notaalopositor"/>
        <w:rPr>
          <w:lang w:val="fr-FR"/>
        </w:rPr>
      </w:pPr>
      <w:r w:rsidRPr="006155EF">
        <w:rPr>
          <w:lang w:val="fr-FR"/>
        </w:rPr>
        <w:t xml:space="preserve">Ver </w:t>
      </w:r>
      <w:proofErr w:type="spellStart"/>
      <w:r w:rsidRPr="006155EF">
        <w:rPr>
          <w:smallCaps/>
          <w:lang w:val="fr-FR"/>
        </w:rPr>
        <w:t>Vernimmen</w:t>
      </w:r>
      <w:proofErr w:type="spellEnd"/>
      <w:r w:rsidRPr="006155EF">
        <w:rPr>
          <w:lang w:val="fr-FR"/>
        </w:rPr>
        <w:t xml:space="preserve"> </w:t>
      </w:r>
      <w:r w:rsidR="006155EF" w:rsidRPr="006155EF">
        <w:rPr>
          <w:lang w:val="fr-FR"/>
        </w:rPr>
        <w:t>et al.</w:t>
      </w:r>
      <w:r w:rsidR="006155EF">
        <w:rPr>
          <w:lang w:val="fr-FR"/>
        </w:rPr>
        <w:t xml:space="preserve"> </w:t>
      </w:r>
      <w:r w:rsidRPr="006155EF">
        <w:rPr>
          <w:lang w:val="fr-FR"/>
        </w:rPr>
        <w:t xml:space="preserve">(Section 33.3, </w:t>
      </w:r>
      <w:proofErr w:type="spellStart"/>
      <w:r w:rsidRPr="006155EF">
        <w:rPr>
          <w:lang w:val="fr-FR"/>
        </w:rPr>
        <w:t>págs</w:t>
      </w:r>
      <w:proofErr w:type="spellEnd"/>
      <w:r w:rsidRPr="006155EF">
        <w:rPr>
          <w:lang w:val="fr-FR"/>
        </w:rPr>
        <w:t>. 608-612)</w:t>
      </w:r>
    </w:p>
    <w:p w14:paraId="557AF478" w14:textId="77777777" w:rsidR="00373316" w:rsidRPr="002B455C" w:rsidRDefault="00373316" w:rsidP="00976193">
      <w:pPr>
        <w:pStyle w:val="Nivel1SM"/>
        <w:spacing w:before="0"/>
      </w:pPr>
      <w:r w:rsidRPr="002B455C">
        <w:t xml:space="preserve">Los </w:t>
      </w:r>
      <w:r w:rsidRPr="002B455C">
        <w:rPr>
          <w:u w:val="single"/>
        </w:rPr>
        <w:t>problemas de agencia</w:t>
      </w:r>
      <w:r w:rsidRPr="002B455C">
        <w:t xml:space="preserve"> </w:t>
      </w:r>
      <w:r w:rsidRPr="002B455C">
        <w:rPr>
          <w:color w:val="767171" w:themeColor="background2" w:themeShade="80"/>
          <w:sz w:val="19"/>
          <w:szCs w:val="19"/>
        </w:rPr>
        <w:t>[ver tema 3.A.13]</w:t>
      </w:r>
      <w:r w:rsidRPr="002B455C">
        <w:t xml:space="preserve"> aparecen cuando la estructura de incentivos de un agente le induce a tomar decisiones tendentes a realizar objetivos diferentes para los cuales ha sido designado. La estructura del capital puede ayudar a reducir los problemas de agencia, creando valor </w:t>
      </w:r>
      <w:r w:rsidRPr="002B455C">
        <w:lastRenderedPageBreak/>
        <w:t>y por ello, haciendo importante su determinación. La presencia de deuda en el capital de una empresa obliga a los managers a elegir proyectos que generen flujos de caja con mayor certeza, y los empujan a desechar proyectos de rentabilidad más dudosa más alineados con sus propios objetivos que con los del accionista. Un caso extremo de este fenómeno son los LBO (</w:t>
      </w:r>
      <w:proofErr w:type="spellStart"/>
      <w:r w:rsidRPr="002B455C">
        <w:rPr>
          <w:i/>
          <w:iCs/>
        </w:rPr>
        <w:t>leveraged</w:t>
      </w:r>
      <w:proofErr w:type="spellEnd"/>
      <w:r w:rsidRPr="002B455C">
        <w:rPr>
          <w:i/>
          <w:iCs/>
        </w:rPr>
        <w:t xml:space="preserve"> </w:t>
      </w:r>
      <w:proofErr w:type="spellStart"/>
      <w:r w:rsidRPr="002B455C">
        <w:rPr>
          <w:i/>
          <w:iCs/>
        </w:rPr>
        <w:t>buy-out</w:t>
      </w:r>
      <w:proofErr w:type="spellEnd"/>
      <w:r w:rsidRPr="002B455C">
        <w:t>) en los que los managers se convierten en dueños de la empresa tras endeudarse fuertemente</w:t>
      </w:r>
      <w:r>
        <w:t xml:space="preserve"> </w:t>
      </w:r>
      <w:r w:rsidRPr="00373316">
        <w:rPr>
          <w:color w:val="767171" w:themeColor="background2" w:themeShade="80"/>
          <w:sz w:val="19"/>
          <w:szCs w:val="19"/>
        </w:rPr>
        <w:t>[ver tema 3.B.4]</w:t>
      </w:r>
      <w:r w:rsidRPr="002B455C">
        <w:t>.</w:t>
      </w:r>
    </w:p>
    <w:p w14:paraId="0C3E565E" w14:textId="0EE49DB8" w:rsidR="008E50C4" w:rsidRDefault="00373316">
      <w:pPr>
        <w:pStyle w:val="Ttulo8"/>
        <w:numPr>
          <w:ilvl w:val="5"/>
          <w:numId w:val="21"/>
        </w:numPr>
        <w:ind w:left="1276" w:hanging="57"/>
      </w:pPr>
      <w:r>
        <w:t>S</w:t>
      </w:r>
      <w:r w:rsidR="008E50C4">
        <w:t>eñalización</w:t>
      </w:r>
    </w:p>
    <w:p w14:paraId="708A113F" w14:textId="77777777" w:rsidR="004008B7" w:rsidRDefault="002649E5" w:rsidP="00976193">
      <w:pPr>
        <w:pStyle w:val="Nivel1SM"/>
        <w:keepNext/>
        <w:spacing w:before="0" w:after="0"/>
      </w:pPr>
      <w:r w:rsidRPr="00913EAB">
        <w:t xml:space="preserve">Las </w:t>
      </w:r>
      <w:r w:rsidRPr="00913EAB">
        <w:rPr>
          <w:u w:val="single"/>
        </w:rPr>
        <w:t>asimetrías de información</w:t>
      </w:r>
      <w:r w:rsidRPr="00913EAB">
        <w:t xml:space="preserve"> pueden interaccionar con la presencia de deuda de tal manera que la estructura de capital sea relevante.</w:t>
      </w:r>
    </w:p>
    <w:p w14:paraId="5798D00C" w14:textId="77777777" w:rsidR="004008B7" w:rsidRDefault="004008B7" w:rsidP="004008B7">
      <w:pPr>
        <w:pStyle w:val="Nivel2SM"/>
      </w:pPr>
      <w:r w:rsidRPr="00913EAB">
        <w:t>De forma general, si los inversores disponen de menos información exigirán mayores rentabilidades y la empresa disminuirá su valor</w:t>
      </w:r>
      <w:r w:rsidRPr="00913EAB">
        <w:rPr>
          <w:rStyle w:val="Refdenotaalpie"/>
        </w:rPr>
        <w:footnoteReference w:id="32"/>
      </w:r>
      <w:r w:rsidRPr="00913EAB">
        <w:t>.</w:t>
      </w:r>
    </w:p>
    <w:p w14:paraId="030D38B8" w14:textId="238C87E5" w:rsidR="00913EAB" w:rsidRPr="00913EAB" w:rsidRDefault="002649E5" w:rsidP="00440B21">
      <w:pPr>
        <w:pStyle w:val="Nivel2SM"/>
        <w:keepNext/>
        <w:spacing w:after="0"/>
      </w:pPr>
      <w:r w:rsidRPr="00913EAB">
        <w:t>Dado que los managers y los accionistas –en menor medida</w:t>
      </w:r>
      <w:r w:rsidR="006569EC" w:rsidRPr="00913EAB">
        <w:t>–</w:t>
      </w:r>
      <w:r w:rsidRPr="00913EAB">
        <w:t xml:space="preserve"> disponen de información con la que el público no cuenta, cambios en la estructura de capital pueden servir para señalizar la marcha de la empresa.</w:t>
      </w:r>
      <w:r w:rsidR="004008B7">
        <w:t xml:space="preserve"> </w:t>
      </w:r>
      <w:r w:rsidRPr="00913EAB">
        <w:t>Por ejemplo,</w:t>
      </w:r>
    </w:p>
    <w:p w14:paraId="61192A7D" w14:textId="77777777" w:rsidR="00913EAB" w:rsidRPr="00913EAB" w:rsidRDefault="00913EAB" w:rsidP="00913EAB">
      <w:pPr>
        <w:pStyle w:val="Nivel3SM"/>
      </w:pPr>
      <w:r w:rsidRPr="00913EAB">
        <w:t>L</w:t>
      </w:r>
      <w:r w:rsidR="002649E5" w:rsidRPr="00913EAB">
        <w:t>os managers pueden endeudarse para señalizar optimismo respecto del comportamiento futuro.</w:t>
      </w:r>
    </w:p>
    <w:p w14:paraId="298FA7A7" w14:textId="77777777" w:rsidR="00913EAB" w:rsidRPr="00913EAB" w:rsidRDefault="002649E5" w:rsidP="00913EAB">
      <w:pPr>
        <w:pStyle w:val="Nivel3SM"/>
      </w:pPr>
      <w:r w:rsidRPr="00913EAB">
        <w:t>Ampliaciones de capital pueden indicar a los inversores externos o accionistas minoritarios que la acción está sobrevalorada.</w:t>
      </w:r>
    </w:p>
    <w:p w14:paraId="546ABE9D" w14:textId="02208A6B" w:rsidR="00741D8B" w:rsidRPr="00F03A71" w:rsidRDefault="00913EAB">
      <w:pPr>
        <w:pStyle w:val="Ttulo8"/>
        <w:numPr>
          <w:ilvl w:val="5"/>
          <w:numId w:val="21"/>
        </w:numPr>
        <w:ind w:left="1276" w:hanging="57"/>
        <w:rPr>
          <w:lang w:val="en-US"/>
        </w:rPr>
      </w:pPr>
      <w:r w:rsidRPr="00F03A71">
        <w:rPr>
          <w:smallCaps/>
          <w:lang w:val="en-US"/>
        </w:rPr>
        <w:t>Holmström</w:t>
      </w:r>
      <w:r w:rsidR="00E3262F" w:rsidRPr="00F03A71">
        <w:rPr>
          <w:lang w:val="en-US"/>
        </w:rPr>
        <w:t xml:space="preserve"> y </w:t>
      </w:r>
      <w:proofErr w:type="spellStart"/>
      <w:r w:rsidR="00E3262F" w:rsidRPr="00F03A71">
        <w:rPr>
          <w:smallCaps/>
          <w:lang w:val="en-US"/>
        </w:rPr>
        <w:t>Tirole</w:t>
      </w:r>
      <w:proofErr w:type="spellEnd"/>
      <w:r w:rsidR="00E3262F" w:rsidRPr="00F03A71">
        <w:rPr>
          <w:lang w:val="en-US"/>
        </w:rPr>
        <w:t xml:space="preserve"> (Inside and Outside Liquidity, 2013)</w:t>
      </w:r>
    </w:p>
    <w:p w14:paraId="3CA306CC" w14:textId="77777777" w:rsidR="004D215A" w:rsidRPr="00E7297E" w:rsidRDefault="00741D8B" w:rsidP="005B5161">
      <w:pPr>
        <w:pStyle w:val="Nivel1SM"/>
        <w:keepNext/>
        <w:spacing w:before="0" w:after="0"/>
        <w:rPr>
          <w:spacing w:val="-3"/>
        </w:rPr>
      </w:pPr>
      <w:bookmarkStart w:id="58" w:name="_Hlk125286610"/>
      <w:proofErr w:type="spellStart"/>
      <w:r w:rsidRPr="00E7297E">
        <w:rPr>
          <w:smallCaps/>
          <w:spacing w:val="-3"/>
        </w:rPr>
        <w:t>Holmström</w:t>
      </w:r>
      <w:proofErr w:type="spellEnd"/>
      <w:r w:rsidRPr="00E7297E">
        <w:rPr>
          <w:smallCaps/>
          <w:spacing w:val="-3"/>
        </w:rPr>
        <w:t xml:space="preserve"> </w:t>
      </w:r>
      <w:r w:rsidRPr="00E7297E">
        <w:rPr>
          <w:spacing w:val="-3"/>
        </w:rPr>
        <w:t>y</w:t>
      </w:r>
      <w:r w:rsidRPr="00E7297E">
        <w:rPr>
          <w:smallCaps/>
          <w:spacing w:val="-3"/>
        </w:rPr>
        <w:t xml:space="preserve"> </w:t>
      </w:r>
      <w:proofErr w:type="spellStart"/>
      <w:r w:rsidRPr="00E7297E">
        <w:rPr>
          <w:smallCaps/>
          <w:spacing w:val="-3"/>
        </w:rPr>
        <w:t>Tirole</w:t>
      </w:r>
      <w:proofErr w:type="spellEnd"/>
      <w:r w:rsidRPr="00E7297E">
        <w:rPr>
          <w:spacing w:val="-3"/>
        </w:rPr>
        <w:t xml:space="preserve"> (2013)</w:t>
      </w:r>
      <w:r w:rsidRPr="00E7297E">
        <w:rPr>
          <w:rStyle w:val="Refdenotaalpie"/>
          <w:smallCaps/>
          <w:spacing w:val="-3"/>
        </w:rPr>
        <w:footnoteReference w:id="33"/>
      </w:r>
      <w:r w:rsidRPr="00E7297E">
        <w:rPr>
          <w:spacing w:val="-3"/>
        </w:rPr>
        <w:t xml:space="preserve">, en su publicación </w:t>
      </w:r>
      <w:proofErr w:type="spellStart"/>
      <w:r w:rsidRPr="00E7297E">
        <w:rPr>
          <w:i/>
          <w:iCs/>
          <w:spacing w:val="-3"/>
        </w:rPr>
        <w:t>Inside</w:t>
      </w:r>
      <w:proofErr w:type="spellEnd"/>
      <w:r w:rsidRPr="00E7297E">
        <w:rPr>
          <w:i/>
          <w:iCs/>
          <w:spacing w:val="-3"/>
        </w:rPr>
        <w:t xml:space="preserve"> and </w:t>
      </w:r>
      <w:proofErr w:type="spellStart"/>
      <w:r w:rsidRPr="00E7297E">
        <w:rPr>
          <w:i/>
          <w:iCs/>
          <w:spacing w:val="-3"/>
        </w:rPr>
        <w:t>Outside</w:t>
      </w:r>
      <w:proofErr w:type="spellEnd"/>
      <w:r w:rsidRPr="00E7297E">
        <w:rPr>
          <w:i/>
          <w:iCs/>
          <w:spacing w:val="-3"/>
        </w:rPr>
        <w:t xml:space="preserve"> </w:t>
      </w:r>
      <w:proofErr w:type="spellStart"/>
      <w:r w:rsidRPr="00E7297E">
        <w:rPr>
          <w:i/>
          <w:iCs/>
          <w:spacing w:val="-3"/>
        </w:rPr>
        <w:t>Liquidity</w:t>
      </w:r>
      <w:proofErr w:type="spellEnd"/>
      <w:r w:rsidRPr="00E7297E">
        <w:rPr>
          <w:spacing w:val="-3"/>
        </w:rPr>
        <w:t xml:space="preserve"> comienzan su investigación con una pregunta fundamental </w:t>
      </w:r>
      <w:r w:rsidRPr="00E7297E">
        <w:rPr>
          <w:i/>
          <w:iCs/>
          <w:spacing w:val="-3"/>
        </w:rPr>
        <w:t>¿por qué mantienen las empresas amplios colchones de liquidez?</w:t>
      </w:r>
    </w:p>
    <w:p w14:paraId="78B08D86" w14:textId="2A40E600" w:rsidR="004D215A" w:rsidRPr="004D215A" w:rsidRDefault="00741D8B" w:rsidP="004D215A">
      <w:pPr>
        <w:pStyle w:val="Nivel2SM"/>
        <w:keepNext/>
        <w:spacing w:after="0"/>
        <w:rPr>
          <w:spacing w:val="-2"/>
        </w:rPr>
      </w:pPr>
      <w:r w:rsidRPr="004D215A">
        <w:rPr>
          <w:i/>
          <w:iCs/>
          <w:spacing w:val="-2"/>
        </w:rPr>
        <w:t>Desde el lado de los activos</w:t>
      </w:r>
      <w:r w:rsidRPr="004D215A">
        <w:rPr>
          <w:spacing w:val="-2"/>
        </w:rPr>
        <w:t xml:space="preserve">, las empresas retienen mucha liquidez en forma de efectivo, depósitos a la vista y de activos financieros de muy corta vida (para simplificar la exposición voy a llamar a estos </w:t>
      </w:r>
      <w:r w:rsidR="004008B7">
        <w:rPr>
          <w:spacing w:val="-2"/>
        </w:rPr>
        <w:t>3 </w:t>
      </w:r>
      <w:r w:rsidRPr="004D215A">
        <w:rPr>
          <w:spacing w:val="-2"/>
        </w:rPr>
        <w:t>componentes “efectivo”, aunque no sean literalmente monedas y billetes).</w:t>
      </w:r>
    </w:p>
    <w:p w14:paraId="6AA01B5B" w14:textId="48D1FE15" w:rsidR="004D215A" w:rsidRDefault="00741D8B" w:rsidP="00DF50DA">
      <w:pPr>
        <w:pStyle w:val="Nivel3SM"/>
      </w:pPr>
      <w:r>
        <w:t xml:space="preserve">Para hacernos una idea de que estamos hablando de cantidades más que considerables un dato es suficiente: las empresas del S&amp;P500 en </w:t>
      </w:r>
      <w:r w:rsidR="005B5161">
        <w:t>Estados Unidos</w:t>
      </w:r>
      <w:r>
        <w:t xml:space="preserve"> se sientan estos días en una cifra cercana a 1,45</w:t>
      </w:r>
      <w:r w:rsidR="005B5161">
        <w:t> </w:t>
      </w:r>
      <w:r>
        <w:t>billones de dólares (</w:t>
      </w:r>
      <w:proofErr w:type="spellStart"/>
      <w:r w:rsidRPr="00C63D60">
        <w:rPr>
          <w:i/>
          <w:iCs/>
        </w:rPr>
        <w:t>trillions</w:t>
      </w:r>
      <w:proofErr w:type="spellEnd"/>
      <w:r>
        <w:t>) en efectivo</w:t>
      </w:r>
      <w:r>
        <w:rPr>
          <w:rStyle w:val="Refdenotaalpie"/>
        </w:rPr>
        <w:footnoteReference w:id="34"/>
      </w:r>
      <w:r>
        <w:t>.</w:t>
      </w:r>
      <w:r w:rsidR="00C63D60">
        <w:t xml:space="preserve"> </w:t>
      </w:r>
      <w:r w:rsidRPr="00C63D60">
        <w:rPr>
          <w:spacing w:val="-2"/>
        </w:rPr>
        <w:t>1</w:t>
      </w:r>
      <w:r w:rsidR="00F03A71" w:rsidRPr="00C63D60">
        <w:rPr>
          <w:spacing w:val="-2"/>
        </w:rPr>
        <w:t>,</w:t>
      </w:r>
      <w:r w:rsidRPr="00C63D60">
        <w:rPr>
          <w:spacing w:val="-2"/>
        </w:rPr>
        <w:t>45</w:t>
      </w:r>
      <w:r w:rsidR="005B5161">
        <w:rPr>
          <w:spacing w:val="-2"/>
        </w:rPr>
        <w:t> </w:t>
      </w:r>
      <w:r w:rsidRPr="00C63D60">
        <w:rPr>
          <w:spacing w:val="-2"/>
        </w:rPr>
        <w:t>billones de dólares viene a ser aproximadamente el valor del PIB de España y Portugal juntos.</w:t>
      </w:r>
      <w:r w:rsidR="00C63D60">
        <w:rPr>
          <w:spacing w:val="-2"/>
        </w:rPr>
        <w:t xml:space="preserve"> </w:t>
      </w:r>
      <w:r w:rsidRPr="001D16F0">
        <w:t>Y este total no incluye activos de madurez más alta pero que se pueden vender fácilmente, como acciones.</w:t>
      </w:r>
    </w:p>
    <w:p w14:paraId="16E67BFF" w14:textId="7F473A9A" w:rsidR="00741D8B" w:rsidRDefault="00741D8B" w:rsidP="004D215A">
      <w:pPr>
        <w:pStyle w:val="Nivel2SM"/>
      </w:pPr>
      <w:r w:rsidRPr="004D215A">
        <w:rPr>
          <w:i/>
          <w:iCs/>
        </w:rPr>
        <w:t>Desde el lado del pasivo</w:t>
      </w:r>
      <w:r w:rsidRPr="001D16F0">
        <w:t>, las empresas contratan líneas de crédito y otras facilidades, a menudo a un coste no trivial, para ser capaces de tomar prestadas elevadas cantidades de manera casi instantánea.</w:t>
      </w:r>
    </w:p>
    <w:p w14:paraId="21B746B6" w14:textId="77777777" w:rsidR="00C63D60" w:rsidRDefault="00741D8B" w:rsidP="00C63D60">
      <w:pPr>
        <w:pStyle w:val="Nivel1SM"/>
        <w:keepNext/>
        <w:spacing w:after="0"/>
      </w:pPr>
      <w:r>
        <w:t>Estas grandes masas de liquidez son difíciles de encajar con la idea de que los mercados financieros funcionan correctamente.</w:t>
      </w:r>
    </w:p>
    <w:p w14:paraId="2C5ABE8F" w14:textId="77777777" w:rsidR="00C63D60" w:rsidRDefault="00741D8B" w:rsidP="00C63D60">
      <w:pPr>
        <w:pStyle w:val="Nivel2SM"/>
        <w:keepNext/>
        <w:spacing w:after="0"/>
      </w:pPr>
      <w:r>
        <w:t>Pensemos por un momento en un mercado sin fricciones.</w:t>
      </w:r>
    </w:p>
    <w:p w14:paraId="50D4A75E" w14:textId="77777777" w:rsidR="00C63D60" w:rsidRDefault="00741D8B" w:rsidP="00C63D60">
      <w:pPr>
        <w:pStyle w:val="Nivel3SM"/>
      </w:pPr>
      <w:r>
        <w:t>En ese mundo sin fricciones, una empresa no necesita mantener más que una cantidad trivial de efectivo para sus pagos a diario</w:t>
      </w:r>
      <w:r w:rsidR="00C63D60">
        <w:t>,</w:t>
      </w:r>
      <w:r>
        <w:t xml:space="preserve"> </w:t>
      </w:r>
      <w:r w:rsidR="00C63D60">
        <w:t>pues s</w:t>
      </w:r>
      <w:r>
        <w:t>i en algún momento precisa de cantidades mayores puede acudir al mercado y emitir acciones o deuda para financiar sus necesidades adicionales.</w:t>
      </w:r>
    </w:p>
    <w:p w14:paraId="232FA34E" w14:textId="77ACDA52" w:rsidR="00741D8B" w:rsidRDefault="00741D8B" w:rsidP="00C63D60">
      <w:pPr>
        <w:pStyle w:val="Nivel3SM"/>
      </w:pPr>
      <w:r>
        <w:t xml:space="preserve">El efectivo por encima de </w:t>
      </w:r>
      <w:r w:rsidR="00C63D60">
        <w:t>es</w:t>
      </w:r>
      <w:r>
        <w:t>a cantidad mínima de caja puede ser invertido en proyectos que tengan un valor presente más alto que el coste de oportunidad de los fondos (adecuadamente ajustado por riesgo), empleado para liquidar deuda (muchas de estas empresas tienen deuda viva por la que pagan intereses más altos que los que obtienen por su efectivo) o devuelto a los accionistas en forma de dividendos o de recompra de acciones.</w:t>
      </w:r>
    </w:p>
    <w:p w14:paraId="7598AD9E" w14:textId="155DF0A6" w:rsidR="00741D8B" w:rsidRDefault="00741D8B" w:rsidP="00C63D60">
      <w:pPr>
        <w:pStyle w:val="Nivel1SM"/>
        <w:keepNext/>
        <w:spacing w:after="0"/>
      </w:pPr>
      <w:r>
        <w:lastRenderedPageBreak/>
        <w:t>¿Qué falla en los mercados financieros? ¿Cómo explicamos este comportamiento aparentemente contradictorio con lo que esperaríamos de los mercados financieros?</w:t>
      </w:r>
      <w:r w:rsidR="00CC4F34">
        <w:rPr>
          <w:rStyle w:val="Refdenotaalpie"/>
        </w:rPr>
        <w:footnoteReference w:id="35"/>
      </w:r>
    </w:p>
    <w:p w14:paraId="6507FC2B" w14:textId="77777777" w:rsidR="00C63D60" w:rsidRDefault="00741D8B" w:rsidP="00C63D60">
      <w:pPr>
        <w:pStyle w:val="Nivel2SM"/>
        <w:keepNext/>
        <w:spacing w:after="0"/>
      </w:pPr>
      <w:proofErr w:type="spellStart"/>
      <w:r w:rsidRPr="001512BB">
        <w:rPr>
          <w:smallCaps/>
        </w:rPr>
        <w:t>Holmström</w:t>
      </w:r>
      <w:proofErr w:type="spellEnd"/>
      <w:r>
        <w:t xml:space="preserve"> y </w:t>
      </w:r>
      <w:proofErr w:type="spellStart"/>
      <w:r w:rsidRPr="001512BB">
        <w:rPr>
          <w:smallCaps/>
        </w:rPr>
        <w:t>Tirole</w:t>
      </w:r>
      <w:proofErr w:type="spellEnd"/>
      <w:r>
        <w:t xml:space="preserve"> parten de la observación de que los mercados financieros están plagados de información asimétrica</w:t>
      </w:r>
      <w:r w:rsidRPr="001512BB">
        <w:rPr>
          <w:color w:val="767171" w:themeColor="background2" w:themeShade="80"/>
          <w:sz w:val="19"/>
          <w:szCs w:val="19"/>
        </w:rPr>
        <w:t xml:space="preserve"> [</w:t>
      </w:r>
      <w:r>
        <w:rPr>
          <w:color w:val="767171" w:themeColor="background2" w:themeShade="80"/>
          <w:sz w:val="19"/>
          <w:szCs w:val="19"/>
        </w:rPr>
        <w:t>ver tema 3.A.13</w:t>
      </w:r>
      <w:r w:rsidRPr="001512BB">
        <w:rPr>
          <w:color w:val="767171" w:themeColor="background2" w:themeShade="80"/>
          <w:sz w:val="19"/>
          <w:szCs w:val="19"/>
        </w:rPr>
        <w:t>]</w:t>
      </w:r>
      <w:r>
        <w:t>.</w:t>
      </w:r>
    </w:p>
    <w:p w14:paraId="6B4FE33B" w14:textId="77777777" w:rsidR="00C63D60" w:rsidRDefault="00741D8B" w:rsidP="00C63D60">
      <w:pPr>
        <w:pStyle w:val="Nivel3SM"/>
      </w:pPr>
      <w:r>
        <w:t>Los directivos tienen más información sobre la generación de flujos de caja futuros que los financiadores de la empresa. La verificación de la rentabilidad de futuras inversiones de la empresa es costosa e incierta.</w:t>
      </w:r>
    </w:p>
    <w:p w14:paraId="7D496EC5" w14:textId="4DC72128" w:rsidR="00741D8B" w:rsidRDefault="00741D8B" w:rsidP="00C63D60">
      <w:pPr>
        <w:pStyle w:val="Nivel3SM"/>
      </w:pPr>
      <w:r>
        <w:t>El problema es que sin verificación no hay financiación suficiente y se pierden beneficios potenciales. Ante estas dificultades, una empresa puede decidir mantener suficiente efectivo sin necesidad de ir al mercado.</w:t>
      </w:r>
    </w:p>
    <w:p w14:paraId="38AE6F09" w14:textId="062C29E9" w:rsidR="00741D8B" w:rsidRDefault="00C63D60" w:rsidP="00C63D60">
      <w:pPr>
        <w:pStyle w:val="Nivel1SM"/>
        <w:keepNext/>
        <w:spacing w:after="0"/>
      </w:pPr>
      <w:r>
        <w:t xml:space="preserve">Por lo tanto, del estudio de </w:t>
      </w:r>
      <w:proofErr w:type="spellStart"/>
      <w:r w:rsidRPr="006C009F">
        <w:rPr>
          <w:smallCaps/>
        </w:rPr>
        <w:t>Holmström</w:t>
      </w:r>
      <w:proofErr w:type="spellEnd"/>
      <w:r>
        <w:t xml:space="preserve"> y </w:t>
      </w:r>
      <w:proofErr w:type="spellStart"/>
      <w:r>
        <w:rPr>
          <w:smallCaps/>
        </w:rPr>
        <w:t>Tirole</w:t>
      </w:r>
      <w:proofErr w:type="spellEnd"/>
      <w:r>
        <w:t xml:space="preserve"> podemos </w:t>
      </w:r>
      <w:r w:rsidR="00114141">
        <w:t>rescata</w:t>
      </w:r>
      <w:r>
        <w:t xml:space="preserve">r </w:t>
      </w:r>
      <w:r w:rsidRPr="00114141">
        <w:rPr>
          <w:b/>
          <w:bCs/>
        </w:rPr>
        <w:t>3</w:t>
      </w:r>
      <w:r w:rsidR="005B5161">
        <w:rPr>
          <w:b/>
          <w:bCs/>
        </w:rPr>
        <w:t> </w:t>
      </w:r>
      <w:r w:rsidR="00114141" w:rsidRPr="00114141">
        <w:rPr>
          <w:b/>
          <w:bCs/>
        </w:rPr>
        <w:t>corolario</w:t>
      </w:r>
      <w:r w:rsidRPr="00114141">
        <w:rPr>
          <w:b/>
          <w:bCs/>
        </w:rPr>
        <w:t>s</w:t>
      </w:r>
      <w:r>
        <w:t xml:space="preserve"> principales:</w:t>
      </w:r>
    </w:p>
    <w:p w14:paraId="21D645AC" w14:textId="356ACADE" w:rsidR="00C63D60" w:rsidRDefault="00C1420D">
      <w:pPr>
        <w:pStyle w:val="Prrafodelista"/>
        <w:numPr>
          <w:ilvl w:val="7"/>
          <w:numId w:val="27"/>
        </w:numPr>
        <w:spacing w:after="100"/>
        <w:ind w:left="568" w:hanging="284"/>
      </w:pPr>
      <w:r>
        <w:t>Este</w:t>
      </w:r>
      <w:r w:rsidR="00C90DC8">
        <w:t xml:space="preserve"> </w:t>
      </w:r>
      <w:r>
        <w:t>estudio</w:t>
      </w:r>
      <w:r w:rsidR="00C90DC8">
        <w:t xml:space="preserve"> nos da un motivo por el que n</w:t>
      </w:r>
      <w:r w:rsidR="00C63D60">
        <w:t xml:space="preserve">o se cumple el teorema de </w:t>
      </w:r>
      <w:r w:rsidR="00C63D60" w:rsidRPr="00C63D60">
        <w:rPr>
          <w:smallCaps/>
        </w:rPr>
        <w:t>Modigliani</w:t>
      </w:r>
      <w:r w:rsidR="00C63D60">
        <w:t xml:space="preserve"> y </w:t>
      </w:r>
      <w:r w:rsidR="00C63D60" w:rsidRPr="00C63D60">
        <w:rPr>
          <w:smallCaps/>
        </w:rPr>
        <w:t>Miller</w:t>
      </w:r>
      <w:r w:rsidR="00C63D60">
        <w:t>, es decir, la estructura del pasivo de la empresa importa en su valoración. E</w:t>
      </w:r>
      <w:r w:rsidR="00114141">
        <w:t>n</w:t>
      </w:r>
      <w:r w:rsidR="00C63D60">
        <w:t xml:space="preserve"> particular, si las oportun</w:t>
      </w:r>
      <w:r w:rsidR="00114141">
        <w:t>idades de inversión llegan de manera aleatoria, la empresa precisa de tener liquidez de manera inmediata</w:t>
      </w:r>
      <w:r w:rsidR="00913EAB">
        <w:t>,</w:t>
      </w:r>
      <w:r w:rsidR="00114141">
        <w:t xml:space="preserve"> por ejemplo en términos de efectivo.</w:t>
      </w:r>
    </w:p>
    <w:p w14:paraId="119ADABE" w14:textId="3DB06679" w:rsidR="00114141" w:rsidRDefault="00114141">
      <w:pPr>
        <w:pStyle w:val="Prrafodelista"/>
        <w:numPr>
          <w:ilvl w:val="7"/>
          <w:numId w:val="27"/>
        </w:numPr>
        <w:spacing w:after="100"/>
        <w:ind w:left="568" w:hanging="284"/>
      </w:pPr>
      <w:r>
        <w:t>Este estudio nos da un motivo por el que el rendimiento de los fondos propios está por encima del rendimiento de los fondos ajenos (los mismos capturan las rentas informacionales).</w:t>
      </w:r>
    </w:p>
    <w:p w14:paraId="0A01E38C" w14:textId="3D27F408" w:rsidR="00114141" w:rsidRDefault="00114141">
      <w:pPr>
        <w:pStyle w:val="Prrafodelista"/>
        <w:numPr>
          <w:ilvl w:val="7"/>
          <w:numId w:val="27"/>
        </w:numPr>
        <w:spacing w:after="100"/>
        <w:ind w:left="568" w:hanging="284"/>
      </w:pPr>
      <w:r>
        <w:t xml:space="preserve">Este </w:t>
      </w:r>
      <w:r w:rsidR="00C1420D">
        <w:t>estudio</w:t>
      </w:r>
      <w:r>
        <w:t xml:space="preserve"> nos da un motivo para las diferencias en las estructuras de financiación de las empresas entre sectores. En un sector donde el porcentaje de verificación es muy alto </w:t>
      </w:r>
      <w:r w:rsidRPr="00114141">
        <w:t>(por ejemplo, en un sector maduro donde todos los participantes conocen bien cómo funciona</w:t>
      </w:r>
      <w:r>
        <w:t xml:space="preserve"> el proceso de</w:t>
      </w:r>
      <w:r w:rsidRPr="00114141">
        <w:t xml:space="preserve"> producción y el mercado de recursos)</w:t>
      </w:r>
      <w:r>
        <w:t>, las empresas necesitan menos fondos propios se podrán financiar en gran medida mediante deuda. En cambio</w:t>
      </w:r>
      <w:r w:rsidR="00221794">
        <w:t>,</w:t>
      </w:r>
      <w:r>
        <w:t xml:space="preserve"> en un sector donde el porcentaje de verificación de los proyectos de inversión es bajo (p.ej. el sector de las tecnológicas), las empresas necesitarán muchos recursos propios.</w:t>
      </w:r>
    </w:p>
    <w:bookmarkEnd w:id="58"/>
    <w:p w14:paraId="08589BE7" w14:textId="3D705455" w:rsidR="002B0988" w:rsidRDefault="002649E5" w:rsidP="004623D6">
      <w:pPr>
        <w:pStyle w:val="Notaalopositor"/>
        <w:jc w:val="center"/>
      </w:pPr>
      <w:r>
        <w:rPr>
          <w:noProof/>
        </w:rPr>
        <w:lastRenderedPageBreak/>
        <w:drawing>
          <wp:inline distT="0" distB="0" distL="0" distR="0" wp14:anchorId="7B58386B" wp14:editId="02794F9F">
            <wp:extent cx="3076575" cy="1819275"/>
            <wp:effectExtent l="0" t="0" r="9525" b="9525"/>
            <wp:docPr id="4" name="Imagen 4"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Aplicación&#10;&#10;Descripción generada automáticamente"/>
                    <pic:cNvPicPr/>
                  </pic:nvPicPr>
                  <pic:blipFill>
                    <a:blip r:embed="rId17"/>
                    <a:stretch>
                      <a:fillRect/>
                    </a:stretch>
                  </pic:blipFill>
                  <pic:spPr>
                    <a:xfrm>
                      <a:off x="0" y="0"/>
                      <a:ext cx="3076575" cy="1819275"/>
                    </a:xfrm>
                    <a:prstGeom prst="rect">
                      <a:avLst/>
                    </a:prstGeom>
                  </pic:spPr>
                </pic:pic>
              </a:graphicData>
            </a:graphic>
          </wp:inline>
        </w:drawing>
      </w:r>
    </w:p>
    <w:p w14:paraId="46C5F5CC" w14:textId="61DF8B14" w:rsidR="002649E5" w:rsidRDefault="002B0988" w:rsidP="004623D6">
      <w:pPr>
        <w:pStyle w:val="Notaalopositor"/>
      </w:pPr>
      <w:r>
        <w:t xml:space="preserve">En la práctica además existen </w:t>
      </w:r>
      <w:r w:rsidRPr="00A002E0">
        <w:rPr>
          <w:i/>
          <w:iCs/>
        </w:rPr>
        <w:t>problemas de agencia</w:t>
      </w:r>
      <w:r>
        <w:t xml:space="preserve"> (ver señalización en </w:t>
      </w:r>
      <w:proofErr w:type="spellStart"/>
      <w:r>
        <w:rPr>
          <w:smallCaps/>
        </w:rPr>
        <w:t>Vernimmen</w:t>
      </w:r>
      <w:proofErr w:type="spellEnd"/>
      <w:r>
        <w:t xml:space="preserve">) y </w:t>
      </w:r>
      <w:r w:rsidRPr="00A002E0">
        <w:rPr>
          <w:i/>
          <w:iCs/>
        </w:rPr>
        <w:t>asimetrías de información</w:t>
      </w:r>
      <w:r>
        <w:t xml:space="preserve"> (ver sustitución de activos en </w:t>
      </w:r>
      <w:r>
        <w:rPr>
          <w:smallCaps/>
        </w:rPr>
        <w:t>Jensen</w:t>
      </w:r>
      <w:r>
        <w:t xml:space="preserve"> y </w:t>
      </w:r>
      <w:proofErr w:type="spellStart"/>
      <w:r>
        <w:rPr>
          <w:smallCaps/>
        </w:rPr>
        <w:t>Mecklin</w:t>
      </w:r>
      <w:proofErr w:type="spellEnd"/>
      <w:r>
        <w:t>).</w:t>
      </w:r>
    </w:p>
    <w:p w14:paraId="3ACAAE7E" w14:textId="4A3A0E78" w:rsidR="005955A5" w:rsidRPr="005955A5" w:rsidRDefault="005955A5" w:rsidP="005955A5">
      <w:pPr>
        <w:pStyle w:val="Nivel1SM"/>
        <w:keepNext/>
        <w:spacing w:after="0"/>
        <w:rPr>
          <w:highlight w:val="yellow"/>
        </w:rPr>
      </w:pPr>
      <w:r w:rsidRPr="005955A5">
        <w:rPr>
          <w:highlight w:val="yellow"/>
        </w:rPr>
        <w:t>La elección de la ratio de endeudamiento en la práctica:</w:t>
      </w:r>
    </w:p>
    <w:p w14:paraId="2F5CD59C" w14:textId="70319FC1" w:rsidR="00944E9B" w:rsidRPr="005955A5" w:rsidRDefault="002649E5" w:rsidP="005955A5">
      <w:pPr>
        <w:pStyle w:val="Nivel2SM"/>
        <w:rPr>
          <w:highlight w:val="yellow"/>
        </w:rPr>
      </w:pPr>
      <w:r w:rsidRPr="00741D8B">
        <w:rPr>
          <w:highlight w:val="yellow"/>
        </w:rPr>
        <w:t>Finalmente, a</w:t>
      </w:r>
      <w:r w:rsidR="00944E9B" w:rsidRPr="00741D8B">
        <w:rPr>
          <w:highlight w:val="yellow"/>
        </w:rPr>
        <w:t xml:space="preserve"> la hora de tomar las decisiones de endeudamiento se debe hace un estudio de la situación real de la empresa, así como de sus previsiones de futuro atendiendo a f</w:t>
      </w:r>
      <w:r w:rsidR="007917AE" w:rsidRPr="00741D8B">
        <w:rPr>
          <w:highlight w:val="yellow"/>
        </w:rPr>
        <w:t>a</w:t>
      </w:r>
      <w:r w:rsidR="00944E9B" w:rsidRPr="00741D8B">
        <w:rPr>
          <w:highlight w:val="yellow"/>
        </w:rPr>
        <w:t xml:space="preserve">ctores como el sector económico al que pertenece la empresa, el régimen fiscal, la coyuntura económica, los riesgos </w:t>
      </w:r>
      <w:r w:rsidR="00944E9B" w:rsidRPr="005955A5">
        <w:rPr>
          <w:highlight w:val="yellow"/>
        </w:rPr>
        <w:t>asociados a las actividades productivas, el tamaño empresarial, el grado de internalización de la emp</w:t>
      </w:r>
      <w:r w:rsidR="007917AE" w:rsidRPr="005955A5">
        <w:rPr>
          <w:highlight w:val="yellow"/>
        </w:rPr>
        <w:t>r</w:t>
      </w:r>
      <w:r w:rsidR="00944E9B" w:rsidRPr="005955A5">
        <w:rPr>
          <w:highlight w:val="yellow"/>
        </w:rPr>
        <w:t>esa…</w:t>
      </w:r>
    </w:p>
    <w:p w14:paraId="76929B8B" w14:textId="7466FA4A" w:rsidR="00A01FF1" w:rsidRDefault="00F00A06" w:rsidP="00F00A06">
      <w:pPr>
        <w:pStyle w:val="Ttulo3"/>
      </w:pPr>
      <w:bookmarkStart w:id="59" w:name="_Toc125044548"/>
      <w:r>
        <w:t>Entonces ¿qué factores determinan el diseño de la estructura de capital?</w:t>
      </w:r>
      <w:bookmarkEnd w:id="59"/>
    </w:p>
    <w:p w14:paraId="3A1FA76C" w14:textId="50BF162E" w:rsidR="0090606F" w:rsidRDefault="00A01FF1" w:rsidP="00A5144B">
      <w:pPr>
        <w:pStyle w:val="Nivel1SM"/>
        <w:keepNext/>
        <w:spacing w:before="0" w:after="0"/>
      </w:pPr>
      <w:r>
        <w:t xml:space="preserve">Si la estructura de financiación es relevante a efectos del coste del capital, cabe interrogarse acerca del </w:t>
      </w:r>
      <w:r w:rsidRPr="0090606F">
        <w:rPr>
          <w:b/>
          <w:bCs/>
        </w:rPr>
        <w:t>diseño de la estructura de capital</w:t>
      </w:r>
      <w:r>
        <w:t>.</w:t>
      </w:r>
      <w:r w:rsidR="0090606F">
        <w:t xml:space="preserve"> </w:t>
      </w:r>
      <w:r>
        <w:t xml:space="preserve">De forma general, </w:t>
      </w:r>
      <w:r w:rsidRPr="0090606F">
        <w:rPr>
          <w:b/>
          <w:bCs/>
        </w:rPr>
        <w:t xml:space="preserve">la estructura óptima depende así de la </w:t>
      </w:r>
      <w:r w:rsidR="00F945E9" w:rsidRPr="0090606F">
        <w:rPr>
          <w:b/>
          <w:bCs/>
        </w:rPr>
        <w:t>empresa</w:t>
      </w:r>
      <w:r w:rsidRPr="0090606F">
        <w:rPr>
          <w:b/>
          <w:bCs/>
        </w:rPr>
        <w:t xml:space="preserve"> y del momento temporal</w:t>
      </w:r>
      <w:r>
        <w:t>. En ella influyen</w:t>
      </w:r>
      <w:r w:rsidR="0090606F">
        <w:t>:</w:t>
      </w:r>
    </w:p>
    <w:p w14:paraId="3A2B230B" w14:textId="77777777" w:rsidR="0090606F" w:rsidRDefault="0090606F" w:rsidP="0090606F">
      <w:pPr>
        <w:pStyle w:val="Nivel2SM"/>
      </w:pPr>
      <w:r>
        <w:rPr>
          <w:i/>
          <w:iCs/>
          <w:u w:val="single"/>
        </w:rPr>
        <w:t>F</w:t>
      </w:r>
      <w:r w:rsidR="00A01FF1" w:rsidRPr="00A92D87">
        <w:rPr>
          <w:i/>
          <w:iCs/>
          <w:u w:val="single"/>
        </w:rPr>
        <w:t>actores macroeconómicos</w:t>
      </w:r>
      <w:r w:rsidR="00FB6C6B" w:rsidRPr="00A92D87">
        <w:rPr>
          <w:sz w:val="18"/>
          <w:szCs w:val="18"/>
        </w:rPr>
        <w:t xml:space="preserve"> (factores que incentivan la sobreinversión como la inflación)</w:t>
      </w:r>
      <w:r w:rsidR="00A01FF1" w:rsidRPr="00A92D87">
        <w:t>,</w:t>
      </w:r>
    </w:p>
    <w:p w14:paraId="007C30D3" w14:textId="77777777" w:rsidR="0090606F" w:rsidRDefault="0090606F" w:rsidP="0090606F">
      <w:pPr>
        <w:pStyle w:val="Nivel2SM"/>
      </w:pPr>
      <w:r w:rsidRPr="0090606F">
        <w:t>L</w:t>
      </w:r>
      <w:r w:rsidR="00A01FF1" w:rsidRPr="00A92D87">
        <w:t xml:space="preserve">a </w:t>
      </w:r>
      <w:r w:rsidR="00A01FF1" w:rsidRPr="00A92D87">
        <w:rPr>
          <w:i/>
          <w:iCs/>
          <w:u w:val="single"/>
        </w:rPr>
        <w:t>aversión al riesgo de inversores y managers</w:t>
      </w:r>
      <w:r w:rsidR="00A01FF1" w:rsidRPr="00A92D87">
        <w:t xml:space="preserve"> en momentos determinados.</w:t>
      </w:r>
      <w:r w:rsidR="00A01FF1">
        <w:t xml:space="preserve"> </w:t>
      </w:r>
      <w:r w:rsidR="00C75C3B" w:rsidRPr="00850744">
        <w:rPr>
          <w:highlight w:val="yellow"/>
        </w:rPr>
        <w:t>En la práctica, la búsqueda de flexibilidad y la preservación de la calificación de la deuda son los factores principales en empresas de tamaño medio o grande.</w:t>
      </w:r>
    </w:p>
    <w:p w14:paraId="441DFAD1" w14:textId="77777777" w:rsidR="0090606F" w:rsidRDefault="000550AA" w:rsidP="0090606F">
      <w:pPr>
        <w:pStyle w:val="Nivel2SM"/>
        <w:keepNext/>
        <w:spacing w:after="0"/>
      </w:pPr>
      <w:r>
        <w:t xml:space="preserve">La </w:t>
      </w:r>
      <w:r w:rsidRPr="00741D8B">
        <w:rPr>
          <w:i/>
          <w:iCs/>
          <w:u w:val="single"/>
        </w:rPr>
        <w:t>fase</w:t>
      </w:r>
      <w:r w:rsidRPr="00741D8B">
        <w:rPr>
          <w:u w:val="single"/>
        </w:rPr>
        <w:t xml:space="preserve"> </w:t>
      </w:r>
      <w:r w:rsidR="00A01FF1" w:rsidRPr="00741D8B">
        <w:rPr>
          <w:i/>
          <w:iCs/>
          <w:u w:val="single"/>
        </w:rPr>
        <w:t xml:space="preserve">ciclo vital </w:t>
      </w:r>
      <w:r w:rsidRPr="00741D8B">
        <w:rPr>
          <w:i/>
          <w:iCs/>
          <w:u w:val="single"/>
        </w:rPr>
        <w:t>en la que se encuentre</w:t>
      </w:r>
      <w:r w:rsidR="00A01FF1" w:rsidRPr="00741D8B">
        <w:rPr>
          <w:i/>
          <w:iCs/>
          <w:u w:val="single"/>
        </w:rPr>
        <w:t xml:space="preserve"> la compañía</w:t>
      </w:r>
      <w:r w:rsidR="00A01FF1">
        <w:t xml:space="preserve"> </w:t>
      </w:r>
      <w:r>
        <w:t xml:space="preserve">también </w:t>
      </w:r>
      <w:r w:rsidR="00A01FF1">
        <w:t xml:space="preserve">caracteriza a menudo las decisiones de </w:t>
      </w:r>
      <w:r w:rsidR="00A01FF1" w:rsidRPr="00FB6C6B">
        <w:t>financiación.</w:t>
      </w:r>
    </w:p>
    <w:p w14:paraId="2095A24C" w14:textId="77777777" w:rsidR="0090606F" w:rsidRDefault="00A01FF1" w:rsidP="0090606F">
      <w:pPr>
        <w:pStyle w:val="Nivel3SM"/>
      </w:pPr>
      <w:r w:rsidRPr="00FB6C6B">
        <w:t xml:space="preserve">Así, en la fase de </w:t>
      </w:r>
      <w:proofErr w:type="spellStart"/>
      <w:r w:rsidRPr="00FB6C6B">
        <w:t>start</w:t>
      </w:r>
      <w:proofErr w:type="spellEnd"/>
      <w:r w:rsidRPr="00FB6C6B">
        <w:t xml:space="preserve">-up las empresas afrontan riesgos operativos muy elevados que hacen difícil el acceso a la deuda y se financian casi totalmente vía </w:t>
      </w:r>
      <w:proofErr w:type="spellStart"/>
      <w:r w:rsidRPr="00FB6C6B">
        <w:t>equity</w:t>
      </w:r>
      <w:proofErr w:type="spellEnd"/>
      <w:r w:rsidRPr="00FB6C6B">
        <w:t>.</w:t>
      </w:r>
    </w:p>
    <w:p w14:paraId="0A7E46C7" w14:textId="185F7198" w:rsidR="002B0988" w:rsidRPr="0090606F" w:rsidRDefault="00A01FF1" w:rsidP="0090606F">
      <w:pPr>
        <w:pStyle w:val="Nivel3SM"/>
        <w:rPr>
          <w:spacing w:val="-2"/>
        </w:rPr>
      </w:pPr>
      <w:r w:rsidRPr="0090606F">
        <w:rPr>
          <w:spacing w:val="-2"/>
        </w:rPr>
        <w:t>En mercados maduros, empresas con perspectivas estables tienden a preferir la financiación vía deuda.</w:t>
      </w:r>
    </w:p>
    <w:p w14:paraId="50816DA2" w14:textId="620A6950" w:rsidR="00A01FF1" w:rsidRDefault="00A01FF1" w:rsidP="005B5161">
      <w:pPr>
        <w:pStyle w:val="Nivel1SM"/>
        <w:spacing w:before="0"/>
      </w:pPr>
      <w:r>
        <w:t xml:space="preserve">La </w:t>
      </w:r>
      <w:r w:rsidRPr="000550AA">
        <w:rPr>
          <w:b/>
          <w:bCs/>
          <w:i/>
          <w:iCs/>
        </w:rPr>
        <w:t xml:space="preserve">teoría del </w:t>
      </w:r>
      <w:proofErr w:type="spellStart"/>
      <w:r w:rsidRPr="000550AA">
        <w:rPr>
          <w:b/>
          <w:bCs/>
          <w:i/>
          <w:iCs/>
        </w:rPr>
        <w:t>pecking</w:t>
      </w:r>
      <w:proofErr w:type="spellEnd"/>
      <w:r w:rsidRPr="000550AA">
        <w:rPr>
          <w:b/>
          <w:bCs/>
          <w:i/>
          <w:iCs/>
        </w:rPr>
        <w:t xml:space="preserve"> </w:t>
      </w:r>
      <w:proofErr w:type="spellStart"/>
      <w:r w:rsidRPr="000550AA">
        <w:rPr>
          <w:b/>
          <w:bCs/>
          <w:i/>
          <w:iCs/>
        </w:rPr>
        <w:t>order</w:t>
      </w:r>
      <w:proofErr w:type="spellEnd"/>
      <w:r w:rsidRPr="000550AA">
        <w:rPr>
          <w:b/>
          <w:bCs/>
          <w:i/>
          <w:iCs/>
        </w:rPr>
        <w:t xml:space="preserve"> o del orden jerárquico</w:t>
      </w:r>
      <w:r>
        <w:t xml:space="preserve"> propuesta por </w:t>
      </w:r>
      <w:r w:rsidRPr="00A01FF1">
        <w:rPr>
          <w:smallCaps/>
        </w:rPr>
        <w:t>Donaldson</w:t>
      </w:r>
      <w:r>
        <w:t xml:space="preserve"> (1</w:t>
      </w:r>
      <w:r w:rsidR="00267BC7">
        <w:t>96</w:t>
      </w:r>
      <w:r>
        <w:t>1)</w:t>
      </w:r>
      <w:r w:rsidR="00267BC7">
        <w:t xml:space="preserve"> y desarrollada por </w:t>
      </w:r>
      <w:r w:rsidR="00267BC7" w:rsidRPr="00A01FF1">
        <w:rPr>
          <w:smallCaps/>
        </w:rPr>
        <w:t>Myers</w:t>
      </w:r>
      <w:r w:rsidR="00267BC7">
        <w:t xml:space="preserve"> (1984)</w:t>
      </w:r>
      <w:r>
        <w:t>, caracteriza las decisiones de financiación en relación con el esfuerzo que suponen para los managers como resultado de</w:t>
      </w:r>
      <w:r w:rsidR="000550AA">
        <w:t xml:space="preserve"> </w:t>
      </w:r>
      <w:r>
        <w:t>l</w:t>
      </w:r>
      <w:r w:rsidR="000550AA">
        <w:t>a</w:t>
      </w:r>
      <w:r>
        <w:t xml:space="preserve"> </w:t>
      </w:r>
      <w:r w:rsidR="000550AA">
        <w:t>divulgación</w:t>
      </w:r>
      <w:r>
        <w:t xml:space="preserve"> y el marketing necesario</w:t>
      </w:r>
      <w:r w:rsidR="000550AA">
        <w:t>s</w:t>
      </w:r>
      <w:r>
        <w:t xml:space="preserve"> para vender activos financieros. Según el modelo, los managers prefieren así la autofinanciación a cualquier otra forma de financiación, y subsecuentemente la deuda a las ampliaciones de capital. De esta preferencia por la autofinanciación se deriva el problema </w:t>
      </w:r>
      <w:r w:rsidR="00036CBC">
        <w:t xml:space="preserve">de </w:t>
      </w:r>
      <w:r>
        <w:t>la valoración del coste del capital correcto: los managers pueden no estimar correctamente el coste del capital de las inversiones que llevan a cabo, lo que resultará a medio/largo plazo en un valor en libro</w:t>
      </w:r>
      <w:r w:rsidR="0094106C">
        <w:t>s</w:t>
      </w:r>
      <w:r>
        <w:t xml:space="preserve"> superior al valor de mercado</w:t>
      </w:r>
      <w:r w:rsidR="00154DC7">
        <w:rPr>
          <w:rStyle w:val="Refdenotaalpie"/>
        </w:rPr>
        <w:footnoteReference w:id="36"/>
      </w:r>
      <w:r>
        <w:t>.</w:t>
      </w:r>
    </w:p>
    <w:p w14:paraId="2F876F39" w14:textId="3CF6D66E" w:rsidR="00741D8B" w:rsidRPr="00741D8B" w:rsidRDefault="00741D8B" w:rsidP="00741D8B">
      <w:pPr>
        <w:pStyle w:val="Ttuloimagen"/>
        <w:rPr>
          <w:i/>
          <w:iCs/>
          <w:spacing w:val="-4"/>
          <w:sz w:val="18"/>
          <w:szCs w:val="18"/>
        </w:rPr>
      </w:pPr>
      <w:r w:rsidRPr="0060179A">
        <w:rPr>
          <w:spacing w:val="-4"/>
        </w:rPr>
        <w:lastRenderedPageBreak/>
        <w:t>Imagen</w:t>
      </w:r>
      <w:r w:rsidR="005B5161">
        <w:rPr>
          <w:spacing w:val="-4"/>
        </w:rPr>
        <w:t> </w:t>
      </w:r>
      <w:r w:rsidRPr="0060179A">
        <w:rPr>
          <w:spacing w:val="-4"/>
        </w:rPr>
        <w:fldChar w:fldCharType="begin"/>
      </w:r>
      <w:r w:rsidRPr="0060179A">
        <w:rPr>
          <w:spacing w:val="-4"/>
        </w:rPr>
        <w:instrText xml:space="preserve"> SEQ Ilustración \* ARABIC </w:instrText>
      </w:r>
      <w:r w:rsidRPr="0060179A">
        <w:rPr>
          <w:spacing w:val="-4"/>
        </w:rPr>
        <w:fldChar w:fldCharType="separate"/>
      </w:r>
      <w:r w:rsidR="00583A5D">
        <w:rPr>
          <w:spacing w:val="-4"/>
        </w:rPr>
        <w:t>6</w:t>
      </w:r>
      <w:r w:rsidRPr="0060179A">
        <w:rPr>
          <w:spacing w:val="-4"/>
        </w:rPr>
        <w:fldChar w:fldCharType="end"/>
      </w:r>
      <w:r w:rsidRPr="0060179A">
        <w:rPr>
          <w:smallCaps w:val="0"/>
          <w:spacing w:val="-4"/>
        </w:rPr>
        <w:t>.–</w:t>
      </w:r>
      <w:r w:rsidRPr="0060179A">
        <w:rPr>
          <w:i/>
          <w:iCs/>
          <w:smallCaps w:val="0"/>
          <w:spacing w:val="-4"/>
          <w:sz w:val="18"/>
          <w:szCs w:val="18"/>
        </w:rPr>
        <w:t xml:space="preserve"> </w:t>
      </w:r>
      <w:r>
        <w:rPr>
          <w:i/>
          <w:iCs/>
          <w:smallCaps w:val="0"/>
          <w:spacing w:val="-4"/>
          <w:sz w:val="18"/>
          <w:szCs w:val="18"/>
        </w:rPr>
        <w:t>Teoría del orden jeráriquico (pecking order)</w:t>
      </w:r>
    </w:p>
    <w:p w14:paraId="616F074E" w14:textId="0A5665AE" w:rsidR="001E4958" w:rsidRDefault="001E4958" w:rsidP="001E4958">
      <w:pPr>
        <w:pStyle w:val="Imagen"/>
      </w:pPr>
      <w:r>
        <w:drawing>
          <wp:inline distT="0" distB="0" distL="0" distR="0" wp14:anchorId="0C8BCA20" wp14:editId="1A3E01AF">
            <wp:extent cx="1759455" cy="1711570"/>
            <wp:effectExtent l="0" t="0" r="0" b="3175"/>
            <wp:docPr id="6" name="Imagen 6" descr="Leary and Roberts (2010) illustration of the pecking order theory... |  Download Scientif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ary and Roberts (2010) illustration of the pecking order theory... |  Download Scientific Diagram"/>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76674" cy="1728320"/>
                    </a:xfrm>
                    <a:prstGeom prst="rect">
                      <a:avLst/>
                    </a:prstGeom>
                    <a:noFill/>
                    <a:ln>
                      <a:noFill/>
                    </a:ln>
                  </pic:spPr>
                </pic:pic>
              </a:graphicData>
            </a:graphic>
          </wp:inline>
        </w:drawing>
      </w:r>
    </w:p>
    <w:p w14:paraId="3E4F971E" w14:textId="6CCE4ECA" w:rsidR="00741D8B" w:rsidRPr="00741D8B" w:rsidRDefault="00741D8B" w:rsidP="00741D8B">
      <w:pPr>
        <w:pStyle w:val="PiedeImagen"/>
        <w:rPr>
          <w:i w:val="0"/>
          <w:iCs/>
        </w:rPr>
      </w:pPr>
      <w:r w:rsidRPr="007E2E3B">
        <w:rPr>
          <w:lang w:val="en-US"/>
        </w:rPr>
        <w:t>Fuente</w:t>
      </w:r>
      <w:r w:rsidRPr="007E2E3B">
        <w:rPr>
          <w:i w:val="0"/>
          <w:iCs/>
          <w:lang w:val="en-US"/>
        </w:rPr>
        <w:t>:</w:t>
      </w:r>
      <w:r w:rsidR="007E2E3B" w:rsidRPr="007E2E3B">
        <w:rPr>
          <w:i w:val="0"/>
          <w:iCs/>
          <w:lang w:val="en-US"/>
        </w:rPr>
        <w:t xml:space="preserve"> Leary, M. T. &amp; Roberts, M. R. (2010). The pecking order, debt capacity, and information asymmetry. </w:t>
      </w:r>
      <w:r w:rsidR="007E2E3B" w:rsidRPr="007E2E3B">
        <w:t>Journal of Financial Economics, 95</w:t>
      </w:r>
      <w:r w:rsidR="007E2E3B" w:rsidRPr="007E2E3B">
        <w:rPr>
          <w:i w:val="0"/>
          <w:iCs/>
        </w:rPr>
        <w:t xml:space="preserve">(3), 332-355. </w:t>
      </w:r>
      <w:hyperlink r:id="rId19" w:history="1">
        <w:r w:rsidR="007E2E3B" w:rsidRPr="0092344E">
          <w:rPr>
            <w:rStyle w:val="Hipervnculo"/>
            <w:i w:val="0"/>
            <w:iCs/>
          </w:rPr>
          <w:t>https://doi.org/10.1016/j.jfineco.2009.10.009</w:t>
        </w:r>
      </w:hyperlink>
    </w:p>
    <w:p w14:paraId="26F58B04" w14:textId="314939C3" w:rsidR="002E0C48" w:rsidRDefault="002F1679" w:rsidP="00F352EF">
      <w:pPr>
        <w:pStyle w:val="Ttulo1"/>
      </w:pPr>
      <w:bookmarkStart w:id="60" w:name="_Toc125044549"/>
      <w:r>
        <w:t>POLÍTICA DE DIVIDENDOS</w:t>
      </w:r>
      <w:r w:rsidR="00F352EF">
        <w:br/>
      </w:r>
      <w:r w:rsidR="00F352EF">
        <w:rPr>
          <w:i/>
          <w:iCs/>
          <w:caps w:val="0"/>
        </w:rPr>
        <w:t>¿</w:t>
      </w:r>
      <w:r w:rsidR="003C3F19">
        <w:rPr>
          <w:i/>
          <w:iCs/>
          <w:caps w:val="0"/>
        </w:rPr>
        <w:t>CUÁNTO BENEFICIO DEBE REPARTIRSE A LOS ACCIONISTAS</w:t>
      </w:r>
      <w:r w:rsidR="00F352EF">
        <w:rPr>
          <w:i/>
          <w:iCs/>
          <w:caps w:val="0"/>
        </w:rPr>
        <w:t>?</w:t>
      </w:r>
      <w:bookmarkEnd w:id="60"/>
    </w:p>
    <w:p w14:paraId="0539F752" w14:textId="4B064220" w:rsidR="009F4408" w:rsidRDefault="009F4408" w:rsidP="00481420">
      <w:pPr>
        <w:pStyle w:val="Notaalopositor"/>
      </w:pPr>
      <w:r>
        <w:t>Corolario de la estructura de beneficios</w:t>
      </w:r>
    </w:p>
    <w:p w14:paraId="5B092C04" w14:textId="734CD02A" w:rsidR="00481420" w:rsidRDefault="00481420" w:rsidP="005B5161">
      <w:pPr>
        <w:pStyle w:val="Nivel1SM"/>
        <w:spacing w:before="0"/>
      </w:pPr>
      <w:r>
        <w:t>Finalmente, pasaremos revista a las principales aportaciones sobre la influencia de la política de dividendos de la empresa en el valor de las acciones.</w:t>
      </w:r>
    </w:p>
    <w:p w14:paraId="0233C424" w14:textId="5F69CD56" w:rsidR="00B85358" w:rsidRDefault="00B85358" w:rsidP="00B85358">
      <w:pPr>
        <w:pStyle w:val="Ttulo2"/>
      </w:pPr>
      <w:bookmarkStart w:id="61" w:name="_Toc125044550"/>
      <w:r>
        <w:t>¿Qué podemos hacer con los beneficios?</w:t>
      </w:r>
      <w:bookmarkEnd w:id="61"/>
    </w:p>
    <w:p w14:paraId="2E6D22BA" w14:textId="3E68555B" w:rsidR="00006BB1" w:rsidRDefault="00E23A51" w:rsidP="005B5161">
      <w:pPr>
        <w:pStyle w:val="Nivel1SM"/>
        <w:keepNext/>
        <w:spacing w:before="0" w:after="0"/>
      </w:pPr>
      <w:r>
        <w:t xml:space="preserve">Los beneficios que genera la empresa pueden tomar </w:t>
      </w:r>
      <w:r>
        <w:rPr>
          <w:b/>
          <w:bCs/>
        </w:rPr>
        <w:t>2</w:t>
      </w:r>
      <w:r w:rsidR="005B5161">
        <w:rPr>
          <w:b/>
          <w:bCs/>
        </w:rPr>
        <w:t> </w:t>
      </w:r>
      <w:r>
        <w:rPr>
          <w:b/>
          <w:bCs/>
        </w:rPr>
        <w:t>vías</w:t>
      </w:r>
      <w:r>
        <w:t>:</w:t>
      </w:r>
    </w:p>
    <w:p w14:paraId="235A19D6" w14:textId="0DC2CC2D" w:rsidR="00006BB1" w:rsidRDefault="00006BB1">
      <w:pPr>
        <w:pStyle w:val="Prrafodelista"/>
        <w:numPr>
          <w:ilvl w:val="6"/>
          <w:numId w:val="21"/>
        </w:numPr>
        <w:spacing w:after="100"/>
        <w:ind w:left="568" w:hanging="284"/>
      </w:pPr>
      <w:r>
        <w:t xml:space="preserve">Pueden ser </w:t>
      </w:r>
      <w:r w:rsidRPr="00006BB1">
        <w:rPr>
          <w:i/>
          <w:iCs/>
          <w:u w:val="single"/>
        </w:rPr>
        <w:t>reinvertidos</w:t>
      </w:r>
      <w:r>
        <w:t xml:space="preserve"> en la empresa; o</w:t>
      </w:r>
    </w:p>
    <w:p w14:paraId="544154BC" w14:textId="77777777" w:rsidR="002566A7" w:rsidRDefault="00006BB1">
      <w:pPr>
        <w:pStyle w:val="Prrafodelista"/>
        <w:numPr>
          <w:ilvl w:val="6"/>
          <w:numId w:val="21"/>
        </w:numPr>
        <w:spacing w:after="100"/>
        <w:ind w:left="568" w:hanging="284"/>
      </w:pPr>
      <w:r>
        <w:t>P</w:t>
      </w:r>
      <w:r w:rsidR="00E23A51">
        <w:t xml:space="preserve">ueden </w:t>
      </w:r>
      <w:r w:rsidR="00E23A51" w:rsidRPr="00006BB1">
        <w:rPr>
          <w:i/>
          <w:iCs/>
          <w:u w:val="single"/>
        </w:rPr>
        <w:t>distribuirse entre los accionistas</w:t>
      </w:r>
      <w:r>
        <w:t>.</w:t>
      </w:r>
    </w:p>
    <w:p w14:paraId="016591E0" w14:textId="03B65C5E" w:rsidR="002566A7" w:rsidRPr="002566A7" w:rsidRDefault="002566A7" w:rsidP="002566A7">
      <w:pPr>
        <w:pStyle w:val="Nivel1SM"/>
        <w:rPr>
          <w:b/>
          <w:bCs/>
        </w:rPr>
      </w:pPr>
      <w:r>
        <w:t xml:space="preserve">La </w:t>
      </w:r>
      <w:r w:rsidRPr="00006BB1">
        <w:rPr>
          <w:b/>
          <w:bCs/>
        </w:rPr>
        <w:t>política de dividendos</w:t>
      </w:r>
      <w:r>
        <w:t xml:space="preserve"> representa la decisión sobre qué proporción destinar a cada fin</w:t>
      </w:r>
      <w:r>
        <w:rPr>
          <w:rStyle w:val="Refdenotaalpie"/>
        </w:rPr>
        <w:footnoteReference w:id="37"/>
      </w:r>
      <w:r>
        <w:t>.</w:t>
      </w:r>
    </w:p>
    <w:p w14:paraId="1D37B3A7" w14:textId="77777777" w:rsidR="002566A7" w:rsidRDefault="002566A7" w:rsidP="002566A7">
      <w:pPr>
        <w:pStyle w:val="Nivel1SM"/>
        <w:keepNext/>
        <w:spacing w:after="0"/>
      </w:pPr>
      <w:r>
        <w:t>Más allá del debate sobre repartir o no repartir beneficios, y una vez decidido que es adecuado repartirlos, se plantea el problema sobre cómo repartirlo.</w:t>
      </w:r>
    </w:p>
    <w:p w14:paraId="1EE6C3CA" w14:textId="5C24AE64" w:rsidR="00006BB1" w:rsidRDefault="00006BB1" w:rsidP="00006BB1">
      <w:pPr>
        <w:pStyle w:val="Nivel2SM"/>
        <w:keepNext/>
        <w:spacing w:after="0"/>
      </w:pPr>
      <w:r>
        <w:t xml:space="preserve">Repartir </w:t>
      </w:r>
      <w:r w:rsidRPr="00AD5D3A">
        <w:rPr>
          <w:b/>
          <w:bCs/>
          <w:u w:val="single"/>
        </w:rPr>
        <w:t>dividendos</w:t>
      </w:r>
      <w:r>
        <w:t xml:space="preserve"> es la primera de las opciones y consiste en abonar a los accionistas una cantidad proporcional al número de acciones de manera periódica </w:t>
      </w:r>
      <w:r w:rsidR="002566A7">
        <w:t>(</w:t>
      </w:r>
      <w:r w:rsidRPr="001C6284">
        <w:rPr>
          <w:i/>
          <w:iCs/>
        </w:rPr>
        <w:t>dividendo ordinario</w:t>
      </w:r>
      <w:r w:rsidR="002566A7">
        <w:t>)</w:t>
      </w:r>
      <w:r>
        <w:t xml:space="preserve"> o cuando la empresa quiere repartir un beneficio derivado de una ganancia que previsiblemente no se repetirá</w:t>
      </w:r>
      <w:r w:rsidR="002566A7">
        <w:t xml:space="preserve"> (</w:t>
      </w:r>
      <w:r w:rsidR="002566A7">
        <w:rPr>
          <w:i/>
          <w:iCs/>
        </w:rPr>
        <w:t>dividendo</w:t>
      </w:r>
      <w:r w:rsidR="002566A7" w:rsidRPr="001C6284">
        <w:rPr>
          <w:i/>
          <w:iCs/>
        </w:rPr>
        <w:t xml:space="preserve"> extraordinari</w:t>
      </w:r>
      <w:r w:rsidR="002566A7">
        <w:rPr>
          <w:i/>
          <w:iCs/>
        </w:rPr>
        <w:t>o</w:t>
      </w:r>
      <w:r w:rsidR="002566A7">
        <w:t>)</w:t>
      </w:r>
      <w:r>
        <w:t>. El reparto de dividendos mantiene la estructura del accionariado, de forma que no se modifican las relaciones de poder en el seno de la junta de accionistas. En general, las empresas tienden a preferir mantener el dividendo para no generar un sentimiento desfavorable en los inversores, aunque este hecho se modula de forma acorde con la ciclicidad del sector considerado. Así, por ejemplo empresas en sectores fuertemente cíclicos muestran dividendos más volátiles. Es deseable que las políticas de dividendos sean lo más transparentes y creíbles para los inversores como sean posible.</w:t>
      </w:r>
    </w:p>
    <w:p w14:paraId="0FD8D5E0" w14:textId="77777777" w:rsidR="002566A7" w:rsidRDefault="00006BB1" w:rsidP="002566A7">
      <w:pPr>
        <w:pStyle w:val="Nivel3SM"/>
        <w:keepNext/>
      </w:pPr>
      <w:r>
        <w:t xml:space="preserve">Existen además </w:t>
      </w:r>
      <w:r w:rsidRPr="00AD5D3A">
        <w:rPr>
          <w:b/>
          <w:bCs/>
        </w:rPr>
        <w:t>distintas variantes</w:t>
      </w:r>
      <w:r>
        <w:t xml:space="preserve"> del dividendo ordinario tales como</w:t>
      </w:r>
      <w:r w:rsidR="002566A7">
        <w:t>:</w:t>
      </w:r>
    </w:p>
    <w:p w14:paraId="5A708F82" w14:textId="77777777" w:rsidR="002566A7" w:rsidRDefault="002566A7" w:rsidP="002566A7">
      <w:pPr>
        <w:pStyle w:val="Nivel4"/>
        <w:ind w:left="1474"/>
      </w:pPr>
      <w:r>
        <w:rPr>
          <w:i/>
          <w:iCs/>
        </w:rPr>
        <w:t>D</w:t>
      </w:r>
      <w:r w:rsidR="00006BB1" w:rsidRPr="00FD530C">
        <w:rPr>
          <w:i/>
          <w:iCs/>
        </w:rPr>
        <w:t>ividendos a cuenta</w:t>
      </w:r>
      <w:r w:rsidR="00006BB1">
        <w:t xml:space="preserve"> </w:t>
      </w:r>
      <w:r w:rsidR="00006BB1" w:rsidRPr="00FD530C">
        <w:t>que se entrega</w:t>
      </w:r>
      <w:r w:rsidR="00006BB1">
        <w:t>n</w:t>
      </w:r>
      <w:r w:rsidR="00006BB1" w:rsidRPr="00FD530C">
        <w:t xml:space="preserve"> a los accionistas antes de terminar el ejercicio</w:t>
      </w:r>
      <w:r>
        <w:t xml:space="preserve"> </w:t>
      </w:r>
      <w:r w:rsidR="00006BB1" w:rsidRPr="00FD530C">
        <w:t>como anticipo de los resultados finales que se espera</w:t>
      </w:r>
      <w:r w:rsidR="00006BB1">
        <w:t>n</w:t>
      </w:r>
      <w:r w:rsidR="00006BB1" w:rsidRPr="00FD530C">
        <w:t xml:space="preserve"> obtener </w:t>
      </w:r>
      <w:r w:rsidR="00006BB1">
        <w:t xml:space="preserve">(esto permite suavizar el perfil de tesorería de la empresa), </w:t>
      </w:r>
    </w:p>
    <w:p w14:paraId="699586AA" w14:textId="77777777" w:rsidR="002566A7" w:rsidRPr="002566A7" w:rsidRDefault="002566A7" w:rsidP="002566A7">
      <w:pPr>
        <w:pStyle w:val="Nivel4"/>
        <w:ind w:left="1474"/>
      </w:pPr>
      <w:r>
        <w:rPr>
          <w:i/>
          <w:iCs/>
        </w:rPr>
        <w:t>D</w:t>
      </w:r>
      <w:r w:rsidR="00006BB1" w:rsidRPr="002566A7">
        <w:rPr>
          <w:i/>
          <w:iCs/>
        </w:rPr>
        <w:t>ividendos en especie pagados en acciones</w:t>
      </w:r>
      <w:r w:rsidR="00006BB1">
        <w:t xml:space="preserve"> (</w:t>
      </w:r>
      <w:proofErr w:type="spellStart"/>
      <w:r w:rsidR="00006BB1" w:rsidRPr="00AD5D3A">
        <w:rPr>
          <w:i/>
          <w:iCs/>
        </w:rPr>
        <w:t>scrip</w:t>
      </w:r>
      <w:proofErr w:type="spellEnd"/>
      <w:r w:rsidR="00006BB1" w:rsidRPr="00AD5D3A">
        <w:rPr>
          <w:i/>
          <w:iCs/>
        </w:rPr>
        <w:t xml:space="preserve"> </w:t>
      </w:r>
      <w:proofErr w:type="spellStart"/>
      <w:r w:rsidR="00006BB1" w:rsidRPr="00AD5D3A">
        <w:rPr>
          <w:i/>
          <w:iCs/>
        </w:rPr>
        <w:t>dividend</w:t>
      </w:r>
      <w:proofErr w:type="spellEnd"/>
      <w:r w:rsidR="00006BB1">
        <w:t>)</w:t>
      </w:r>
      <w:r>
        <w:t xml:space="preserve">; </w:t>
      </w:r>
      <w:r w:rsidR="00006BB1">
        <w:t>o</w:t>
      </w:r>
    </w:p>
    <w:p w14:paraId="15F1DC4D" w14:textId="285C1980" w:rsidR="00006BB1" w:rsidRDefault="002566A7" w:rsidP="002566A7">
      <w:pPr>
        <w:pStyle w:val="Nivel4"/>
        <w:ind w:left="1474"/>
      </w:pPr>
      <w:r>
        <w:rPr>
          <w:i/>
          <w:iCs/>
        </w:rPr>
        <w:t>D</w:t>
      </w:r>
      <w:r w:rsidR="00006BB1" w:rsidRPr="00FD530C">
        <w:rPr>
          <w:i/>
          <w:iCs/>
        </w:rPr>
        <w:t>ividendo preferente pagado a accionistas que han mantenido la propiedad durante un periodo mínimo</w:t>
      </w:r>
      <w:r w:rsidR="00006BB1">
        <w:t xml:space="preserve"> (sólo algunas jurisdicciones lo permiten) o el </w:t>
      </w:r>
      <w:r w:rsidR="00006BB1" w:rsidRPr="00FD530C">
        <w:rPr>
          <w:i/>
          <w:iCs/>
        </w:rPr>
        <w:t>dividendo preferente pagado a acciones preferentes sin derecho a voto</w:t>
      </w:r>
      <w:r w:rsidR="00006BB1">
        <w:t>.</w:t>
      </w:r>
    </w:p>
    <w:p w14:paraId="4A497FFF" w14:textId="77777777" w:rsidR="008A75F0" w:rsidRPr="0090606F" w:rsidRDefault="00006BB1" w:rsidP="008A75F0">
      <w:pPr>
        <w:pStyle w:val="Nivel2SM"/>
        <w:keepNext/>
        <w:spacing w:after="0"/>
        <w:rPr>
          <w:spacing w:val="-4"/>
        </w:rPr>
      </w:pPr>
      <w:r w:rsidRPr="0090606F">
        <w:rPr>
          <w:spacing w:val="-4"/>
        </w:rPr>
        <w:lastRenderedPageBreak/>
        <w:t xml:space="preserve">La </w:t>
      </w:r>
      <w:r w:rsidRPr="0090606F">
        <w:rPr>
          <w:b/>
          <w:bCs/>
          <w:spacing w:val="-4"/>
          <w:u w:val="single"/>
        </w:rPr>
        <w:t xml:space="preserve">recompra de acciones o </w:t>
      </w:r>
      <w:r w:rsidRPr="0090606F">
        <w:rPr>
          <w:b/>
          <w:bCs/>
          <w:i/>
          <w:iCs/>
          <w:spacing w:val="-4"/>
          <w:u w:val="single"/>
        </w:rPr>
        <w:t xml:space="preserve">share </w:t>
      </w:r>
      <w:proofErr w:type="spellStart"/>
      <w:r w:rsidRPr="0090606F">
        <w:rPr>
          <w:b/>
          <w:bCs/>
          <w:i/>
          <w:iCs/>
          <w:spacing w:val="-4"/>
          <w:u w:val="single"/>
        </w:rPr>
        <w:t>buyback</w:t>
      </w:r>
      <w:proofErr w:type="spellEnd"/>
      <w:r w:rsidRPr="0090606F">
        <w:rPr>
          <w:spacing w:val="-4"/>
        </w:rPr>
        <w:t xml:space="preserve"> (o la redención de acciones</w:t>
      </w:r>
      <w:r w:rsidRPr="0090606F">
        <w:rPr>
          <w:rStyle w:val="Refdenotaalpie"/>
          <w:spacing w:val="-4"/>
        </w:rPr>
        <w:footnoteReference w:id="38"/>
      </w:r>
      <w:r w:rsidRPr="0090606F">
        <w:rPr>
          <w:spacing w:val="-4"/>
        </w:rPr>
        <w:t>, con un efecto muy similar) tiene a priori los mismos efectos que el reparto de dividendos sobre la estructura económica de la empresa. Sin embargo, desde el punto de vista financiero, existen claras diferencias</w:t>
      </w:r>
      <w:r w:rsidR="008A75F0" w:rsidRPr="0090606F">
        <w:rPr>
          <w:spacing w:val="-4"/>
        </w:rPr>
        <w:t>:</w:t>
      </w:r>
    </w:p>
    <w:p w14:paraId="63869272" w14:textId="77777777" w:rsidR="008A75F0" w:rsidRDefault="00006BB1" w:rsidP="008A75F0">
      <w:pPr>
        <w:pStyle w:val="Nivel3SM"/>
      </w:pPr>
      <w:r>
        <w:t>La recompra de acciones puede afectar a la estructura de accionariado, modificando el poder relativo de los diferentes propietarios. Permite más flexibilidad que el reparto de dividendos ya que no genera expectativas de mantenimiento y transmite menos información a accionistas.</w:t>
      </w:r>
    </w:p>
    <w:p w14:paraId="7A9D271F" w14:textId="7BC22EB3" w:rsidR="00006BB1" w:rsidRDefault="00006BB1" w:rsidP="008A75F0">
      <w:pPr>
        <w:pStyle w:val="Nivel3SM"/>
      </w:pPr>
      <w:r>
        <w:t>Además, afecta a determinad</w:t>
      </w:r>
      <w:r w:rsidR="002566A7">
        <w:t>a</w:t>
      </w:r>
      <w:r>
        <w:t xml:space="preserve">s ratios y precios tales como </w:t>
      </w:r>
      <w:r w:rsidR="002566A7">
        <w:t>la</w:t>
      </w:r>
      <w:r>
        <w:t xml:space="preserve"> ratio de endeudamiento o el valor de opciones sobre acciones (en algunas jurisdicciones es obligatorio corregir el strike de opciones tras una recompra).</w:t>
      </w:r>
    </w:p>
    <w:p w14:paraId="1D8BF2B2" w14:textId="482F657E" w:rsidR="00006BB1" w:rsidRDefault="00006BB1" w:rsidP="00006BB1">
      <w:pPr>
        <w:pStyle w:val="Nivel1SM"/>
      </w:pPr>
      <w:r>
        <w:t>Pero ¿por qué se pagan dividendos?</w:t>
      </w:r>
    </w:p>
    <w:p w14:paraId="1E8FDE11" w14:textId="49488C43" w:rsidR="00E23A51" w:rsidRDefault="00E23A51" w:rsidP="008233F9">
      <w:pPr>
        <w:pStyle w:val="Ttulo2"/>
      </w:pPr>
      <w:bookmarkStart w:id="62" w:name="_Toc125044551"/>
      <w:r>
        <w:t>¿Por qué se pagan dividendos?</w:t>
      </w:r>
      <w:bookmarkEnd w:id="62"/>
    </w:p>
    <w:p w14:paraId="473F65FF" w14:textId="38F5BAD6" w:rsidR="00E23A51" w:rsidRDefault="00E23A51" w:rsidP="005B5161">
      <w:pPr>
        <w:pStyle w:val="Ttulo3"/>
        <w:spacing w:before="0"/>
      </w:pPr>
      <w:bookmarkStart w:id="63" w:name="_Toc125044552"/>
      <w:r>
        <w:t>Teoría de la señalización</w:t>
      </w:r>
      <w:r w:rsidR="00C75C3B">
        <w:t xml:space="preserve"> (1980s)</w:t>
      </w:r>
      <w:bookmarkEnd w:id="63"/>
    </w:p>
    <w:p w14:paraId="541833D0" w14:textId="34DC2422" w:rsidR="00E23A51" w:rsidRDefault="00E23A51" w:rsidP="005B5161">
      <w:pPr>
        <w:pStyle w:val="Nivel1SM"/>
        <w:keepNext/>
        <w:spacing w:before="0" w:after="0"/>
      </w:pPr>
      <w:r>
        <w:t xml:space="preserve">La </w:t>
      </w:r>
      <w:r>
        <w:rPr>
          <w:b/>
          <w:bCs/>
        </w:rPr>
        <w:t>teoría de la señalización</w:t>
      </w:r>
      <w:r>
        <w:t xml:space="preserve"> es la teoría más aceptada a la hora de explicar por qué se pagan dividendos. Según esta teoría, los dividendos son para los accionistas un </w:t>
      </w:r>
      <w:r w:rsidRPr="00ED5BF4">
        <w:rPr>
          <w:i/>
          <w:iCs/>
          <w:u w:val="single"/>
        </w:rPr>
        <w:t>importante indicador del estado de la empresa</w:t>
      </w:r>
      <w:r>
        <w:t>.</w:t>
      </w:r>
    </w:p>
    <w:p w14:paraId="7C630344" w14:textId="66A1E91C" w:rsidR="00E23A51" w:rsidRDefault="00E23A51" w:rsidP="003E5E39">
      <w:pPr>
        <w:pStyle w:val="Nivel2SM"/>
      </w:pPr>
      <w:bookmarkStart w:id="64" w:name="_Hlk101957862"/>
      <w:r>
        <w:t xml:space="preserve">Y es que mientras que los </w:t>
      </w:r>
      <w:r>
        <w:rPr>
          <w:i/>
          <w:iCs/>
        </w:rPr>
        <w:t>beneficios</w:t>
      </w:r>
      <w:r>
        <w:t xml:space="preserve"> pueden no ser un buen indicador del estado de la empresa al poder verse influidos por la </w:t>
      </w:r>
      <w:r w:rsidRPr="00B947B1">
        <w:rPr>
          <w:i/>
          <w:iCs/>
        </w:rPr>
        <w:t>contabilidad creativa</w:t>
      </w:r>
      <w:r w:rsidR="00A92D87">
        <w:rPr>
          <w:rStyle w:val="Refdenotaalpie"/>
        </w:rPr>
        <w:footnoteReference w:id="39"/>
      </w:r>
      <w:r>
        <w:t xml:space="preserve">, un inversor puede tener la certeza de que si una empresa paga dividendos altos y estables, </w:t>
      </w:r>
      <w:r w:rsidR="000943B8">
        <w:t>e</w:t>
      </w:r>
      <w:r>
        <w:t xml:space="preserve">sta goza de buena salud, porque si no sería incapaz de mantener dichos </w:t>
      </w:r>
      <w:r w:rsidR="00ED5BF4">
        <w:t>dividendos.</w:t>
      </w:r>
    </w:p>
    <w:bookmarkEnd w:id="64"/>
    <w:p w14:paraId="1AF776CB" w14:textId="0EFF63F8" w:rsidR="00036B4D" w:rsidRDefault="00036B4D" w:rsidP="003E5E39">
      <w:pPr>
        <w:pStyle w:val="Nivel1SM"/>
        <w:keepNext/>
        <w:spacing w:after="0"/>
      </w:pPr>
      <w:r>
        <w:t xml:space="preserve">Una manera de señalizarse </w:t>
      </w:r>
      <w:r w:rsidRPr="00036B4D">
        <w:rPr>
          <w:color w:val="767171" w:themeColor="background2" w:themeShade="80"/>
          <w:sz w:val="19"/>
          <w:szCs w:val="19"/>
        </w:rPr>
        <w:t>[ver tema 3.A.13]</w:t>
      </w:r>
      <w:r>
        <w:t xml:space="preserve"> y mostrar que una empresa es realmente rentable es </w:t>
      </w:r>
      <w:r w:rsidRPr="00DF7F8B">
        <w:rPr>
          <w:i/>
          <w:iCs/>
        </w:rPr>
        <w:t>pagar dividendos</w:t>
      </w:r>
      <w:r>
        <w:t>. En este caso, la iniciativa surge de la parte informada (</w:t>
      </w:r>
      <w:r w:rsidR="00DF7F8B">
        <w:t xml:space="preserve">i.e. la </w:t>
      </w:r>
      <w:r w:rsidRPr="00DF7F8B">
        <w:t>empresa</w:t>
      </w:r>
      <w:r>
        <w:t>)</w:t>
      </w:r>
      <w:r w:rsidR="00F6286D">
        <w:t xml:space="preserve"> y trata de señalizar información sobre características no observables (</w:t>
      </w:r>
      <w:r w:rsidR="00DF7F8B">
        <w:t xml:space="preserve">i.e. </w:t>
      </w:r>
      <w:r w:rsidR="00F6286D" w:rsidRPr="00DF7F8B">
        <w:t>rentabilidad</w:t>
      </w:r>
      <w:r w:rsidR="00F6286D">
        <w:t>).</w:t>
      </w:r>
    </w:p>
    <w:p w14:paraId="76611670" w14:textId="77777777" w:rsidR="003E5E39" w:rsidRDefault="00F6286D" w:rsidP="003E5E39">
      <w:pPr>
        <w:pStyle w:val="Nivel2SM"/>
        <w:keepNext/>
        <w:spacing w:after="0"/>
      </w:pPr>
      <w:r>
        <w:t>La clave radica en que pagar dividendos tiene un coste de oportunidad y ese coste es mayor para empresas poco rentables.</w:t>
      </w:r>
    </w:p>
    <w:p w14:paraId="5F90661E" w14:textId="56CC4ADE" w:rsidR="00F6286D" w:rsidRDefault="00F6286D" w:rsidP="003E5E39">
      <w:pPr>
        <w:pStyle w:val="Nivel3SM"/>
      </w:pPr>
      <w:r>
        <w:t>Una empresa en apuros necesitará reinvertir los flujos de caja generados, por lo que no podrá pagar dividendos. Por tanto, pagar dividendos es una buena señal y puede convencer al mercado de que la empresa es rentable.</w:t>
      </w:r>
    </w:p>
    <w:p w14:paraId="5AE71EFB" w14:textId="77777777" w:rsidR="003E5E39" w:rsidRDefault="00F6286D" w:rsidP="003E5E39">
      <w:pPr>
        <w:pStyle w:val="Nivel2SM"/>
        <w:keepNext/>
        <w:spacing w:after="0"/>
      </w:pPr>
      <w:r>
        <w:t>Además, también es una manera de mostrar que la empresa tiene un plan para el futuro.</w:t>
      </w:r>
    </w:p>
    <w:p w14:paraId="119F2E6A" w14:textId="56A67711" w:rsidR="00F6286D" w:rsidRDefault="00F6286D" w:rsidP="003E5E39">
      <w:pPr>
        <w:pStyle w:val="Nivel3SM"/>
      </w:pPr>
      <w:r>
        <w:t>Si una empresa mantiene el dividendo cuando sus ingresos han caído, es una señal al mercado de que la caída será temporal y que se espera que los ingresos crezcan.</w:t>
      </w:r>
    </w:p>
    <w:p w14:paraId="4B32AE0D" w14:textId="73FFE6D1" w:rsidR="00D00CB2" w:rsidRPr="00F6286D" w:rsidRDefault="00D00CB2" w:rsidP="00D00CB2">
      <w:pPr>
        <w:pStyle w:val="Nivel1SM"/>
      </w:pPr>
      <w:r>
        <w:t>En definitiva, repartir dividendos puede mejorar las condiciones financieras de la empresa al señalizar que la empresa va bien</w:t>
      </w:r>
      <w:r w:rsidR="00E01F21">
        <w:rPr>
          <w:rStyle w:val="Refdenotaalpie"/>
        </w:rPr>
        <w:footnoteReference w:id="40"/>
      </w:r>
      <w:r>
        <w:t>.</w:t>
      </w:r>
    </w:p>
    <w:p w14:paraId="0704C1B4" w14:textId="611637B1" w:rsidR="00E23A51" w:rsidRDefault="00036B4D" w:rsidP="00E23A51">
      <w:pPr>
        <w:pStyle w:val="Ttulo3"/>
      </w:pPr>
      <w:bookmarkStart w:id="65" w:name="_Toc125044553"/>
      <w:r>
        <w:lastRenderedPageBreak/>
        <w:t>Teoría de los costes de agencia</w:t>
      </w:r>
      <w:bookmarkEnd w:id="65"/>
    </w:p>
    <w:p w14:paraId="6FE36151" w14:textId="77777777" w:rsidR="00D00CB2" w:rsidRPr="00D00CB2" w:rsidRDefault="00ED5BF4" w:rsidP="005B5161">
      <w:pPr>
        <w:pStyle w:val="Nivel1SM"/>
        <w:keepNext/>
        <w:spacing w:before="0" w:after="0"/>
        <w:rPr>
          <w:b/>
          <w:bCs/>
        </w:rPr>
      </w:pPr>
      <w:r>
        <w:t xml:space="preserve">La </w:t>
      </w:r>
      <w:r w:rsidRPr="00B00FA2">
        <w:t>obligación de repartir beneficios limita la discrecionalidad de los directivos sobre los flujos de caja, ya que deja parte</w:t>
      </w:r>
      <w:r>
        <w:t xml:space="preserve"> de éstos fuera de su control.</w:t>
      </w:r>
    </w:p>
    <w:p w14:paraId="563EAC2F" w14:textId="77777777" w:rsidR="00D00CB2" w:rsidRPr="00972435" w:rsidRDefault="00F6286D" w:rsidP="00D00CB2">
      <w:pPr>
        <w:pStyle w:val="Nivel2SM"/>
        <w:rPr>
          <w:b/>
          <w:bCs/>
          <w:spacing w:val="-5"/>
        </w:rPr>
      </w:pPr>
      <w:r w:rsidRPr="00972435">
        <w:rPr>
          <w:spacing w:val="-5"/>
        </w:rPr>
        <w:t xml:space="preserve">El hecho de que se tenga que repartir un porcentaje de los beneficios puede llevar a generar un </w:t>
      </w:r>
      <w:r w:rsidRPr="00972435">
        <w:rPr>
          <w:i/>
          <w:iCs/>
          <w:spacing w:val="-5"/>
        </w:rPr>
        <w:t>efecto disciplina</w:t>
      </w:r>
      <w:r w:rsidRPr="00972435">
        <w:rPr>
          <w:spacing w:val="-5"/>
        </w:rPr>
        <w:t xml:space="preserve"> en los directivos para emplear los recursos de la empresa de la mejor manera posible.</w:t>
      </w:r>
    </w:p>
    <w:p w14:paraId="3C8314D7" w14:textId="41B19F72" w:rsidR="00ED5BF4" w:rsidRPr="00036B4D" w:rsidRDefault="00F6286D" w:rsidP="00D00CB2">
      <w:pPr>
        <w:pStyle w:val="Nivel2SM"/>
        <w:rPr>
          <w:b/>
          <w:bCs/>
        </w:rPr>
      </w:pPr>
      <w:r>
        <w:t>Además, en el caso de necesitar financiación adicional manteniendo dividendos, siempre podrían acudir a la deuda, que es otro mecanismo que genera disciplina en los directivos.</w:t>
      </w:r>
    </w:p>
    <w:p w14:paraId="04B4374A" w14:textId="08ADC35B" w:rsidR="00036B4D" w:rsidRDefault="00036B4D" w:rsidP="00036B4D">
      <w:pPr>
        <w:pStyle w:val="Ttulo3"/>
      </w:pPr>
      <w:bookmarkStart w:id="66" w:name="_Toc125044554"/>
      <w:r>
        <w:t>Teoría de la preferencia impositiva</w:t>
      </w:r>
      <w:bookmarkEnd w:id="66"/>
    </w:p>
    <w:p w14:paraId="78AAE03D" w14:textId="68FA1212" w:rsidR="00ED5BF4" w:rsidRPr="00036B4D" w:rsidRDefault="00ED5BF4" w:rsidP="005B5161">
      <w:pPr>
        <w:pStyle w:val="Nivel1SM"/>
        <w:spacing w:before="0"/>
        <w:rPr>
          <w:b/>
          <w:bCs/>
        </w:rPr>
      </w:pPr>
      <w:r>
        <w:t xml:space="preserve">Cuando el inversor recibe un trato menos favorable por </w:t>
      </w:r>
      <w:r>
        <w:rPr>
          <w:i/>
          <w:iCs/>
        </w:rPr>
        <w:t>ganancias</w:t>
      </w:r>
      <w:r>
        <w:t xml:space="preserve"> de capital (p. ej. intereses de deuda) que por </w:t>
      </w:r>
      <w:r>
        <w:rPr>
          <w:i/>
          <w:iCs/>
        </w:rPr>
        <w:t>rendimientos</w:t>
      </w:r>
      <w:r>
        <w:t xml:space="preserve"> de capital (p.ej. dividendos de acciones), éste puede tener preferencia por acciones con altos dividendos.</w:t>
      </w:r>
    </w:p>
    <w:p w14:paraId="30E1A041" w14:textId="394C5A3D" w:rsidR="00036B4D" w:rsidRDefault="00036B4D" w:rsidP="00036B4D">
      <w:pPr>
        <w:pStyle w:val="Ttulo3"/>
      </w:pPr>
      <w:bookmarkStart w:id="67" w:name="_Toc125044555"/>
      <w:r>
        <w:t>Teoría de la captación de inversores institucionales</w:t>
      </w:r>
      <w:bookmarkEnd w:id="67"/>
    </w:p>
    <w:p w14:paraId="3416C444" w14:textId="11C4F0E9" w:rsidR="00ED5BF4" w:rsidRPr="00221794" w:rsidRDefault="00ED5BF4" w:rsidP="005B5161">
      <w:pPr>
        <w:pStyle w:val="Nivel1SM"/>
        <w:spacing w:before="0"/>
        <w:rPr>
          <w:b/>
          <w:bCs/>
        </w:rPr>
      </w:pPr>
      <w:r>
        <w:t>Hay ciertas instituciones que tienen prohibido invertir en empresas que repartan dividendos inferiores a un determinado umbral.</w:t>
      </w:r>
    </w:p>
    <w:p w14:paraId="0ED5D056" w14:textId="5E6392C2" w:rsidR="00221794" w:rsidRDefault="00221794" w:rsidP="00221794">
      <w:pPr>
        <w:pStyle w:val="Ttulo3"/>
      </w:pPr>
      <w:proofErr w:type="spellStart"/>
      <w:r>
        <w:t>Behavioral</w:t>
      </w:r>
      <w:proofErr w:type="spellEnd"/>
      <w:r>
        <w:t xml:space="preserve"> </w:t>
      </w:r>
      <w:proofErr w:type="spellStart"/>
      <w:r>
        <w:t>Finance</w:t>
      </w:r>
      <w:proofErr w:type="spellEnd"/>
    </w:p>
    <w:p w14:paraId="6E64E6D1" w14:textId="6F143BC6" w:rsidR="00221794" w:rsidRDefault="00221794" w:rsidP="00993A58">
      <w:pPr>
        <w:pStyle w:val="Nivel1SM"/>
        <w:spacing w:before="0"/>
      </w:pPr>
      <w:proofErr w:type="spellStart"/>
      <w:r w:rsidRPr="00385506">
        <w:rPr>
          <w:i/>
          <w:iCs/>
          <w:u w:val="single"/>
        </w:rPr>
        <w:t>Volatility</w:t>
      </w:r>
      <w:proofErr w:type="spellEnd"/>
      <w:r w:rsidRPr="00385506">
        <w:rPr>
          <w:i/>
          <w:iCs/>
          <w:u w:val="single"/>
        </w:rPr>
        <w:t xml:space="preserve"> </w:t>
      </w:r>
      <w:proofErr w:type="spellStart"/>
      <w:r w:rsidRPr="00385506">
        <w:rPr>
          <w:i/>
          <w:iCs/>
          <w:u w:val="single"/>
        </w:rPr>
        <w:t>puzzle</w:t>
      </w:r>
      <w:proofErr w:type="spellEnd"/>
      <w:r>
        <w:t xml:space="preserve">: ¿Por qué las cotizaciones de las acciones –que, en teoría, reflejan tan sólo el valor presente de su flujo futuro de dividendos– oscilan mucho más que los propios dividendos? La </w:t>
      </w:r>
      <w:proofErr w:type="spellStart"/>
      <w:r w:rsidRPr="003F6B27">
        <w:rPr>
          <w:i/>
          <w:iCs/>
        </w:rPr>
        <w:t>Prospect</w:t>
      </w:r>
      <w:proofErr w:type="spellEnd"/>
      <w:r w:rsidRPr="003F6B27">
        <w:rPr>
          <w:i/>
          <w:iCs/>
        </w:rPr>
        <w:t xml:space="preserve"> </w:t>
      </w:r>
      <w:proofErr w:type="spellStart"/>
      <w:r w:rsidRPr="003F6B27">
        <w:rPr>
          <w:i/>
          <w:iCs/>
        </w:rPr>
        <w:t>Theory</w:t>
      </w:r>
      <w:proofErr w:type="spellEnd"/>
      <w:r>
        <w:t xml:space="preserve"> lo fundamenta en el proceso psicológico de combinación de ganancias y pérdidas. En época de bonanza, cuando los dividendos y la Bolsa suben, los inversores acumulan ganancias latentes y pierden miedo a las futuras pérdidas, pues si </w:t>
      </w:r>
      <w:r w:rsidR="000943B8">
        <w:t>e</w:t>
      </w:r>
      <w:r>
        <w:t xml:space="preserve">stas se producen tan sólo minorarán las ganancias: no se verán, pues, como genuinas pérdidas, sino como </w:t>
      </w:r>
      <w:r w:rsidRPr="003F6B27">
        <w:rPr>
          <w:i/>
          <w:iCs/>
        </w:rPr>
        <w:t>menores ganancias</w:t>
      </w:r>
      <w:r>
        <w:t xml:space="preserve">. Ese </w:t>
      </w:r>
      <w:r w:rsidRPr="003F6B27">
        <w:rPr>
          <w:i/>
          <w:iCs/>
        </w:rPr>
        <w:t>neteo</w:t>
      </w:r>
      <w:r>
        <w:t xml:space="preserve"> psicológico reducirá su aversión al riesgo y su tasa subjetiva de descuento, lo que los llevará a estar dispuestos a pagar más por acción para un mismo nivel de dividendos. Así pues, un aumento de dividendos, al disminuir la prima de riesgo exigida por los inversores, hará que las cotizaciones suban por doble motivo. El proceso contrario se dará cuando bajen los dividendos. En suma, el </w:t>
      </w:r>
      <w:r w:rsidRPr="003F6B27">
        <w:rPr>
          <w:i/>
          <w:iCs/>
        </w:rPr>
        <w:t>efecto colchón</w:t>
      </w:r>
      <w:r>
        <w:t xml:space="preserve"> </w:t>
      </w:r>
      <w:r w:rsidRPr="00993A58">
        <w:t>de</w:t>
      </w:r>
      <w:r>
        <w:t xml:space="preserve"> las ganancias acumuladas durante la bonanza (llamado </w:t>
      </w:r>
      <w:proofErr w:type="spellStart"/>
      <w:r w:rsidRPr="003F6B27">
        <w:rPr>
          <w:i/>
          <w:iCs/>
        </w:rPr>
        <w:t>house</w:t>
      </w:r>
      <w:proofErr w:type="spellEnd"/>
      <w:r w:rsidRPr="003F6B27">
        <w:rPr>
          <w:i/>
          <w:iCs/>
        </w:rPr>
        <w:t xml:space="preserve"> </w:t>
      </w:r>
      <w:proofErr w:type="spellStart"/>
      <w:r w:rsidRPr="003F6B27">
        <w:rPr>
          <w:i/>
          <w:iCs/>
        </w:rPr>
        <w:t>money</w:t>
      </w:r>
      <w:proofErr w:type="spellEnd"/>
      <w:r w:rsidRPr="003F6B27">
        <w:rPr>
          <w:i/>
          <w:iCs/>
        </w:rPr>
        <w:t xml:space="preserve"> </w:t>
      </w:r>
      <w:proofErr w:type="spellStart"/>
      <w:r w:rsidRPr="003F6B27">
        <w:rPr>
          <w:i/>
          <w:iCs/>
        </w:rPr>
        <w:t>effect</w:t>
      </w:r>
      <w:proofErr w:type="spellEnd"/>
      <w:r>
        <w:t>, en alusión al optimismo típico del jugador de casino que va ganando) tendrá un efecto procíclico.</w:t>
      </w:r>
    </w:p>
    <w:p w14:paraId="603703A9" w14:textId="23F0E2A5" w:rsidR="00221794" w:rsidRPr="00006BB1" w:rsidRDefault="00221794" w:rsidP="00993A58">
      <w:pPr>
        <w:pStyle w:val="Nivel1SM"/>
        <w:rPr>
          <w:b/>
          <w:bCs/>
        </w:rPr>
      </w:pPr>
      <w:proofErr w:type="spellStart"/>
      <w:r w:rsidRPr="00385506">
        <w:rPr>
          <w:i/>
          <w:iCs/>
          <w:u w:val="single"/>
        </w:rPr>
        <w:t>Dividend</w:t>
      </w:r>
      <w:proofErr w:type="spellEnd"/>
      <w:r w:rsidRPr="00385506">
        <w:rPr>
          <w:i/>
          <w:iCs/>
          <w:u w:val="single"/>
        </w:rPr>
        <w:t xml:space="preserve"> </w:t>
      </w:r>
      <w:proofErr w:type="spellStart"/>
      <w:r w:rsidRPr="00385506">
        <w:rPr>
          <w:i/>
          <w:iCs/>
          <w:u w:val="single"/>
        </w:rPr>
        <w:t>puzzle</w:t>
      </w:r>
      <w:proofErr w:type="spellEnd"/>
      <w:r>
        <w:t xml:space="preserve">: ¿Por qué en Estados Unidos muchas empresas han seguido pagando dividendos, a pesar de que –por lo menos hasta ahora– tributaban más que las plusvalías? La </w:t>
      </w:r>
      <w:proofErr w:type="spellStart"/>
      <w:r w:rsidRPr="003F6B27">
        <w:rPr>
          <w:i/>
          <w:iCs/>
        </w:rPr>
        <w:t>Prospect</w:t>
      </w:r>
      <w:proofErr w:type="spellEnd"/>
      <w:r w:rsidRPr="003F6B27">
        <w:rPr>
          <w:i/>
          <w:iCs/>
        </w:rPr>
        <w:t xml:space="preserve"> </w:t>
      </w:r>
      <w:proofErr w:type="spellStart"/>
      <w:r w:rsidRPr="003F6B27">
        <w:rPr>
          <w:i/>
          <w:iCs/>
        </w:rPr>
        <w:t>Theory</w:t>
      </w:r>
      <w:proofErr w:type="spellEnd"/>
      <w:r>
        <w:t xml:space="preserve"> supone que las empresas razonan como Maquiavelo: </w:t>
      </w:r>
      <w:r w:rsidRPr="003F6B27">
        <w:rPr>
          <w:i/>
          <w:iCs/>
        </w:rPr>
        <w:t>por la misma razón que los actos de severidad deben hacerse de una vez para que dejando menos tiempo para notarlos ofenderán menos, los beneficios deben otorgarse poco a poco, a fin de que puedan saborearse mejor</w:t>
      </w:r>
      <w:r>
        <w:t>. De forma parecida, si una empresa consigue unos beneficios de 10 € por acción, podrá beneficiar al accionista si, en vez de transmitírselos en bloque, los fracciona (por ejemplo, en un dividendo de 2 € y una plusvalía latente de 8 €). Esa segregación hará que el accionista se beneficie de dos ganancias separadas de dos y de ocho, que disfrutará más que una sola de 10 €. Por un motivo parecido, a una empresa con pérdidas puede interesarle repartir un pequeño dividendo, porque dado el valor marginal decreciente que atribuye a aquéllas, el accionista preferirá un dividendo de dos y unas pérdidas brutas de 12 € a unas pérdidas netas de 10 €. En suma, las reglas psicológicas de combinación y segregación de sucesos harán que reaccionemos de forma distinta ante lo que, desde el punto de vista financiero, es idéntico.</w:t>
      </w:r>
    </w:p>
    <w:p w14:paraId="0EEFDAC9" w14:textId="5DA6DC0C" w:rsidR="00E23A51" w:rsidRDefault="00E23A51" w:rsidP="008233F9">
      <w:pPr>
        <w:pStyle w:val="Ttulo2"/>
      </w:pPr>
      <w:bookmarkStart w:id="68" w:name="_Toc125044556"/>
      <w:r>
        <w:lastRenderedPageBreak/>
        <w:t>¿Afectan los dividendos al valor de las acciones (i.e. de la empresa</w:t>
      </w:r>
      <w:r w:rsidR="00D90296">
        <w:t>)</w:t>
      </w:r>
      <w:r>
        <w:t>?</w:t>
      </w:r>
      <w:bookmarkEnd w:id="68"/>
    </w:p>
    <w:p w14:paraId="1D518C85" w14:textId="78F94B33" w:rsidR="009500AC" w:rsidRPr="009500AC" w:rsidRDefault="009500AC" w:rsidP="00993A58">
      <w:pPr>
        <w:pStyle w:val="Nivel1SM"/>
        <w:keepNext/>
        <w:spacing w:before="0"/>
        <w:rPr>
          <w:i/>
          <w:iCs/>
        </w:rPr>
      </w:pPr>
      <w:r>
        <w:t xml:space="preserve">Al igual que nos hemos preguntado si la </w:t>
      </w:r>
      <w:r>
        <w:rPr>
          <w:i/>
          <w:iCs/>
        </w:rPr>
        <w:t>política financiera</w:t>
      </w:r>
      <w:r w:rsidRPr="00E23A51">
        <w:t xml:space="preserve"> de la empresa puede</w:t>
      </w:r>
      <w:r>
        <w:t xml:space="preserve"> afectar al valor de </w:t>
      </w:r>
      <w:r w:rsidR="000943B8">
        <w:t>e</w:t>
      </w:r>
      <w:r>
        <w:t xml:space="preserve">sta, podemos preguntarnos lo mismo sobre la </w:t>
      </w:r>
      <w:r>
        <w:rPr>
          <w:b/>
          <w:bCs/>
        </w:rPr>
        <w:t>política de dividendos</w:t>
      </w:r>
      <w:r>
        <w:t>.</w:t>
      </w:r>
    </w:p>
    <w:p w14:paraId="65549E1C" w14:textId="22D5FB5A" w:rsidR="00D90296" w:rsidRDefault="00D90296" w:rsidP="00797879">
      <w:pPr>
        <w:pStyle w:val="Nivel1SM"/>
        <w:keepNext/>
        <w:spacing w:after="0"/>
      </w:pPr>
      <w:r>
        <w:t>Existen 3</w:t>
      </w:r>
      <w:r w:rsidR="005B5161">
        <w:t> </w:t>
      </w:r>
      <w:r>
        <w:t>posturas:</w:t>
      </w:r>
    </w:p>
    <w:p w14:paraId="232DBC20" w14:textId="5C84821D" w:rsidR="00F56431" w:rsidRPr="00993A58" w:rsidRDefault="00797879" w:rsidP="00993A58">
      <w:pPr>
        <w:pStyle w:val="Prrafodelista"/>
        <w:keepNext/>
        <w:numPr>
          <w:ilvl w:val="0"/>
          <w:numId w:val="24"/>
        </w:numPr>
        <w:spacing w:after="100"/>
        <w:ind w:left="568" w:hanging="284"/>
        <w:rPr>
          <w:spacing w:val="-7"/>
        </w:rPr>
      </w:pPr>
      <w:r w:rsidRPr="00993A58">
        <w:rPr>
          <w:spacing w:val="-7"/>
        </w:rPr>
        <w:fldChar w:fldCharType="begin"/>
      </w:r>
      <w:r w:rsidRPr="00993A58">
        <w:rPr>
          <w:spacing w:val="-7"/>
        </w:rPr>
        <w:instrText xml:space="preserve"> REF _Ref124849141 \h </w:instrText>
      </w:r>
      <w:r w:rsidR="00F56431" w:rsidRPr="00993A58">
        <w:rPr>
          <w:spacing w:val="-7"/>
        </w:rPr>
        <w:instrText xml:space="preserve"> \* MERGEFORMAT </w:instrText>
      </w:r>
      <w:r w:rsidRPr="00993A58">
        <w:rPr>
          <w:spacing w:val="-7"/>
        </w:rPr>
      </w:r>
      <w:r w:rsidRPr="00993A58">
        <w:rPr>
          <w:spacing w:val="-7"/>
        </w:rPr>
        <w:fldChar w:fldCharType="separate"/>
      </w:r>
      <w:r w:rsidR="00583A5D" w:rsidRPr="00993A58">
        <w:rPr>
          <w:spacing w:val="-7"/>
        </w:rPr>
        <w:t xml:space="preserve">Los dividendos no afectan al valor de las acciones (Tesis de irrelevancia: </w:t>
      </w:r>
      <w:r w:rsidR="00583A5D" w:rsidRPr="00993A58">
        <w:rPr>
          <w:smallCaps/>
          <w:spacing w:val="-7"/>
        </w:rPr>
        <w:t>Modigliani</w:t>
      </w:r>
      <w:r w:rsidR="00583A5D" w:rsidRPr="00993A58">
        <w:rPr>
          <w:spacing w:val="-7"/>
        </w:rPr>
        <w:t xml:space="preserve"> y </w:t>
      </w:r>
      <w:r w:rsidR="00583A5D" w:rsidRPr="00993A58">
        <w:rPr>
          <w:smallCaps/>
          <w:spacing w:val="-7"/>
        </w:rPr>
        <w:t>Miller</w:t>
      </w:r>
      <w:r w:rsidR="00583A5D" w:rsidRPr="00993A58">
        <w:rPr>
          <w:spacing w:val="-7"/>
        </w:rPr>
        <w:t>, 1961)</w:t>
      </w:r>
      <w:r w:rsidRPr="00993A58">
        <w:rPr>
          <w:spacing w:val="-7"/>
        </w:rPr>
        <w:fldChar w:fldCharType="end"/>
      </w:r>
      <w:r w:rsidR="00993A58" w:rsidRPr="00993A58">
        <w:rPr>
          <w:spacing w:val="-7"/>
        </w:rPr>
        <w:t>.</w:t>
      </w:r>
    </w:p>
    <w:p w14:paraId="1FB835DE" w14:textId="1BF30C85" w:rsidR="00F56431" w:rsidRDefault="00797879" w:rsidP="00993A58">
      <w:pPr>
        <w:pStyle w:val="Prrafodelista"/>
        <w:keepNext/>
        <w:numPr>
          <w:ilvl w:val="0"/>
          <w:numId w:val="24"/>
        </w:numPr>
        <w:spacing w:after="100"/>
        <w:ind w:left="568" w:hanging="284"/>
      </w:pPr>
      <w:r>
        <w:fldChar w:fldCharType="begin"/>
      </w:r>
      <w:r>
        <w:instrText xml:space="preserve"> REF _Ref124849143 \h </w:instrText>
      </w:r>
      <w:r w:rsidR="00F56431">
        <w:instrText xml:space="preserve"> \* MERGEFORMAT </w:instrText>
      </w:r>
      <w:r>
        <w:fldChar w:fldCharType="separate"/>
      </w:r>
      <w:r w:rsidR="00583A5D">
        <w:t>Los dividendos afectan negativamente al valor de las acciones</w:t>
      </w:r>
      <w:r>
        <w:fldChar w:fldCharType="end"/>
      </w:r>
      <w:r w:rsidR="00993A58">
        <w:t>.</w:t>
      </w:r>
    </w:p>
    <w:p w14:paraId="79469786" w14:textId="05D5D322" w:rsidR="00797879" w:rsidRPr="00D90296" w:rsidRDefault="00797879">
      <w:pPr>
        <w:pStyle w:val="Prrafodelista"/>
        <w:numPr>
          <w:ilvl w:val="0"/>
          <w:numId w:val="24"/>
        </w:numPr>
        <w:spacing w:after="100"/>
        <w:ind w:left="568" w:hanging="284"/>
      </w:pPr>
      <w:r>
        <w:fldChar w:fldCharType="begin"/>
      </w:r>
      <w:r>
        <w:instrText xml:space="preserve"> REF _Ref124849145 \h </w:instrText>
      </w:r>
      <w:r w:rsidR="00F56431">
        <w:instrText xml:space="preserve"> \* MERGEFORMAT </w:instrText>
      </w:r>
      <w:r>
        <w:fldChar w:fldCharType="separate"/>
      </w:r>
      <w:r w:rsidR="00583A5D">
        <w:t>La forma en que afecten los dividendos dependerá de la relación entre el coste de capital propio y el rendimiento de la inversión (Tesis</w:t>
      </w:r>
      <w:r w:rsidR="00583A5D" w:rsidRPr="00583A5D">
        <w:rPr>
          <w:smallCaps/>
        </w:rPr>
        <w:t xml:space="preserve"> </w:t>
      </w:r>
      <w:r w:rsidR="00583A5D">
        <w:t>de relevancia:</w:t>
      </w:r>
      <w:r w:rsidR="00583A5D" w:rsidRPr="00583A5D">
        <w:rPr>
          <w:smallCaps/>
        </w:rPr>
        <w:t xml:space="preserve"> </w:t>
      </w:r>
      <w:r w:rsidR="00583A5D" w:rsidRPr="00CD6698">
        <w:rPr>
          <w:smallCaps/>
        </w:rPr>
        <w:t>Gordon</w:t>
      </w:r>
      <w:r w:rsidR="00583A5D" w:rsidRPr="00583A5D">
        <w:rPr>
          <w:smallCaps/>
        </w:rPr>
        <w:t>)</w:t>
      </w:r>
      <w:r>
        <w:fldChar w:fldCharType="end"/>
      </w:r>
      <w:r w:rsidR="00993A58">
        <w:t>.</w:t>
      </w:r>
    </w:p>
    <w:p w14:paraId="4AF86725" w14:textId="4FC663A1" w:rsidR="002F1679" w:rsidRPr="00993A58" w:rsidRDefault="00D90296" w:rsidP="00E23A51">
      <w:pPr>
        <w:pStyle w:val="Ttulo3"/>
        <w:rPr>
          <w:spacing w:val="-7"/>
        </w:rPr>
      </w:pPr>
      <w:bookmarkStart w:id="69" w:name="_Ref124849141"/>
      <w:bookmarkStart w:id="70" w:name="_Toc125044557"/>
      <w:r w:rsidRPr="00993A58">
        <w:rPr>
          <w:spacing w:val="-7"/>
        </w:rPr>
        <w:t xml:space="preserve">Los dividendos no afectan al valor de las </w:t>
      </w:r>
      <w:r w:rsidR="00CD6698" w:rsidRPr="00993A58">
        <w:rPr>
          <w:spacing w:val="-7"/>
        </w:rPr>
        <w:t xml:space="preserve">acciones (Tesis de irrelevancia: </w:t>
      </w:r>
      <w:r w:rsidR="00CD6698" w:rsidRPr="00993A58">
        <w:rPr>
          <w:smallCaps/>
          <w:spacing w:val="-7"/>
        </w:rPr>
        <w:t>Modigliani</w:t>
      </w:r>
      <w:r w:rsidR="00CD6698" w:rsidRPr="00993A58">
        <w:rPr>
          <w:spacing w:val="-7"/>
        </w:rPr>
        <w:t xml:space="preserve"> y </w:t>
      </w:r>
      <w:r w:rsidR="00CD6698" w:rsidRPr="00993A58">
        <w:rPr>
          <w:smallCaps/>
          <w:spacing w:val="-7"/>
        </w:rPr>
        <w:t>Miller</w:t>
      </w:r>
      <w:r w:rsidR="00CD6698" w:rsidRPr="00993A58">
        <w:rPr>
          <w:spacing w:val="-7"/>
        </w:rPr>
        <w:t>, 1961)</w:t>
      </w:r>
      <w:bookmarkEnd w:id="69"/>
      <w:bookmarkEnd w:id="70"/>
    </w:p>
    <w:p w14:paraId="1EB8B29B" w14:textId="441B12ED" w:rsidR="00AE3A2D" w:rsidRDefault="00D90296" w:rsidP="005B5161">
      <w:pPr>
        <w:pStyle w:val="Nivel1SM"/>
        <w:keepNext/>
        <w:spacing w:before="0" w:after="0"/>
      </w:pPr>
      <w:r>
        <w:t>Del mismo modo que la política financiera es irrelevante en los mercados de capitales perfectos, también lo es la política de dividendos. Por lo tanto, lo que realmente influye sobre el valor de la empresa es su capacidad para generar beneficio y no cómo se distribuya éste. Y es que el dividendo no distribuido (reservas) aumenta el precio de la acción en esa misma cuantía, por lo que la política de dividendos no afecta al accionista, lo que queda garantizado por el arbitraje: las acciones que no hayan repartido dividendo tendrán un mayor valor patrimonial, por lo que aumentará su demanda, lo que elevará su precio</w:t>
      </w:r>
      <w:r w:rsidR="00CD6698">
        <w:rPr>
          <w:rStyle w:val="Refdenotaalpie"/>
        </w:rPr>
        <w:footnoteReference w:id="41"/>
      </w:r>
      <w:r>
        <w:t>.</w:t>
      </w:r>
    </w:p>
    <w:p w14:paraId="2561CA82" w14:textId="766A31EB" w:rsidR="00D11DF8" w:rsidRPr="00D11DF8" w:rsidRDefault="00D11DF8" w:rsidP="00D11DF8">
      <w:pPr>
        <w:spacing w:after="0"/>
        <w:rPr>
          <w:i/>
          <w:iCs/>
          <w:lang w:val="fr-FR"/>
        </w:rPr>
      </w:pPr>
      <w:proofErr w:type="spellStart"/>
      <m:oMathPara>
        <m:oMath>
          <m:r>
            <m:rPr>
              <m:nor/>
            </m:rPr>
            <w:rPr>
              <w:i/>
              <w:iCs/>
              <w:lang w:val="fr-FR"/>
            </w:rPr>
            <m:t>Rentabilidad</m:t>
          </m:r>
          <w:proofErr w:type="spellEnd"/>
          <m:r>
            <w:rPr>
              <w:rFonts w:ascii="Cambria Math" w:hAnsi="Cambria Math"/>
              <w:lang w:val="fr-FR"/>
            </w:rPr>
            <m:t>=</m:t>
          </m:r>
          <m:f>
            <m:fPr>
              <m:ctrlPr>
                <w:rPr>
                  <w:rFonts w:ascii="Cambria Math" w:hAnsi="Cambria Math"/>
                  <w:i/>
                  <w:iCs/>
                </w:rPr>
              </m:ctrlPr>
            </m:fPr>
            <m:num>
              <m:sSub>
                <m:sSubPr>
                  <m:ctrlPr>
                    <w:rPr>
                      <w:rFonts w:ascii="Cambria Math" w:hAnsi="Cambria Math"/>
                      <w:i/>
                      <w:iCs/>
                    </w:rPr>
                  </m:ctrlPr>
                </m:sSubPr>
                <m:e>
                  <m:r>
                    <m:rPr>
                      <m:nor/>
                    </m:rPr>
                    <w:rPr>
                      <w:i/>
                      <w:iCs/>
                      <w:lang w:val="fr-FR"/>
                    </w:rPr>
                    <m:t>DIV</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P</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sSub>
                <m:sSubPr>
                  <m:ctrlPr>
                    <w:rPr>
                      <w:rFonts w:ascii="Cambria Math" w:hAnsi="Cambria Math"/>
                      <w:i/>
                      <w:iCs/>
                    </w:rPr>
                  </m:ctrlPr>
                </m:sSubPr>
                <m:e>
                  <m:r>
                    <m:rPr>
                      <m:nor/>
                    </m:rPr>
                    <w:rPr>
                      <w:i/>
                      <w:iCs/>
                      <w:lang w:val="fr-FR"/>
                    </w:rPr>
                    <m:t>P</m:t>
                  </m:r>
                </m:e>
                <m:sub>
                  <m:r>
                    <m:rPr>
                      <m:nor/>
                    </m:rPr>
                    <w:rPr>
                      <w:i/>
                      <w:iCs/>
                      <w:lang w:val="fr-FR"/>
                    </w:rPr>
                    <m:t>t</m:t>
                  </m:r>
                </m:sub>
              </m:sSub>
            </m:num>
            <m:den>
              <m:sSub>
                <m:sSubPr>
                  <m:ctrlPr>
                    <w:rPr>
                      <w:rFonts w:ascii="Cambria Math" w:hAnsi="Cambria Math"/>
                      <w:i/>
                      <w:iCs/>
                    </w:rPr>
                  </m:ctrlPr>
                </m:sSubPr>
                <m:e>
                  <m:r>
                    <m:rPr>
                      <m:nor/>
                    </m:rPr>
                    <w:rPr>
                      <w:i/>
                      <w:iCs/>
                      <w:lang w:val="fr-FR"/>
                    </w:rPr>
                    <m:t>P</m:t>
                  </m:r>
                </m:e>
                <m:sub>
                  <m:r>
                    <m:rPr>
                      <m:nor/>
                    </m:rPr>
                    <w:rPr>
                      <w:i/>
                      <w:iCs/>
                      <w:lang w:val="fr-FR"/>
                    </w:rPr>
                    <m:t>t</m:t>
                  </m:r>
                </m:sub>
              </m:sSub>
            </m:den>
          </m:f>
        </m:oMath>
      </m:oMathPara>
    </w:p>
    <w:p w14:paraId="1EF8B62A" w14:textId="5E02F382" w:rsidR="00D90296" w:rsidRPr="00AE3A2D" w:rsidRDefault="00D90296" w:rsidP="00797879">
      <w:pPr>
        <w:pStyle w:val="Nivel1SM"/>
      </w:pPr>
      <w:r>
        <w:t xml:space="preserve">De </w:t>
      </w:r>
      <w:r w:rsidR="00D11DF8">
        <w:t>m</w:t>
      </w:r>
      <w:r>
        <w:t>anera que la política de dividendos no va a variar la rentabilidad de una acción, ya que daría igual que se repartiese el dividendo (</w:t>
      </w:r>
      <w:r w:rsidR="00D11DF8" w:rsidRPr="00D90296">
        <w:rPr>
          <w:rFonts w:ascii="Times New Roman" w:hAnsi="Times New Roman" w:cs="Times New Roman"/>
        </w:rPr>
        <w:t>↑</w:t>
      </w:r>
      <m:oMath>
        <m:sSub>
          <m:sSubPr>
            <m:ctrlPr>
              <w:rPr>
                <w:rFonts w:ascii="Cambria Math" w:hAnsi="Cambria Math"/>
                <w:i/>
                <w:iCs/>
              </w:rPr>
            </m:ctrlPr>
          </m:sSubPr>
          <m:e>
            <m:r>
              <m:rPr>
                <m:nor/>
              </m:rPr>
              <w:rPr>
                <w:i/>
                <w:iCs/>
              </w:rPr>
              <m:t>DIV</m:t>
            </m:r>
          </m:e>
          <m:sub>
            <m:r>
              <m:rPr>
                <m:nor/>
              </m:rPr>
              <w:rPr>
                <w:i/>
                <w:iCs/>
              </w:rPr>
              <m:t>t</m:t>
            </m:r>
          </m:sub>
        </m:sSub>
      </m:oMath>
      <w:r>
        <w:t>) que no (</w:t>
      </w:r>
      <w:r w:rsidRPr="00D90296">
        <w:rPr>
          <w:rFonts w:ascii="Times New Roman" w:hAnsi="Times New Roman" w:cs="Times New Roman"/>
        </w:rPr>
        <w:t>↑</w:t>
      </w:r>
      <m:oMath>
        <m:sSub>
          <m:sSubPr>
            <m:ctrlPr>
              <w:rPr>
                <w:rFonts w:ascii="Cambria Math" w:hAnsi="Cambria Math"/>
                <w:i/>
                <w:iCs/>
              </w:rPr>
            </m:ctrlPr>
          </m:sSubPr>
          <m:e>
            <m:r>
              <m:rPr>
                <m:nor/>
              </m:rPr>
              <w:rPr>
                <w:i/>
                <w:iCs/>
              </w:rPr>
              <m:t>P</m:t>
            </m:r>
          </m:e>
          <m:sub>
            <m:r>
              <m:rPr>
                <m:nor/>
              </m:rPr>
              <w:rPr>
                <w:i/>
                <w:iCs/>
              </w:rPr>
              <m:t>t</m:t>
            </m:r>
            <m:r>
              <w:rPr>
                <w:rFonts w:ascii="Cambria Math" w:hAnsi="Cambria Math"/>
              </w:rPr>
              <m:t>+</m:t>
            </m:r>
            <m:r>
              <m:rPr>
                <m:nor/>
              </m:rPr>
              <w:rPr>
                <w:i/>
                <w:iCs/>
              </w:rPr>
              <m:t>1</m:t>
            </m:r>
          </m:sub>
        </m:sSub>
      </m:oMath>
      <w:r>
        <w:t>).</w:t>
      </w:r>
    </w:p>
    <w:p w14:paraId="2F8FE7AD" w14:textId="011E5BCF" w:rsidR="00D90296" w:rsidRDefault="00D90296" w:rsidP="00E23A51">
      <w:pPr>
        <w:pStyle w:val="Ttulo3"/>
      </w:pPr>
      <w:bookmarkStart w:id="71" w:name="_Ref124849143"/>
      <w:bookmarkStart w:id="72" w:name="_Toc125044558"/>
      <w:r>
        <w:t>Los dividendos afectan negativamente al valor de las acciones</w:t>
      </w:r>
      <w:bookmarkEnd w:id="71"/>
      <w:bookmarkEnd w:id="72"/>
    </w:p>
    <w:p w14:paraId="04B4BDA3" w14:textId="472E3112" w:rsidR="00D90296" w:rsidRPr="00D11DF8" w:rsidRDefault="00D11DF8" w:rsidP="005B5161">
      <w:pPr>
        <w:pStyle w:val="Nivel1SM"/>
        <w:spacing w:before="0"/>
      </w:pPr>
      <w:r>
        <w:t xml:space="preserve">Es la conclusión a la que se llega cuando introducimos el efecto de los </w:t>
      </w:r>
      <w:r>
        <w:rPr>
          <w:i/>
          <w:iCs/>
        </w:rPr>
        <w:t>impuestos</w:t>
      </w:r>
      <w:r>
        <w:t>: si los dividendos están más gravados que las ganancias de capital (en este caso, plusvalías por venta de acciones), entonces la empresa maximizará el valor para sus accionistas ofreciendo muy pocos dividendos y repartiendo sus ganancias entre los accionistas en forma de recompra de acciones.</w:t>
      </w:r>
    </w:p>
    <w:p w14:paraId="34E2EE8C" w14:textId="5D702D82" w:rsidR="00DA723A" w:rsidRDefault="00D90296" w:rsidP="00E23A51">
      <w:pPr>
        <w:pStyle w:val="Ttulo3"/>
        <w:rPr>
          <w:smallCaps/>
        </w:rPr>
      </w:pPr>
      <w:bookmarkStart w:id="73" w:name="_Ref124849145"/>
      <w:bookmarkStart w:id="74" w:name="_Toc125044559"/>
      <w:r>
        <w:t>La forma en que afecten los dividendos dependerá de la relación entre el coste de capital propio y el rendimiento de la inversión</w:t>
      </w:r>
      <w:r w:rsidR="00CD6698">
        <w:t xml:space="preserve"> (Tesis de relevancia: </w:t>
      </w:r>
      <w:r w:rsidR="00CD6698" w:rsidRPr="00CD6698">
        <w:rPr>
          <w:smallCaps/>
        </w:rPr>
        <w:t>Gordon</w:t>
      </w:r>
      <w:r w:rsidR="00CD6698">
        <w:t>)</w:t>
      </w:r>
      <w:bookmarkEnd w:id="73"/>
      <w:bookmarkEnd w:id="74"/>
    </w:p>
    <w:p w14:paraId="00E63F63" w14:textId="183B5EAA" w:rsidR="00606E13" w:rsidRDefault="00E37B9B" w:rsidP="005B5161">
      <w:pPr>
        <w:pStyle w:val="Nivel1SM"/>
        <w:keepNext/>
        <w:spacing w:before="0" w:after="0"/>
        <w:rPr>
          <w:rFonts w:eastAsiaTheme="minorEastAsia"/>
          <w:iCs/>
        </w:rPr>
      </w:pPr>
      <w:r>
        <w:t>El beneficio en el período</w:t>
      </w:r>
      <w:r w:rsidR="005B5161">
        <w:t> </w:t>
      </w:r>
      <m:oMath>
        <m:r>
          <m:rPr>
            <m:nor/>
          </m:rPr>
          <w:rPr>
            <w:i/>
            <w:iCs/>
          </w:rPr>
          <m:t>t</m:t>
        </m:r>
        <m:r>
          <w:rPr>
            <w:rFonts w:ascii="Cambria Math" w:hAnsi="Cambria Math"/>
          </w:rPr>
          <m:t>+</m:t>
        </m:r>
        <m:r>
          <m:rPr>
            <m:nor/>
          </m:rPr>
          <w:rPr>
            <w:i/>
            <w:iCs/>
          </w:rPr>
          <m:t>1</m:t>
        </m:r>
      </m:oMath>
      <w:r>
        <w:rPr>
          <w:rFonts w:eastAsiaTheme="minorEastAsia"/>
          <w:iCs/>
        </w:rPr>
        <w:t xml:space="preserve"> será:</w:t>
      </w:r>
    </w:p>
    <w:p w14:paraId="02D9C079" w14:textId="00189710" w:rsidR="0097461B" w:rsidRDefault="00000000" w:rsidP="00797879">
      <w:pPr>
        <w:pStyle w:val="Nivel1SM"/>
        <w:keepNext/>
        <w:numPr>
          <w:ilvl w:val="0"/>
          <w:numId w:val="0"/>
        </w:numPr>
        <w:spacing w:before="0" w:after="0"/>
        <w:rPr>
          <w:rFonts w:eastAsiaTheme="minorEastAsia"/>
          <w:iCs/>
        </w:rPr>
      </w:pPr>
      <m:oMathPara>
        <m:oMath>
          <m:sSub>
            <m:sSubPr>
              <m:ctrlPr>
                <w:rPr>
                  <w:rFonts w:ascii="Cambria Math" w:hAnsi="Cambria Math"/>
                  <w:i/>
                </w:rPr>
              </m:ctrlPr>
            </m:sSubPr>
            <m:e>
              <m:r>
                <m:rPr>
                  <m:nor/>
                </m:rPr>
                <w:rPr>
                  <w:i/>
                  <w:iCs/>
                </w:rPr>
                <m:t>B</m:t>
              </m:r>
            </m:e>
            <m:sub>
              <m:r>
                <m:rPr>
                  <m:nor/>
                </m:rPr>
                <w:rPr>
                  <w:i/>
                  <w:iCs/>
                </w:rPr>
                <m:t>t</m:t>
              </m:r>
              <m:r>
                <w:rPr>
                  <w:rFonts w:ascii="Cambria Math" w:hAnsi="Cambria Math"/>
                </w:rPr>
                <m:t>+</m:t>
              </m:r>
              <m:r>
                <m:rPr>
                  <m:nor/>
                </m:rPr>
                <w:rPr>
                  <w:i/>
                  <w:iCs/>
                </w:rPr>
                <m:t>1</m:t>
              </m:r>
            </m:sub>
          </m:sSub>
          <m:r>
            <w:rPr>
              <w:rFonts w:ascii="Cambria Math" w:hAnsi="Cambria Math"/>
            </w:rPr>
            <m:t>=</m:t>
          </m:r>
          <m:sSub>
            <m:sSubPr>
              <m:ctrlPr>
                <w:rPr>
                  <w:rFonts w:ascii="Cambria Math" w:hAnsi="Cambria Math"/>
                  <w:i/>
                </w:rPr>
              </m:ctrlPr>
            </m:sSubPr>
            <m:e>
              <m:r>
                <m:rPr>
                  <m:nor/>
                </m:rPr>
                <w:rPr>
                  <w:i/>
                  <w:iCs/>
                </w:rPr>
                <m:t>B</m:t>
              </m:r>
            </m:e>
            <m:sub>
              <m:r>
                <m:rPr>
                  <m:nor/>
                </m:rPr>
                <w:rPr>
                  <w:i/>
                  <w:iCs/>
                </w:rPr>
                <m:t>t</m:t>
              </m:r>
            </m:sub>
          </m:sSub>
          <m:r>
            <w:rPr>
              <w:rFonts w:ascii="Cambria Math" w:hAnsi="Cambria Math"/>
            </w:rPr>
            <m:t>+</m:t>
          </m:r>
          <m:r>
            <m:rPr>
              <m:nor/>
            </m:rPr>
            <w:rPr>
              <w:i/>
              <w:iCs/>
            </w:rPr>
            <m:t>y</m:t>
          </m:r>
          <m:r>
            <w:rPr>
              <w:rFonts w:ascii="Cambria Math" w:hAnsi="Cambria Math"/>
            </w:rPr>
            <m:t>∙</m:t>
          </m:r>
          <m:r>
            <m:rPr>
              <m:nor/>
            </m:rPr>
            <w:rPr>
              <w:i/>
              <w:iCs/>
            </w:rPr>
            <m:t>b</m:t>
          </m:r>
          <m:r>
            <w:rPr>
              <w:rFonts w:ascii="Cambria Math" w:hAnsi="Cambria Math"/>
            </w:rPr>
            <m:t>∙</m:t>
          </m:r>
          <m:sSub>
            <m:sSubPr>
              <m:ctrlPr>
                <w:rPr>
                  <w:rFonts w:ascii="Cambria Math" w:hAnsi="Cambria Math"/>
                  <w:i/>
                </w:rPr>
              </m:ctrlPr>
            </m:sSubPr>
            <m:e>
              <m:r>
                <m:rPr>
                  <m:nor/>
                </m:rPr>
                <w:rPr>
                  <w:i/>
                  <w:iCs/>
                </w:rPr>
                <m:t>B</m:t>
              </m:r>
            </m:e>
            <m:sub>
              <m:r>
                <m:rPr>
                  <m:nor/>
                </m:rPr>
                <w:rPr>
                  <w:i/>
                  <w:iCs/>
                </w:rPr>
                <m:t>t</m:t>
              </m:r>
            </m:sub>
          </m:sSub>
          <m:r>
            <w:rPr>
              <w:rFonts w:ascii="Cambria Math" w:hAnsi="Cambria Math"/>
            </w:rPr>
            <m:t>=</m:t>
          </m:r>
          <m:sSub>
            <m:sSubPr>
              <m:ctrlPr>
                <w:rPr>
                  <w:rFonts w:ascii="Cambria Math" w:hAnsi="Cambria Math"/>
                  <w:i/>
                </w:rPr>
              </m:ctrlPr>
            </m:sSubPr>
            <m:e>
              <m:r>
                <m:rPr>
                  <m:nor/>
                </m:rPr>
                <w:rPr>
                  <w:i/>
                  <w:iCs/>
                </w:rPr>
                <m:t>B</m:t>
              </m:r>
            </m:e>
            <m:sub>
              <m:r>
                <m:rPr>
                  <m:nor/>
                </m:rPr>
                <w:rPr>
                  <w:i/>
                  <w:iCs/>
                </w:rPr>
                <m:t>t</m:t>
              </m:r>
            </m:sub>
          </m:sSub>
          <m:r>
            <w:rPr>
              <w:rFonts w:ascii="Cambria Math" w:hAnsi="Cambria Math"/>
            </w:rPr>
            <m:t>∙</m:t>
          </m:r>
          <m:d>
            <m:dPr>
              <m:ctrlPr>
                <w:rPr>
                  <w:rFonts w:ascii="Cambria Math" w:hAnsi="Cambria Math"/>
                  <w:i/>
                  <w:iCs/>
                  <w:lang w:val="fr-FR"/>
                </w:rPr>
              </m:ctrlPr>
            </m:dPr>
            <m:e>
              <m:r>
                <m:rPr>
                  <m:nor/>
                </m:rPr>
                <w:rPr>
                  <w:i/>
                  <w:iCs/>
                </w:rPr>
                <m:t>1</m:t>
              </m:r>
              <m:r>
                <w:rPr>
                  <w:rFonts w:ascii="Cambria Math" w:hAnsi="Cambria Math"/>
                </w:rPr>
                <m:t>+</m:t>
              </m:r>
              <m:r>
                <m:rPr>
                  <m:nor/>
                </m:rPr>
                <w:rPr>
                  <w:i/>
                  <w:iCs/>
                </w:rPr>
                <m:t>y</m:t>
              </m:r>
              <m:r>
                <w:rPr>
                  <w:rFonts w:ascii="Cambria Math" w:hAnsi="Cambria Math"/>
                </w:rPr>
                <m:t>∙</m:t>
              </m:r>
              <m:r>
                <m:rPr>
                  <m:nor/>
                </m:rPr>
                <w:rPr>
                  <w:i/>
                  <w:iCs/>
                </w:rPr>
                <m:t>b</m:t>
              </m:r>
            </m:e>
          </m:d>
          <m:r>
            <w:rPr>
              <w:rFonts w:ascii="Cambria Math" w:hAnsi="Cambria Math"/>
              <w:lang w:val="fr-FR"/>
            </w:rPr>
            <m:t>⟹</m:t>
          </m:r>
          <m:sSub>
            <m:sSubPr>
              <m:ctrlPr>
                <w:rPr>
                  <w:rFonts w:ascii="Cambria Math" w:hAnsi="Cambria Math"/>
                  <w:i/>
                </w:rPr>
              </m:ctrlPr>
            </m:sSubPr>
            <m:e>
              <m:r>
                <m:rPr>
                  <m:nor/>
                </m:rPr>
                <w:rPr>
                  <w:i/>
                  <w:iCs/>
                </w:rPr>
                <m:t>B</m:t>
              </m:r>
            </m:e>
            <m:sub>
              <m:r>
                <m:rPr>
                  <m:nor/>
                </m:rPr>
                <w:rPr>
                  <w:i/>
                  <w:iCs/>
                </w:rPr>
                <m:t>t</m:t>
              </m:r>
            </m:sub>
          </m:sSub>
          <m:r>
            <w:rPr>
              <w:rFonts w:ascii="Cambria Math" w:hAnsi="Cambria Math"/>
            </w:rPr>
            <m:t>=</m:t>
          </m:r>
          <m:sSub>
            <m:sSubPr>
              <m:ctrlPr>
                <w:rPr>
                  <w:rFonts w:ascii="Cambria Math" w:hAnsi="Cambria Math"/>
                  <w:i/>
                </w:rPr>
              </m:ctrlPr>
            </m:sSubPr>
            <m:e>
              <m:r>
                <m:rPr>
                  <m:nor/>
                </m:rPr>
                <w:rPr>
                  <w:i/>
                  <w:iCs/>
                </w:rPr>
                <m:t>B</m:t>
              </m:r>
            </m:e>
            <m:sub>
              <m:r>
                <m:rPr>
                  <m:nor/>
                </m:rPr>
                <w:rPr>
                  <w:i/>
                  <w:iCs/>
                </w:rPr>
                <m:t>0</m:t>
              </m:r>
            </m:sub>
          </m:sSub>
          <m:r>
            <w:rPr>
              <w:rFonts w:ascii="Cambria Math" w:hAnsi="Cambria Math"/>
            </w:rPr>
            <m:t>∙</m:t>
          </m:r>
          <m:sSup>
            <m:sSupPr>
              <m:ctrlPr>
                <w:rPr>
                  <w:rFonts w:ascii="Cambria Math" w:hAnsi="Cambria Math"/>
                  <w:i/>
                  <w:iCs/>
                  <w:lang w:val="fr-FR"/>
                </w:rPr>
              </m:ctrlPr>
            </m:sSupPr>
            <m:e>
              <m:d>
                <m:dPr>
                  <m:ctrlPr>
                    <w:rPr>
                      <w:rFonts w:ascii="Cambria Math" w:hAnsi="Cambria Math"/>
                      <w:i/>
                      <w:iCs/>
                      <w:lang w:val="fr-FR"/>
                    </w:rPr>
                  </m:ctrlPr>
                </m:dPr>
                <m:e>
                  <m:r>
                    <m:rPr>
                      <m:nor/>
                    </m:rPr>
                    <w:rPr>
                      <w:i/>
                      <w:iCs/>
                    </w:rPr>
                    <m:t>1</m:t>
                  </m:r>
                  <m:r>
                    <w:rPr>
                      <w:rFonts w:ascii="Cambria Math" w:hAnsi="Cambria Math"/>
                    </w:rPr>
                    <m:t>+</m:t>
                  </m:r>
                  <m:r>
                    <m:rPr>
                      <m:nor/>
                    </m:rPr>
                    <w:rPr>
                      <w:i/>
                      <w:iCs/>
                    </w:rPr>
                    <m:t>y</m:t>
                  </m:r>
                  <m:r>
                    <w:rPr>
                      <w:rFonts w:ascii="Cambria Math" w:hAnsi="Cambria Math"/>
                    </w:rPr>
                    <m:t>∙</m:t>
                  </m:r>
                  <m:r>
                    <m:rPr>
                      <m:nor/>
                    </m:rPr>
                    <w:rPr>
                      <w:i/>
                      <w:iCs/>
                    </w:rPr>
                    <m:t>b</m:t>
                  </m:r>
                </m:e>
              </m:d>
            </m:e>
            <m:sup>
              <m:r>
                <m:rPr>
                  <m:nor/>
                </m:rPr>
                <w:rPr>
                  <w:i/>
                  <w:iCs/>
                </w:rPr>
                <m:t>t</m:t>
              </m:r>
            </m:sup>
          </m:sSup>
          <m:r>
            <w:rPr>
              <w:rFonts w:ascii="Cambria Math" w:hAnsi="Cambria Math"/>
            </w:rPr>
            <m:t>≈</m:t>
          </m:r>
          <m:sSub>
            <m:sSubPr>
              <m:ctrlPr>
                <w:rPr>
                  <w:rFonts w:ascii="Cambria Math" w:hAnsi="Cambria Math"/>
                  <w:i/>
                </w:rPr>
              </m:ctrlPr>
            </m:sSubPr>
            <m:e>
              <m:r>
                <m:rPr>
                  <m:nor/>
                </m:rPr>
                <w:rPr>
                  <w:i/>
                  <w:iCs/>
                </w:rPr>
                <m:t>B</m:t>
              </m:r>
            </m:e>
            <m:sub>
              <m:r>
                <m:rPr>
                  <m:nor/>
                </m:rPr>
                <w:rPr>
                  <w:i/>
                  <w:iCs/>
                </w:rPr>
                <m:t>0</m:t>
              </m:r>
            </m:sub>
          </m:sSub>
          <m:r>
            <w:rPr>
              <w:rFonts w:ascii="Cambria Math" w:hAnsi="Cambria Math"/>
            </w:rPr>
            <m:t>∙</m:t>
          </m:r>
          <m:sSup>
            <m:sSupPr>
              <m:ctrlPr>
                <w:rPr>
                  <w:rFonts w:ascii="Cambria Math" w:hAnsi="Cambria Math"/>
                  <w:i/>
                  <w:iCs/>
                  <w:lang w:val="fr-FR"/>
                </w:rPr>
              </m:ctrlPr>
            </m:sSupPr>
            <m:e>
              <m:r>
                <m:rPr>
                  <m:nor/>
                </m:rPr>
                <w:rPr>
                  <w:i/>
                  <w:iCs/>
                </w:rPr>
                <m:t>e</m:t>
              </m:r>
            </m:e>
            <m:sup>
              <m:r>
                <m:rPr>
                  <m:nor/>
                </m:rPr>
                <w:rPr>
                  <w:i/>
                  <w:iCs/>
                </w:rPr>
                <m:t>y</m:t>
              </m:r>
              <m:r>
                <w:rPr>
                  <w:rFonts w:ascii="Cambria Math" w:hAnsi="Cambria Math"/>
                </w:rPr>
                <m:t>∙</m:t>
              </m:r>
              <m:r>
                <m:rPr>
                  <m:nor/>
                </m:rPr>
                <w:rPr>
                  <w:i/>
                  <w:iCs/>
                </w:rPr>
                <m:t>b</m:t>
              </m:r>
              <m:r>
                <w:rPr>
                  <w:rFonts w:ascii="Cambria Math" w:hAnsi="Cambria Math"/>
                </w:rPr>
                <m:t>∙</m:t>
              </m:r>
              <m:r>
                <m:rPr>
                  <m:nor/>
                </m:rPr>
                <w:rPr>
                  <w:i/>
                  <w:iCs/>
                </w:rPr>
                <m:t>t</m:t>
              </m:r>
            </m:sup>
          </m:sSup>
          <m:r>
            <m:rPr>
              <m:sty m:val="p"/>
            </m:rPr>
            <w:rPr>
              <w:rFonts w:eastAsiaTheme="minorEastAsia"/>
            </w:rPr>
            <w:br/>
          </m:r>
        </m:oMath>
      </m:oMathPara>
      <w:r w:rsidR="0097461B" w:rsidRPr="0097461B">
        <w:t xml:space="preserve">donde </w:t>
      </w:r>
      <m:oMath>
        <m:r>
          <m:rPr>
            <m:nor/>
          </m:rPr>
          <w:rPr>
            <w:i/>
            <w:iCs/>
          </w:rPr>
          <m:t>b</m:t>
        </m:r>
      </m:oMath>
      <w:r w:rsidR="0097461B" w:rsidRPr="0097461B">
        <w:rPr>
          <w:rFonts w:eastAsiaTheme="minorEastAsia"/>
          <w:iCs/>
        </w:rPr>
        <w:t xml:space="preserve"> es la p</w:t>
      </w:r>
      <w:r w:rsidR="0097461B">
        <w:rPr>
          <w:rFonts w:eastAsiaTheme="minorEastAsia"/>
          <w:iCs/>
        </w:rPr>
        <w:t>roporción de beneficios retenida</w:t>
      </w:r>
      <w:r w:rsidR="0007146E">
        <w:rPr>
          <w:rFonts w:eastAsiaTheme="minorEastAsia"/>
          <w:iCs/>
        </w:rPr>
        <w:t xml:space="preserve"> (i.e. la empresa reparte en dividendos </w:t>
      </w:r>
      <m:oMath>
        <m:d>
          <m:dPr>
            <m:ctrlPr>
              <w:rPr>
                <w:rFonts w:ascii="Cambria Math" w:eastAsiaTheme="minorEastAsia" w:hAnsi="Cambria Math"/>
                <w:i/>
                <w:iCs/>
                <w:lang w:val="fr-FR"/>
              </w:rPr>
            </m:ctrlPr>
          </m:dPr>
          <m:e>
            <m:r>
              <m:rPr>
                <m:nor/>
              </m:rPr>
              <w:rPr>
                <w:rFonts w:eastAsiaTheme="minorEastAsia"/>
                <w:i/>
              </w:rPr>
              <m:t>1</m:t>
            </m:r>
            <m:r>
              <w:rPr>
                <w:rFonts w:ascii="Cambria Math" w:eastAsiaTheme="minorEastAsia" w:hAnsi="Cambria Math"/>
              </w:rPr>
              <m:t>-</m:t>
            </m:r>
            <m:r>
              <m:rPr>
                <m:nor/>
              </m:rPr>
              <w:rPr>
                <w:rFonts w:eastAsiaTheme="minorEastAsia"/>
                <w:i/>
              </w:rPr>
              <m:t>b</m:t>
            </m:r>
          </m:e>
        </m:d>
        <m:r>
          <w:rPr>
            <w:rFonts w:ascii="Cambria Math" w:eastAsiaTheme="minorEastAsia" w:hAnsi="Cambria Math"/>
          </w:rPr>
          <m:t>∙</m:t>
        </m:r>
        <m:sSub>
          <m:sSubPr>
            <m:ctrlPr>
              <w:rPr>
                <w:rFonts w:ascii="Cambria Math" w:hAnsi="Cambria Math"/>
                <w:i/>
                <w:iCs/>
              </w:rPr>
            </m:ctrlPr>
          </m:sSubPr>
          <m:e>
            <m:r>
              <m:rPr>
                <m:nor/>
              </m:rPr>
              <w:rPr>
                <w:i/>
                <w:iCs/>
              </w:rPr>
              <m:t>B</m:t>
            </m:r>
          </m:e>
          <m:sub>
            <m:r>
              <m:rPr>
                <m:nor/>
              </m:rPr>
              <w:rPr>
                <w:i/>
                <w:iCs/>
              </w:rPr>
              <m:t>t</m:t>
            </m:r>
          </m:sub>
        </m:sSub>
      </m:oMath>
      <w:r w:rsidR="0007146E">
        <w:rPr>
          <w:rFonts w:eastAsiaTheme="minorEastAsia"/>
          <w:iCs/>
        </w:rPr>
        <w:t>)</w:t>
      </w:r>
      <w:r w:rsidR="0097461B">
        <w:rPr>
          <w:rFonts w:eastAsiaTheme="minorEastAsia"/>
          <w:iCs/>
        </w:rPr>
        <w:t xml:space="preserve"> e </w:t>
      </w:r>
      <m:oMath>
        <m:r>
          <m:rPr>
            <m:nor/>
          </m:rPr>
          <w:rPr>
            <w:i/>
            <w:iCs/>
          </w:rPr>
          <m:t>y</m:t>
        </m:r>
      </m:oMath>
      <w:r w:rsidR="0097461B">
        <w:rPr>
          <w:rFonts w:eastAsiaTheme="minorEastAsia"/>
          <w:iCs/>
        </w:rPr>
        <w:t xml:space="preserve"> es la tasa de rendimiento a la que se invierten dichas reservas. Así pues, como el valor de la empresa es igual al valor presente de todos los dividendos futuros, tendremos que:</w:t>
      </w:r>
    </w:p>
    <w:p w14:paraId="7CA8C427" w14:textId="69F72863" w:rsidR="0097461B" w:rsidRPr="00AE7E4F" w:rsidRDefault="0097461B" w:rsidP="00AE0078">
      <w:pPr>
        <w:spacing w:after="0"/>
        <w:rPr>
          <w:rFonts w:eastAsiaTheme="minorEastAsia"/>
        </w:rPr>
      </w:pPr>
      <m:oMathPara>
        <m:oMath>
          <m:r>
            <w:rPr>
              <w:rFonts w:ascii="Cambria Math" w:eastAsiaTheme="minorEastAsia" w:hAnsi="Cambria Math"/>
            </w:rPr>
            <m:t xml:space="preserve"> </m:t>
          </m:r>
          <m:r>
            <m:rPr>
              <m:nor/>
            </m:rPr>
            <w:rPr>
              <w:i/>
              <w:iCs/>
            </w:rPr>
            <m:t>V</m:t>
          </m:r>
          <m:r>
            <w:rPr>
              <w:rFonts w:ascii="Cambria Math" w:eastAsiaTheme="minorEastAsia" w:hAnsi="Cambria Math"/>
            </w:rPr>
            <m:t>=</m:t>
          </m:r>
          <m:nary>
            <m:naryPr>
              <m:limLoc m:val="subSup"/>
              <m:ctrlPr>
                <w:rPr>
                  <w:rFonts w:ascii="Cambria Math" w:eastAsiaTheme="minorEastAsia" w:hAnsi="Cambria Math"/>
                  <w:i/>
                  <w:iCs/>
                  <w:lang w:val="fr-FR"/>
                </w:rPr>
              </m:ctrlPr>
            </m:naryPr>
            <m:sub>
              <m:r>
                <m:rPr>
                  <m:nor/>
                </m:rPr>
                <w:rPr>
                  <w:i/>
                  <w:iCs/>
                </w:rPr>
                <m:t>0</m:t>
              </m:r>
            </m:sub>
            <m:sup>
              <m:r>
                <w:rPr>
                  <w:rFonts w:ascii="Cambria Math"/>
                </w:rPr>
                <m:t>+</m:t>
              </m:r>
              <m:r>
                <w:rPr>
                  <w:rFonts w:ascii="Cambria Math" w:hAnsi="Cambria Math"/>
                </w:rPr>
                <m:t>∞</m:t>
              </m:r>
            </m:sup>
            <m:e>
              <m:sSub>
                <m:sSubPr>
                  <m:ctrlPr>
                    <w:rPr>
                      <w:rFonts w:ascii="Cambria Math" w:hAnsi="Cambria Math"/>
                      <w:i/>
                      <w:iCs/>
                    </w:rPr>
                  </m:ctrlPr>
                </m:sSubPr>
                <m:e>
                  <m:r>
                    <m:rPr>
                      <m:nor/>
                    </m:rPr>
                    <w:rPr>
                      <w:i/>
                      <w:iCs/>
                    </w:rPr>
                    <m:t>DIV</m:t>
                  </m:r>
                </m:e>
                <m:sub>
                  <m:r>
                    <m:rPr>
                      <m:nor/>
                    </m:rPr>
                    <w:rPr>
                      <w:i/>
                      <w:iCs/>
                    </w:rPr>
                    <m:t>t</m:t>
                  </m:r>
                </m:sub>
              </m:sSub>
            </m:e>
          </m:nary>
          <m:r>
            <w:rPr>
              <w:rFonts w:ascii="Cambria Math" w:hAnsi="Cambria Math"/>
            </w:rPr>
            <m:t>∙</m:t>
          </m:r>
          <m:sSup>
            <m:sSupPr>
              <m:ctrlPr>
                <w:rPr>
                  <w:rFonts w:ascii="Cambria Math" w:hAnsi="Cambria Math"/>
                  <w:i/>
                  <w:iCs/>
                  <w:lang w:val="fr-FR"/>
                </w:rPr>
              </m:ctrlPr>
            </m:sSupPr>
            <m:e>
              <m:r>
                <m:rPr>
                  <m:nor/>
                </m:rPr>
                <w:rPr>
                  <w:i/>
                  <w:iCs/>
                </w:rPr>
                <m:t>e</m:t>
              </m:r>
            </m:e>
            <m:sup>
              <m:r>
                <w:rPr>
                  <w:rFonts w:ascii="Cambria Math" w:hAnsi="Cambria Math"/>
                </w:rPr>
                <m:t>-</m:t>
              </m:r>
              <m:sSub>
                <m:sSubPr>
                  <m:ctrlPr>
                    <w:rPr>
                      <w:rFonts w:ascii="Cambria Math" w:hAnsi="Cambria Math"/>
                      <w:i/>
                      <w:iCs/>
                      <w:lang w:val="fr-FR"/>
                    </w:rPr>
                  </m:ctrlPr>
                </m:sSubPr>
                <m:e>
                  <m:r>
                    <m:rPr>
                      <m:nor/>
                    </m:rPr>
                    <w:rPr>
                      <w:i/>
                      <w:iCs/>
                    </w:rPr>
                    <m:t>r</m:t>
                  </m:r>
                </m:e>
                <m:sub>
                  <m:r>
                    <m:rPr>
                      <m:nor/>
                    </m:rPr>
                    <w:rPr>
                      <w:i/>
                      <w:iCs/>
                    </w:rPr>
                    <m:t>E</m:t>
                  </m:r>
                </m:sub>
              </m:sSub>
              <m:r>
                <w:rPr>
                  <w:rFonts w:ascii="Cambria Math" w:hAnsi="Cambria Math"/>
                </w:rPr>
                <m:t>∙</m:t>
              </m:r>
              <m:r>
                <m:rPr>
                  <m:nor/>
                </m:rPr>
                <w:rPr>
                  <w:i/>
                  <w:iCs/>
                </w:rPr>
                <m:t>t</m:t>
              </m:r>
            </m:sup>
          </m:sSup>
          <w:proofErr w:type="spellStart"/>
          <m:r>
            <m:rPr>
              <m:nor/>
            </m:rPr>
            <w:rPr>
              <w:i/>
            </w:rPr>
            <m:t>dt</m:t>
          </m:r>
          <w:proofErr w:type="spellEnd"/>
          <m:r>
            <w:rPr>
              <w:rFonts w:ascii="Cambria Math" w:hAnsi="Cambria Math"/>
            </w:rPr>
            <m:t>=</m:t>
          </m:r>
          <m:nary>
            <m:naryPr>
              <m:limLoc m:val="subSup"/>
              <m:ctrlPr>
                <w:rPr>
                  <w:rFonts w:ascii="Cambria Math" w:eastAsiaTheme="minorEastAsia" w:hAnsi="Cambria Math"/>
                  <w:i/>
                  <w:iCs/>
                  <w:lang w:val="fr-FR"/>
                </w:rPr>
              </m:ctrlPr>
            </m:naryPr>
            <m:sub>
              <m:r>
                <m:rPr>
                  <m:nor/>
                </m:rPr>
                <w:rPr>
                  <w:i/>
                  <w:iCs/>
                </w:rPr>
                <m:t>0</m:t>
              </m:r>
            </m:sub>
            <m:sup>
              <m:r>
                <w:rPr>
                  <w:rFonts w:ascii="Cambria Math"/>
                </w:rPr>
                <m:t>+</m:t>
              </m:r>
              <m:r>
                <w:rPr>
                  <w:rFonts w:ascii="Cambria Math" w:hAnsi="Cambria Math"/>
                </w:rPr>
                <m:t>∞</m:t>
              </m:r>
            </m:sup>
            <m:e>
              <m:limLow>
                <m:limLowPr>
                  <m:ctrlPr>
                    <w:rPr>
                      <w:rFonts w:ascii="Cambria Math" w:eastAsiaTheme="minorEastAsia" w:hAnsi="Cambria Math"/>
                      <w:i/>
                      <w:iCs/>
                      <w:lang w:val="fr-FR"/>
                    </w:rPr>
                  </m:ctrlPr>
                </m:limLowPr>
                <m:e>
                  <m:groupChr>
                    <m:groupChrPr>
                      <m:ctrlPr>
                        <w:rPr>
                          <w:rFonts w:ascii="Cambria Math" w:eastAsiaTheme="minorEastAsia" w:hAnsi="Cambria Math"/>
                          <w:i/>
                          <w:iCs/>
                          <w:lang w:val="fr-FR"/>
                        </w:rPr>
                      </m:ctrlPr>
                    </m:groupChrPr>
                    <m:e>
                      <m:d>
                        <m:dPr>
                          <m:ctrlPr>
                            <w:rPr>
                              <w:rFonts w:ascii="Cambria Math" w:eastAsiaTheme="minorEastAsia" w:hAnsi="Cambria Math"/>
                              <w:i/>
                              <w:iCs/>
                              <w:lang w:val="fr-FR"/>
                            </w:rPr>
                          </m:ctrlPr>
                        </m:dPr>
                        <m:e>
                          <m:r>
                            <m:rPr>
                              <m:nor/>
                            </m:rPr>
                            <w:rPr>
                              <w:rFonts w:eastAsiaTheme="minorEastAsia"/>
                              <w:i/>
                            </w:rPr>
                            <m:t>1</m:t>
                          </m:r>
                          <m:r>
                            <w:rPr>
                              <w:rFonts w:ascii="Cambria Math" w:eastAsiaTheme="minorEastAsia" w:hAnsi="Cambria Math"/>
                            </w:rPr>
                            <m:t>-</m:t>
                          </m:r>
                          <m:r>
                            <m:rPr>
                              <m:nor/>
                            </m:rPr>
                            <w:rPr>
                              <w:rFonts w:eastAsiaTheme="minorEastAsia"/>
                              <w:i/>
                            </w:rPr>
                            <m:t>b</m:t>
                          </m:r>
                        </m:e>
                      </m:d>
                      <m:r>
                        <w:rPr>
                          <w:rFonts w:ascii="Cambria Math" w:eastAsiaTheme="minorEastAsia" w:hAnsi="Cambria Math"/>
                        </w:rPr>
                        <m:t>∙</m:t>
                      </m:r>
                      <m:sSub>
                        <m:sSubPr>
                          <m:ctrlPr>
                            <w:rPr>
                              <w:rFonts w:ascii="Cambria Math" w:hAnsi="Cambria Math"/>
                              <w:i/>
                              <w:iCs/>
                            </w:rPr>
                          </m:ctrlPr>
                        </m:sSubPr>
                        <m:e>
                          <m:r>
                            <m:rPr>
                              <m:nor/>
                            </m:rPr>
                            <w:rPr>
                              <w:i/>
                              <w:iCs/>
                            </w:rPr>
                            <m:t>B</m:t>
                          </m:r>
                        </m:e>
                        <m:sub>
                          <m:r>
                            <m:rPr>
                              <m:nor/>
                            </m:rPr>
                            <w:rPr>
                              <w:i/>
                              <w:iCs/>
                            </w:rPr>
                            <m:t>t</m:t>
                          </m:r>
                        </m:sub>
                      </m:sSub>
                    </m:e>
                  </m:groupChr>
                </m:e>
                <m:lim>
                  <m:sSub>
                    <m:sSubPr>
                      <m:ctrlPr>
                        <w:rPr>
                          <w:rFonts w:ascii="Cambria Math" w:hAnsi="Cambria Math"/>
                          <w:i/>
                          <w:iCs/>
                        </w:rPr>
                      </m:ctrlPr>
                    </m:sSubPr>
                    <m:e>
                      <m:r>
                        <m:rPr>
                          <m:nor/>
                        </m:rPr>
                        <w:rPr>
                          <w:i/>
                          <w:iCs/>
                        </w:rPr>
                        <m:t>DIV</m:t>
                      </m:r>
                    </m:e>
                    <m:sub>
                      <m:r>
                        <m:rPr>
                          <m:nor/>
                        </m:rPr>
                        <w:rPr>
                          <w:i/>
                          <w:iCs/>
                        </w:rPr>
                        <m:t>t</m:t>
                      </m:r>
                    </m:sub>
                  </m:sSub>
                </m:lim>
              </m:limLow>
            </m:e>
          </m:nary>
          <m:r>
            <w:rPr>
              <w:rFonts w:ascii="Cambria Math" w:hAnsi="Cambria Math"/>
            </w:rPr>
            <m:t>∙</m:t>
          </m:r>
          <m:sSup>
            <m:sSupPr>
              <m:ctrlPr>
                <w:rPr>
                  <w:rFonts w:ascii="Cambria Math" w:hAnsi="Cambria Math"/>
                  <w:i/>
                  <w:iCs/>
                  <w:lang w:val="fr-FR"/>
                </w:rPr>
              </m:ctrlPr>
            </m:sSupPr>
            <m:e>
              <m:r>
                <m:rPr>
                  <m:nor/>
                </m:rPr>
                <w:rPr>
                  <w:i/>
                  <w:iCs/>
                </w:rPr>
                <m:t>e</m:t>
              </m:r>
            </m:e>
            <m:sup>
              <m:r>
                <w:rPr>
                  <w:rFonts w:ascii="Cambria Math" w:hAnsi="Cambria Math"/>
                </w:rPr>
                <m:t>-</m:t>
              </m:r>
              <m:sSub>
                <m:sSubPr>
                  <m:ctrlPr>
                    <w:rPr>
                      <w:rFonts w:ascii="Cambria Math" w:hAnsi="Cambria Math"/>
                      <w:i/>
                      <w:iCs/>
                      <w:lang w:val="fr-FR"/>
                    </w:rPr>
                  </m:ctrlPr>
                </m:sSubPr>
                <m:e>
                  <m:r>
                    <m:rPr>
                      <m:nor/>
                    </m:rPr>
                    <w:rPr>
                      <w:i/>
                      <w:iCs/>
                    </w:rPr>
                    <m:t>r</m:t>
                  </m:r>
                </m:e>
                <m:sub>
                  <m:r>
                    <m:rPr>
                      <m:nor/>
                    </m:rPr>
                    <w:rPr>
                      <w:i/>
                      <w:iCs/>
                    </w:rPr>
                    <m:t>E</m:t>
                  </m:r>
                </m:sub>
              </m:sSub>
              <m:r>
                <w:rPr>
                  <w:rFonts w:ascii="Cambria Math" w:hAnsi="Cambria Math"/>
                </w:rPr>
                <m:t>∙</m:t>
              </m:r>
              <m:r>
                <m:rPr>
                  <m:nor/>
                </m:rPr>
                <w:rPr>
                  <w:i/>
                  <w:iCs/>
                </w:rPr>
                <m:t>t</m:t>
              </m:r>
            </m:sup>
          </m:sSup>
          <w:proofErr w:type="spellStart"/>
          <m:r>
            <m:rPr>
              <m:nor/>
            </m:rPr>
            <w:rPr>
              <w:i/>
            </w:rPr>
            <m:t>dt</m:t>
          </m:r>
          <w:proofErr w:type="spellEnd"/>
          <m:r>
            <w:rPr>
              <w:rFonts w:ascii="Cambria Math" w:eastAsiaTheme="minorEastAsia" w:hAnsi="Cambria Math"/>
            </w:rPr>
            <m:t>=</m:t>
          </m:r>
          <m:nary>
            <m:naryPr>
              <m:limLoc m:val="subSup"/>
              <m:ctrlPr>
                <w:rPr>
                  <w:rFonts w:ascii="Cambria Math" w:eastAsiaTheme="minorEastAsia" w:hAnsi="Cambria Math"/>
                  <w:i/>
                  <w:iCs/>
                  <w:lang w:val="fr-FR"/>
                </w:rPr>
              </m:ctrlPr>
            </m:naryPr>
            <m:sub>
              <m:r>
                <m:rPr>
                  <m:nor/>
                </m:rPr>
                <w:rPr>
                  <w:i/>
                  <w:iCs/>
                </w:rPr>
                <m:t>0</m:t>
              </m:r>
            </m:sub>
            <m:sup>
              <m:r>
                <w:rPr>
                  <w:rFonts w:ascii="Cambria Math"/>
                </w:rPr>
                <m:t>+</m:t>
              </m:r>
              <m:r>
                <w:rPr>
                  <w:rFonts w:ascii="Cambria Math" w:hAnsi="Cambria Math"/>
                </w:rPr>
                <m:t>∞</m:t>
              </m:r>
            </m:sup>
            <m:e>
              <m:d>
                <m:dPr>
                  <m:ctrlPr>
                    <w:rPr>
                      <w:rFonts w:ascii="Cambria Math" w:eastAsiaTheme="minorEastAsia" w:hAnsi="Cambria Math"/>
                      <w:i/>
                      <w:iCs/>
                      <w:lang w:val="fr-FR"/>
                    </w:rPr>
                  </m:ctrlPr>
                </m:dPr>
                <m:e>
                  <m:r>
                    <m:rPr>
                      <m:nor/>
                    </m:rPr>
                    <w:rPr>
                      <w:rFonts w:eastAsiaTheme="minorEastAsia"/>
                      <w:i/>
                    </w:rPr>
                    <m:t>1</m:t>
                  </m:r>
                  <m:r>
                    <w:rPr>
                      <w:rFonts w:ascii="Cambria Math" w:eastAsiaTheme="minorEastAsia" w:hAnsi="Cambria Math"/>
                    </w:rPr>
                    <m:t>-</m:t>
                  </m:r>
                  <m:r>
                    <m:rPr>
                      <m:nor/>
                    </m:rPr>
                    <w:rPr>
                      <w:rFonts w:eastAsiaTheme="minorEastAsia"/>
                      <w:i/>
                    </w:rPr>
                    <m:t>b</m:t>
                  </m:r>
                </m:e>
              </m:d>
              <m:r>
                <w:rPr>
                  <w:rFonts w:ascii="Cambria Math" w:eastAsiaTheme="minorEastAsia" w:hAnsi="Cambria Math"/>
                </w:rPr>
                <m:t>∙</m:t>
              </m:r>
              <m:limLow>
                <m:limLowPr>
                  <m:ctrlPr>
                    <w:rPr>
                      <w:rFonts w:ascii="Cambria Math" w:eastAsiaTheme="minorEastAsia" w:hAnsi="Cambria Math"/>
                      <w:i/>
                      <w:iCs/>
                      <w:lang w:val="fr-FR"/>
                    </w:rPr>
                  </m:ctrlPr>
                </m:limLowPr>
                <m:e>
                  <m:groupChr>
                    <m:groupChrPr>
                      <m:ctrlPr>
                        <w:rPr>
                          <w:rFonts w:ascii="Cambria Math" w:eastAsiaTheme="minorEastAsia" w:hAnsi="Cambria Math"/>
                          <w:i/>
                          <w:iCs/>
                          <w:lang w:val="fr-FR"/>
                        </w:rPr>
                      </m:ctrlPr>
                    </m:groupChrPr>
                    <m:e>
                      <m:sSub>
                        <m:sSubPr>
                          <m:ctrlPr>
                            <w:rPr>
                              <w:rFonts w:ascii="Cambria Math" w:hAnsi="Cambria Math"/>
                              <w:i/>
                            </w:rPr>
                          </m:ctrlPr>
                        </m:sSubPr>
                        <m:e>
                          <m:r>
                            <m:rPr>
                              <m:nor/>
                            </m:rPr>
                            <w:rPr>
                              <w:i/>
                              <w:iCs/>
                            </w:rPr>
                            <m:t>B</m:t>
                          </m:r>
                        </m:e>
                        <m:sub>
                          <m:r>
                            <m:rPr>
                              <m:nor/>
                            </m:rPr>
                            <w:rPr>
                              <w:i/>
                              <w:iCs/>
                            </w:rPr>
                            <m:t>0</m:t>
                          </m:r>
                        </m:sub>
                      </m:sSub>
                      <m:r>
                        <w:rPr>
                          <w:rFonts w:ascii="Cambria Math" w:hAnsi="Cambria Math"/>
                        </w:rPr>
                        <m:t>∙</m:t>
                      </m:r>
                      <m:sSup>
                        <m:sSupPr>
                          <m:ctrlPr>
                            <w:rPr>
                              <w:rFonts w:ascii="Cambria Math" w:hAnsi="Cambria Math"/>
                              <w:i/>
                              <w:iCs/>
                              <w:lang w:val="fr-FR"/>
                            </w:rPr>
                          </m:ctrlPr>
                        </m:sSupPr>
                        <m:e>
                          <m:r>
                            <m:rPr>
                              <m:nor/>
                            </m:rPr>
                            <w:rPr>
                              <w:i/>
                              <w:iCs/>
                            </w:rPr>
                            <m:t>e</m:t>
                          </m:r>
                        </m:e>
                        <m:sup>
                          <m:r>
                            <m:rPr>
                              <m:nor/>
                            </m:rPr>
                            <w:rPr>
                              <w:i/>
                              <w:iCs/>
                            </w:rPr>
                            <m:t>y</m:t>
                          </m:r>
                          <m:r>
                            <w:rPr>
                              <w:rFonts w:ascii="Cambria Math" w:hAnsi="Cambria Math"/>
                            </w:rPr>
                            <m:t>∙</m:t>
                          </m:r>
                          <m:r>
                            <m:rPr>
                              <m:nor/>
                            </m:rPr>
                            <w:rPr>
                              <w:i/>
                              <w:iCs/>
                            </w:rPr>
                            <m:t>b</m:t>
                          </m:r>
                          <m:r>
                            <w:rPr>
                              <w:rFonts w:ascii="Cambria Math" w:hAnsi="Cambria Math"/>
                            </w:rPr>
                            <m:t>∙</m:t>
                          </m:r>
                          <m:r>
                            <m:rPr>
                              <m:nor/>
                            </m:rPr>
                            <w:rPr>
                              <w:i/>
                              <w:iCs/>
                            </w:rPr>
                            <m:t>t</m:t>
                          </m:r>
                        </m:sup>
                      </m:sSup>
                    </m:e>
                  </m:groupChr>
                </m:e>
                <m:lim>
                  <m:sSub>
                    <m:sSubPr>
                      <m:ctrlPr>
                        <w:rPr>
                          <w:rFonts w:ascii="Cambria Math" w:hAnsi="Cambria Math"/>
                          <w:i/>
                        </w:rPr>
                      </m:ctrlPr>
                    </m:sSubPr>
                    <m:e>
                      <m:r>
                        <m:rPr>
                          <m:nor/>
                        </m:rPr>
                        <w:rPr>
                          <w:i/>
                          <w:iCs/>
                        </w:rPr>
                        <m:t>B</m:t>
                      </m:r>
                    </m:e>
                    <m:sub>
                      <m:r>
                        <m:rPr>
                          <m:nor/>
                        </m:rPr>
                        <w:rPr>
                          <w:i/>
                          <w:iCs/>
                        </w:rPr>
                        <m:t>t</m:t>
                      </m:r>
                    </m:sub>
                  </m:sSub>
                </m:lim>
              </m:limLow>
            </m:e>
          </m:nary>
          <m:r>
            <w:rPr>
              <w:rFonts w:ascii="Cambria Math" w:hAnsi="Cambria Math"/>
            </w:rPr>
            <m:t>∙</m:t>
          </m:r>
          <m:sSup>
            <m:sSupPr>
              <m:ctrlPr>
                <w:rPr>
                  <w:rFonts w:ascii="Cambria Math" w:hAnsi="Cambria Math"/>
                  <w:i/>
                  <w:iCs/>
                  <w:lang w:val="fr-FR"/>
                </w:rPr>
              </m:ctrlPr>
            </m:sSupPr>
            <m:e>
              <m:r>
                <m:rPr>
                  <m:nor/>
                </m:rPr>
                <w:rPr>
                  <w:i/>
                  <w:iCs/>
                </w:rPr>
                <m:t>e</m:t>
              </m:r>
            </m:e>
            <m:sup>
              <m:r>
                <w:rPr>
                  <w:rFonts w:ascii="Cambria Math" w:hAnsi="Cambria Math"/>
                </w:rPr>
                <m:t>-</m:t>
              </m:r>
              <m:sSub>
                <m:sSubPr>
                  <m:ctrlPr>
                    <w:rPr>
                      <w:rFonts w:ascii="Cambria Math" w:hAnsi="Cambria Math"/>
                      <w:i/>
                      <w:iCs/>
                      <w:lang w:val="fr-FR"/>
                    </w:rPr>
                  </m:ctrlPr>
                </m:sSubPr>
                <m:e>
                  <m:r>
                    <m:rPr>
                      <m:nor/>
                    </m:rPr>
                    <w:rPr>
                      <w:i/>
                      <w:iCs/>
                    </w:rPr>
                    <m:t>r</m:t>
                  </m:r>
                </m:e>
                <m:sub>
                  <m:r>
                    <m:rPr>
                      <m:nor/>
                    </m:rPr>
                    <w:rPr>
                      <w:i/>
                      <w:iCs/>
                    </w:rPr>
                    <m:t>E</m:t>
                  </m:r>
                </m:sub>
              </m:sSub>
              <m:r>
                <w:rPr>
                  <w:rFonts w:ascii="Cambria Math" w:hAnsi="Cambria Math"/>
                </w:rPr>
                <m:t>∙</m:t>
              </m:r>
              <m:r>
                <m:rPr>
                  <m:nor/>
                </m:rPr>
                <w:rPr>
                  <w:i/>
                  <w:iCs/>
                </w:rPr>
                <m:t>t</m:t>
              </m:r>
            </m:sup>
          </m:sSup>
          <w:proofErr w:type="spellStart"/>
          <m:r>
            <m:rPr>
              <m:nor/>
            </m:rPr>
            <w:rPr>
              <w:i/>
            </w:rPr>
            <m:t>dt</m:t>
          </m:r>
          <w:proofErr w:type="spellEnd"/>
          <m:r>
            <w:rPr>
              <w:rFonts w:ascii="Cambria Math" w:hAnsi="Cambria Math"/>
            </w:rPr>
            <m:t>⟹</m:t>
          </m:r>
          <m:r>
            <m:rPr>
              <m:nor/>
            </m:rPr>
            <w:rPr>
              <w:rFonts w:ascii="Cambria Math"/>
              <w:i/>
            </w:rPr>
            <w:br/>
          </m:r>
        </m:oMath>
        <m:oMath>
          <m:r>
            <w:rPr>
              <w:rFonts w:ascii="Cambria Math" w:hAnsi="Cambria Math"/>
            </w:rPr>
            <m:t>⟹</m:t>
          </m:r>
          <m:r>
            <m:rPr>
              <m:nor/>
            </m:rPr>
            <w:rPr>
              <w:i/>
              <w:iCs/>
            </w:rPr>
            <m:t>V</m:t>
          </m:r>
          <m:r>
            <w:rPr>
              <w:rFonts w:ascii="Cambria Math" w:hAnsi="Cambria Math"/>
            </w:rPr>
            <m:t>=</m:t>
          </m:r>
          <m:nary>
            <m:naryPr>
              <m:limLoc m:val="subSup"/>
              <m:ctrlPr>
                <w:rPr>
                  <w:rFonts w:ascii="Cambria Math" w:eastAsiaTheme="minorEastAsia" w:hAnsi="Cambria Math"/>
                  <w:i/>
                  <w:iCs/>
                  <w:lang w:val="fr-FR"/>
                </w:rPr>
              </m:ctrlPr>
            </m:naryPr>
            <m:sub>
              <m:r>
                <m:rPr>
                  <m:nor/>
                </m:rPr>
                <w:rPr>
                  <w:i/>
                  <w:iCs/>
                </w:rPr>
                <m:t>0</m:t>
              </m:r>
            </m:sub>
            <m:sup>
              <m:r>
                <w:rPr>
                  <w:rFonts w:ascii="Cambria Math"/>
                </w:rPr>
                <m:t>+</m:t>
              </m:r>
              <m:r>
                <w:rPr>
                  <w:rFonts w:ascii="Cambria Math" w:hAnsi="Cambria Math"/>
                </w:rPr>
                <m:t>∞</m:t>
              </m:r>
            </m:sup>
            <m:e>
              <m:d>
                <m:dPr>
                  <m:ctrlPr>
                    <w:rPr>
                      <w:rFonts w:ascii="Cambria Math" w:eastAsiaTheme="minorEastAsia" w:hAnsi="Cambria Math"/>
                      <w:i/>
                      <w:iCs/>
                      <w:lang w:val="fr-FR"/>
                    </w:rPr>
                  </m:ctrlPr>
                </m:dPr>
                <m:e>
                  <m:r>
                    <m:rPr>
                      <m:nor/>
                    </m:rPr>
                    <w:rPr>
                      <w:rFonts w:eastAsiaTheme="minorEastAsia"/>
                      <w:i/>
                    </w:rPr>
                    <m:t>1</m:t>
                  </m:r>
                  <m:r>
                    <w:rPr>
                      <w:rFonts w:ascii="Cambria Math" w:eastAsiaTheme="minorEastAsia" w:hAnsi="Cambria Math"/>
                    </w:rPr>
                    <m:t>-</m:t>
                  </m:r>
                  <m:r>
                    <m:rPr>
                      <m:nor/>
                    </m:rPr>
                    <w:rPr>
                      <w:rFonts w:eastAsiaTheme="minorEastAsia"/>
                      <w:i/>
                    </w:rPr>
                    <m:t>b</m:t>
                  </m:r>
                </m:e>
              </m:d>
              <m:r>
                <w:rPr>
                  <w:rFonts w:ascii="Cambria Math" w:eastAsiaTheme="minorEastAsia" w:hAnsi="Cambria Math"/>
                </w:rPr>
                <m:t>∙</m:t>
              </m:r>
              <m:sSub>
                <m:sSubPr>
                  <m:ctrlPr>
                    <w:rPr>
                      <w:rFonts w:ascii="Cambria Math" w:hAnsi="Cambria Math"/>
                      <w:i/>
                    </w:rPr>
                  </m:ctrlPr>
                </m:sSubPr>
                <m:e>
                  <m:r>
                    <m:rPr>
                      <m:nor/>
                    </m:rPr>
                    <w:rPr>
                      <w:i/>
                      <w:iCs/>
                    </w:rPr>
                    <m:t>B</m:t>
                  </m:r>
                </m:e>
                <m:sub>
                  <m:r>
                    <m:rPr>
                      <m:nor/>
                    </m:rPr>
                    <w:rPr>
                      <w:i/>
                      <w:iCs/>
                    </w:rPr>
                    <m:t>0</m:t>
                  </m:r>
                </m:sub>
              </m:sSub>
              <m:r>
                <w:rPr>
                  <w:rFonts w:ascii="Cambria Math" w:hAnsi="Cambria Math"/>
                </w:rPr>
                <m:t>∙</m:t>
              </m:r>
              <m:sSup>
                <m:sSupPr>
                  <m:ctrlPr>
                    <w:rPr>
                      <w:rFonts w:ascii="Cambria Math" w:hAnsi="Cambria Math"/>
                      <w:i/>
                      <w:iCs/>
                      <w:lang w:val="fr-FR"/>
                    </w:rPr>
                  </m:ctrlPr>
                </m:sSupPr>
                <m:e>
                  <m:r>
                    <m:rPr>
                      <m:nor/>
                    </m:rPr>
                    <w:rPr>
                      <w:i/>
                      <w:iCs/>
                    </w:rPr>
                    <m:t>e</m:t>
                  </m:r>
                </m:e>
                <m:sup>
                  <m:r>
                    <w:rPr>
                      <w:rFonts w:ascii="Cambria Math" w:hAnsi="Cambria Math"/>
                    </w:rPr>
                    <m:t>-</m:t>
                  </m:r>
                  <m:d>
                    <m:dPr>
                      <m:ctrlPr>
                        <w:rPr>
                          <w:rFonts w:ascii="Cambria Math" w:hAnsi="Cambria Math"/>
                          <w:i/>
                          <w:iCs/>
                          <w:lang w:val="fr-FR"/>
                        </w:rPr>
                      </m:ctrlPr>
                    </m:dPr>
                    <m:e>
                      <m:sSub>
                        <m:sSubPr>
                          <m:ctrlPr>
                            <w:rPr>
                              <w:rFonts w:ascii="Cambria Math" w:hAnsi="Cambria Math"/>
                              <w:i/>
                              <w:iCs/>
                              <w:lang w:val="fr-FR"/>
                            </w:rPr>
                          </m:ctrlPr>
                        </m:sSubPr>
                        <m:e>
                          <m:r>
                            <m:rPr>
                              <m:nor/>
                            </m:rPr>
                            <w:rPr>
                              <w:i/>
                              <w:iCs/>
                            </w:rPr>
                            <m:t>r</m:t>
                          </m:r>
                        </m:e>
                        <m:sub>
                          <m:r>
                            <m:rPr>
                              <m:nor/>
                            </m:rPr>
                            <w:rPr>
                              <w:i/>
                              <w:iCs/>
                            </w:rPr>
                            <m:t>E</m:t>
                          </m:r>
                        </m:sub>
                      </m:sSub>
                      <m:r>
                        <w:rPr>
                          <w:rFonts w:ascii="Cambria Math" w:hAnsi="Cambria Math"/>
                        </w:rPr>
                        <m:t>-</m:t>
                      </m:r>
                      <m:r>
                        <m:rPr>
                          <m:nor/>
                        </m:rPr>
                        <w:rPr>
                          <w:i/>
                          <w:iCs/>
                        </w:rPr>
                        <m:t>y</m:t>
                      </m:r>
                      <m:r>
                        <w:rPr>
                          <w:rFonts w:ascii="Cambria Math" w:hAnsi="Cambria Math"/>
                        </w:rPr>
                        <m:t>∙</m:t>
                      </m:r>
                      <m:r>
                        <m:rPr>
                          <m:nor/>
                        </m:rPr>
                        <w:rPr>
                          <w:i/>
                          <w:iCs/>
                        </w:rPr>
                        <m:t>b</m:t>
                      </m:r>
                    </m:e>
                  </m:d>
                  <m:r>
                    <w:rPr>
                      <w:rFonts w:ascii="Cambria Math" w:hAnsi="Cambria Math"/>
                    </w:rPr>
                    <m:t>∙</m:t>
                  </m:r>
                  <m:r>
                    <m:rPr>
                      <m:nor/>
                    </m:rPr>
                    <w:rPr>
                      <w:i/>
                      <w:iCs/>
                    </w:rPr>
                    <m:t>t</m:t>
                  </m:r>
                </m:sup>
              </m:sSup>
            </m:e>
          </m:nary>
          <w:proofErr w:type="spellStart"/>
          <m:r>
            <m:rPr>
              <m:nor/>
            </m:rPr>
            <w:rPr>
              <w:i/>
            </w:rPr>
            <m:t>dt</m:t>
          </m:r>
          <w:proofErr w:type="spellEnd"/>
          <m:r>
            <m:rPr>
              <m:nor/>
            </m:rPr>
            <w:rPr>
              <w:rFonts w:ascii="Cambria Math"/>
              <w:i/>
            </w:rPr>
            <m:t xml:space="preserve"> </m:t>
          </m:r>
          <m:r>
            <m:rPr>
              <m:nor/>
            </m:rPr>
            <w:rPr>
              <w:rStyle w:val="Refdenotaalpie"/>
              <w:iCs/>
              <w:lang w:val="fr-FR"/>
            </w:rPr>
            <w:footnoteReference w:id="42"/>
          </m:r>
          <m:r>
            <w:rPr>
              <w:rFonts w:ascii="Cambria Math" w:hAnsi="Cambria Math"/>
            </w:rPr>
            <m:t>⟹</m:t>
          </m:r>
          <m:r>
            <m:rPr>
              <m:nor/>
            </m:rPr>
            <w:rPr>
              <w:rFonts w:ascii="Cambria Math"/>
              <w:i/>
            </w:rPr>
            <w:br/>
          </m:r>
        </m:oMath>
        <m:oMath>
          <m:r>
            <w:rPr>
              <w:rFonts w:ascii="Cambria Math" w:eastAsiaTheme="minorEastAsia" w:hAnsi="Cambria Math"/>
            </w:rPr>
            <m:t xml:space="preserve"> </m:t>
          </m:r>
          <m:r>
            <w:rPr>
              <w:rFonts w:ascii="Cambria Math" w:hAnsi="Cambria Math"/>
            </w:rPr>
            <m:t>⟹</m:t>
          </m:r>
          <m:borderBox>
            <m:borderBoxPr>
              <m:ctrlPr>
                <w:rPr>
                  <w:rFonts w:ascii="Cambria Math" w:hAnsi="Cambria Math"/>
                  <w:i/>
                  <w:iCs/>
                </w:rPr>
              </m:ctrlPr>
            </m:borderBoxPr>
            <m:e>
              <m:r>
                <m:rPr>
                  <m:nor/>
                </m:rPr>
                <w:rPr>
                  <w:i/>
                  <w:iCs/>
                </w:rPr>
                <m:t>V</m:t>
              </m:r>
              <m:r>
                <w:rPr>
                  <w:rFonts w:ascii="Cambria Math" w:hAnsi="Cambria Math"/>
                </w:rPr>
                <m:t>=</m:t>
              </m:r>
              <m:f>
                <m:fPr>
                  <m:ctrlPr>
                    <w:rPr>
                      <w:rFonts w:ascii="Cambria Math" w:eastAsiaTheme="minorEastAsia" w:hAnsi="Cambria Math"/>
                      <w:i/>
                      <w:lang w:val="fr-FR"/>
                    </w:rPr>
                  </m:ctrlPr>
                </m:fPr>
                <m:num>
                  <m:d>
                    <m:dPr>
                      <m:ctrlPr>
                        <w:rPr>
                          <w:rFonts w:ascii="Cambria Math" w:eastAsiaTheme="minorEastAsia" w:hAnsi="Cambria Math"/>
                          <w:i/>
                          <w:iCs/>
                          <w:lang w:val="fr-FR"/>
                        </w:rPr>
                      </m:ctrlPr>
                    </m:dPr>
                    <m:e>
                      <m:r>
                        <m:rPr>
                          <m:nor/>
                        </m:rPr>
                        <w:rPr>
                          <w:rFonts w:eastAsiaTheme="minorEastAsia"/>
                          <w:i/>
                        </w:rPr>
                        <m:t>1</m:t>
                      </m:r>
                      <m:r>
                        <w:rPr>
                          <w:rFonts w:ascii="Cambria Math" w:eastAsiaTheme="minorEastAsia" w:hAnsi="Cambria Math"/>
                        </w:rPr>
                        <m:t>-</m:t>
                      </m:r>
                      <m:r>
                        <m:rPr>
                          <m:nor/>
                        </m:rPr>
                        <w:rPr>
                          <w:rFonts w:eastAsiaTheme="minorEastAsia"/>
                          <w:i/>
                        </w:rPr>
                        <m:t>b</m:t>
                      </m:r>
                    </m:e>
                  </m:d>
                  <m:r>
                    <w:rPr>
                      <w:rFonts w:ascii="Cambria Math" w:eastAsiaTheme="minorEastAsia" w:hAnsi="Cambria Math"/>
                    </w:rPr>
                    <m:t>∙</m:t>
                  </m:r>
                  <m:sSub>
                    <m:sSubPr>
                      <m:ctrlPr>
                        <w:rPr>
                          <w:rFonts w:ascii="Cambria Math" w:hAnsi="Cambria Math"/>
                          <w:i/>
                        </w:rPr>
                      </m:ctrlPr>
                    </m:sSubPr>
                    <m:e>
                      <m:r>
                        <m:rPr>
                          <m:nor/>
                        </m:rPr>
                        <w:rPr>
                          <w:i/>
                          <w:iCs/>
                        </w:rPr>
                        <m:t>B</m:t>
                      </m:r>
                    </m:e>
                    <m:sub>
                      <m:r>
                        <m:rPr>
                          <m:nor/>
                        </m:rPr>
                        <w:rPr>
                          <w:i/>
                          <w:iCs/>
                        </w:rPr>
                        <m:t>0</m:t>
                      </m:r>
                    </m:sub>
                  </m:sSub>
                </m:num>
                <m:den>
                  <m:sSub>
                    <m:sSubPr>
                      <m:ctrlPr>
                        <w:rPr>
                          <w:rFonts w:ascii="Cambria Math" w:hAnsi="Cambria Math"/>
                          <w:i/>
                          <w:iCs/>
                          <w:lang w:val="fr-FR"/>
                        </w:rPr>
                      </m:ctrlPr>
                    </m:sSubPr>
                    <m:e>
                      <m:r>
                        <m:rPr>
                          <m:nor/>
                        </m:rPr>
                        <w:rPr>
                          <w:i/>
                          <w:iCs/>
                        </w:rPr>
                        <m:t>r</m:t>
                      </m:r>
                    </m:e>
                    <m:sub>
                      <m:r>
                        <m:rPr>
                          <m:nor/>
                        </m:rPr>
                        <w:rPr>
                          <w:i/>
                          <w:iCs/>
                        </w:rPr>
                        <m:t>E</m:t>
                      </m:r>
                    </m:sub>
                  </m:sSub>
                  <m:r>
                    <w:rPr>
                      <w:rFonts w:ascii="Cambria Math" w:hAnsi="Cambria Math"/>
                    </w:rPr>
                    <m:t>-</m:t>
                  </m:r>
                  <m:r>
                    <m:rPr>
                      <m:nor/>
                    </m:rPr>
                    <w:rPr>
                      <w:i/>
                      <w:iCs/>
                    </w:rPr>
                    <m:t>y</m:t>
                  </m:r>
                  <m:r>
                    <w:rPr>
                      <w:rFonts w:ascii="Cambria Math" w:hAnsi="Cambria Math"/>
                    </w:rPr>
                    <m:t>∙</m:t>
                  </m:r>
                  <m:r>
                    <m:rPr>
                      <m:nor/>
                    </m:rPr>
                    <w:rPr>
                      <w:i/>
                      <w:iCs/>
                    </w:rPr>
                    <m:t>b</m:t>
                  </m:r>
                </m:den>
              </m:f>
            </m:e>
          </m:borderBox>
        </m:oMath>
      </m:oMathPara>
    </w:p>
    <w:p w14:paraId="5D4BAEF8" w14:textId="5F3035E4" w:rsidR="007678A7" w:rsidRDefault="007678A7" w:rsidP="00AE0078">
      <w:pPr>
        <w:pStyle w:val="Nivel2SM"/>
        <w:rPr>
          <w:iCs/>
        </w:rPr>
      </w:pPr>
      <w:r w:rsidRPr="007678A7">
        <w:t>Nótese que lo último e</w:t>
      </w:r>
      <w:r>
        <w:t xml:space="preserve">s tanto como decir que el valor de la empresa puede calcularse como el dividendo perpetuo descontado al tipo de interés </w:t>
      </w:r>
      <m:oMath>
        <m:sSub>
          <m:sSubPr>
            <m:ctrlPr>
              <w:rPr>
                <w:rFonts w:ascii="Cambria Math" w:hAnsi="Cambria Math"/>
                <w:i/>
                <w:iCs/>
                <w:lang w:val="fr-FR"/>
              </w:rPr>
            </m:ctrlPr>
          </m:sSubPr>
          <m:e>
            <m:r>
              <m:rPr>
                <m:nor/>
              </m:rPr>
              <w:rPr>
                <w:i/>
                <w:iCs/>
              </w:rPr>
              <m:t>r</m:t>
            </m:r>
          </m:e>
          <m:sub>
            <m:r>
              <m:rPr>
                <m:nor/>
              </m:rPr>
              <w:rPr>
                <w:i/>
                <w:iCs/>
              </w:rPr>
              <m:t>E</m:t>
            </m:r>
          </m:sub>
        </m:sSub>
      </m:oMath>
      <w:r w:rsidRPr="007678A7">
        <w:rPr>
          <w:iCs/>
        </w:rPr>
        <w:t xml:space="preserve"> </w:t>
      </w:r>
      <w:r w:rsidR="0007146E">
        <w:rPr>
          <w:iCs/>
        </w:rPr>
        <w:t xml:space="preserve">(i.e. la rentabilidad requerida por los accionistas) </w:t>
      </w:r>
      <w:r>
        <w:rPr>
          <w:iCs/>
        </w:rPr>
        <w:t xml:space="preserve">y corregido por </w:t>
      </w:r>
      <m:oMath>
        <m:r>
          <m:rPr>
            <m:nor/>
          </m:rPr>
          <w:rPr>
            <w:i/>
            <w:iCs/>
          </w:rPr>
          <m:t>y</m:t>
        </m:r>
        <m:r>
          <w:rPr>
            <w:rFonts w:ascii="Cambria Math" w:hAnsi="Cambria Math"/>
          </w:rPr>
          <m:t>∙</m:t>
        </m:r>
        <m:r>
          <m:rPr>
            <m:nor/>
          </m:rPr>
          <w:rPr>
            <w:i/>
            <w:iCs/>
          </w:rPr>
          <m:t>b</m:t>
        </m:r>
      </m:oMath>
      <w:r>
        <w:rPr>
          <w:iCs/>
        </w:rPr>
        <w:t>.</w:t>
      </w:r>
    </w:p>
    <w:p w14:paraId="0231CF9E" w14:textId="1D5058A7" w:rsidR="007678A7" w:rsidRDefault="007678A7" w:rsidP="00797879">
      <w:pPr>
        <w:pStyle w:val="Nivel1SM"/>
        <w:keepNext/>
        <w:spacing w:after="0"/>
      </w:pPr>
      <w:r>
        <w:lastRenderedPageBreak/>
        <w:t>Podemos ver la influencia de la política de dividendos (</w:t>
      </w:r>
      <m:oMath>
        <m:r>
          <m:rPr>
            <m:nor/>
          </m:rPr>
          <w:rPr>
            <w:i/>
          </w:rPr>
          <m:t>b</m:t>
        </m:r>
      </m:oMath>
      <w:r>
        <w:t>)</w:t>
      </w:r>
      <w:r w:rsidR="00CE7446">
        <w:t xml:space="preserve"> sobre el valor de la empresa (</w:t>
      </w:r>
      <m:oMath>
        <m:r>
          <m:rPr>
            <m:nor/>
          </m:rPr>
          <w:rPr>
            <w:i/>
          </w:rPr>
          <m:t>V</m:t>
        </m:r>
      </m:oMath>
      <w:r w:rsidR="00CE7446">
        <w:t>), calculando la primera derivada</w:t>
      </w:r>
      <w:r w:rsidR="00305113">
        <w:rPr>
          <w:rStyle w:val="Refdenotaalpie"/>
          <w:rFonts w:eastAsiaTheme="minorEastAsia"/>
          <w:iCs/>
        </w:rPr>
        <w:footnoteReference w:id="43"/>
      </w:r>
      <w:r w:rsidR="00CE7446">
        <w:t>:</w:t>
      </w:r>
    </w:p>
    <w:p w14:paraId="796C1C5A" w14:textId="4276FBAC" w:rsidR="00CE7446" w:rsidRPr="00CE7446" w:rsidRDefault="00000000" w:rsidP="005B5161">
      <w:pPr>
        <w:pStyle w:val="Nivel1SM"/>
        <w:numPr>
          <w:ilvl w:val="0"/>
          <w:numId w:val="0"/>
        </w:numPr>
        <w:spacing w:before="0"/>
      </w:pPr>
      <m:oMathPara>
        <m:oMath>
          <m:borderBox>
            <m:borderBoxPr>
              <m:ctrlPr>
                <w:rPr>
                  <w:rFonts w:ascii="Cambria Math" w:hAnsi="Cambria Math"/>
                  <w:i/>
                  <w:lang w:val="fr-FR"/>
                </w:rPr>
              </m:ctrlPr>
            </m:borderBoxPr>
            <m:e>
              <m:f>
                <m:fPr>
                  <m:ctrlPr>
                    <w:rPr>
                      <w:rFonts w:ascii="Cambria Math" w:hAnsi="Cambria Math"/>
                      <w:i/>
                      <w:lang w:val="fr-FR"/>
                    </w:rPr>
                  </m:ctrlPr>
                </m:fPr>
                <m:num>
                  <m:r>
                    <w:rPr>
                      <w:rFonts w:ascii="Cambria Math" w:hAnsi="Cambria Math"/>
                      <w:lang w:val="fr-FR"/>
                    </w:rPr>
                    <m:t>∂</m:t>
                  </m:r>
                  <m:r>
                    <m:rPr>
                      <m:nor/>
                    </m:rPr>
                    <w:rPr>
                      <w:i/>
                    </w:rPr>
                    <m:t>V</m:t>
                  </m:r>
                </m:num>
                <m:den>
                  <m:r>
                    <w:rPr>
                      <w:rFonts w:ascii="Cambria Math" w:hAnsi="Cambria Math"/>
                      <w:lang w:val="fr-FR"/>
                    </w:rPr>
                    <m:t>∂</m:t>
                  </m:r>
                  <m:r>
                    <m:rPr>
                      <m:nor/>
                    </m:rPr>
                    <w:rPr>
                      <w:i/>
                    </w:rPr>
                    <m:t>b</m:t>
                  </m:r>
                </m:den>
              </m:f>
              <m:r>
                <w:rPr>
                  <w:rFonts w:ascii="Cambria Math" w:hAnsi="Cambria Math"/>
                </w:rPr>
                <m:t>=</m:t>
              </m:r>
              <m:f>
                <m:fPr>
                  <m:ctrlPr>
                    <w:rPr>
                      <w:rFonts w:ascii="Cambria Math" w:hAnsi="Cambria Math"/>
                      <w:i/>
                      <w:lang w:val="fr-FR"/>
                    </w:rPr>
                  </m:ctrlPr>
                </m:fPr>
                <m:num>
                  <m:sSub>
                    <m:sSubPr>
                      <m:ctrlPr>
                        <w:rPr>
                          <w:rFonts w:ascii="Cambria Math" w:hAnsi="Cambria Math"/>
                          <w:i/>
                        </w:rPr>
                      </m:ctrlPr>
                    </m:sSubPr>
                    <m:e>
                      <m:r>
                        <m:rPr>
                          <m:nor/>
                        </m:rPr>
                        <w:rPr>
                          <w:i/>
                        </w:rPr>
                        <m:t>B</m:t>
                      </m:r>
                    </m:e>
                    <m:sub>
                      <m:r>
                        <m:rPr>
                          <m:nor/>
                        </m:rPr>
                        <w:rPr>
                          <w:i/>
                        </w:rPr>
                        <m:t>0</m:t>
                      </m:r>
                    </m:sub>
                  </m:sSub>
                  <m:r>
                    <w:rPr>
                      <w:rFonts w:ascii="Cambria Math" w:hAnsi="Cambria Math"/>
                    </w:rPr>
                    <m:t>∙</m:t>
                  </m:r>
                  <m:d>
                    <m:dPr>
                      <m:ctrlPr>
                        <w:rPr>
                          <w:rFonts w:ascii="Cambria Math" w:hAnsi="Cambria Math"/>
                          <w:i/>
                        </w:rPr>
                      </m:ctrlPr>
                    </m:dPr>
                    <m:e>
                      <m:r>
                        <m:rPr>
                          <m:nor/>
                        </m:rPr>
                        <w:rPr>
                          <w:i/>
                        </w:rPr>
                        <m:t>y</m:t>
                      </m:r>
                      <m:r>
                        <w:rPr>
                          <w:rFonts w:ascii="Cambria Math" w:hAnsi="Cambria Math"/>
                        </w:rPr>
                        <m:t>-</m:t>
                      </m:r>
                      <m:sSub>
                        <m:sSubPr>
                          <m:ctrlPr>
                            <w:rPr>
                              <w:rFonts w:ascii="Cambria Math" w:hAnsi="Cambria Math"/>
                              <w:i/>
                              <w:lang w:val="fr-FR"/>
                            </w:rPr>
                          </m:ctrlPr>
                        </m:sSubPr>
                        <m:e>
                          <m:r>
                            <m:rPr>
                              <m:nor/>
                            </m:rPr>
                            <w:rPr>
                              <w:i/>
                            </w:rPr>
                            <m:t>r</m:t>
                          </m:r>
                        </m:e>
                        <m:sub>
                          <m:r>
                            <m:rPr>
                              <m:nor/>
                            </m:rPr>
                            <w:rPr>
                              <w:i/>
                            </w:rPr>
                            <m:t>E</m:t>
                          </m:r>
                        </m:sub>
                      </m:sSub>
                    </m:e>
                  </m:d>
                </m:num>
                <m:den>
                  <m:sSup>
                    <m:sSupPr>
                      <m:ctrlPr>
                        <w:rPr>
                          <w:rFonts w:ascii="Cambria Math" w:hAnsi="Cambria Math"/>
                          <w:i/>
                          <w:lang w:val="fr-FR"/>
                        </w:rPr>
                      </m:ctrlPr>
                    </m:sSupPr>
                    <m:e>
                      <m:d>
                        <m:dPr>
                          <m:ctrlPr>
                            <w:rPr>
                              <w:rFonts w:ascii="Cambria Math" w:hAnsi="Cambria Math"/>
                              <w:i/>
                              <w:lang w:val="fr-FR"/>
                            </w:rPr>
                          </m:ctrlPr>
                        </m:dPr>
                        <m:e>
                          <m:sSub>
                            <m:sSubPr>
                              <m:ctrlPr>
                                <w:rPr>
                                  <w:rFonts w:ascii="Cambria Math" w:hAnsi="Cambria Math"/>
                                  <w:i/>
                                  <w:lang w:val="fr-FR"/>
                                </w:rPr>
                              </m:ctrlPr>
                            </m:sSubPr>
                            <m:e>
                              <m:r>
                                <m:rPr>
                                  <m:nor/>
                                </m:rPr>
                                <w:rPr>
                                  <w:i/>
                                </w:rPr>
                                <m:t>r</m:t>
                              </m:r>
                            </m:e>
                            <m:sub>
                              <m:r>
                                <m:rPr>
                                  <m:nor/>
                                </m:rPr>
                                <w:rPr>
                                  <w:i/>
                                </w:rPr>
                                <m:t>E</m:t>
                              </m:r>
                            </m:sub>
                          </m:sSub>
                          <m:r>
                            <w:rPr>
                              <w:rFonts w:ascii="Cambria Math" w:hAnsi="Cambria Math"/>
                            </w:rPr>
                            <m:t>-</m:t>
                          </m:r>
                          <m:r>
                            <m:rPr>
                              <m:nor/>
                            </m:rPr>
                            <w:rPr>
                              <w:i/>
                            </w:rPr>
                            <m:t>y</m:t>
                          </m:r>
                          <m:r>
                            <w:rPr>
                              <w:rFonts w:ascii="Cambria Math" w:hAnsi="Cambria Math"/>
                            </w:rPr>
                            <m:t>∙</m:t>
                          </m:r>
                          <m:r>
                            <m:rPr>
                              <m:nor/>
                            </m:rPr>
                            <w:rPr>
                              <w:i/>
                            </w:rPr>
                            <m:t>b</m:t>
                          </m:r>
                        </m:e>
                      </m:d>
                    </m:e>
                    <m:sup>
                      <m:r>
                        <m:rPr>
                          <m:nor/>
                        </m:rPr>
                        <w:rPr>
                          <w:i/>
                        </w:rPr>
                        <m:t>2</m:t>
                      </m:r>
                    </m:sup>
                  </m:sSup>
                </m:den>
              </m:f>
            </m:e>
          </m:borderBox>
        </m:oMath>
      </m:oMathPara>
    </w:p>
    <w:p w14:paraId="6BFA172D" w14:textId="2BA6CF2C" w:rsidR="00CE7446" w:rsidRDefault="00CE7446" w:rsidP="00797879">
      <w:pPr>
        <w:pStyle w:val="Nivel1SM"/>
        <w:keepNext/>
        <w:spacing w:after="0"/>
      </w:pPr>
      <w:r>
        <w:t>Por lo tanto:</w:t>
      </w:r>
    </w:p>
    <w:p w14:paraId="3966A845" w14:textId="02A10A15" w:rsidR="00CE7446" w:rsidRPr="00CE7446" w:rsidRDefault="00CE7446" w:rsidP="00797879">
      <w:pPr>
        <w:pStyle w:val="Nivel2SM"/>
      </w:pPr>
      <w:r>
        <w:t>Si</w:t>
      </w:r>
      <m:oMath>
        <m:r>
          <w:rPr>
            <w:rFonts w:ascii="Cambria Math" w:hAnsi="Cambria Math"/>
          </w:rPr>
          <m:t xml:space="preserve"> </m:t>
        </m:r>
        <m:r>
          <m:rPr>
            <m:nor/>
          </m:rPr>
          <w:rPr>
            <w:i/>
          </w:rPr>
          <m:t>y</m:t>
        </m:r>
        <m:r>
          <w:rPr>
            <w:rFonts w:ascii="Cambria Math" w:hAnsi="Cambria Math"/>
          </w:rPr>
          <m:t>&gt;</m:t>
        </m:r>
        <m:sSub>
          <m:sSubPr>
            <m:ctrlPr>
              <w:rPr>
                <w:rFonts w:ascii="Cambria Math" w:hAnsi="Cambria Math"/>
                <w:i/>
                <w:lang w:val="fr-FR"/>
              </w:rPr>
            </m:ctrlPr>
          </m:sSubPr>
          <m:e>
            <m:r>
              <m:rPr>
                <m:nor/>
              </m:rPr>
              <w:rPr>
                <w:i/>
              </w:rPr>
              <m:t>r</m:t>
            </m:r>
          </m:e>
          <m:sub>
            <m:r>
              <m:rPr>
                <m:nor/>
              </m:rPr>
              <w:rPr>
                <w:i/>
              </w:rPr>
              <m:t>E</m:t>
            </m:r>
          </m:sub>
        </m:sSub>
        <m:r>
          <w:rPr>
            <w:rFonts w:ascii="Cambria Math" w:eastAsiaTheme="minorEastAsia" w:hAnsi="Cambria Math"/>
            <w:lang w:val="fr-FR"/>
          </w:rPr>
          <m:t>⟹</m:t>
        </m:r>
        <m:f>
          <m:fPr>
            <m:type m:val="lin"/>
            <m:ctrlPr>
              <w:rPr>
                <w:rFonts w:ascii="Cambria Math" w:hAnsi="Cambria Math"/>
                <w:i/>
              </w:rPr>
            </m:ctrlPr>
          </m:fPr>
          <m:num>
            <m:r>
              <w:rPr>
                <w:rFonts w:ascii="Cambria Math" w:hAnsi="Cambria Math"/>
                <w:lang w:val="fr-FR"/>
              </w:rPr>
              <m:t>∂</m:t>
            </m:r>
            <m:r>
              <m:rPr>
                <m:nor/>
              </m:rPr>
              <w:rPr>
                <w:i/>
              </w:rPr>
              <m:t>V</m:t>
            </m:r>
          </m:num>
          <m:den>
            <m:r>
              <w:rPr>
                <w:rFonts w:ascii="Cambria Math" w:hAnsi="Cambria Math"/>
                <w:lang w:val="fr-FR"/>
              </w:rPr>
              <m:t>∂</m:t>
            </m:r>
            <m:r>
              <m:rPr>
                <m:nor/>
              </m:rPr>
              <w:rPr>
                <w:i/>
              </w:rPr>
              <m:t>b</m:t>
            </m:r>
          </m:den>
        </m:f>
        <m:r>
          <w:rPr>
            <w:rFonts w:ascii="Cambria Math" w:hAnsi="Cambria Math"/>
          </w:rPr>
          <m:t>&gt;</m:t>
        </m:r>
        <m:r>
          <m:rPr>
            <m:nor/>
          </m:rPr>
          <w:rPr>
            <w:i/>
          </w:rPr>
          <m:t>0</m:t>
        </m:r>
      </m:oMath>
      <w:r w:rsidRPr="00CE7446">
        <w:t xml:space="preserve">, el valor de la empresa aumenta cuando aumenta la tasa de retención de </w:t>
      </w:r>
      <w:r>
        <w:t>beneficios, ya que las n</w:t>
      </w:r>
      <w:r w:rsidR="0037051F">
        <w:t>u</w:t>
      </w:r>
      <w:r>
        <w:t>evas inversiones de la empresa financiadas con ese dinero extra reportan más rentabilidad que su distribución en forma de dividendos. Por tanto, la política de dividendos óptima será no repartir dividendos.</w:t>
      </w:r>
    </w:p>
    <w:p w14:paraId="3BECC18F" w14:textId="366D65B6" w:rsidR="00CE7446" w:rsidRPr="00680687" w:rsidRDefault="00CE7446" w:rsidP="00797879">
      <w:pPr>
        <w:pStyle w:val="Nivel2SM"/>
      </w:pPr>
      <w:r>
        <w:t>Si</w:t>
      </w:r>
      <m:oMath>
        <m:r>
          <w:rPr>
            <w:rFonts w:ascii="Cambria Math" w:hAnsi="Cambria Math"/>
          </w:rPr>
          <m:t xml:space="preserve"> </m:t>
        </m:r>
        <m:r>
          <m:rPr>
            <m:nor/>
          </m:rPr>
          <w:rPr>
            <w:i/>
          </w:rPr>
          <m:t>y</m:t>
        </m:r>
        <m:r>
          <w:rPr>
            <w:rFonts w:ascii="Cambria Math" w:hAnsi="Cambria Math"/>
          </w:rPr>
          <m:t>=</m:t>
        </m:r>
        <m:sSub>
          <m:sSubPr>
            <m:ctrlPr>
              <w:rPr>
                <w:rFonts w:ascii="Cambria Math" w:hAnsi="Cambria Math"/>
                <w:i/>
                <w:lang w:val="fr-FR"/>
              </w:rPr>
            </m:ctrlPr>
          </m:sSubPr>
          <m:e>
            <m:r>
              <m:rPr>
                <m:nor/>
              </m:rPr>
              <w:rPr>
                <w:i/>
              </w:rPr>
              <m:t>r</m:t>
            </m:r>
          </m:e>
          <m:sub>
            <m:r>
              <m:rPr>
                <m:nor/>
              </m:rPr>
              <w:rPr>
                <w:i/>
              </w:rPr>
              <m:t>E</m:t>
            </m:r>
          </m:sub>
        </m:sSub>
        <m:r>
          <w:rPr>
            <w:rFonts w:ascii="Cambria Math" w:eastAsiaTheme="minorEastAsia" w:hAnsi="Cambria Math"/>
            <w:lang w:val="fr-FR"/>
          </w:rPr>
          <m:t>⟹</m:t>
        </m:r>
        <m:f>
          <m:fPr>
            <m:type m:val="lin"/>
            <m:ctrlPr>
              <w:rPr>
                <w:rFonts w:ascii="Cambria Math" w:hAnsi="Cambria Math"/>
                <w:i/>
              </w:rPr>
            </m:ctrlPr>
          </m:fPr>
          <m:num>
            <m:r>
              <w:rPr>
                <w:rFonts w:ascii="Cambria Math" w:hAnsi="Cambria Math"/>
                <w:lang w:val="fr-FR"/>
              </w:rPr>
              <m:t>∂</m:t>
            </m:r>
            <m:r>
              <m:rPr>
                <m:nor/>
              </m:rPr>
              <w:rPr>
                <w:i/>
              </w:rPr>
              <m:t>V</m:t>
            </m:r>
          </m:num>
          <m:den>
            <m:r>
              <w:rPr>
                <w:rFonts w:ascii="Cambria Math" w:hAnsi="Cambria Math"/>
                <w:lang w:val="fr-FR"/>
              </w:rPr>
              <m:t>∂</m:t>
            </m:r>
            <m:r>
              <m:rPr>
                <m:nor/>
              </m:rPr>
              <w:rPr>
                <w:i/>
              </w:rPr>
              <m:t>b</m:t>
            </m:r>
          </m:den>
        </m:f>
        <m:r>
          <w:rPr>
            <w:rFonts w:ascii="Cambria Math" w:hAnsi="Cambria Math"/>
          </w:rPr>
          <m:t>=</m:t>
        </m:r>
        <m:r>
          <m:rPr>
            <m:nor/>
          </m:rPr>
          <w:rPr>
            <w:i/>
          </w:rPr>
          <m:t>0</m:t>
        </m:r>
      </m:oMath>
      <w:r w:rsidRPr="00CE7446">
        <w:t>, el val</w:t>
      </w:r>
      <w:r>
        <w:t xml:space="preserve">or de la empresa no se ve afectado por la política de dividendos (pues este supuesto es el mismo que subyace en la teoría de </w:t>
      </w:r>
      <w:r>
        <w:rPr>
          <w:smallCaps/>
        </w:rPr>
        <w:t>Modigliani</w:t>
      </w:r>
      <w:r>
        <w:t xml:space="preserve"> y </w:t>
      </w:r>
      <w:r>
        <w:rPr>
          <w:smallCaps/>
        </w:rPr>
        <w:t>Miller</w:t>
      </w:r>
      <w:r>
        <w:t>).</w:t>
      </w:r>
    </w:p>
    <w:p w14:paraId="0E502BBC" w14:textId="353E88D3" w:rsidR="00680687" w:rsidRPr="005B7A11" w:rsidRDefault="00680687" w:rsidP="00797879">
      <w:pPr>
        <w:pStyle w:val="Nivel2SM"/>
      </w:pPr>
      <w:r>
        <w:t>Si</w:t>
      </w:r>
      <m:oMath>
        <m:r>
          <w:rPr>
            <w:rFonts w:ascii="Cambria Math" w:hAnsi="Cambria Math"/>
          </w:rPr>
          <m:t xml:space="preserve"> </m:t>
        </m:r>
        <m:r>
          <m:rPr>
            <m:nor/>
          </m:rPr>
          <w:rPr>
            <w:i/>
          </w:rPr>
          <m:t>y</m:t>
        </m:r>
        <m:r>
          <w:rPr>
            <w:rFonts w:ascii="Cambria Math" w:hAnsi="Cambria Math"/>
          </w:rPr>
          <m:t>&lt;</m:t>
        </m:r>
        <m:sSub>
          <m:sSubPr>
            <m:ctrlPr>
              <w:rPr>
                <w:rFonts w:ascii="Cambria Math" w:hAnsi="Cambria Math"/>
                <w:i/>
                <w:lang w:val="fr-FR"/>
              </w:rPr>
            </m:ctrlPr>
          </m:sSubPr>
          <m:e>
            <m:r>
              <m:rPr>
                <m:nor/>
              </m:rPr>
              <w:rPr>
                <w:i/>
              </w:rPr>
              <m:t>r</m:t>
            </m:r>
          </m:e>
          <m:sub>
            <m:r>
              <m:rPr>
                <m:nor/>
              </m:rPr>
              <w:rPr>
                <w:i/>
              </w:rPr>
              <m:t>E</m:t>
            </m:r>
          </m:sub>
        </m:sSub>
        <m:r>
          <w:rPr>
            <w:rFonts w:ascii="Cambria Math" w:eastAsiaTheme="minorEastAsia" w:hAnsi="Cambria Math"/>
            <w:lang w:val="fr-FR"/>
          </w:rPr>
          <m:t>⟹</m:t>
        </m:r>
        <m:f>
          <m:fPr>
            <m:type m:val="lin"/>
            <m:ctrlPr>
              <w:rPr>
                <w:rFonts w:ascii="Cambria Math" w:hAnsi="Cambria Math"/>
                <w:i/>
              </w:rPr>
            </m:ctrlPr>
          </m:fPr>
          <m:num>
            <m:r>
              <w:rPr>
                <w:rFonts w:ascii="Cambria Math" w:hAnsi="Cambria Math"/>
                <w:lang w:val="fr-FR"/>
              </w:rPr>
              <m:t>∂</m:t>
            </m:r>
            <m:r>
              <m:rPr>
                <m:nor/>
              </m:rPr>
              <w:rPr>
                <w:i/>
              </w:rPr>
              <m:t>V</m:t>
            </m:r>
          </m:num>
          <m:den>
            <m:r>
              <w:rPr>
                <w:rFonts w:ascii="Cambria Math" w:hAnsi="Cambria Math"/>
                <w:lang w:val="fr-FR"/>
              </w:rPr>
              <m:t>∂</m:t>
            </m:r>
            <m:r>
              <m:rPr>
                <m:nor/>
              </m:rPr>
              <w:rPr>
                <w:i/>
              </w:rPr>
              <m:t>b</m:t>
            </m:r>
          </m:den>
        </m:f>
        <m:r>
          <w:rPr>
            <w:rFonts w:ascii="Cambria Math" w:hAnsi="Cambria Math"/>
          </w:rPr>
          <m:t>&lt;</m:t>
        </m:r>
        <m:r>
          <m:rPr>
            <m:nor/>
          </m:rPr>
          <w:rPr>
            <w:i/>
          </w:rPr>
          <m:t>0</m:t>
        </m:r>
      </m:oMath>
      <w:r w:rsidRPr="00CE7446">
        <w:t>, el val</w:t>
      </w:r>
      <w:r>
        <w:t>or de la empresa disminuye cuando aumenta la tasa de retención de beneficios, por lo que conviene repartir tantos dividendos como sea posible.</w:t>
      </w:r>
    </w:p>
    <w:p w14:paraId="6C77BA27" w14:textId="7B2B28E0" w:rsidR="005B7A11" w:rsidRDefault="005B7A11" w:rsidP="00797879">
      <w:pPr>
        <w:pStyle w:val="Nivel1SM"/>
        <w:keepNext/>
        <w:spacing w:after="0"/>
      </w:pPr>
      <w:r>
        <w:t>Sin embargo, el planteamiento no está exento de limitaciones:</w:t>
      </w:r>
    </w:p>
    <w:p w14:paraId="41CC1FB9" w14:textId="62F642D1" w:rsidR="005B7A11" w:rsidRDefault="005B7A11" w:rsidP="00797879">
      <w:pPr>
        <w:pStyle w:val="Nivel2SM"/>
        <w:keepNext/>
      </w:pPr>
      <w:r>
        <w:t>La hipótesis del rendimiento constante de las inversiones no parece sostenible.</w:t>
      </w:r>
    </w:p>
    <w:p w14:paraId="1C6E373A" w14:textId="61BF6D4E" w:rsidR="005B7A11" w:rsidRPr="00A600DA" w:rsidRDefault="005B7A11" w:rsidP="00797879">
      <w:pPr>
        <w:pStyle w:val="Nivel2SM"/>
        <w:rPr>
          <w:spacing w:val="-2"/>
        </w:rPr>
      </w:pPr>
      <w:r w:rsidRPr="00A600DA">
        <w:rPr>
          <w:smallCaps/>
          <w:spacing w:val="-2"/>
        </w:rPr>
        <w:t>Gordon</w:t>
      </w:r>
      <w:r w:rsidRPr="00A600DA">
        <w:rPr>
          <w:spacing w:val="-2"/>
        </w:rPr>
        <w:t xml:space="preserve"> y </w:t>
      </w:r>
      <w:proofErr w:type="spellStart"/>
      <w:r w:rsidRPr="00A600DA">
        <w:rPr>
          <w:smallCaps/>
          <w:spacing w:val="-2"/>
        </w:rPr>
        <w:t>Lint</w:t>
      </w:r>
      <w:r w:rsidR="00166F59" w:rsidRPr="00A600DA">
        <w:rPr>
          <w:smallCaps/>
          <w:spacing w:val="-2"/>
        </w:rPr>
        <w:t>ne</w:t>
      </w:r>
      <w:r w:rsidRPr="00A600DA">
        <w:rPr>
          <w:smallCaps/>
          <w:spacing w:val="-2"/>
        </w:rPr>
        <w:t>r</w:t>
      </w:r>
      <w:proofErr w:type="spellEnd"/>
      <w:r w:rsidR="00166F59" w:rsidRPr="00A600DA">
        <w:rPr>
          <w:spacing w:val="-2"/>
        </w:rPr>
        <w:t xml:space="preserve"> afirman posteriormente que</w:t>
      </w:r>
      <w:r w:rsidRPr="00A600DA">
        <w:rPr>
          <w:spacing w:val="-2"/>
        </w:rPr>
        <w:t xml:space="preserve"> </w:t>
      </w:r>
      <m:oMath>
        <m:sSub>
          <m:sSubPr>
            <m:ctrlPr>
              <w:rPr>
                <w:rFonts w:ascii="Cambria Math" w:hAnsi="Cambria Math"/>
                <w:i/>
                <w:spacing w:val="-2"/>
                <w:lang w:val="fr-FR"/>
              </w:rPr>
            </m:ctrlPr>
          </m:sSubPr>
          <m:e>
            <m:r>
              <m:rPr>
                <m:nor/>
              </m:rPr>
              <w:rPr>
                <w:i/>
                <w:spacing w:val="-2"/>
              </w:rPr>
              <m:t>r</m:t>
            </m:r>
          </m:e>
          <m:sub>
            <m:r>
              <m:rPr>
                <m:nor/>
              </m:rPr>
              <w:rPr>
                <w:i/>
                <w:spacing w:val="-2"/>
              </w:rPr>
              <m:t>E</m:t>
            </m:r>
          </m:sub>
        </m:sSub>
      </m:oMath>
      <w:r w:rsidR="00166F59" w:rsidRPr="00A600DA">
        <w:rPr>
          <w:rFonts w:eastAsiaTheme="minorEastAsia"/>
          <w:iCs/>
          <w:spacing w:val="-2"/>
        </w:rPr>
        <w:t xml:space="preserve"> es una función creciente de </w:t>
      </w:r>
      <m:oMath>
        <m:r>
          <m:rPr>
            <m:nor/>
          </m:rPr>
          <w:rPr>
            <w:i/>
            <w:iCs/>
            <w:spacing w:val="-2"/>
          </w:rPr>
          <m:t>b</m:t>
        </m:r>
      </m:oMath>
      <w:r w:rsidR="00166F59" w:rsidRPr="00A600DA">
        <w:rPr>
          <w:rFonts w:eastAsiaTheme="minorEastAsia"/>
          <w:iCs/>
          <w:spacing w:val="-2"/>
        </w:rPr>
        <w:t xml:space="preserve">, de manera que los </w:t>
      </w:r>
      <w:r w:rsidR="0037051F" w:rsidRPr="00A600DA">
        <w:rPr>
          <w:rFonts w:eastAsiaTheme="minorEastAsia"/>
          <w:iCs/>
          <w:spacing w:val="-2"/>
        </w:rPr>
        <w:t>b</w:t>
      </w:r>
      <w:r w:rsidR="00166F59" w:rsidRPr="00A600DA">
        <w:rPr>
          <w:rFonts w:eastAsiaTheme="minorEastAsia"/>
          <w:iCs/>
          <w:spacing w:val="-2"/>
        </w:rPr>
        <w:t>eneficios retenidos tienen un mayor riesgo que los dividendos. Por tanto, el mayor riesgo de los beneficios retenidos hace que los accionistas le exijan una mayor tasa de rentabilidad.</w:t>
      </w:r>
    </w:p>
    <w:p w14:paraId="1C1A7A3B" w14:textId="77777777" w:rsidR="00342648" w:rsidRDefault="00342648" w:rsidP="00E5034D">
      <w:pPr>
        <w:pStyle w:val="Introduccinyconclusin"/>
      </w:pPr>
      <w:bookmarkStart w:id="75" w:name="_Toc55381925"/>
      <w:bookmarkStart w:id="76" w:name="_Toc55382060"/>
      <w:bookmarkStart w:id="77" w:name="_Toc55382095"/>
      <w:bookmarkStart w:id="78" w:name="_Toc55382523"/>
      <w:r>
        <w:t>CONCLUSIÓN</w:t>
      </w:r>
      <w:bookmarkEnd w:id="75"/>
      <w:bookmarkEnd w:id="76"/>
      <w:bookmarkEnd w:id="77"/>
      <w:bookmarkEnd w:id="78"/>
    </w:p>
    <w:p w14:paraId="3ECFE4EE" w14:textId="77777777" w:rsidR="002E0C48" w:rsidRDefault="00A42B58" w:rsidP="005B5161">
      <w:pPr>
        <w:pStyle w:val="Nivel1"/>
        <w:keepNext/>
        <w:spacing w:before="0" w:after="0"/>
      </w:pPr>
      <w:r w:rsidRPr="00764940">
        <w:rPr>
          <w:b/>
          <w:bCs/>
          <w:i/>
          <w:iCs/>
        </w:rPr>
        <w:t>Recapitulación (</w:t>
      </w:r>
      <w:r w:rsidR="00EB707E" w:rsidRPr="00764940">
        <w:rPr>
          <w:b/>
          <w:bCs/>
          <w:i/>
          <w:iCs/>
        </w:rPr>
        <w:t>Ideas clave</w:t>
      </w:r>
      <w:r w:rsidRPr="00764940">
        <w:rPr>
          <w:b/>
          <w:bCs/>
          <w:i/>
          <w:iCs/>
        </w:rPr>
        <w:t>)</w:t>
      </w:r>
      <w:r w:rsidR="002E0C48">
        <w:t>:</w:t>
      </w:r>
    </w:p>
    <w:p w14:paraId="4CE0B97F" w14:textId="77777777" w:rsidR="0007146E" w:rsidRDefault="00F608E4" w:rsidP="0007146E">
      <w:pPr>
        <w:pStyle w:val="Nivel2"/>
        <w:keepNext/>
        <w:spacing w:after="0"/>
      </w:pPr>
      <w:r w:rsidRPr="0007146E">
        <w:rPr>
          <w:i/>
          <w:iCs/>
        </w:rPr>
        <w:t>A lo largo de la exposición</w:t>
      </w:r>
      <w:r>
        <w:t xml:space="preserve"> hemos examinado las diferentes fuentes de financiación disponibles, analizado la decisión de financiación que corresponde a la utilización de unas formas u otras y por último, tratado la política de dividendos y más generalmente, el reparto de beneficios.</w:t>
      </w:r>
    </w:p>
    <w:p w14:paraId="7CA81F14" w14:textId="46A8981F" w:rsidR="00F608E4" w:rsidRDefault="00F608E4" w:rsidP="0007146E">
      <w:pPr>
        <w:pStyle w:val="Nivel3"/>
        <w:keepNext/>
      </w:pPr>
      <w:r>
        <w:t xml:space="preserve">Como mensaje esencial, cabe destacar el papel de </w:t>
      </w:r>
      <w:r w:rsidRPr="00F608E4">
        <w:rPr>
          <w:smallCaps/>
        </w:rPr>
        <w:t>Modigliani</w:t>
      </w:r>
      <w:r>
        <w:t xml:space="preserve"> y </w:t>
      </w:r>
      <w:r w:rsidRPr="00F608E4">
        <w:rPr>
          <w:smallCaps/>
        </w:rPr>
        <w:t>Miller</w:t>
      </w:r>
      <w:r>
        <w:t xml:space="preserve"> enmarcando el problema de la relación entre inversión y financiación, </w:t>
      </w:r>
      <w:r w:rsidR="00D04029">
        <w:t>aunque cabría tener</w:t>
      </w:r>
      <w:r>
        <w:t xml:space="preserve"> en cuenta numerosos factores que van más allá de su modelo </w:t>
      </w:r>
      <w:r w:rsidR="00D04029">
        <w:t xml:space="preserve">y que </w:t>
      </w:r>
      <w:r>
        <w:t>tienen un enorme impacto, tales como la existencia de fricciones, shocks macroeconómicos, así como factores legales y psicológicos.</w:t>
      </w:r>
    </w:p>
    <w:p w14:paraId="488E45FB" w14:textId="72A4523A" w:rsidR="00EB707E" w:rsidRDefault="00F608E4" w:rsidP="0007146E">
      <w:pPr>
        <w:pStyle w:val="Nivel4"/>
      </w:pPr>
      <w:r>
        <w:t>De este modo</w:t>
      </w:r>
      <w:r w:rsidR="00B375A9">
        <w:t xml:space="preserve">, la </w:t>
      </w:r>
      <w:r w:rsidR="00B375A9" w:rsidRPr="00D04029">
        <w:rPr>
          <w:i/>
          <w:iCs/>
        </w:rPr>
        <w:t>estructura financiera de la empresa y política de dividendos</w:t>
      </w:r>
      <w:r w:rsidR="00B375A9">
        <w:t xml:space="preserve"> vienen en gran medida determinadas por la </w:t>
      </w:r>
      <w:r w:rsidR="00B375A9" w:rsidRPr="00D04029">
        <w:rPr>
          <w:i/>
          <w:iCs/>
        </w:rPr>
        <w:t>estructura impositiva</w:t>
      </w:r>
      <w:r w:rsidR="00B375A9">
        <w:t>. Esto deberá ser tenido en cuenta por las autoridades fiscales.</w:t>
      </w:r>
    </w:p>
    <w:p w14:paraId="2DFE7562" w14:textId="67118806" w:rsidR="0007146E" w:rsidRDefault="0007146E" w:rsidP="0007146E">
      <w:pPr>
        <w:pStyle w:val="Nivel3"/>
        <w:keepNext/>
      </w:pPr>
      <w:r>
        <w:t>En cualquier caso</w:t>
      </w:r>
      <w:r w:rsidR="00B375A9">
        <w:t xml:space="preserve">, </w:t>
      </w:r>
      <w:r>
        <w:t>las políticas económicas juegan un papel esencial en la decisión de financiación de la empresa (más allá de la estructura impositiva). A modo de ejemplo:</w:t>
      </w:r>
    </w:p>
    <w:p w14:paraId="054A091A" w14:textId="77777777" w:rsidR="0007146E" w:rsidRDefault="0007146E" w:rsidP="0007146E">
      <w:pPr>
        <w:pStyle w:val="Nivel4"/>
      </w:pPr>
      <w:r>
        <w:t>L</w:t>
      </w:r>
      <w:r w:rsidR="00B375A9">
        <w:t xml:space="preserve">a </w:t>
      </w:r>
      <w:r w:rsidR="00B375A9" w:rsidRPr="00D04029">
        <w:rPr>
          <w:i/>
          <w:iCs/>
        </w:rPr>
        <w:t>política monetaria</w:t>
      </w:r>
      <w:r w:rsidR="00B375A9">
        <w:t xml:space="preserve"> también influirá</w:t>
      </w:r>
      <w:r w:rsidR="00033326">
        <w:t xml:space="preserve"> en la estructura financiera de las empresas.</w:t>
      </w:r>
    </w:p>
    <w:p w14:paraId="37D0E750" w14:textId="044BED6F" w:rsidR="00B375A9" w:rsidRDefault="00033326" w:rsidP="0007146E">
      <w:pPr>
        <w:pStyle w:val="Nivel5"/>
      </w:pPr>
      <w:r>
        <w:t xml:space="preserve">Por ejemplo, una política monetaria expansiva con </w:t>
      </w:r>
      <w:r w:rsidRPr="00D04029">
        <w:rPr>
          <w:i/>
          <w:iCs/>
        </w:rPr>
        <w:t>tipos de interés bajos incentivará el endeudamiento</w:t>
      </w:r>
      <w:r>
        <w:t>, permitiendo mayores niveles de inversión. No obstante, existe el riesgo de que unos tipos muy bajos generen un excesivo apalancamiento y burbujas especulativas.</w:t>
      </w:r>
    </w:p>
    <w:p w14:paraId="6FE07DA2" w14:textId="6395F96F" w:rsidR="0007146E" w:rsidRDefault="0007146E" w:rsidP="00693525">
      <w:pPr>
        <w:pStyle w:val="Nivel4"/>
        <w:keepNext/>
      </w:pPr>
      <w:r>
        <w:lastRenderedPageBreak/>
        <w:t xml:space="preserve">Por otra parte, si existe racionamiento de crédito en los mercados financieros (como modelizan </w:t>
      </w:r>
      <w:proofErr w:type="spellStart"/>
      <w:r>
        <w:rPr>
          <w:smallCaps/>
        </w:rPr>
        <w:t>Holmström</w:t>
      </w:r>
      <w:proofErr w:type="spellEnd"/>
      <w:r>
        <w:t xml:space="preserve"> y </w:t>
      </w:r>
      <w:proofErr w:type="spellStart"/>
      <w:r>
        <w:rPr>
          <w:smallCaps/>
        </w:rPr>
        <w:t>Tirole</w:t>
      </w:r>
      <w:proofErr w:type="spellEnd"/>
      <w:r>
        <w:t>)</w:t>
      </w:r>
      <w:r w:rsidR="0080522A">
        <w:t>, podríamos extraer algunos argumentos a favor de realizar una política fiscal expansiva en el caso de una recesión económica (aunque la conveniencia de esta es una cuestión mucho más compleja).</w:t>
      </w:r>
      <w:r w:rsidR="001F41A2">
        <w:t xml:space="preserve"> Esto es así por </w:t>
      </w:r>
      <w:proofErr w:type="gramStart"/>
      <w:r w:rsidR="00BA5DA8">
        <w:t>2 </w:t>
      </w:r>
      <w:r w:rsidR="001F41A2">
        <w:t xml:space="preserve"> mecanismos</w:t>
      </w:r>
      <w:proofErr w:type="gramEnd"/>
      <w:r w:rsidR="001F41A2">
        <w:t>:</w:t>
      </w:r>
    </w:p>
    <w:p w14:paraId="1F420206" w14:textId="0E933BC4" w:rsidR="001F41A2" w:rsidRDefault="001F41A2" w:rsidP="001F41A2">
      <w:pPr>
        <w:pStyle w:val="Nivel5"/>
      </w:pPr>
      <w:r>
        <w:t>En primer lugar, s</w:t>
      </w:r>
      <w:r w:rsidR="0080522A">
        <w:t>i las crisis financieras generan una caída de la demanda agregada y las empresas no pueden generar fondos propios de manera rápida, el racionamiento de crédito nos puede explicar por</w:t>
      </w:r>
      <w:r w:rsidR="001F2C65">
        <w:t xml:space="preserve"> </w:t>
      </w:r>
      <w:r w:rsidR="0080522A">
        <w:t>qu</w:t>
      </w:r>
      <w:r w:rsidR="001F2C65">
        <w:t>é</w:t>
      </w:r>
      <w:r w:rsidR="0080522A">
        <w:t xml:space="preserve"> la salida de las crisis financieras puede ser lenta (y por</w:t>
      </w:r>
      <w:r w:rsidR="001F2C65">
        <w:t xml:space="preserve"> </w:t>
      </w:r>
      <w:r w:rsidR="0080522A">
        <w:t>qu</w:t>
      </w:r>
      <w:r w:rsidR="001F2C65">
        <w:t>é</w:t>
      </w:r>
      <w:r w:rsidR="0080522A">
        <w:t xml:space="preserve"> una expansión fiscal, al generar más demanda y con ella beneficios empresariales que se retienen como fondos propios, acelera la salida de </w:t>
      </w:r>
      <w:proofErr w:type="gramStart"/>
      <w:r w:rsidR="0080522A">
        <w:t>la misma</w:t>
      </w:r>
      <w:proofErr w:type="gramEnd"/>
      <w:r w:rsidR="0080522A">
        <w:t>).</w:t>
      </w:r>
    </w:p>
    <w:p w14:paraId="22B2B861" w14:textId="3FF77E5D" w:rsidR="0080522A" w:rsidRDefault="001F41A2" w:rsidP="001F41A2">
      <w:pPr>
        <w:pStyle w:val="Nivel5"/>
      </w:pPr>
      <w:r>
        <w:t>En segundo lugar, h</w:t>
      </w:r>
      <w:r w:rsidR="0080522A">
        <w:t>ay otro mecanismo más controvertido: si las rentas salariales se reducen o crecen de manera lenta, se incrementa el margen empresarial, lo cual permite la generación de recursos propios.</w:t>
      </w:r>
    </w:p>
    <w:p w14:paraId="36127BE6" w14:textId="0F51A28F" w:rsidR="00693525" w:rsidRDefault="0007146E" w:rsidP="00693525">
      <w:pPr>
        <w:pStyle w:val="Nivel4"/>
      </w:pPr>
      <w:r>
        <w:t>Por</w:t>
      </w:r>
      <w:r w:rsidR="00033326">
        <w:t xml:space="preserve"> tanto, la política económica tiene una clara influencia sobre las decisiones de financiación de las empresas, pudiendo afectar a la inversión y en último término al crecimiento económico.</w:t>
      </w:r>
      <w:r w:rsidR="00693525">
        <w:t xml:space="preserve"> Es decir, los efectos no se aprecian únicamente a nivel microeconómico sino también a nivel macroeconómico.</w:t>
      </w:r>
    </w:p>
    <w:p w14:paraId="2A28B87A" w14:textId="77777777" w:rsidR="005E53B9" w:rsidRDefault="002E0C48" w:rsidP="00F32485">
      <w:pPr>
        <w:pStyle w:val="Nivel1"/>
        <w:keepNext/>
        <w:spacing w:after="0"/>
      </w:pPr>
      <w:r w:rsidRPr="00764940">
        <w:rPr>
          <w:b/>
          <w:bCs/>
          <w:i/>
          <w:iCs/>
        </w:rPr>
        <w:t>Relevancia</w:t>
      </w:r>
      <w:r>
        <w:t>:</w:t>
      </w:r>
    </w:p>
    <w:p w14:paraId="7739D717" w14:textId="77777777" w:rsidR="00502A72" w:rsidRDefault="00502A72" w:rsidP="00C4210F">
      <w:pPr>
        <w:pStyle w:val="Nivel2"/>
      </w:pPr>
    </w:p>
    <w:p w14:paraId="00FD8518" w14:textId="77777777" w:rsidR="00342648" w:rsidRDefault="002E0C48" w:rsidP="00F32485">
      <w:pPr>
        <w:pStyle w:val="Nivel1"/>
        <w:keepNext/>
        <w:spacing w:after="0"/>
      </w:pPr>
      <w:r w:rsidRPr="00764940">
        <w:rPr>
          <w:b/>
          <w:bCs/>
          <w:i/>
          <w:iCs/>
        </w:rPr>
        <w:t>E</w:t>
      </w:r>
      <w:r w:rsidR="00EB707E" w:rsidRPr="00764940">
        <w:rPr>
          <w:b/>
          <w:bCs/>
          <w:i/>
          <w:iCs/>
        </w:rPr>
        <w:t>xtensiones y relación con otras partes del temario</w:t>
      </w:r>
      <w:r>
        <w:t>:</w:t>
      </w:r>
    </w:p>
    <w:p w14:paraId="18E7A763" w14:textId="77777777" w:rsidR="00F2467B" w:rsidRDefault="00F2467B" w:rsidP="00C4210F">
      <w:pPr>
        <w:pStyle w:val="Nivel2"/>
      </w:pPr>
    </w:p>
    <w:p w14:paraId="0A0D4741" w14:textId="6103D278" w:rsidR="009E71EC" w:rsidRDefault="009E71EC" w:rsidP="00F32485">
      <w:pPr>
        <w:pStyle w:val="Nivel1"/>
        <w:keepNext/>
        <w:spacing w:after="0"/>
      </w:pPr>
      <w:r w:rsidRPr="00764940">
        <w:rPr>
          <w:b/>
          <w:bCs/>
          <w:i/>
          <w:iCs/>
        </w:rPr>
        <w:t>Opinión</w:t>
      </w:r>
      <w:r>
        <w:t>:</w:t>
      </w:r>
    </w:p>
    <w:p w14:paraId="6AAE23C7" w14:textId="77777777" w:rsidR="00F32485" w:rsidRDefault="00F32485" w:rsidP="00F32485">
      <w:pPr>
        <w:pStyle w:val="Nivel2"/>
      </w:pPr>
    </w:p>
    <w:p w14:paraId="3A732FC4" w14:textId="16F49E72" w:rsidR="00F2467B" w:rsidRDefault="00A42B58" w:rsidP="00F32485">
      <w:pPr>
        <w:pStyle w:val="Nivel1"/>
        <w:keepNext/>
        <w:spacing w:after="0"/>
      </w:pPr>
      <w:r w:rsidRPr="00764940">
        <w:rPr>
          <w:b/>
          <w:bCs/>
          <w:i/>
          <w:iCs/>
        </w:rPr>
        <w:t>Idea final (</w:t>
      </w:r>
      <w:r w:rsidR="00606E13" w:rsidRPr="00764940">
        <w:rPr>
          <w:b/>
          <w:bCs/>
          <w:i/>
          <w:iCs/>
        </w:rPr>
        <w:t>Salida o cierre</w:t>
      </w:r>
      <w:r w:rsidRPr="00764940">
        <w:rPr>
          <w:b/>
          <w:bCs/>
          <w:i/>
          <w:iCs/>
        </w:rPr>
        <w:t>)</w:t>
      </w:r>
      <w:r w:rsidR="00606E13">
        <w:t>:</w:t>
      </w:r>
    </w:p>
    <w:p w14:paraId="416F26B9" w14:textId="2C0096AB" w:rsidR="00F32485" w:rsidRDefault="00D04029" w:rsidP="00F32485">
      <w:pPr>
        <w:pStyle w:val="Nivel2"/>
      </w:pPr>
      <w:r>
        <w:t>En definitiva, la política económica debe favorecer que se canalice el ahorro de las unidades superavitarias a la financiación de proyectos empresariales que generen valor y mediante la generación de bienes de capital estimulen el crecimiento económico.</w:t>
      </w:r>
    </w:p>
    <w:p w14:paraId="6FFC354C" w14:textId="77777777" w:rsidR="008233F9" w:rsidRDefault="008233F9">
      <w:r>
        <w:br w:type="page"/>
      </w:r>
    </w:p>
    <w:p w14:paraId="3995AAE2" w14:textId="77777777" w:rsidR="00342648" w:rsidRPr="00807701" w:rsidRDefault="00342648" w:rsidP="00342648">
      <w:pPr>
        <w:pStyle w:val="Ttulo4"/>
        <w:rPr>
          <w:lang w:val="fr-FR"/>
        </w:rPr>
      </w:pPr>
      <w:proofErr w:type="spellStart"/>
      <w:r w:rsidRPr="00807701">
        <w:rPr>
          <w:lang w:val="fr-FR"/>
        </w:rPr>
        <w:lastRenderedPageBreak/>
        <w:t>Bibliografía</w:t>
      </w:r>
      <w:proofErr w:type="spellEnd"/>
    </w:p>
    <w:p w14:paraId="70A24A14" w14:textId="1675A19E" w:rsidR="003913DE" w:rsidRDefault="003913DE" w:rsidP="003913DE">
      <w:proofErr w:type="spellStart"/>
      <w:r w:rsidRPr="00807701">
        <w:rPr>
          <w:lang w:val="fr-FR"/>
        </w:rPr>
        <w:t>Vernimmen</w:t>
      </w:r>
      <w:proofErr w:type="spellEnd"/>
      <w:r w:rsidRPr="00807701">
        <w:rPr>
          <w:lang w:val="fr-FR"/>
        </w:rPr>
        <w:t>, P.</w:t>
      </w:r>
      <w:r w:rsidR="006155EF" w:rsidRPr="00807701">
        <w:rPr>
          <w:lang w:val="fr-FR"/>
        </w:rPr>
        <w:t xml:space="preserve"> et al.</w:t>
      </w:r>
      <w:r w:rsidRPr="00807701">
        <w:rPr>
          <w:lang w:val="fr-FR"/>
        </w:rPr>
        <w:t xml:space="preserve"> </w:t>
      </w:r>
      <w:r w:rsidRPr="00E47101">
        <w:rPr>
          <w:lang w:val="en-US"/>
        </w:rPr>
        <w:t xml:space="preserve">(2017). </w:t>
      </w:r>
      <w:r w:rsidRPr="00661A50">
        <w:rPr>
          <w:i/>
          <w:iCs/>
          <w:lang w:val="en-US"/>
        </w:rPr>
        <w:t>Corporate finance: Theory and practice</w:t>
      </w:r>
      <w:r w:rsidRPr="00661A50">
        <w:rPr>
          <w:lang w:val="en-US"/>
        </w:rPr>
        <w:t xml:space="preserve"> (Fifth edition)</w:t>
      </w:r>
      <w:r w:rsidRPr="00E47101">
        <w:rPr>
          <w:lang w:val="en-US"/>
        </w:rPr>
        <w:t xml:space="preserve">. </w:t>
      </w:r>
      <w:r w:rsidRPr="00E47101">
        <w:t>Wiley.</w:t>
      </w:r>
    </w:p>
    <w:p w14:paraId="7A51A406" w14:textId="77777777" w:rsidR="00994BDA" w:rsidRDefault="003913DE" w:rsidP="00630D0B">
      <w:r>
        <w:t>Tema ICEX-CECO</w:t>
      </w:r>
    </w:p>
    <w:p w14:paraId="2D492A1A" w14:textId="77777777" w:rsidR="00994BDA" w:rsidRDefault="00994BDA" w:rsidP="00630D0B">
      <w:r>
        <w:t>Tema Juan Luis Cordero Tarifa</w:t>
      </w:r>
    </w:p>
    <w:p w14:paraId="50026C04" w14:textId="027A6A35" w:rsidR="00521D46" w:rsidRDefault="00521D46" w:rsidP="00630D0B">
      <w:r w:rsidRPr="00571C4E">
        <w:t xml:space="preserve">Suárez </w:t>
      </w:r>
      <w:proofErr w:type="spellStart"/>
      <w:r w:rsidRPr="00571C4E">
        <w:t>Suárez</w:t>
      </w:r>
      <w:proofErr w:type="spellEnd"/>
      <w:r w:rsidRPr="00571C4E">
        <w:t xml:space="preserve">, A. S., Rojo Suárez, J. &amp; Suárez García, P. (2014). </w:t>
      </w:r>
      <w:r w:rsidRPr="00571C4E">
        <w:rPr>
          <w:i/>
          <w:iCs/>
        </w:rPr>
        <w:t>Decisiones óptimas de inversión y financiación en la empresa</w:t>
      </w:r>
      <w:r w:rsidRPr="00571C4E">
        <w:t>. Pirámide.</w:t>
      </w:r>
      <w:r>
        <w:t xml:space="preserve"> Capítulos 20-25; 36-39</w:t>
      </w:r>
    </w:p>
    <w:p w14:paraId="60D74CA5" w14:textId="77777777" w:rsidR="00C254A0" w:rsidRDefault="008D2D66" w:rsidP="00630D0B">
      <w:r w:rsidRPr="00C254A0">
        <w:rPr>
          <w:lang w:val="en-US"/>
        </w:rPr>
        <w:t xml:space="preserve">Damodaran, A. (2015). </w:t>
      </w:r>
      <w:r w:rsidRPr="00C254A0">
        <w:rPr>
          <w:i/>
          <w:iCs/>
          <w:lang w:val="en-US"/>
        </w:rPr>
        <w:t>Applied corporate finance</w:t>
      </w:r>
      <w:r w:rsidRPr="00C254A0">
        <w:rPr>
          <w:lang w:val="en-US"/>
        </w:rPr>
        <w:t xml:space="preserve"> (Fourth edition). </w:t>
      </w:r>
      <w:r w:rsidRPr="008D2D66">
        <w:t>Wiley.</w:t>
      </w:r>
      <w:r>
        <w:t xml:space="preserve"> –</w:t>
      </w:r>
      <w:r w:rsidR="00661A50">
        <w:t xml:space="preserve"> C</w:t>
      </w:r>
      <w:r>
        <w:t>apítulo 7</w:t>
      </w:r>
    </w:p>
    <w:p w14:paraId="2D3BE247" w14:textId="77777777" w:rsidR="00994BDA" w:rsidRDefault="00551D82" w:rsidP="00630D0B">
      <w:r w:rsidRPr="0076214C">
        <w:rPr>
          <w:lang w:val="en-US"/>
        </w:rPr>
        <w:t xml:space="preserve">Copeland, T. E., Weston, J. F. &amp; Shastri, K. (2014). </w:t>
      </w:r>
      <w:r w:rsidRPr="00661A50">
        <w:rPr>
          <w:i/>
          <w:iCs/>
          <w:lang w:val="en-US"/>
        </w:rPr>
        <w:t>Financial theory and corporate policy</w:t>
      </w:r>
      <w:r w:rsidRPr="00AD72A9">
        <w:rPr>
          <w:i/>
          <w:iCs/>
          <w:lang w:val="en-US"/>
        </w:rPr>
        <w:t xml:space="preserve"> </w:t>
      </w:r>
      <w:r w:rsidRPr="00AD72A9">
        <w:rPr>
          <w:lang w:val="en-US"/>
        </w:rPr>
        <w:t>(4. ed., Pearson new internat</w:t>
      </w:r>
      <w:r>
        <w:rPr>
          <w:lang w:val="en-US"/>
        </w:rPr>
        <w:t>ional</w:t>
      </w:r>
      <w:r w:rsidRPr="00AD72A9">
        <w:rPr>
          <w:lang w:val="en-US"/>
        </w:rPr>
        <w:t xml:space="preserve"> ed</w:t>
      </w:r>
      <w:r>
        <w:rPr>
          <w:lang w:val="en-US"/>
        </w:rPr>
        <w:t>ition</w:t>
      </w:r>
      <w:r w:rsidRPr="00AD72A9">
        <w:rPr>
          <w:lang w:val="en-US"/>
        </w:rPr>
        <w:t xml:space="preserve">). </w:t>
      </w:r>
      <w:r w:rsidRPr="0076214C">
        <w:t>Pearson.</w:t>
      </w:r>
    </w:p>
    <w:p w14:paraId="048D7E72" w14:textId="77777777" w:rsidR="006B51B3" w:rsidRDefault="006B51B3" w:rsidP="006B51B3">
      <w:pPr>
        <w:pStyle w:val="Ttulo4"/>
      </w:pPr>
      <w:r>
        <w:t>Preguntas de otros exámenes</w:t>
      </w:r>
    </w:p>
    <w:p w14:paraId="433884ED" w14:textId="77777777" w:rsidR="006B51B3" w:rsidRPr="00827B1C" w:rsidRDefault="006B51B3" w:rsidP="006B51B3">
      <w:pPr>
        <w:pStyle w:val="Nivel2SM"/>
      </w:pPr>
    </w:p>
    <w:p w14:paraId="6A5043B3" w14:textId="77777777" w:rsidR="006B51B3" w:rsidRDefault="006B51B3" w:rsidP="006B51B3">
      <w:pPr>
        <w:pStyle w:val="Ttulo4"/>
      </w:pPr>
      <w:r>
        <w:t>Enlace a preguntas tipo test</w:t>
      </w:r>
    </w:p>
    <w:p w14:paraId="62EB7284" w14:textId="68B44276" w:rsidR="006B51B3" w:rsidRPr="006B51B3" w:rsidRDefault="00000000" w:rsidP="00630D0B">
      <w:hyperlink r:id="rId20" w:history="1">
        <w:r w:rsidR="006B51B3" w:rsidRPr="00B833F9">
          <w:rPr>
            <w:rStyle w:val="Hipervnculo"/>
          </w:rPr>
          <w:t>https://www.quia.com/quiz/6562940.html</w:t>
        </w:r>
      </w:hyperlink>
    </w:p>
    <w:p w14:paraId="72780554" w14:textId="77777777" w:rsidR="00342648" w:rsidRDefault="00342648" w:rsidP="00342648">
      <w:pPr>
        <w:pStyle w:val="Ttulo4"/>
      </w:pPr>
      <w:r w:rsidRPr="00342648">
        <w:t>Anexos</w:t>
      </w:r>
    </w:p>
    <w:p w14:paraId="01715417" w14:textId="230956F1" w:rsidR="00342648" w:rsidRPr="0002549F" w:rsidRDefault="00342648" w:rsidP="0002549F">
      <w:pPr>
        <w:pStyle w:val="Ttulo5"/>
      </w:pPr>
      <w:r w:rsidRPr="0002549F">
        <w:t>Anexo</w:t>
      </w:r>
      <w:r w:rsidR="005B5161">
        <w:t> </w:t>
      </w:r>
      <w:r w:rsidRPr="0002549F">
        <w:t>1</w:t>
      </w:r>
      <w:r w:rsidR="00D564BC">
        <w:rPr>
          <w:i w:val="0"/>
          <w:iCs w:val="0"/>
          <w:u w:val="none"/>
        </w:rPr>
        <w:t xml:space="preserve">: </w:t>
      </w:r>
    </w:p>
    <w:p w14:paraId="73B3B179" w14:textId="77777777" w:rsidR="0015013E" w:rsidRPr="00502A72" w:rsidRDefault="0015013E" w:rsidP="00502A72"/>
    <w:sectPr w:rsidR="0015013E" w:rsidRPr="00502A72" w:rsidSect="00666E14">
      <w:headerReference w:type="even" r:id="rId21"/>
      <w:headerReference w:type="default" r:id="rId22"/>
      <w:footerReference w:type="even" r:id="rId23"/>
      <w:footerReference w:type="default" r:id="rId24"/>
      <w:headerReference w:type="first" r:id="rId25"/>
      <w:footerReference w:type="first" r:id="rId26"/>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AC2BE3" w14:textId="77777777" w:rsidR="00ED71C5" w:rsidRDefault="00ED71C5" w:rsidP="00B77C0F">
      <w:r>
        <w:separator/>
      </w:r>
    </w:p>
  </w:endnote>
  <w:endnote w:type="continuationSeparator" w:id="0">
    <w:p w14:paraId="650273DB" w14:textId="77777777" w:rsidR="00ED71C5" w:rsidRDefault="00ED71C5"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1B770E" w:rsidRPr="00C44422" w14:paraId="1CBB303C" w14:textId="77777777" w:rsidTr="00DF50DA">
      <w:trPr>
        <w:trHeight w:val="138"/>
        <w:jc w:val="center"/>
      </w:trPr>
      <w:tc>
        <w:tcPr>
          <w:tcW w:w="1134" w:type="dxa"/>
        </w:tcPr>
        <w:p w14:paraId="1243FE5F" w14:textId="77777777" w:rsidR="001B770E" w:rsidRPr="00C44422" w:rsidRDefault="001B770E" w:rsidP="006155EF">
          <w:pPr>
            <w:pStyle w:val="Encabezado"/>
            <w:tabs>
              <w:tab w:val="clear" w:pos="4252"/>
              <w:tab w:val="clear" w:pos="8504"/>
              <w:tab w:val="right" w:pos="924"/>
              <w:tab w:val="center" w:pos="1310"/>
            </w:tabs>
            <w:spacing w:after="0"/>
            <w:contextualSpacing/>
            <w:jc w:val="left"/>
            <w:rPr>
              <w:i/>
              <w:iCs/>
              <w:color w:val="5F2987"/>
              <w:sz w:val="18"/>
              <w:szCs w:val="18"/>
            </w:rPr>
          </w:pPr>
          <w:r w:rsidRPr="00C44422">
            <w:rPr>
              <w:b/>
              <w:bCs/>
              <w:i/>
              <w:iCs/>
              <w:color w:val="5F2987"/>
              <w:spacing w:val="-6"/>
              <w:sz w:val="18"/>
              <w:szCs w:val="18"/>
            </w:rPr>
            <w:fldChar w:fldCharType="begin"/>
          </w:r>
          <w:r w:rsidRPr="00C44422">
            <w:rPr>
              <w:b/>
              <w:bCs/>
              <w:i/>
              <w:iCs/>
              <w:color w:val="5F2987"/>
              <w:spacing w:val="-6"/>
              <w:sz w:val="18"/>
              <w:szCs w:val="18"/>
            </w:rPr>
            <w:instrText>PAGE  \* Arabic  \* MERGEFORMAT</w:instrText>
          </w:r>
          <w:r w:rsidRPr="00C44422">
            <w:rPr>
              <w:b/>
              <w:bCs/>
              <w:i/>
              <w:iCs/>
              <w:color w:val="5F2987"/>
              <w:spacing w:val="-6"/>
              <w:sz w:val="18"/>
              <w:szCs w:val="18"/>
            </w:rPr>
            <w:fldChar w:fldCharType="separate"/>
          </w:r>
          <w:r>
            <w:rPr>
              <w:b/>
              <w:bCs/>
              <w:i/>
              <w:iCs/>
              <w:color w:val="5F2987"/>
              <w:spacing w:val="-6"/>
              <w:sz w:val="18"/>
              <w:szCs w:val="18"/>
            </w:rPr>
            <w:t>2</w:t>
          </w:r>
          <w:r w:rsidRPr="00C44422">
            <w:rPr>
              <w:b/>
              <w:bCs/>
              <w:i/>
              <w:iCs/>
              <w:color w:val="5F2987"/>
              <w:spacing w:val="-6"/>
              <w:sz w:val="18"/>
              <w:szCs w:val="18"/>
            </w:rPr>
            <w:fldChar w:fldCharType="end"/>
          </w:r>
          <w:r w:rsidRPr="00C44422">
            <w:rPr>
              <w:b/>
              <w:bCs/>
              <w:i/>
              <w:iCs/>
              <w:color w:val="5F2987"/>
              <w:spacing w:val="-6"/>
              <w:sz w:val="18"/>
              <w:szCs w:val="18"/>
            </w:rPr>
            <w:t>/</w:t>
          </w:r>
          <w:r w:rsidRPr="00C44422">
            <w:rPr>
              <w:b/>
              <w:bCs/>
              <w:i/>
              <w:iCs/>
              <w:color w:val="5F2987"/>
              <w:spacing w:val="-6"/>
              <w:sz w:val="18"/>
              <w:szCs w:val="18"/>
            </w:rPr>
            <w:fldChar w:fldCharType="begin"/>
          </w:r>
          <w:r w:rsidRPr="00C44422">
            <w:rPr>
              <w:b/>
              <w:bCs/>
              <w:i/>
              <w:iCs/>
              <w:color w:val="5F2987"/>
              <w:spacing w:val="-6"/>
              <w:sz w:val="18"/>
              <w:szCs w:val="18"/>
            </w:rPr>
            <w:instrText>NUMPAGES  \* Arabic  \* MERGEFORMAT</w:instrText>
          </w:r>
          <w:r w:rsidRPr="00C44422">
            <w:rPr>
              <w:b/>
              <w:bCs/>
              <w:i/>
              <w:iCs/>
              <w:color w:val="5F2987"/>
              <w:spacing w:val="-6"/>
              <w:sz w:val="18"/>
              <w:szCs w:val="18"/>
            </w:rPr>
            <w:fldChar w:fldCharType="separate"/>
          </w:r>
          <w:r>
            <w:rPr>
              <w:b/>
              <w:bCs/>
              <w:i/>
              <w:iCs/>
              <w:color w:val="5F2987"/>
              <w:spacing w:val="-6"/>
              <w:sz w:val="18"/>
              <w:szCs w:val="18"/>
            </w:rPr>
            <w:t>9</w:t>
          </w:r>
          <w:r w:rsidRPr="00C44422">
            <w:rPr>
              <w:b/>
              <w:bCs/>
              <w:i/>
              <w:iCs/>
              <w:color w:val="5F2987"/>
              <w:spacing w:val="-6"/>
              <w:sz w:val="18"/>
              <w:szCs w:val="18"/>
            </w:rPr>
            <w:fldChar w:fldCharType="end"/>
          </w:r>
        </w:p>
      </w:tc>
      <w:tc>
        <w:tcPr>
          <w:tcW w:w="7088" w:type="dxa"/>
          <w:vAlign w:val="center"/>
        </w:tcPr>
        <w:p w14:paraId="55822EA5" w14:textId="77777777" w:rsidR="001B770E" w:rsidRPr="00C44422" w:rsidRDefault="001B770E" w:rsidP="006155EF">
          <w:pPr>
            <w:pStyle w:val="Encabezado"/>
            <w:spacing w:after="0"/>
            <w:ind w:right="-110"/>
            <w:contextualSpacing/>
            <w:jc w:val="center"/>
            <w:rPr>
              <w:i/>
              <w:iCs/>
              <w:color w:val="5F2987"/>
              <w:sz w:val="18"/>
              <w:szCs w:val="18"/>
            </w:rPr>
          </w:pPr>
        </w:p>
      </w:tc>
      <w:tc>
        <w:tcPr>
          <w:tcW w:w="2551" w:type="dxa"/>
          <w:vAlign w:val="center"/>
        </w:tcPr>
        <w:p w14:paraId="7E444941" w14:textId="77777777" w:rsidR="001B770E" w:rsidRPr="00C44422" w:rsidRDefault="001B770E" w:rsidP="006155EF">
          <w:pPr>
            <w:pStyle w:val="Encabezado"/>
            <w:spacing w:after="0"/>
            <w:contextualSpacing/>
            <w:jc w:val="right"/>
            <w:rPr>
              <w:b/>
              <w:bCs/>
              <w:i/>
              <w:iCs/>
              <w:color w:val="5F2987"/>
              <w:spacing w:val="-6"/>
              <w:sz w:val="18"/>
              <w:szCs w:val="18"/>
            </w:rPr>
          </w:pPr>
        </w:p>
      </w:tc>
    </w:tr>
  </w:tbl>
  <w:p w14:paraId="68961E31" w14:textId="199B80CB" w:rsidR="00B70943" w:rsidRPr="009C61AF" w:rsidRDefault="00B70943" w:rsidP="006155EF">
    <w:pPr>
      <w:spacing w:after="0" w:line="240" w:lineRule="auto"/>
      <w:ind w:right="-449"/>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5F2987"/>
        <w:sz w:val="18"/>
        <w:szCs w:val="18"/>
      </w:rPr>
      <w:id w:val="422464718"/>
      <w:docPartObj>
        <w:docPartGallery w:val="Page Numbers (Bottom of Page)"/>
        <w:docPartUnique/>
      </w:docPartObj>
    </w:sdtPr>
    <w:sdtEndPr>
      <w:rPr>
        <w:noProof/>
        <w:sz w:val="2"/>
        <w:szCs w:val="2"/>
      </w:rPr>
    </w:sdtEndPr>
    <w:sdtContent>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3D772C" w:rsidRPr="004C6AB8" w14:paraId="1270DA37" w14:textId="77777777" w:rsidTr="00DF50DA">
          <w:trPr>
            <w:trHeight w:val="138"/>
            <w:jc w:val="center"/>
          </w:trPr>
          <w:tc>
            <w:tcPr>
              <w:tcW w:w="1134" w:type="dxa"/>
              <w:vAlign w:val="center"/>
            </w:tcPr>
            <w:p w14:paraId="2C464297" w14:textId="77777777" w:rsidR="003D772C" w:rsidRPr="004C6AB8" w:rsidRDefault="003D772C" w:rsidP="006155EF">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1E755993" w14:textId="77777777" w:rsidR="003D772C" w:rsidRPr="004C6AB8" w:rsidRDefault="003D772C" w:rsidP="006155EF">
              <w:pPr>
                <w:pStyle w:val="Encabezado"/>
                <w:spacing w:after="0"/>
                <w:ind w:right="-110"/>
                <w:contextualSpacing/>
                <w:jc w:val="center"/>
                <w:rPr>
                  <w:i/>
                  <w:iCs/>
                  <w:color w:val="5F2987"/>
                  <w:sz w:val="18"/>
                  <w:szCs w:val="18"/>
                </w:rPr>
              </w:pPr>
            </w:p>
          </w:tc>
          <w:tc>
            <w:tcPr>
              <w:tcW w:w="2551" w:type="dxa"/>
              <w:vAlign w:val="center"/>
            </w:tcPr>
            <w:p w14:paraId="16FA1128" w14:textId="77777777" w:rsidR="003D772C" w:rsidRPr="004C6AB8" w:rsidRDefault="003D772C" w:rsidP="006155EF">
              <w:pPr>
                <w:pStyle w:val="Encabezado"/>
                <w:spacing w:after="0"/>
                <w:contextualSpacing/>
                <w:jc w:val="right"/>
                <w:rPr>
                  <w:b/>
                  <w:bCs/>
                  <w:i/>
                  <w:iCs/>
                  <w:color w:val="5F2987"/>
                  <w:spacing w:val="-6"/>
                  <w:sz w:val="18"/>
                  <w:szCs w:val="18"/>
                </w:rPr>
              </w:pPr>
              <w:r w:rsidRPr="004C6AB8">
                <w:rPr>
                  <w:b/>
                  <w:bCs/>
                  <w:i/>
                  <w:iCs/>
                  <w:color w:val="5F2987"/>
                  <w:spacing w:val="-6"/>
                  <w:sz w:val="18"/>
                  <w:szCs w:val="18"/>
                </w:rPr>
                <w:fldChar w:fldCharType="begin"/>
              </w:r>
              <w:r w:rsidRPr="004C6AB8">
                <w:rPr>
                  <w:b/>
                  <w:bCs/>
                  <w:i/>
                  <w:iCs/>
                  <w:color w:val="5F2987"/>
                  <w:spacing w:val="-6"/>
                  <w:sz w:val="18"/>
                  <w:szCs w:val="18"/>
                </w:rPr>
                <w:instrText>PAGE  \* Arabic  \* MERGEFORMAT</w:instrText>
              </w:r>
              <w:r w:rsidRPr="004C6AB8">
                <w:rPr>
                  <w:b/>
                  <w:bCs/>
                  <w:i/>
                  <w:iCs/>
                  <w:color w:val="5F2987"/>
                  <w:spacing w:val="-6"/>
                  <w:sz w:val="18"/>
                  <w:szCs w:val="18"/>
                </w:rPr>
                <w:fldChar w:fldCharType="separate"/>
              </w:r>
              <w:r w:rsidRPr="004C6AB8">
                <w:rPr>
                  <w:b/>
                  <w:bCs/>
                  <w:i/>
                  <w:iCs/>
                  <w:color w:val="5F2987"/>
                  <w:spacing w:val="-6"/>
                  <w:sz w:val="18"/>
                  <w:szCs w:val="18"/>
                </w:rPr>
                <w:t>1</w:t>
              </w:r>
              <w:r w:rsidRPr="004C6AB8">
                <w:rPr>
                  <w:b/>
                  <w:bCs/>
                  <w:i/>
                  <w:iCs/>
                  <w:color w:val="5F2987"/>
                  <w:spacing w:val="-6"/>
                  <w:sz w:val="18"/>
                  <w:szCs w:val="18"/>
                </w:rPr>
                <w:fldChar w:fldCharType="end"/>
              </w:r>
              <w:r w:rsidRPr="004C6AB8">
                <w:rPr>
                  <w:b/>
                  <w:bCs/>
                  <w:i/>
                  <w:iCs/>
                  <w:color w:val="5F2987"/>
                  <w:spacing w:val="-6"/>
                  <w:sz w:val="18"/>
                  <w:szCs w:val="18"/>
                </w:rPr>
                <w:t>/</w:t>
              </w:r>
              <w:r w:rsidRPr="004C6AB8">
                <w:rPr>
                  <w:b/>
                  <w:bCs/>
                  <w:i/>
                  <w:iCs/>
                  <w:color w:val="5F2987"/>
                  <w:spacing w:val="-6"/>
                  <w:sz w:val="18"/>
                  <w:szCs w:val="18"/>
                </w:rPr>
                <w:fldChar w:fldCharType="begin"/>
              </w:r>
              <w:r w:rsidRPr="004C6AB8">
                <w:rPr>
                  <w:b/>
                  <w:bCs/>
                  <w:i/>
                  <w:iCs/>
                  <w:color w:val="5F2987"/>
                  <w:spacing w:val="-6"/>
                  <w:sz w:val="18"/>
                  <w:szCs w:val="18"/>
                </w:rPr>
                <w:instrText>NUMPAGES  \* Arabic  \* MERGEFORMAT</w:instrText>
              </w:r>
              <w:r w:rsidRPr="004C6AB8">
                <w:rPr>
                  <w:b/>
                  <w:bCs/>
                  <w:i/>
                  <w:iCs/>
                  <w:color w:val="5F2987"/>
                  <w:spacing w:val="-6"/>
                  <w:sz w:val="18"/>
                  <w:szCs w:val="18"/>
                </w:rPr>
                <w:fldChar w:fldCharType="separate"/>
              </w:r>
              <w:r w:rsidRPr="004C6AB8">
                <w:rPr>
                  <w:b/>
                  <w:bCs/>
                  <w:i/>
                  <w:iCs/>
                  <w:color w:val="5F2987"/>
                  <w:spacing w:val="-6"/>
                  <w:sz w:val="18"/>
                  <w:szCs w:val="18"/>
                </w:rPr>
                <w:t>2</w:t>
              </w:r>
              <w:r w:rsidRPr="004C6AB8">
                <w:rPr>
                  <w:b/>
                  <w:bCs/>
                  <w:i/>
                  <w:iCs/>
                  <w:color w:val="5F2987"/>
                  <w:spacing w:val="-6"/>
                  <w:sz w:val="18"/>
                  <w:szCs w:val="18"/>
                </w:rPr>
                <w:fldChar w:fldCharType="end"/>
              </w:r>
            </w:p>
          </w:tc>
        </w:tr>
      </w:tbl>
      <w:p w14:paraId="2AF39DA5" w14:textId="7FFBA670" w:rsidR="00C81078" w:rsidRPr="009C61AF" w:rsidRDefault="00000000" w:rsidP="006155EF">
        <w:pPr>
          <w:spacing w:after="0" w:line="240" w:lineRule="auto"/>
          <w:ind w:right="-449"/>
          <w:contextualSpacing/>
          <w:jc w:val="left"/>
          <w:rPr>
            <w:color w:val="5F2987"/>
            <w:sz w:val="2"/>
            <w:szCs w:val="2"/>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sdt>
      <w:sdtPr>
        <w:rPr>
          <w:color w:val="5F2987"/>
          <w:sz w:val="18"/>
          <w:szCs w:val="18"/>
        </w:rPr>
        <w:id w:val="1186725919"/>
        <w:docPartObj>
          <w:docPartGallery w:val="Page Numbers (Bottom of Page)"/>
          <w:docPartUnique/>
        </w:docPartObj>
      </w:sdtPr>
      <w:sdtEndPr>
        <w:rPr>
          <w:noProof/>
        </w:rPr>
      </w:sdtEndPr>
      <w:sdtContent>
        <w:tr w:rsidR="003D772C" w:rsidRPr="004C6AB8" w14:paraId="36CFBC3C" w14:textId="77777777" w:rsidTr="00DF50DA">
          <w:trPr>
            <w:trHeight w:val="138"/>
            <w:jc w:val="center"/>
          </w:trPr>
          <w:tc>
            <w:tcPr>
              <w:tcW w:w="1134" w:type="dxa"/>
              <w:vAlign w:val="center"/>
            </w:tcPr>
            <w:p w14:paraId="001FAA73" w14:textId="77777777" w:rsidR="003D772C" w:rsidRPr="004C6AB8" w:rsidRDefault="003D772C" w:rsidP="006155EF">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59DAA723" w14:textId="77777777" w:rsidR="003D772C" w:rsidRPr="004C6AB8" w:rsidRDefault="003D772C" w:rsidP="006155EF">
              <w:pPr>
                <w:pStyle w:val="Encabezado"/>
                <w:spacing w:after="0"/>
                <w:ind w:right="-110"/>
                <w:contextualSpacing/>
                <w:jc w:val="center"/>
                <w:rPr>
                  <w:i/>
                  <w:iCs/>
                  <w:color w:val="5F2987"/>
                  <w:sz w:val="18"/>
                  <w:szCs w:val="18"/>
                </w:rPr>
              </w:pPr>
            </w:p>
          </w:tc>
          <w:tc>
            <w:tcPr>
              <w:tcW w:w="2551" w:type="dxa"/>
              <w:vAlign w:val="center"/>
            </w:tcPr>
            <w:p w14:paraId="344ADB67" w14:textId="5A0D5F96" w:rsidR="003D772C" w:rsidRPr="004C6AB8" w:rsidRDefault="003D772C" w:rsidP="006155EF">
              <w:pPr>
                <w:pStyle w:val="Encabezado"/>
                <w:spacing w:after="0"/>
                <w:contextualSpacing/>
                <w:jc w:val="right"/>
                <w:rPr>
                  <w:b/>
                  <w:bCs/>
                  <w:i/>
                  <w:iCs/>
                  <w:color w:val="5F2987"/>
                  <w:spacing w:val="-6"/>
                  <w:sz w:val="18"/>
                  <w:szCs w:val="18"/>
                </w:rPr>
              </w:pPr>
              <w:r w:rsidRPr="004C6AB8">
                <w:rPr>
                  <w:b/>
                  <w:bCs/>
                  <w:i/>
                  <w:iCs/>
                  <w:color w:val="5F2987"/>
                  <w:spacing w:val="-6"/>
                  <w:sz w:val="18"/>
                  <w:szCs w:val="18"/>
                </w:rPr>
                <w:fldChar w:fldCharType="begin"/>
              </w:r>
              <w:r w:rsidRPr="004C6AB8">
                <w:rPr>
                  <w:b/>
                  <w:bCs/>
                  <w:i/>
                  <w:iCs/>
                  <w:color w:val="5F2987"/>
                  <w:spacing w:val="-6"/>
                  <w:sz w:val="18"/>
                  <w:szCs w:val="18"/>
                </w:rPr>
                <w:instrText>PAGE  \* Arabic  \* MERGEFORMAT</w:instrText>
              </w:r>
              <w:r w:rsidRPr="004C6AB8">
                <w:rPr>
                  <w:b/>
                  <w:bCs/>
                  <w:i/>
                  <w:iCs/>
                  <w:color w:val="5F2987"/>
                  <w:spacing w:val="-6"/>
                  <w:sz w:val="18"/>
                  <w:szCs w:val="18"/>
                </w:rPr>
                <w:fldChar w:fldCharType="separate"/>
              </w:r>
              <w:r w:rsidRPr="004C6AB8">
                <w:rPr>
                  <w:b/>
                  <w:bCs/>
                  <w:i/>
                  <w:iCs/>
                  <w:color w:val="5F2987"/>
                  <w:spacing w:val="-6"/>
                  <w:sz w:val="18"/>
                  <w:szCs w:val="18"/>
                </w:rPr>
                <w:t>1</w:t>
              </w:r>
              <w:r w:rsidRPr="004C6AB8">
                <w:rPr>
                  <w:b/>
                  <w:bCs/>
                  <w:i/>
                  <w:iCs/>
                  <w:color w:val="5F2987"/>
                  <w:spacing w:val="-6"/>
                  <w:sz w:val="18"/>
                  <w:szCs w:val="18"/>
                </w:rPr>
                <w:fldChar w:fldCharType="end"/>
              </w:r>
              <w:r w:rsidRPr="004C6AB8">
                <w:rPr>
                  <w:b/>
                  <w:bCs/>
                  <w:i/>
                  <w:iCs/>
                  <w:color w:val="5F2987"/>
                  <w:spacing w:val="-6"/>
                  <w:sz w:val="18"/>
                  <w:szCs w:val="18"/>
                </w:rPr>
                <w:t>/</w:t>
              </w:r>
              <w:r w:rsidRPr="004C6AB8">
                <w:rPr>
                  <w:b/>
                  <w:bCs/>
                  <w:i/>
                  <w:iCs/>
                  <w:color w:val="5F2987"/>
                  <w:spacing w:val="-6"/>
                  <w:sz w:val="18"/>
                  <w:szCs w:val="18"/>
                </w:rPr>
                <w:fldChar w:fldCharType="begin"/>
              </w:r>
              <w:r w:rsidRPr="004C6AB8">
                <w:rPr>
                  <w:b/>
                  <w:bCs/>
                  <w:i/>
                  <w:iCs/>
                  <w:color w:val="5F2987"/>
                  <w:spacing w:val="-6"/>
                  <w:sz w:val="18"/>
                  <w:szCs w:val="18"/>
                </w:rPr>
                <w:instrText>NUMPAGES  \* Arabic  \* MERGEFORMAT</w:instrText>
              </w:r>
              <w:r w:rsidRPr="004C6AB8">
                <w:rPr>
                  <w:b/>
                  <w:bCs/>
                  <w:i/>
                  <w:iCs/>
                  <w:color w:val="5F2987"/>
                  <w:spacing w:val="-6"/>
                  <w:sz w:val="18"/>
                  <w:szCs w:val="18"/>
                </w:rPr>
                <w:fldChar w:fldCharType="separate"/>
              </w:r>
              <w:r w:rsidRPr="004C6AB8">
                <w:rPr>
                  <w:b/>
                  <w:bCs/>
                  <w:i/>
                  <w:iCs/>
                  <w:color w:val="5F2987"/>
                  <w:spacing w:val="-6"/>
                  <w:sz w:val="18"/>
                  <w:szCs w:val="18"/>
                </w:rPr>
                <w:t>2</w:t>
              </w:r>
              <w:r w:rsidRPr="004C6AB8">
                <w:rPr>
                  <w:b/>
                  <w:bCs/>
                  <w:i/>
                  <w:iCs/>
                  <w:color w:val="5F2987"/>
                  <w:spacing w:val="-6"/>
                  <w:sz w:val="18"/>
                  <w:szCs w:val="18"/>
                </w:rPr>
                <w:fldChar w:fldCharType="end"/>
              </w:r>
            </w:p>
          </w:tc>
        </w:tr>
      </w:sdtContent>
    </w:sdt>
  </w:tbl>
  <w:p w14:paraId="0DDA97B9" w14:textId="77777777" w:rsidR="002756C0" w:rsidRPr="00BE1B62" w:rsidRDefault="002756C0" w:rsidP="006155EF">
    <w:pPr>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DE5333" w14:textId="77777777" w:rsidR="00ED71C5" w:rsidRPr="00417327" w:rsidRDefault="00ED71C5" w:rsidP="00417327">
      <w:pPr>
        <w:spacing w:after="0" w:line="240" w:lineRule="auto"/>
        <w:rPr>
          <w:sz w:val="16"/>
          <w:szCs w:val="16"/>
        </w:rPr>
      </w:pPr>
      <w:r w:rsidRPr="00417327">
        <w:rPr>
          <w:sz w:val="16"/>
          <w:szCs w:val="16"/>
        </w:rPr>
        <w:separator/>
      </w:r>
    </w:p>
  </w:footnote>
  <w:footnote w:type="continuationSeparator" w:id="0">
    <w:p w14:paraId="4127C106" w14:textId="77777777" w:rsidR="00ED71C5" w:rsidRPr="006155EF" w:rsidRDefault="00ED71C5" w:rsidP="006155EF">
      <w:pPr>
        <w:spacing w:after="0" w:line="240" w:lineRule="auto"/>
        <w:rPr>
          <w:sz w:val="16"/>
          <w:szCs w:val="16"/>
        </w:rPr>
      </w:pPr>
      <w:r w:rsidRPr="006155EF">
        <w:rPr>
          <w:sz w:val="16"/>
          <w:szCs w:val="16"/>
        </w:rPr>
        <w:continuationSeparator/>
      </w:r>
    </w:p>
  </w:footnote>
  <w:footnote w:type="continuationNotice" w:id="1">
    <w:p w14:paraId="7B878BBE" w14:textId="77777777" w:rsidR="00ED71C5" w:rsidRPr="006155EF" w:rsidRDefault="00ED71C5" w:rsidP="006155EF">
      <w:pPr>
        <w:spacing w:after="0" w:line="192" w:lineRule="auto"/>
        <w:jc w:val="right"/>
        <w:rPr>
          <w:rFonts w:ascii="Arial" w:eastAsia="Times New Roman" w:hAnsi="Arial" w:cs="Arial"/>
          <w:color w:val="202122"/>
          <w:sz w:val="16"/>
          <w:szCs w:val="16"/>
          <w:lang w:eastAsia="es-ES"/>
        </w:rPr>
      </w:pPr>
      <w:r w:rsidRPr="006155EF">
        <w:rPr>
          <w:rFonts w:ascii="Cambria Math" w:eastAsia="Times New Roman" w:hAnsi="Cambria Math" w:cs="Cambria Math"/>
          <w:color w:val="202122"/>
          <w:sz w:val="16"/>
          <w:szCs w:val="16"/>
          <w:lang w:eastAsia="es-ES"/>
        </w:rPr>
        <w:t>↪</w:t>
      </w:r>
    </w:p>
  </w:footnote>
  <w:footnote w:id="2">
    <w:p w14:paraId="794FB90C" w14:textId="77777777" w:rsidR="009F10F0" w:rsidRPr="009F10F0" w:rsidRDefault="009F10F0" w:rsidP="009F10F0">
      <w:pPr>
        <w:pStyle w:val="Textonotapie"/>
        <w:keepNext/>
        <w:spacing w:after="0"/>
        <w:rPr>
          <w:szCs w:val="16"/>
        </w:rPr>
      </w:pPr>
      <w:r>
        <w:rPr>
          <w:rStyle w:val="Refdenotaalpie"/>
        </w:rPr>
        <w:footnoteRef/>
      </w:r>
      <w:r>
        <w:t xml:space="preserve"> </w:t>
      </w:r>
      <w:r w:rsidRPr="009F10F0">
        <w:rPr>
          <w:szCs w:val="16"/>
        </w:rPr>
        <w:t>Para ello es necesario cumplir con:</w:t>
      </w:r>
    </w:p>
    <w:p w14:paraId="027AF341" w14:textId="77777777" w:rsidR="009F10F0" w:rsidRPr="009F10F0" w:rsidRDefault="009F10F0" w:rsidP="00534FBB">
      <w:pPr>
        <w:pStyle w:val="Textonotapie"/>
        <w:numPr>
          <w:ilvl w:val="0"/>
          <w:numId w:val="16"/>
        </w:numPr>
        <w:spacing w:after="0"/>
        <w:ind w:left="283" w:hanging="113"/>
        <w:rPr>
          <w:rStyle w:val="Hipervnculo"/>
          <w:color w:val="auto"/>
          <w:szCs w:val="16"/>
          <w:u w:val="none"/>
        </w:rPr>
      </w:pPr>
      <w:r w:rsidRPr="009F10F0">
        <w:rPr>
          <w:rStyle w:val="Hipervnculo"/>
          <w:i/>
          <w:iCs/>
          <w:color w:val="auto"/>
          <w:szCs w:val="16"/>
          <w:u w:val="none"/>
        </w:rPr>
        <w:t>Objetivo de rentabilidad</w:t>
      </w:r>
      <w:r w:rsidRPr="009F10F0">
        <w:rPr>
          <w:rStyle w:val="Hipervnculo"/>
          <w:color w:val="auto"/>
          <w:szCs w:val="16"/>
          <w:u w:val="none"/>
        </w:rPr>
        <w:t>: Crear valor a partir de decisiones de expansión de la empresa.</w:t>
      </w:r>
    </w:p>
    <w:p w14:paraId="41D2BBB0" w14:textId="77777777" w:rsidR="009F10F0" w:rsidRPr="009F10F0" w:rsidRDefault="009F10F0" w:rsidP="00534FBB">
      <w:pPr>
        <w:pStyle w:val="Textonotapie"/>
        <w:numPr>
          <w:ilvl w:val="0"/>
          <w:numId w:val="16"/>
        </w:numPr>
        <w:spacing w:after="0"/>
        <w:ind w:left="283" w:hanging="113"/>
        <w:rPr>
          <w:rStyle w:val="Hipervnculo"/>
          <w:color w:val="auto"/>
          <w:szCs w:val="16"/>
          <w:u w:val="none"/>
        </w:rPr>
      </w:pPr>
      <w:r w:rsidRPr="009F10F0">
        <w:rPr>
          <w:rStyle w:val="Hipervnculo"/>
          <w:i/>
          <w:iCs/>
          <w:color w:val="auto"/>
          <w:szCs w:val="16"/>
          <w:u w:val="none"/>
        </w:rPr>
        <w:t>Objetivo de solvencia</w:t>
      </w:r>
      <w:r w:rsidRPr="009F10F0">
        <w:rPr>
          <w:rStyle w:val="Hipervnculo"/>
          <w:color w:val="auto"/>
          <w:szCs w:val="16"/>
          <w:u w:val="none"/>
        </w:rPr>
        <w:t>: Poder hacer frente a sus obligaciones.</w:t>
      </w:r>
    </w:p>
    <w:p w14:paraId="3F131E70" w14:textId="70283449" w:rsidR="009F10F0" w:rsidRPr="009F10F0" w:rsidRDefault="009F10F0" w:rsidP="00534FBB">
      <w:pPr>
        <w:pStyle w:val="Textonotapie"/>
        <w:numPr>
          <w:ilvl w:val="0"/>
          <w:numId w:val="16"/>
        </w:numPr>
        <w:ind w:left="283" w:hanging="113"/>
        <w:rPr>
          <w:sz w:val="19"/>
          <w:szCs w:val="19"/>
        </w:rPr>
      </w:pPr>
      <w:r w:rsidRPr="009F10F0">
        <w:rPr>
          <w:rStyle w:val="Hipervnculo"/>
          <w:i/>
          <w:iCs/>
          <w:color w:val="auto"/>
          <w:szCs w:val="16"/>
          <w:u w:val="none"/>
        </w:rPr>
        <w:t>Objetivo de liquidez</w:t>
      </w:r>
      <w:r w:rsidRPr="009F10F0">
        <w:rPr>
          <w:rStyle w:val="Hipervnculo"/>
          <w:color w:val="auto"/>
          <w:szCs w:val="16"/>
          <w:u w:val="none"/>
        </w:rPr>
        <w:t>: Capacidad de que sus activos generen efectivo.</w:t>
      </w:r>
    </w:p>
  </w:footnote>
  <w:footnote w:id="3">
    <w:p w14:paraId="55B28DBA" w14:textId="3B771248" w:rsidR="00534FBB" w:rsidRPr="00534FBB" w:rsidRDefault="00534FBB">
      <w:pPr>
        <w:pStyle w:val="Textonotapie"/>
        <w:rPr>
          <w:highlight w:val="yellow"/>
        </w:rPr>
      </w:pPr>
      <w:r w:rsidRPr="00534FBB">
        <w:rPr>
          <w:rStyle w:val="Refdenotaalpie"/>
        </w:rPr>
        <w:footnoteRef/>
      </w:r>
      <w:r w:rsidRPr="00534FBB">
        <w:t xml:space="preserve"> </w:t>
      </w:r>
      <w:r>
        <w:t>Esto es así suponiendo que estamos en un</w:t>
      </w:r>
      <w:r w:rsidRPr="00534FBB">
        <w:t xml:space="preserve"> sistema de </w:t>
      </w:r>
      <w:r w:rsidRPr="00534FBB">
        <w:rPr>
          <w:i/>
          <w:iCs/>
          <w:u w:val="single"/>
        </w:rPr>
        <w:t>economía de mercado</w:t>
      </w:r>
      <w:r>
        <w:t xml:space="preserve">. </w:t>
      </w:r>
      <w:r w:rsidRPr="00534FBB">
        <w:t xml:space="preserve">En el sistema de </w:t>
      </w:r>
      <w:r w:rsidRPr="00534FBB">
        <w:rPr>
          <w:i/>
          <w:iCs/>
          <w:u w:val="single"/>
        </w:rPr>
        <w:t>economía de planificación central</w:t>
      </w:r>
      <w:r w:rsidRPr="00534FBB">
        <w:t>, el fin de la empresa consiste en cumplir los objetivos que se le especifican en un plan más general, de ámbito nacional o regional.</w:t>
      </w:r>
    </w:p>
  </w:footnote>
  <w:footnote w:id="4">
    <w:p w14:paraId="039A4FD3" w14:textId="77777777" w:rsidR="005F038C" w:rsidRDefault="005F038C" w:rsidP="005F038C">
      <w:pPr>
        <w:pStyle w:val="Textonotapie"/>
        <w:spacing w:after="0"/>
      </w:pPr>
      <w:r>
        <w:rPr>
          <w:rStyle w:val="Refdenotaalpie"/>
        </w:rPr>
        <w:footnoteRef/>
      </w:r>
      <w:r>
        <w:t xml:space="preserve"> Una </w:t>
      </w:r>
      <w:r w:rsidRPr="00FC6035">
        <w:rPr>
          <w:i/>
          <w:iCs/>
          <w:u w:val="single"/>
        </w:rPr>
        <w:t>inversión</w:t>
      </w:r>
      <w:r>
        <w:t xml:space="preserve"> es el compromiso real de dinero o de otros recursos con la </w:t>
      </w:r>
      <w:r w:rsidRPr="00330D34">
        <w:rPr>
          <w:color w:val="C00000"/>
        </w:rPr>
        <w:t>esperanza</w:t>
      </w:r>
      <w:r>
        <w:t xml:space="preserve"> de recibir beneficios </w:t>
      </w:r>
      <w:r w:rsidRPr="00330D34">
        <w:rPr>
          <w:color w:val="0070C0"/>
        </w:rPr>
        <w:t>futuros</w:t>
      </w:r>
      <w:r>
        <w:t>.</w:t>
      </w:r>
    </w:p>
    <w:p w14:paraId="51F50EDE" w14:textId="77777777" w:rsidR="005F038C" w:rsidRDefault="005F038C">
      <w:pPr>
        <w:pStyle w:val="Textonotapie"/>
        <w:numPr>
          <w:ilvl w:val="1"/>
          <w:numId w:val="17"/>
        </w:numPr>
        <w:spacing w:after="0"/>
        <w:ind w:left="283" w:hanging="113"/>
      </w:pPr>
      <w:r>
        <w:t xml:space="preserve">Por lo tanto, generalmente, hay dos conceptos relacionados con la inversión: </w:t>
      </w:r>
      <w:r w:rsidRPr="00330D34">
        <w:rPr>
          <w:i/>
          <w:iCs/>
          <w:color w:val="0070C0"/>
        </w:rPr>
        <w:t>tiempo</w:t>
      </w:r>
      <w:r>
        <w:t xml:space="preserve"> y </w:t>
      </w:r>
      <w:r w:rsidRPr="00330D34">
        <w:rPr>
          <w:i/>
          <w:iCs/>
          <w:color w:val="C00000"/>
        </w:rPr>
        <w:t>riesgo</w:t>
      </w:r>
      <w:r>
        <w:t>.</w:t>
      </w:r>
    </w:p>
    <w:p w14:paraId="414843D9" w14:textId="77777777" w:rsidR="005F038C" w:rsidRDefault="005F038C">
      <w:pPr>
        <w:pStyle w:val="Textonotapie"/>
        <w:keepNext/>
        <w:numPr>
          <w:ilvl w:val="0"/>
          <w:numId w:val="17"/>
        </w:numPr>
        <w:spacing w:after="0"/>
        <w:ind w:left="113" w:hanging="113"/>
      </w:pPr>
      <w:r>
        <w:t>Distinguimos dos tipos de inversiones según el tipo de activo:</w:t>
      </w:r>
    </w:p>
    <w:p w14:paraId="0C5FB693" w14:textId="72DA7992" w:rsidR="005F038C" w:rsidRDefault="005F038C">
      <w:pPr>
        <w:pStyle w:val="Textonotapie"/>
        <w:numPr>
          <w:ilvl w:val="1"/>
          <w:numId w:val="17"/>
        </w:numPr>
        <w:spacing w:after="0"/>
        <w:ind w:left="283" w:hanging="113"/>
      </w:pPr>
      <w:r>
        <w:rPr>
          <w:i/>
          <w:iCs/>
          <w:u w:val="single"/>
        </w:rPr>
        <w:t>Activo</w:t>
      </w:r>
      <w:r w:rsidRPr="001C11F8">
        <w:rPr>
          <w:i/>
          <w:iCs/>
          <w:u w:val="single"/>
        </w:rPr>
        <w:t>s reales</w:t>
      </w:r>
      <w:r>
        <w:t xml:space="preserve">: </w:t>
      </w:r>
      <w:r w:rsidR="001D37DD">
        <w:t>S</w:t>
      </w:r>
      <w:r>
        <w:t>on los que determinan en última instancia la riqueza material de una sociedad mediante su influencia en la capacidad productiva de la economía.</w:t>
      </w:r>
    </w:p>
    <w:p w14:paraId="4EEBD79B" w14:textId="77777777" w:rsidR="005F038C" w:rsidRPr="001D37DD" w:rsidRDefault="005F038C">
      <w:pPr>
        <w:pStyle w:val="Textonotapie"/>
        <w:numPr>
          <w:ilvl w:val="1"/>
          <w:numId w:val="17"/>
        </w:numPr>
        <w:ind w:left="283" w:hanging="113"/>
        <w:rPr>
          <w:spacing w:val="-2"/>
        </w:rPr>
      </w:pPr>
      <w:r w:rsidRPr="001D37DD">
        <w:rPr>
          <w:i/>
          <w:iCs/>
          <w:spacing w:val="-2"/>
          <w:u w:val="single"/>
        </w:rPr>
        <w:t>Activos financieros</w:t>
      </w:r>
      <w:r w:rsidRPr="001D37DD">
        <w:rPr>
          <w:spacing w:val="-2"/>
        </w:rPr>
        <w:t>: No son más que trozos de papel o anotaciones informáticas que no contribuyen de manera directa a la capacidad productiva de la economía. En realidad, estos activos financieros son derechos sobre los activos reales o los ingresos generados por ellos.</w:t>
      </w:r>
    </w:p>
  </w:footnote>
  <w:footnote w:id="5">
    <w:p w14:paraId="42A1B848" w14:textId="090C717E" w:rsidR="00F439E7" w:rsidRPr="00F439E7" w:rsidRDefault="00F439E7">
      <w:pPr>
        <w:pStyle w:val="Textonotapie"/>
      </w:pPr>
      <w:r>
        <w:rPr>
          <w:rStyle w:val="Refdenotaalpie"/>
        </w:rPr>
        <w:footnoteRef/>
      </w:r>
      <w:r>
        <w:t xml:space="preserve"> </w:t>
      </w:r>
      <w:r>
        <w:rPr>
          <w:smallCaps/>
        </w:rPr>
        <w:t>Franco Modigliani</w:t>
      </w:r>
      <w:r>
        <w:t xml:space="preserve"> </w:t>
      </w:r>
      <w:r w:rsidR="009A302F">
        <w:t>fue galardonado con</w:t>
      </w:r>
      <w:r w:rsidRPr="00F439E7">
        <w:t xml:space="preserve"> el Premio Nobel</w:t>
      </w:r>
      <w:r>
        <w:t xml:space="preserve"> de Economía en 1985 </w:t>
      </w:r>
      <w:r w:rsidRPr="00F439E7">
        <w:t>«Por sus análisis de los mercados de ahorro y de los mercados financieros».</w:t>
      </w:r>
      <w:r>
        <w:t xml:space="preserve"> Las contribuciones que le valen el Premio Nobel son la </w:t>
      </w:r>
      <w:r>
        <w:rPr>
          <w:i/>
          <w:iCs/>
        </w:rPr>
        <w:t>life-cicle Hypothesis</w:t>
      </w:r>
      <w:r>
        <w:t xml:space="preserve"> y el teorema Modigliani-Miller.</w:t>
      </w:r>
    </w:p>
    <w:p w14:paraId="1F3CD9AF" w14:textId="1C01AC93" w:rsidR="00F439E7" w:rsidRPr="00F439E7" w:rsidRDefault="00F439E7">
      <w:pPr>
        <w:pStyle w:val="Textonotapie"/>
        <w:rPr>
          <w:smallCaps/>
        </w:rPr>
      </w:pPr>
      <w:r w:rsidRPr="00F439E7">
        <w:rPr>
          <w:smallCaps/>
        </w:rPr>
        <w:t>Merton Miller</w:t>
      </w:r>
      <w:r w:rsidRPr="00F439E7">
        <w:t xml:space="preserve"> </w:t>
      </w:r>
      <w:r w:rsidR="009A302F">
        <w:t>fue galardonado con</w:t>
      </w:r>
      <w:r w:rsidRPr="00F439E7">
        <w:t xml:space="preserve"> el Premio Nobel</w:t>
      </w:r>
      <w:r>
        <w:t xml:space="preserve"> de Economía en 1990 </w:t>
      </w:r>
      <w:r w:rsidR="00E82057">
        <w:t xml:space="preserve">junto con </w:t>
      </w:r>
      <w:r w:rsidR="00E82057">
        <w:rPr>
          <w:smallCaps/>
        </w:rPr>
        <w:t>Harry Markowitz</w:t>
      </w:r>
      <w:r w:rsidR="00E82057">
        <w:t xml:space="preserve"> </w:t>
      </w:r>
      <w:r w:rsidR="0099384B">
        <w:t xml:space="preserve">y </w:t>
      </w:r>
      <w:r w:rsidR="0099384B">
        <w:rPr>
          <w:smallCaps/>
        </w:rPr>
        <w:t>William Sharpe</w:t>
      </w:r>
      <w:r w:rsidR="0099384B">
        <w:t xml:space="preserve"> </w:t>
      </w:r>
      <w:r w:rsidRPr="00F439E7">
        <w:t>«Por sus trabajos pioneros para establecer la teoría de la economía financiera».</w:t>
      </w:r>
    </w:p>
  </w:footnote>
  <w:footnote w:id="6">
    <w:p w14:paraId="274E7F2F" w14:textId="77777777" w:rsidR="008E6329" w:rsidRDefault="008E6329" w:rsidP="008E6329">
      <w:pPr>
        <w:pStyle w:val="Textonotapie"/>
      </w:pPr>
      <w:r>
        <w:rPr>
          <w:rStyle w:val="Refdenotaalpie"/>
        </w:rPr>
        <w:footnoteRef/>
      </w:r>
      <w:r>
        <w:t xml:space="preserve"> Si el patrimonio neto aumenta en una unidad, el pasivo tendrá que aumentar en </w:t>
      </w:r>
      <m:oMath>
        <m:r>
          <m:rPr>
            <m:nor/>
          </m:rPr>
          <w:rPr>
            <w:i/>
            <w:iCs/>
          </w:rPr>
          <m:t>α</m:t>
        </m:r>
      </m:oMath>
      <w:r>
        <w:rPr>
          <w:rFonts w:eastAsiaTheme="minorEastAsia"/>
          <w:iCs/>
        </w:rPr>
        <w:t xml:space="preserve"> unidades para mantener la ratio constante.</w:t>
      </w:r>
    </w:p>
  </w:footnote>
  <w:footnote w:id="7">
    <w:p w14:paraId="207AA7FD" w14:textId="4D0E0C22" w:rsidR="007B3CEE" w:rsidRDefault="007B3CEE" w:rsidP="007B3CEE">
      <w:pPr>
        <w:pStyle w:val="Textonotapie"/>
        <w:keepNext/>
        <w:spacing w:after="0"/>
      </w:pPr>
      <w:r>
        <w:rPr>
          <w:rStyle w:val="Refdenotaalpie"/>
        </w:rPr>
        <w:footnoteRef/>
      </w:r>
      <w:r>
        <w:t xml:space="preserve"> Métodos de amortización:</w:t>
      </w:r>
    </w:p>
    <w:p w14:paraId="2EF45862" w14:textId="31BD0D5E" w:rsidR="007B3CEE" w:rsidRDefault="007B3CEE" w:rsidP="00800ED6">
      <w:pPr>
        <w:pStyle w:val="Textonotapie"/>
        <w:numPr>
          <w:ilvl w:val="0"/>
          <w:numId w:val="8"/>
        </w:numPr>
        <w:spacing w:after="0"/>
        <w:ind w:left="426" w:hanging="142"/>
      </w:pPr>
      <w:r w:rsidRPr="00D22E11">
        <w:rPr>
          <w:i/>
          <w:iCs/>
        </w:rPr>
        <w:t>Método lineal en cuotas fijas</w:t>
      </w:r>
      <w:r>
        <w:t>:</w:t>
      </w:r>
      <m:oMath>
        <m:r>
          <w:rPr>
            <w:rFonts w:ascii="Cambria Math" w:hAnsi="Cambria Math"/>
          </w:rPr>
          <m:t xml:space="preserve"> </m:t>
        </m:r>
        <m:r>
          <m:rPr>
            <m:nor/>
          </m:rPr>
          <w:rPr>
            <w:i/>
            <w:iCs/>
          </w:rPr>
          <m:t>A</m:t>
        </m:r>
        <m:r>
          <w:rPr>
            <w:rFonts w:ascii="Cambria Math" w:hAnsi="Cambria Math"/>
          </w:rPr>
          <m:t>=</m:t>
        </m:r>
        <m:f>
          <m:fPr>
            <m:type m:val="lin"/>
            <m:ctrlPr>
              <w:rPr>
                <w:rFonts w:ascii="Cambria Math" w:hAnsi="Cambria Math"/>
                <w:i/>
                <w:iCs/>
              </w:rPr>
            </m:ctrlPr>
          </m:fPr>
          <m:num>
            <m:d>
              <m:dPr>
                <m:ctrlPr>
                  <w:rPr>
                    <w:rFonts w:ascii="Cambria Math" w:hAnsi="Cambria Math"/>
                    <w:i/>
                    <w:iCs/>
                  </w:rPr>
                </m:ctrlPr>
              </m:dPr>
              <m:e>
                <m:sSub>
                  <m:sSubPr>
                    <m:ctrlPr>
                      <w:rPr>
                        <w:rFonts w:ascii="Cambria Math" w:hAnsi="Cambria Math"/>
                        <w:i/>
                        <w:iCs/>
                      </w:rPr>
                    </m:ctrlPr>
                  </m:sSubPr>
                  <m:e>
                    <m:r>
                      <m:rPr>
                        <m:nor/>
                      </m:rPr>
                      <w:rPr>
                        <w:i/>
                        <w:iCs/>
                      </w:rPr>
                      <m:t>V</m:t>
                    </m:r>
                  </m:e>
                  <m:sub>
                    <m:r>
                      <m:rPr>
                        <m:nor/>
                      </m:rPr>
                      <w:rPr>
                        <w:i/>
                        <w:iCs/>
                      </w:rPr>
                      <m:t>0</m:t>
                    </m:r>
                  </m:sub>
                </m:sSub>
                <m:r>
                  <w:rPr>
                    <w:rFonts w:ascii="Cambria Math" w:hAnsi="Cambria Math"/>
                  </w:rPr>
                  <m:t>-</m:t>
                </m:r>
                <m:sSub>
                  <m:sSubPr>
                    <m:ctrlPr>
                      <w:rPr>
                        <w:rFonts w:ascii="Cambria Math" w:hAnsi="Cambria Math"/>
                        <w:i/>
                        <w:iCs/>
                      </w:rPr>
                    </m:ctrlPr>
                  </m:sSubPr>
                  <m:e>
                    <m:r>
                      <m:rPr>
                        <m:nor/>
                      </m:rPr>
                      <w:rPr>
                        <w:i/>
                        <w:iCs/>
                      </w:rPr>
                      <m:t>V</m:t>
                    </m:r>
                  </m:e>
                  <m:sub>
                    <m:r>
                      <m:rPr>
                        <m:nor/>
                      </m:rPr>
                      <w:rPr>
                        <w:i/>
                        <w:iCs/>
                      </w:rPr>
                      <m:t>R</m:t>
                    </m:r>
                  </m:sub>
                </m:sSub>
              </m:e>
            </m:d>
          </m:num>
          <m:den>
            <m:r>
              <m:rPr>
                <m:nor/>
              </m:rPr>
              <w:rPr>
                <w:i/>
                <w:iCs/>
              </w:rPr>
              <m:t>n</m:t>
            </m:r>
          </m:den>
        </m:f>
      </m:oMath>
    </w:p>
    <w:p w14:paraId="3DEC8E6B" w14:textId="062AF8EB" w:rsidR="007B3CEE" w:rsidRDefault="007B3CEE" w:rsidP="00800ED6">
      <w:pPr>
        <w:pStyle w:val="Textonotapie"/>
        <w:numPr>
          <w:ilvl w:val="0"/>
          <w:numId w:val="8"/>
        </w:numPr>
        <w:spacing w:after="0"/>
        <w:ind w:left="426" w:hanging="142"/>
      </w:pPr>
      <w:r w:rsidRPr="00D22E11">
        <w:rPr>
          <w:i/>
          <w:iCs/>
        </w:rPr>
        <w:t>Métodos acelerados</w:t>
      </w:r>
      <w:r>
        <w:t xml:space="preserve">: </w:t>
      </w:r>
      <w:r w:rsidR="00D22E11">
        <w:t>L</w:t>
      </w:r>
      <w:r>
        <w:t>as cuotas de amortización son más altas al principio (como, por ejemplo, un coeficiente de amortización constante aplicado sobre una base de amortización decreciente).</w:t>
      </w:r>
    </w:p>
  </w:footnote>
  <w:footnote w:id="8">
    <w:p w14:paraId="1C67DA49" w14:textId="5596E077" w:rsidR="00F86DE7" w:rsidRDefault="00F86DE7">
      <w:pPr>
        <w:pStyle w:val="Textonotapie"/>
      </w:pPr>
      <w:r>
        <w:rPr>
          <w:rStyle w:val="Refdenotaalpie"/>
        </w:rPr>
        <w:footnoteRef/>
      </w:r>
      <w:r>
        <w:t xml:space="preserve"> ¿Por qué amortizar? Si compro un ordenador y no amortizo y al final de su vida tengo que reponerlo, esto tendrá un impacto brutal en la cuenta de resultados, produciendo una reducción de la tesorería para adquirir nuevos bienes de equipo.</w:t>
      </w:r>
    </w:p>
  </w:footnote>
  <w:footnote w:id="9">
    <w:p w14:paraId="50622001" w14:textId="77777777" w:rsidR="00ED40CF" w:rsidRDefault="00ED40CF" w:rsidP="00ED40CF">
      <w:pPr>
        <w:pStyle w:val="Textonotapie"/>
      </w:pPr>
      <w:r>
        <w:rPr>
          <w:rStyle w:val="Refdenotaalpie"/>
        </w:rPr>
        <w:footnoteRef/>
      </w:r>
      <w:r>
        <w:t xml:space="preserve"> La retención de beneficios (reservas) en lugar de su distribución vía dividendos es equivalente (a nivel financiero) a repartir todos los beneficios en dividendos y simultáneamente emitir nuevo capital social.</w:t>
      </w:r>
    </w:p>
  </w:footnote>
  <w:footnote w:id="10">
    <w:p w14:paraId="4AD522B4" w14:textId="78C6DD68" w:rsidR="00274EB6" w:rsidRDefault="00274EB6" w:rsidP="00274EB6">
      <w:pPr>
        <w:pStyle w:val="Textonotapie"/>
      </w:pPr>
      <w:r>
        <w:rPr>
          <w:rStyle w:val="Refdenotaalpie"/>
        </w:rPr>
        <w:footnoteRef/>
      </w:r>
      <w:r>
        <w:t xml:space="preserve"> Además, para el tenedor de las acciones es importante tener en cuenta que las acciones suponen un activo de renta variable (i.e. la relación de pagos no está estipulada en una relación contractual entre el emisor y el inversor, por lo que su remuneración depende de la evolución económico-financiera del emisor) </w:t>
      </w:r>
      <w:r w:rsidRPr="00274EB6">
        <w:rPr>
          <w:color w:val="767171" w:themeColor="background2" w:themeShade="80"/>
          <w:sz w:val="14"/>
          <w:szCs w:val="14"/>
        </w:rPr>
        <w:t>[ver tema 3.B.</w:t>
      </w:r>
      <w:r w:rsidR="00811726">
        <w:rPr>
          <w:color w:val="767171" w:themeColor="background2" w:themeShade="80"/>
          <w:sz w:val="14"/>
          <w:szCs w:val="14"/>
        </w:rPr>
        <w:t>23</w:t>
      </w:r>
      <w:r w:rsidRPr="00274EB6">
        <w:rPr>
          <w:color w:val="767171" w:themeColor="background2" w:themeShade="80"/>
          <w:sz w:val="14"/>
          <w:szCs w:val="14"/>
        </w:rPr>
        <w:t>]</w:t>
      </w:r>
      <w:r>
        <w:t>. Estos activos no especifican un vencimiento (s</w:t>
      </w:r>
      <w:r w:rsidRPr="00274EB6">
        <w:t>e dice que las acciones son perpetuas, por lo que su vencimiento depende de la voluntad del inversor de vender las acciones a un nuevo accionista en el mercado secundario</w:t>
      </w:r>
      <w:r>
        <w:t>).</w:t>
      </w:r>
    </w:p>
  </w:footnote>
  <w:footnote w:id="11">
    <w:p w14:paraId="3BB2F5BD" w14:textId="1FEFFC18" w:rsidR="00E80815" w:rsidRDefault="00E80815" w:rsidP="00E80815">
      <w:pPr>
        <w:pStyle w:val="Textonotapie"/>
      </w:pPr>
      <w:r>
        <w:rPr>
          <w:rStyle w:val="Refdenotaalpie"/>
        </w:rPr>
        <w:footnoteRef/>
      </w:r>
      <w:r>
        <w:t xml:space="preserve"> Las 2</w:t>
      </w:r>
      <w:r w:rsidR="00C366D0">
        <w:t> </w:t>
      </w:r>
      <w:r>
        <w:t xml:space="preserve">modalidades más comunes de salida a bolsa son: </w:t>
      </w:r>
      <w:r>
        <w:rPr>
          <w:i/>
          <w:iCs/>
        </w:rPr>
        <w:t>Initial Public Offering</w:t>
      </w:r>
      <w:r>
        <w:t xml:space="preserve"> (IPO) y </w:t>
      </w:r>
      <w:r>
        <w:rPr>
          <w:i/>
          <w:iCs/>
        </w:rPr>
        <w:t>Special Purpose Acquisition Company</w:t>
      </w:r>
      <w:r>
        <w:t xml:space="preserve"> (SPAC).</w:t>
      </w:r>
    </w:p>
    <w:p w14:paraId="5B8A258E" w14:textId="116A4F33" w:rsidR="00E80815" w:rsidRPr="00267006" w:rsidRDefault="00E80815" w:rsidP="00E80815">
      <w:pPr>
        <w:pStyle w:val="Textonotapie"/>
      </w:pPr>
      <w:r>
        <w:t xml:space="preserve">La principal </w:t>
      </w:r>
      <w:r w:rsidRPr="00490C2C">
        <w:rPr>
          <w:b/>
          <w:bCs/>
        </w:rPr>
        <w:t>ventaja</w:t>
      </w:r>
      <w:r>
        <w:t xml:space="preserve"> de la salida a </w:t>
      </w:r>
      <w:r w:rsidRPr="00E80815">
        <w:rPr>
          <w:szCs w:val="16"/>
        </w:rPr>
        <w:t xml:space="preserve">bolsa (frente a los mercados de </w:t>
      </w:r>
      <w:r w:rsidRPr="00E80815">
        <w:rPr>
          <w:i/>
          <w:iCs/>
          <w:szCs w:val="16"/>
        </w:rPr>
        <w:t>private equity</w:t>
      </w:r>
      <w:r w:rsidRPr="00E80815">
        <w:rPr>
          <w:szCs w:val="16"/>
        </w:rPr>
        <w:t xml:space="preserve">) es que permite una </w:t>
      </w:r>
      <w:r w:rsidRPr="00E80815">
        <w:rPr>
          <w:i/>
          <w:iCs/>
          <w:szCs w:val="16"/>
        </w:rPr>
        <w:t>mayor posibilidad de obtener financiación</w:t>
      </w:r>
      <w:r w:rsidRPr="00E80815">
        <w:rPr>
          <w:szCs w:val="16"/>
        </w:rPr>
        <w:t xml:space="preserve"> (se puede obtener financiación de un mayor número de agentes al salir</w:t>
      </w:r>
      <w:r>
        <w:t xml:space="preserve"> a bolsa, ya que los mercados de </w:t>
      </w:r>
      <w:r w:rsidRPr="00490C2C">
        <w:rPr>
          <w:i/>
          <w:iCs/>
        </w:rPr>
        <w:t>private equity</w:t>
      </w:r>
      <w:r>
        <w:t xml:space="preserve"> están más concentrados y con menor acceso por ejemplo a inversores minoristas). Sin embargo, cuenta con el </w:t>
      </w:r>
      <w:r w:rsidRPr="00490C2C">
        <w:rPr>
          <w:b/>
          <w:bCs/>
        </w:rPr>
        <w:t>inconveniente</w:t>
      </w:r>
      <w:r>
        <w:t xml:space="preserve"> de que supone una </w:t>
      </w:r>
      <w:r>
        <w:rPr>
          <w:i/>
          <w:iCs/>
        </w:rPr>
        <w:t>pérdida de control</w:t>
      </w:r>
      <w:r>
        <w:t xml:space="preserve"> (debido a la dispersión de la propiedad de la empresa).</w:t>
      </w:r>
    </w:p>
  </w:footnote>
  <w:footnote w:id="12">
    <w:p w14:paraId="166B819F" w14:textId="77777777" w:rsidR="00C10EB5" w:rsidRPr="007F213D" w:rsidRDefault="00C10EB5" w:rsidP="00C10EB5">
      <w:pPr>
        <w:pStyle w:val="Textonotapie"/>
      </w:pPr>
      <w:r>
        <w:rPr>
          <w:rStyle w:val="Refdenotaalpie"/>
        </w:rPr>
        <w:footnoteRef/>
      </w:r>
      <w:r>
        <w:t xml:space="preserve"> En el caso del </w:t>
      </w:r>
      <w:r>
        <w:rPr>
          <w:i/>
          <w:iCs/>
        </w:rPr>
        <w:t>leasing operativo</w:t>
      </w:r>
      <w:r>
        <w:t xml:space="preserve"> el productor del bien de equipo y la institución arrendadora coinciden, a diferencia del </w:t>
      </w:r>
      <w:r>
        <w:rPr>
          <w:i/>
          <w:iCs/>
        </w:rPr>
        <w:t>leasing financiero</w:t>
      </w:r>
      <w:r>
        <w:t xml:space="preserve">, en el que </w:t>
      </w:r>
      <w:r w:rsidRPr="00D12186">
        <w:t xml:space="preserve">un intermediario </w:t>
      </w:r>
      <w:r>
        <w:t xml:space="preserve">(p.ej. </w:t>
      </w:r>
      <w:r w:rsidRPr="00D12186">
        <w:t>una sociedad leasing, un banco o una compañía de financiamiento</w:t>
      </w:r>
      <w:r>
        <w:t xml:space="preserve">) </w:t>
      </w:r>
      <w:r w:rsidRPr="00D12186">
        <w:t>adquiere un activo productivo previamente elegido por su cliente (el arrendatario) y se lo entrega a este para que lo utilice a cambio de un</w:t>
      </w:r>
      <w:r>
        <w:t xml:space="preserve"> canon.</w:t>
      </w:r>
    </w:p>
  </w:footnote>
  <w:footnote w:id="13">
    <w:p w14:paraId="1EFB68D6" w14:textId="44E20DE7" w:rsidR="00AD78E9" w:rsidRDefault="00AD78E9" w:rsidP="00AD78E9">
      <w:pPr>
        <w:pStyle w:val="Textonotapie"/>
        <w:spacing w:after="0"/>
      </w:pPr>
      <w:r>
        <w:rPr>
          <w:rStyle w:val="Refdenotaalpie"/>
        </w:rPr>
        <w:footnoteRef/>
      </w:r>
      <w:r>
        <w:t xml:space="preserve"> El caso contrario sería el </w:t>
      </w:r>
      <w:r w:rsidRPr="00AD78E9">
        <w:rPr>
          <w:i/>
          <w:iCs/>
        </w:rPr>
        <w:t>confirming</w:t>
      </w:r>
      <w:r w:rsidRPr="00AD78E9">
        <w:t>:</w:t>
      </w:r>
      <w:r>
        <w:t xml:space="preserve"> Se trata de un servicio de pago a proveedores</w:t>
      </w:r>
      <w:r w:rsidR="00935AA4">
        <w:t xml:space="preserve"> </w:t>
      </w:r>
      <w:r>
        <w:t>(no es financiador) que permite al proveedor disponer del cobro de la factura de manera anticipada.</w:t>
      </w:r>
    </w:p>
    <w:p w14:paraId="2DF19E3A" w14:textId="076B928E" w:rsidR="00AD78E9" w:rsidRDefault="00AD78E9">
      <w:pPr>
        <w:pStyle w:val="Textonotapie"/>
        <w:numPr>
          <w:ilvl w:val="0"/>
          <w:numId w:val="25"/>
        </w:numPr>
        <w:spacing w:after="0"/>
        <w:ind w:left="283" w:hanging="113"/>
      </w:pPr>
      <w:r>
        <w:t>Por ejemplo, la empresa</w:t>
      </w:r>
      <w:r w:rsidR="00935AA4">
        <w:t> </w:t>
      </w:r>
      <w:r w:rsidRPr="00AD78E9">
        <w:rPr>
          <w:i/>
          <w:iCs/>
        </w:rPr>
        <w:t>A</w:t>
      </w:r>
      <w:r>
        <w:t xml:space="preserve"> pacta con la empresa</w:t>
      </w:r>
      <w:r w:rsidR="00935AA4">
        <w:t> </w:t>
      </w:r>
      <w:r w:rsidRPr="00AD78E9">
        <w:rPr>
          <w:i/>
          <w:iCs/>
        </w:rPr>
        <w:t>B</w:t>
      </w:r>
      <w:r>
        <w:t xml:space="preserve"> el pago a 150</w:t>
      </w:r>
      <w:r w:rsidR="00935AA4">
        <w:t> </w:t>
      </w:r>
      <w:r>
        <w:t>días fecha, pero la empresa</w:t>
      </w:r>
      <w:r w:rsidR="00935AA4">
        <w:t> </w:t>
      </w:r>
      <w:r w:rsidRPr="00AD78E9">
        <w:rPr>
          <w:i/>
          <w:iCs/>
        </w:rPr>
        <w:t>B</w:t>
      </w:r>
      <w:r>
        <w:t xml:space="preserve"> no puede soportar un plazo de pago tan dilatado. Si la empresa</w:t>
      </w:r>
      <w:r w:rsidR="00935AA4">
        <w:t> </w:t>
      </w:r>
      <w:r w:rsidRPr="00AD78E9">
        <w:rPr>
          <w:i/>
          <w:iCs/>
        </w:rPr>
        <w:t>A</w:t>
      </w:r>
      <w:r>
        <w:t xml:space="preserve"> realiza los pagos mediante </w:t>
      </w:r>
      <w:r w:rsidRPr="00AD78E9">
        <w:rPr>
          <w:i/>
          <w:iCs/>
        </w:rPr>
        <w:t>confirming</w:t>
      </w:r>
      <w:r>
        <w:t>, una entidad financiera le podrá facilitar a la empresa</w:t>
      </w:r>
      <w:r w:rsidR="00935AA4">
        <w:t> </w:t>
      </w:r>
      <w:r w:rsidRPr="00AD78E9">
        <w:rPr>
          <w:i/>
          <w:iCs/>
        </w:rPr>
        <w:t>B</w:t>
      </w:r>
      <w:r>
        <w:t xml:space="preserve"> el cobro de la factura con el cobro de los correspondientes intereses.</w:t>
      </w:r>
    </w:p>
    <w:p w14:paraId="294FF1A9" w14:textId="77777777" w:rsidR="00AD78E9" w:rsidRDefault="00AD78E9">
      <w:pPr>
        <w:pStyle w:val="Textonotapie"/>
        <w:numPr>
          <w:ilvl w:val="0"/>
          <w:numId w:val="25"/>
        </w:numPr>
        <w:spacing w:after="0"/>
        <w:ind w:left="283" w:hanging="113"/>
      </w:pPr>
      <w:r>
        <w:t>Se dirige a una entidad de crédito y procederá a la apertura de una línea de crédito. Así, la empresa encomendará las gestiones de pago de sus proveedores a la entidad financiera de manera que, enviará a su entidad financiera las facturas de sus proveedores una vez aprobadas para que proceda a su pago.</w:t>
      </w:r>
    </w:p>
    <w:p w14:paraId="1FC1EE03" w14:textId="2F3C393A" w:rsidR="00AD78E9" w:rsidRDefault="00AD78E9">
      <w:pPr>
        <w:pStyle w:val="Textonotapie"/>
        <w:numPr>
          <w:ilvl w:val="0"/>
          <w:numId w:val="25"/>
        </w:numPr>
        <w:spacing w:after="0"/>
        <w:ind w:left="283" w:hanging="113"/>
      </w:pPr>
      <w:r>
        <w:t>La entidad financiera puede cobrarle a nuestro proveedor una comisión por el anticipo y unos intereses</w:t>
      </w:r>
      <w:r w:rsidR="00935AA4">
        <w:t>.</w:t>
      </w:r>
    </w:p>
    <w:p w14:paraId="1674A3CD" w14:textId="02C8C7BB" w:rsidR="00AD78E9" w:rsidRDefault="003D07C8" w:rsidP="00AD78E9">
      <w:pPr>
        <w:pStyle w:val="Textonotapie"/>
        <w:jc w:val="center"/>
      </w:pPr>
      <w:r>
        <w:rPr>
          <w:noProof/>
        </w:rPr>
        <w:drawing>
          <wp:inline distT="0" distB="0" distL="0" distR="0" wp14:anchorId="1DFB6AF4" wp14:editId="17D92F76">
            <wp:extent cx="2560180" cy="1440000"/>
            <wp:effectExtent l="0" t="0" r="0" b="8255"/>
            <wp:docPr id="1643197540" name="Imagen 1" descr="Diagrama, Esquemát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197540" name="Imagen 1" descr="Diagrama, Esquemático&#10;&#10;Descripción generada automáticamente"/>
                    <pic:cNvPicPr/>
                  </pic:nvPicPr>
                  <pic:blipFill>
                    <a:blip r:embed="rId1"/>
                    <a:stretch>
                      <a:fillRect/>
                    </a:stretch>
                  </pic:blipFill>
                  <pic:spPr>
                    <a:xfrm>
                      <a:off x="0" y="0"/>
                      <a:ext cx="2560180" cy="1440000"/>
                    </a:xfrm>
                    <a:prstGeom prst="rect">
                      <a:avLst/>
                    </a:prstGeom>
                  </pic:spPr>
                </pic:pic>
              </a:graphicData>
            </a:graphic>
          </wp:inline>
        </w:drawing>
      </w:r>
    </w:p>
  </w:footnote>
  <w:footnote w:id="14">
    <w:p w14:paraId="643401DC" w14:textId="3255C131" w:rsidR="00C10EB5" w:rsidRPr="007269B1" w:rsidRDefault="00C10EB5" w:rsidP="008D6A3A">
      <w:pPr>
        <w:pStyle w:val="Textonotapie"/>
      </w:pPr>
      <w:r>
        <w:rPr>
          <w:rStyle w:val="Refdenotaalpie"/>
        </w:rPr>
        <w:footnoteRef/>
      </w:r>
      <w:r>
        <w:t xml:space="preserve"> El </w:t>
      </w:r>
      <w:r>
        <w:rPr>
          <w:i/>
          <w:iCs/>
        </w:rPr>
        <w:t>crowdfunding</w:t>
      </w:r>
      <w:r>
        <w:t xml:space="preserve"> consiste en la financiación colectiva de un negocio </w:t>
      </w:r>
      <w:r w:rsidR="007D3D4A">
        <w:t xml:space="preserve">o </w:t>
      </w:r>
      <w:r>
        <w:t>proyecto. Para ello, se publica una iniciativa en una plataforma (por lo general a través de Internet), proponiendo un objetivo de financiación durante un periodo de tiempo.</w:t>
      </w:r>
      <w:r w:rsidR="008D6A3A">
        <w:t xml:space="preserve"> Se trata de una forma de microcrédito en la que los contribuyentes reciben retornos financieros (por ejemplo, intereses).</w:t>
      </w:r>
    </w:p>
  </w:footnote>
  <w:footnote w:id="15">
    <w:p w14:paraId="3AF93D6D" w14:textId="5E7922A8" w:rsidR="006E7DB4" w:rsidRDefault="006E7DB4" w:rsidP="006E7DB4">
      <w:pPr>
        <w:pStyle w:val="Textonotapie"/>
      </w:pPr>
      <w:r>
        <w:rPr>
          <w:rStyle w:val="Refdenotaalpie"/>
        </w:rPr>
        <w:footnoteRef/>
      </w:r>
      <w:r>
        <w:t xml:space="preserve"> Debemos recordar que el </w:t>
      </w:r>
      <w:r>
        <w:rPr>
          <w:b/>
          <w:bCs/>
        </w:rPr>
        <w:t xml:space="preserve">objetivo último de la </w:t>
      </w:r>
      <w:r w:rsidRPr="00EC1F1B">
        <w:rPr>
          <w:b/>
          <w:bCs/>
        </w:rPr>
        <w:t>empresa</w:t>
      </w:r>
      <w:r>
        <w:t xml:space="preserve"> es maximizar el valor para sus propietarios. Por tanto, la estructura financiera óptima será aquella relación entre recursos ajenos y propios que contribuya en mayor medida a dicho objetivo. Pero dado que la financiación por sí misma no crea valor para la empresa sino que genera costes, la estructura óptima será aquella que </w:t>
      </w:r>
      <w:r>
        <w:rPr>
          <w:i/>
          <w:iCs/>
        </w:rPr>
        <w:t>minimice el coste de financiación</w:t>
      </w:r>
      <w:r>
        <w:t xml:space="preserve"> (pues de este modo se estará maximizando el valor de la empresa).</w:t>
      </w:r>
    </w:p>
  </w:footnote>
  <w:footnote w:id="16">
    <w:p w14:paraId="3AFA1AAE" w14:textId="098DA874" w:rsidR="00592342" w:rsidRPr="00592342" w:rsidRDefault="00592342" w:rsidP="00805476">
      <w:pPr>
        <w:pStyle w:val="Textonotapie"/>
        <w:spacing w:after="0"/>
      </w:pPr>
      <w:r>
        <w:rPr>
          <w:rStyle w:val="Refdenotaalpie"/>
        </w:rPr>
        <w:footnoteRef/>
      </w:r>
      <w:r>
        <w:t xml:space="preserve"> De la misma manera, no razonaremos en términos de ROE, ROA y los costes financieros, sino que remplazaremos dichos términos contables (basados en observaciones pasadas) por términos financieros (rendimientos requeridos por los inversores que financian a la </w:t>
      </w:r>
      <w:r w:rsidRPr="00592342">
        <w:t>empresa). Siempre hablamos en términos de lo que requiere el mercado y no en términos de tasa de rendimiento efectiva que se calcula de los estados contables (esto sería contabilidad y no finanzas).</w:t>
      </w:r>
    </w:p>
    <w:p w14:paraId="1C63BAAD" w14:textId="77777777" w:rsidR="00805476" w:rsidRDefault="00592342" w:rsidP="00805476">
      <w:pPr>
        <w:pStyle w:val="Textonotapie"/>
        <w:keepNext/>
        <w:spacing w:after="0"/>
      </w:pPr>
      <w:r w:rsidRPr="00592342">
        <w:t>Así</w:t>
      </w:r>
      <w:r w:rsidR="00805476">
        <w:t>:</w:t>
      </w:r>
    </w:p>
    <w:p w14:paraId="12F24CDB" w14:textId="77777777" w:rsidR="00805476" w:rsidRDefault="00805476">
      <w:pPr>
        <w:pStyle w:val="Textonotapie"/>
        <w:keepNext/>
        <w:numPr>
          <w:ilvl w:val="0"/>
          <w:numId w:val="20"/>
        </w:numPr>
        <w:spacing w:after="0"/>
        <w:ind w:left="283" w:hanging="113"/>
        <w:rPr>
          <w:lang w:val="en-US"/>
        </w:rPr>
      </w:pPr>
      <w:r w:rsidRPr="00805476">
        <w:rPr>
          <w:lang w:val="en-US"/>
        </w:rPr>
        <w:t>E</w:t>
      </w:r>
      <w:r w:rsidR="00592342" w:rsidRPr="00805476">
        <w:rPr>
          <w:lang w:val="en-US"/>
        </w:rPr>
        <w:t xml:space="preserve">l </w:t>
      </w:r>
      <w:r w:rsidR="00592342" w:rsidRPr="00805476">
        <w:rPr>
          <w:i/>
          <w:iCs/>
          <w:lang w:val="en-US"/>
        </w:rPr>
        <w:t>return-on assets</w:t>
      </w:r>
      <w:r w:rsidR="00592342" w:rsidRPr="00805476">
        <w:rPr>
          <w:lang w:val="en-US"/>
        </w:rPr>
        <w:t xml:space="preserve"> (ROA) da paso al </w:t>
      </w:r>
      <w:r w:rsidR="00592342" w:rsidRPr="00805476">
        <w:rPr>
          <w:i/>
          <w:iCs/>
          <w:lang w:val="en-US"/>
        </w:rPr>
        <w:t>Weighted Average Cost of Capital</w:t>
      </w:r>
      <w:r w:rsidR="00592342" w:rsidRPr="00805476">
        <w:rPr>
          <w:lang w:val="en-US"/>
        </w:rPr>
        <w:t xml:space="preserve"> (WACC)</w:t>
      </w:r>
      <w:r w:rsidRPr="00805476">
        <w:rPr>
          <w:lang w:val="en-US"/>
        </w:rPr>
        <w:t>;</w:t>
      </w:r>
    </w:p>
    <w:p w14:paraId="64F6E9ED" w14:textId="1A637E44" w:rsidR="00805476" w:rsidRDefault="00805476">
      <w:pPr>
        <w:pStyle w:val="Textonotapie"/>
        <w:keepNext/>
        <w:numPr>
          <w:ilvl w:val="0"/>
          <w:numId w:val="20"/>
        </w:numPr>
        <w:spacing w:after="0"/>
        <w:ind w:left="283" w:hanging="113"/>
      </w:pPr>
      <w:r w:rsidRPr="00805476">
        <w:t>E</w:t>
      </w:r>
      <w:r w:rsidR="00592342" w:rsidRPr="00805476">
        <w:t xml:space="preserve">l </w:t>
      </w:r>
      <w:r w:rsidR="00592342" w:rsidRPr="00805476">
        <w:rPr>
          <w:i/>
          <w:iCs/>
        </w:rPr>
        <w:t>return-on equity</w:t>
      </w:r>
      <w:r w:rsidR="00592342" w:rsidRPr="00805476">
        <w:t xml:space="preserve"> (ROE) </w:t>
      </w:r>
      <w:r w:rsidR="00ED7C2E">
        <w:t>da paso a la</w:t>
      </w:r>
      <w:r w:rsidR="00592342" w:rsidRPr="00805476">
        <w:t xml:space="preserve"> </w:t>
      </w:r>
      <w:r w:rsidR="00ED7C2E" w:rsidRPr="00805476">
        <w:rPr>
          <w:i/>
          <w:iCs/>
        </w:rPr>
        <w:t>tasa de rendimiento requerid</w:t>
      </w:r>
      <w:r w:rsidR="00ED7C2E">
        <w:rPr>
          <w:i/>
          <w:iCs/>
        </w:rPr>
        <w:t>a</w:t>
      </w:r>
      <w:r w:rsidR="00592342" w:rsidRPr="00805476">
        <w:rPr>
          <w:i/>
          <w:iCs/>
        </w:rPr>
        <w:t xml:space="preserve"> </w:t>
      </w:r>
      <w:r w:rsidR="00ED7C2E">
        <w:rPr>
          <w:i/>
          <w:iCs/>
        </w:rPr>
        <w:t>sobre los recursos propios</w:t>
      </w:r>
      <w:r w:rsidR="00592342" w:rsidRPr="00805476">
        <w:t xml:space="preserve"> (</w:t>
      </w:r>
      <m:oMath>
        <m:sSub>
          <m:sSubPr>
            <m:ctrlPr>
              <w:rPr>
                <w:rFonts w:ascii="Cambria Math" w:hAnsi="Cambria Math"/>
                <w:i/>
                <w:iCs/>
              </w:rPr>
            </m:ctrlPr>
          </m:sSubPr>
          <m:e>
            <m:r>
              <m:rPr>
                <m:nor/>
              </m:rPr>
              <w:rPr>
                <w:i/>
                <w:iCs/>
              </w:rPr>
              <m:t>r</m:t>
            </m:r>
          </m:e>
          <m:sub>
            <m:r>
              <m:rPr>
                <m:nor/>
              </m:rPr>
              <w:rPr>
                <w:i/>
                <w:iCs/>
              </w:rPr>
              <m:t>E</m:t>
            </m:r>
          </m:sub>
        </m:sSub>
      </m:oMath>
      <w:r w:rsidR="00592342" w:rsidRPr="00805476">
        <w:t>)</w:t>
      </w:r>
      <w:r>
        <w:t>; y</w:t>
      </w:r>
    </w:p>
    <w:p w14:paraId="05ED916A" w14:textId="1998EE8C" w:rsidR="00805476" w:rsidRPr="00805476" w:rsidRDefault="00805476">
      <w:pPr>
        <w:pStyle w:val="Textonotapie"/>
        <w:numPr>
          <w:ilvl w:val="0"/>
          <w:numId w:val="20"/>
        </w:numPr>
        <w:ind w:left="283" w:hanging="113"/>
      </w:pPr>
      <w:r>
        <w:t xml:space="preserve">El </w:t>
      </w:r>
      <w:r w:rsidRPr="00805476">
        <w:rPr>
          <w:i/>
          <w:iCs/>
        </w:rPr>
        <w:t>coste de la deuda</w:t>
      </w:r>
      <w:r>
        <w:t xml:space="preserve"> da </w:t>
      </w:r>
      <w:r w:rsidR="001B42D9">
        <w:t>paso</w:t>
      </w:r>
      <w:r>
        <w:t xml:space="preserve"> a la </w:t>
      </w:r>
      <w:r w:rsidRPr="00805476">
        <w:rPr>
          <w:i/>
          <w:iCs/>
        </w:rPr>
        <w:t>tasa de rendimiento requerid</w:t>
      </w:r>
      <w:r w:rsidR="00ED7C2E">
        <w:rPr>
          <w:i/>
          <w:iCs/>
        </w:rPr>
        <w:t>a</w:t>
      </w:r>
      <w:r w:rsidRPr="00805476">
        <w:rPr>
          <w:i/>
          <w:iCs/>
        </w:rPr>
        <w:t xml:space="preserve"> de la deuda neta</w:t>
      </w:r>
      <w:r>
        <w:t xml:space="preserve"> (</w:t>
      </w:r>
      <m:oMath>
        <m:sSub>
          <m:sSubPr>
            <m:ctrlPr>
              <w:rPr>
                <w:rFonts w:ascii="Cambria Math" w:hAnsi="Cambria Math"/>
                <w:i/>
                <w:iCs/>
              </w:rPr>
            </m:ctrlPr>
          </m:sSubPr>
          <m:e>
            <m:r>
              <m:rPr>
                <m:nor/>
              </m:rPr>
              <w:rPr>
                <w:i/>
                <w:iCs/>
              </w:rPr>
              <m:t>r</m:t>
            </m:r>
          </m:e>
          <m:sub>
            <m:r>
              <m:rPr>
                <m:nor/>
              </m:rPr>
              <w:rPr>
                <w:i/>
                <w:iCs/>
              </w:rPr>
              <m:t>D</m:t>
            </m:r>
          </m:sub>
        </m:sSub>
      </m:oMath>
      <w:r>
        <w:t>).</w:t>
      </w:r>
    </w:p>
  </w:footnote>
  <w:footnote w:id="17">
    <w:p w14:paraId="759A2908" w14:textId="5FA1684B" w:rsidR="007D3F84" w:rsidRDefault="007D3F84">
      <w:pPr>
        <w:pStyle w:val="Textonotapie"/>
      </w:pPr>
      <w:r>
        <w:rPr>
          <w:rStyle w:val="Refdenotaalpie"/>
        </w:rPr>
        <w:footnoteRef/>
      </w:r>
      <w:r>
        <w:t xml:space="preserve"> Puede interpretarse como el coste de adquirir la empresa: es la suma del valor de mercado de acciones (ordinarias y preferentes) y deuda, restando el valor de las inversiones a corto plazo y la caja.</w:t>
      </w:r>
    </w:p>
  </w:footnote>
  <w:footnote w:id="18">
    <w:p w14:paraId="7B1DA8BB" w14:textId="77777777" w:rsidR="00500701" w:rsidRDefault="00500701" w:rsidP="00500701">
      <w:pPr>
        <w:pStyle w:val="Textonotapie"/>
      </w:pPr>
      <w:r>
        <w:rPr>
          <w:rStyle w:val="Refdenotaalpie"/>
        </w:rPr>
        <w:footnoteRef/>
      </w:r>
      <w:r>
        <w:t xml:space="preserve"> Al igual que la beta de un título (</w:t>
      </w:r>
      <m:oMath>
        <m:sSub>
          <m:sSubPr>
            <m:ctrlPr>
              <w:rPr>
                <w:rFonts w:ascii="Cambria Math" w:hAnsi="Cambria Math"/>
                <w:i/>
                <w:iCs/>
              </w:rPr>
            </m:ctrlPr>
          </m:sSubPr>
          <m:e>
            <m:r>
              <m:rPr>
                <m:nor/>
              </m:rPr>
              <w:rPr>
                <w:i/>
                <w:iCs/>
              </w:rPr>
              <m:t>β</m:t>
            </m:r>
          </m:e>
          <m:sub>
            <m:r>
              <m:rPr>
                <m:nor/>
              </m:rPr>
              <w:rPr>
                <w:i/>
                <w:iCs/>
              </w:rPr>
              <m:t>E</m:t>
            </m:r>
          </m:sub>
        </m:sSub>
      </m:oMath>
      <w:r>
        <w:rPr>
          <w:rFonts w:eastAsiaTheme="minorEastAsia"/>
          <w:iCs/>
        </w:rPr>
        <w:t>, que es la beta que estima el modelo CAPM</w:t>
      </w:r>
      <w:r>
        <w:t>), la beta de los activos (</w:t>
      </w:r>
      <m:oMath>
        <m:sSub>
          <m:sSubPr>
            <m:ctrlPr>
              <w:rPr>
                <w:rFonts w:ascii="Cambria Math" w:hAnsi="Cambria Math"/>
                <w:i/>
                <w:iCs/>
              </w:rPr>
            </m:ctrlPr>
          </m:sSubPr>
          <m:e>
            <m:r>
              <m:rPr>
                <m:nor/>
              </m:rPr>
              <w:rPr>
                <w:i/>
                <w:iCs/>
              </w:rPr>
              <m:t>β</m:t>
            </m:r>
          </m:e>
          <m:sub>
            <m:r>
              <m:rPr>
                <m:nor/>
              </m:rPr>
              <w:rPr>
                <w:i/>
                <w:iCs/>
              </w:rPr>
              <m:t>A</m:t>
            </m:r>
          </m:sub>
        </m:sSub>
      </m:oMath>
      <w:r>
        <w:t>) mide la desviación entre su rendimiento y el de mercado, la beta de un activo mide la desviación entre sus flujos de caja futuros y los del m</w:t>
      </w:r>
      <w:r w:rsidRPr="002D1105">
        <w:t>ercado.</w:t>
      </w:r>
    </w:p>
    <w:p w14:paraId="3BDEF6FC" w14:textId="7CE177B7" w:rsidR="00500701" w:rsidRDefault="00500701" w:rsidP="00500701">
      <w:pPr>
        <w:pStyle w:val="Textonotapie"/>
      </w:pPr>
      <w:r w:rsidRPr="002D1105">
        <w:t xml:space="preserve">En cualquier caso, ambas betas no son independientes. Una empresa que invierte en proyectos con </w:t>
      </w:r>
      <m:oMath>
        <m:sSub>
          <m:sSubPr>
            <m:ctrlPr>
              <w:rPr>
                <w:rFonts w:ascii="Cambria Math" w:hAnsi="Cambria Math"/>
              </w:rPr>
            </m:ctrlPr>
          </m:sSubPr>
          <m:e>
            <m:r>
              <m:rPr>
                <m:nor/>
              </m:rPr>
              <w:rPr>
                <w:i/>
              </w:rPr>
              <m:t>β</m:t>
            </m:r>
          </m:e>
          <m:sub>
            <m:r>
              <m:rPr>
                <m:nor/>
              </m:rPr>
              <w:rPr>
                <w:i/>
              </w:rPr>
              <m:t>A</m:t>
            </m:r>
          </m:sub>
        </m:sSub>
      </m:oMath>
      <w:r w:rsidRPr="002D1105">
        <w:t xml:space="preserve"> elevada –en otras palabras, proyectos con más riesgo– tenderá a tener</w:t>
      </w:r>
      <w:r>
        <w:t xml:space="preserve"> una</w:t>
      </w:r>
      <w:r w:rsidRPr="002D1105">
        <w:t xml:space="preserve"> </w:t>
      </w:r>
      <m:oMath>
        <m:sSub>
          <m:sSubPr>
            <m:ctrlPr>
              <w:rPr>
                <w:rFonts w:ascii="Cambria Math" w:hAnsi="Cambria Math"/>
              </w:rPr>
            </m:ctrlPr>
          </m:sSubPr>
          <m:e>
            <m:r>
              <m:rPr>
                <m:nor/>
              </m:rPr>
              <w:rPr>
                <w:i/>
              </w:rPr>
              <m:t>β</m:t>
            </m:r>
          </m:e>
          <m:sub>
            <m:r>
              <m:rPr>
                <m:nor/>
              </m:rPr>
              <w:rPr>
                <w:i/>
                <w:iCs/>
              </w:rPr>
              <m:t>E</m:t>
            </m:r>
          </m:sub>
        </m:sSub>
      </m:oMath>
      <w:r w:rsidRPr="002D1105">
        <w:t xml:space="preserve"> elevada en sus acciones ya que su rentabilidad fluctuará más</w:t>
      </w:r>
      <w:r>
        <w:t xml:space="preserve"> (ver </w:t>
      </w:r>
      <w:r>
        <w:rPr>
          <w:smallCaps/>
        </w:rPr>
        <w:t>Vernimmen</w:t>
      </w:r>
      <w:r>
        <w:t xml:space="preserve"> </w:t>
      </w:r>
      <w:r w:rsidR="006155EF">
        <w:t xml:space="preserve">et al. </w:t>
      </w:r>
      <w:r>
        <w:t>(2017), págs. 528 y 529)</w:t>
      </w:r>
      <w:r w:rsidRPr="002D1105">
        <w:t>.</w:t>
      </w:r>
    </w:p>
  </w:footnote>
  <w:footnote w:id="19">
    <w:p w14:paraId="78715845" w14:textId="712D3AAE" w:rsidR="00592342" w:rsidRPr="00592342" w:rsidRDefault="00592342">
      <w:pPr>
        <w:pStyle w:val="Textonotapie"/>
      </w:pPr>
      <w:r>
        <w:rPr>
          <w:rStyle w:val="Refdenotaalpie"/>
        </w:rPr>
        <w:footnoteRef/>
      </w:r>
      <w:r>
        <w:t xml:space="preserve"> En términos contables, el coste de capital propio sería el </w:t>
      </w:r>
      <w:r>
        <w:rPr>
          <w:i/>
          <w:iCs/>
        </w:rPr>
        <w:t>r</w:t>
      </w:r>
      <w:r w:rsidRPr="00592342">
        <w:rPr>
          <w:i/>
          <w:iCs/>
        </w:rPr>
        <w:t>eturn-on-equity</w:t>
      </w:r>
      <w:r>
        <w:t xml:space="preserve"> (ROE) </w:t>
      </w:r>
      <w:r w:rsidRPr="00592342">
        <w:rPr>
          <w:color w:val="767171" w:themeColor="background2" w:themeShade="80"/>
          <w:sz w:val="14"/>
          <w:szCs w:val="18"/>
        </w:rPr>
        <w:t>[</w:t>
      </w:r>
      <w:r>
        <w:rPr>
          <w:color w:val="767171" w:themeColor="background2" w:themeShade="80"/>
          <w:sz w:val="14"/>
          <w:szCs w:val="18"/>
        </w:rPr>
        <w:t xml:space="preserve">ver nota al pie </w:t>
      </w:r>
      <w:r>
        <w:rPr>
          <w:color w:val="767171" w:themeColor="background2" w:themeShade="80"/>
          <w:sz w:val="14"/>
          <w:szCs w:val="18"/>
        </w:rPr>
        <w:fldChar w:fldCharType="begin"/>
      </w:r>
      <w:r>
        <w:rPr>
          <w:color w:val="767171" w:themeColor="background2" w:themeShade="80"/>
          <w:sz w:val="14"/>
          <w:szCs w:val="18"/>
        </w:rPr>
        <w:instrText xml:space="preserve"> NOTEREF _Ref124844189 \h </w:instrText>
      </w:r>
      <w:r>
        <w:rPr>
          <w:color w:val="767171" w:themeColor="background2" w:themeShade="80"/>
          <w:sz w:val="14"/>
          <w:szCs w:val="18"/>
        </w:rPr>
      </w:r>
      <w:r>
        <w:rPr>
          <w:color w:val="767171" w:themeColor="background2" w:themeShade="80"/>
          <w:sz w:val="14"/>
          <w:szCs w:val="18"/>
        </w:rPr>
        <w:fldChar w:fldCharType="separate"/>
      </w:r>
      <w:r w:rsidR="00583A5D">
        <w:rPr>
          <w:color w:val="767171" w:themeColor="background2" w:themeShade="80"/>
          <w:sz w:val="14"/>
          <w:szCs w:val="18"/>
        </w:rPr>
        <w:t>15</w:t>
      </w:r>
      <w:r>
        <w:rPr>
          <w:color w:val="767171" w:themeColor="background2" w:themeShade="80"/>
          <w:sz w:val="14"/>
          <w:szCs w:val="18"/>
        </w:rPr>
        <w:fldChar w:fldCharType="end"/>
      </w:r>
      <w:r w:rsidRPr="00592342">
        <w:rPr>
          <w:color w:val="767171" w:themeColor="background2" w:themeShade="80"/>
          <w:sz w:val="14"/>
          <w:szCs w:val="18"/>
        </w:rPr>
        <w:t>]</w:t>
      </w:r>
      <w:r>
        <w:t>.</w:t>
      </w:r>
    </w:p>
  </w:footnote>
  <w:footnote w:id="20">
    <w:p w14:paraId="6B46CE72" w14:textId="77777777" w:rsidR="00C75462" w:rsidRDefault="00C75462" w:rsidP="00C75462">
      <w:pPr>
        <w:pStyle w:val="Textonotapie"/>
        <w:keepNext/>
        <w:spacing w:after="0"/>
      </w:pPr>
      <w:r>
        <w:rPr>
          <w:rStyle w:val="Refdenotaalpie"/>
        </w:rPr>
        <w:footnoteRef/>
      </w:r>
      <w:r>
        <w:t xml:space="preserve"> En el caso de los recursos propios, lo normal es que su coste (</w:t>
      </w:r>
      <m:oMath>
        <m:sSub>
          <m:sSubPr>
            <m:ctrlPr>
              <w:rPr>
                <w:rFonts w:ascii="Cambria Math" w:hAnsi="Cambria Math"/>
                <w:i/>
                <w:iCs/>
                <w:lang w:val="en-US"/>
                <w14:glow w14:rad="38100">
                  <w14:srgbClr w14:val="00B0F0">
                    <w14:alpha w14:val="75000"/>
                  </w14:srgbClr>
                </w14:glow>
              </w:rPr>
            </m:ctrlPr>
          </m:sSubPr>
          <m:e>
            <m:r>
              <m:rPr>
                <m:nor/>
              </m:rPr>
              <w:rPr>
                <w:i/>
                <w:iCs/>
                <w14:glow w14:rad="38100">
                  <w14:srgbClr w14:val="00B0F0">
                    <w14:alpha w14:val="75000"/>
                  </w14:srgbClr>
                </w14:glow>
              </w:rPr>
              <m:t>r</m:t>
            </m:r>
          </m:e>
          <m:sub>
            <m:r>
              <m:rPr>
                <m:nor/>
              </m:rPr>
              <w:rPr>
                <w:i/>
                <w:iCs/>
                <w14:glow w14:rad="38100">
                  <w14:srgbClr w14:val="00B0F0">
                    <w14:alpha w14:val="75000"/>
                  </w14:srgbClr>
                </w14:glow>
              </w:rPr>
              <m:t>E</m:t>
            </m:r>
          </m:sub>
        </m:sSub>
      </m:oMath>
      <w:r>
        <w:t xml:space="preserve">) se obtenga a partir del método CAPM que valora el coste o la rentabilidad que exigen los accionistas en base a la </w:t>
      </w:r>
      <m:oMath>
        <m:r>
          <m:rPr>
            <m:nor/>
          </m:rPr>
          <w:rPr>
            <w:i/>
            <w:iCs/>
          </w:rPr>
          <m:t>β</m:t>
        </m:r>
      </m:oMath>
      <w:r>
        <w:rPr>
          <w:rFonts w:eastAsiaTheme="minorEastAsia"/>
          <w:iCs/>
        </w:rPr>
        <w:t xml:space="preserve"> (beta)</w:t>
      </w:r>
      <w:r>
        <w:t>. Así, su coste sería igual a la rentabilidad libre de riesgo más la beta por la prima de riesgo de mercado y se utiliza la beta apalancada:</w:t>
      </w:r>
    </w:p>
    <w:p w14:paraId="166ACC26" w14:textId="77777777" w:rsidR="00C75462" w:rsidRPr="00BE3622" w:rsidRDefault="00000000" w:rsidP="00C75462">
      <w:pPr>
        <w:pStyle w:val="Textonotapie"/>
        <w:spacing w:after="0"/>
      </w:pPr>
      <m:oMathPara>
        <m:oMath>
          <m:sSub>
            <m:sSubPr>
              <m:ctrlPr>
                <w:rPr>
                  <w:rFonts w:ascii="Cambria Math" w:hAnsi="Cambria Math"/>
                  <w:i/>
                  <w:iCs/>
                  <w:lang w:val="en-US"/>
                  <w14:glow w14:rad="38100">
                    <w14:srgbClr w14:val="00B0F0">
                      <w14:alpha w14:val="75000"/>
                    </w14:srgbClr>
                  </w14:glow>
                </w:rPr>
              </m:ctrlPr>
            </m:sSubPr>
            <m:e>
              <m:r>
                <m:rPr>
                  <m:nor/>
                </m:rPr>
                <w:rPr>
                  <w:i/>
                  <w:iCs/>
                  <w14:glow w14:rad="38100">
                    <w14:srgbClr w14:val="00B0F0">
                      <w14:alpha w14:val="75000"/>
                    </w14:srgbClr>
                  </w14:glow>
                </w:rPr>
                <m:t>r</m:t>
              </m:r>
            </m:e>
            <m:sub>
              <m:r>
                <m:rPr>
                  <m:nor/>
                </m:rPr>
                <w:rPr>
                  <w:i/>
                  <w:iCs/>
                  <w14:glow w14:rad="38100">
                    <w14:srgbClr w14:val="00B0F0">
                      <w14:alpha w14:val="75000"/>
                    </w14:srgbClr>
                  </w14:glow>
                </w:rPr>
                <m:t>E</m:t>
              </m:r>
            </m:sub>
          </m:sSub>
          <m:r>
            <w:rPr>
              <w:rFonts w:ascii="Cambria Math" w:hAnsi="Cambria Math"/>
            </w:rPr>
            <m:t>=</m:t>
          </m:r>
          <m:sSub>
            <m:sSubPr>
              <m:ctrlPr>
                <w:rPr>
                  <w:rFonts w:ascii="Cambria Math" w:hAnsi="Cambria Math"/>
                  <w:i/>
                  <w:iCs/>
                </w:rPr>
              </m:ctrlPr>
            </m:sSubPr>
            <m:e>
              <m:r>
                <m:rPr>
                  <m:nor/>
                </m:rPr>
                <w:rPr>
                  <w:i/>
                  <w:iCs/>
                </w:rPr>
                <m:t>r</m:t>
              </m:r>
            </m:e>
            <m:sub>
              <m:r>
                <m:rPr>
                  <m:nor/>
                </m:rPr>
                <w:rPr>
                  <w:i/>
                  <w:iCs/>
                </w:rPr>
                <m:t>f</m:t>
              </m:r>
            </m:sub>
          </m:sSub>
          <m:r>
            <w:rPr>
              <w:rFonts w:ascii="Cambria Math" w:hAnsi="Cambria Math"/>
            </w:rPr>
            <m:t>+</m:t>
          </m:r>
          <m:sSub>
            <m:sSubPr>
              <m:ctrlPr>
                <w:rPr>
                  <w:rFonts w:ascii="Cambria Math" w:hAnsi="Cambria Math"/>
                  <w:i/>
                  <w:iCs/>
                </w:rPr>
              </m:ctrlPr>
            </m:sSubPr>
            <m:e>
              <m:r>
                <m:rPr>
                  <m:nor/>
                </m:rPr>
                <w:rPr>
                  <w:i/>
                  <w:iCs/>
                </w:rPr>
                <m:t>β</m:t>
              </m:r>
            </m:e>
            <m:sub>
              <m:r>
                <m:rPr>
                  <m:nor/>
                </m:rPr>
                <w:rPr>
                  <w:i/>
                  <w:iCs/>
                </w:rPr>
                <m:t>E</m:t>
              </m:r>
            </m:sub>
          </m:sSub>
          <m:r>
            <w:rPr>
              <w:rFonts w:ascii="Cambria Math" w:hAnsi="Cambria Math"/>
            </w:rPr>
            <m:t>∙</m:t>
          </m:r>
          <m:d>
            <m:dPr>
              <m:ctrlPr>
                <w:rPr>
                  <w:rFonts w:ascii="Cambria Math" w:hAnsi="Cambria Math"/>
                  <w:i/>
                  <w:iCs/>
                </w:rPr>
              </m:ctrlPr>
            </m:dPr>
            <m:e>
              <m:sSub>
                <m:sSubPr>
                  <m:ctrlPr>
                    <w:rPr>
                      <w:rFonts w:ascii="Cambria Math" w:hAnsi="Cambria Math"/>
                      <w:i/>
                      <w:iCs/>
                    </w:rPr>
                  </m:ctrlPr>
                </m:sSubPr>
                <m:e>
                  <m:r>
                    <m:rPr>
                      <m:nor/>
                    </m:rPr>
                    <w:rPr>
                      <w:i/>
                      <w:iCs/>
                    </w:rPr>
                    <m:t>r</m:t>
                  </m:r>
                </m:e>
                <m:sub>
                  <m:r>
                    <m:rPr>
                      <m:nor/>
                    </m:rPr>
                    <w:rPr>
                      <w:i/>
                      <w:iCs/>
                    </w:rPr>
                    <m:t>M</m:t>
                  </m:r>
                </m:sub>
              </m:sSub>
              <m:r>
                <w:rPr>
                  <w:rFonts w:ascii="Cambria Math" w:hAnsi="Cambria Math"/>
                </w:rPr>
                <m:t>-</m:t>
              </m:r>
              <m:sSub>
                <m:sSubPr>
                  <m:ctrlPr>
                    <w:rPr>
                      <w:rFonts w:ascii="Cambria Math" w:hAnsi="Cambria Math"/>
                      <w:i/>
                      <w:iCs/>
                    </w:rPr>
                  </m:ctrlPr>
                </m:sSubPr>
                <m:e>
                  <m:r>
                    <m:rPr>
                      <m:nor/>
                    </m:rPr>
                    <w:rPr>
                      <w:i/>
                      <w:iCs/>
                    </w:rPr>
                    <m:t>r</m:t>
                  </m:r>
                </m:e>
                <m:sub>
                  <m:r>
                    <m:rPr>
                      <m:nor/>
                    </m:rPr>
                    <w:rPr>
                      <w:i/>
                      <w:iCs/>
                    </w:rPr>
                    <m:t>f</m:t>
                  </m:r>
                </m:sub>
              </m:sSub>
            </m:e>
          </m:d>
        </m:oMath>
      </m:oMathPara>
    </w:p>
    <w:p w14:paraId="1F33EE98" w14:textId="4ACAAE55" w:rsidR="00C75462" w:rsidRDefault="00C75462">
      <w:pPr>
        <w:pStyle w:val="Textonotapie"/>
      </w:pPr>
      <w:r>
        <w:t xml:space="preserve">En caso de que no sea una empresa cotizada se busca una empresa </w:t>
      </w:r>
      <w:r w:rsidRPr="00BE3622">
        <w:rPr>
          <w:i/>
          <w:iCs/>
        </w:rPr>
        <w:t>proxy</w:t>
      </w:r>
      <w:r>
        <w:t xml:space="preserve"> se desapalanca y se apalanca para la estructura de la empresa.</w:t>
      </w:r>
    </w:p>
  </w:footnote>
  <w:footnote w:id="21">
    <w:p w14:paraId="3E5CB7B8" w14:textId="77777777" w:rsidR="00B50B2C" w:rsidRPr="00F04E3D" w:rsidRDefault="00B50B2C" w:rsidP="003A470C">
      <w:pPr>
        <w:pStyle w:val="Textonotapie"/>
        <w:keepNext/>
        <w:spacing w:after="0"/>
      </w:pPr>
      <w:r>
        <w:rPr>
          <w:rStyle w:val="Refdenotaalpie"/>
        </w:rPr>
        <w:footnoteRef/>
      </w:r>
      <w:r>
        <w:t xml:space="preserve"> En caso de incluir el efecto de impuestos y de la inflación </w:t>
      </w:r>
      <w:r w:rsidRPr="00F04E3D">
        <w:t>quedaría de la siguiente manera:</w:t>
      </w:r>
    </w:p>
    <w:p w14:paraId="0600ECA2" w14:textId="4DCAF4D7" w:rsidR="00B50B2C" w:rsidRPr="00AD47B6" w:rsidRDefault="00000000" w:rsidP="00B50B2C">
      <w:pPr>
        <w:pStyle w:val="Textonotapie"/>
        <w:spacing w:after="0"/>
        <w:rPr>
          <w:rFonts w:eastAsiaTheme="minorEastAsia"/>
          <w:szCs w:val="16"/>
          <w:lang w:val="fr-FR"/>
        </w:rPr>
      </w:pPr>
      <m:oMathPara>
        <m:oMath>
          <m:sSub>
            <m:sSubPr>
              <m:ctrlPr>
                <w:rPr>
                  <w:rFonts w:ascii="Cambria Math" w:hAnsi="Cambria Math"/>
                  <w:i/>
                  <w:iCs/>
                  <w:szCs w:val="16"/>
                </w:rPr>
              </m:ctrlPr>
            </m:sSubPr>
            <m:e>
              <m:r>
                <m:rPr>
                  <m:nor/>
                </m:rPr>
                <w:rPr>
                  <w:i/>
                  <w:iCs/>
                  <w:szCs w:val="16"/>
                  <w:lang w:val="fr-FR"/>
                </w:rPr>
                <m:t>P</m:t>
              </m:r>
            </m:e>
            <m:sub>
              <m:r>
                <m:rPr>
                  <m:nor/>
                </m:rPr>
                <w:rPr>
                  <w:i/>
                  <w:iCs/>
                  <w:szCs w:val="16"/>
                  <w:lang w:val="fr-FR"/>
                </w:rPr>
                <m:t>0</m:t>
              </m:r>
            </m:sub>
          </m:sSub>
          <m:r>
            <w:rPr>
              <w:rFonts w:ascii="Cambria Math" w:hAnsi="Cambria Math"/>
              <w:szCs w:val="16"/>
              <w:lang w:val="fr-FR"/>
            </w:rPr>
            <m:t>=</m:t>
          </m:r>
          <m:nary>
            <m:naryPr>
              <m:chr m:val="∑"/>
              <m:limLoc m:val="undOvr"/>
              <m:ctrlPr>
                <w:rPr>
                  <w:rFonts w:ascii="Cambria Math" w:hAnsi="Cambria Math"/>
                  <w:i/>
                  <w:iCs/>
                  <w:szCs w:val="16"/>
                </w:rPr>
              </m:ctrlPr>
            </m:naryPr>
            <m:sub>
              <m:r>
                <m:rPr>
                  <m:nor/>
                </m:rPr>
                <w:rPr>
                  <w:i/>
                  <w:iCs/>
                  <w:szCs w:val="16"/>
                  <w:lang w:val="fr-FR"/>
                </w:rPr>
                <m:t>t</m:t>
              </m:r>
              <m:r>
                <w:rPr>
                  <w:rFonts w:ascii="Cambria Math" w:hAnsi="Cambria Math"/>
                  <w:szCs w:val="16"/>
                  <w:lang w:val="fr-FR"/>
                </w:rPr>
                <m:t>=</m:t>
              </m:r>
              <m:r>
                <m:rPr>
                  <m:nor/>
                </m:rPr>
                <w:rPr>
                  <w:i/>
                  <w:iCs/>
                  <w:szCs w:val="16"/>
                  <w:lang w:val="fr-FR"/>
                </w:rPr>
                <m:t>1</m:t>
              </m:r>
            </m:sub>
            <m:sup>
              <m:r>
                <w:rPr>
                  <w:rFonts w:ascii="Cambria Math" w:hAnsi="Cambria Math"/>
                  <w:szCs w:val="16"/>
                  <w:lang w:val="fr-FR"/>
                </w:rPr>
                <m:t>+∞</m:t>
              </m:r>
            </m:sup>
            <m:e>
              <m:f>
                <m:fPr>
                  <m:ctrlPr>
                    <w:rPr>
                      <w:rFonts w:ascii="Cambria Math" w:hAnsi="Cambria Math"/>
                      <w:i/>
                      <w:iCs/>
                      <w:szCs w:val="16"/>
                    </w:rPr>
                  </m:ctrlPr>
                </m:fPr>
                <m:num>
                  <m:sSub>
                    <m:sSubPr>
                      <m:ctrlPr>
                        <w:rPr>
                          <w:rFonts w:ascii="Cambria Math" w:hAnsi="Cambria Math"/>
                          <w:i/>
                          <w:iCs/>
                          <w:szCs w:val="16"/>
                        </w:rPr>
                      </m:ctrlPr>
                    </m:sSubPr>
                    <m:e>
                      <m:r>
                        <m:rPr>
                          <m:nor/>
                        </m:rPr>
                        <w:rPr>
                          <w:i/>
                          <w:iCs/>
                          <w:szCs w:val="16"/>
                          <w:lang w:val="fr-FR"/>
                        </w:rPr>
                        <m:t>D</m:t>
                      </m:r>
                    </m:e>
                    <m:sub>
                      <m:r>
                        <m:rPr>
                          <m:nor/>
                        </m:rPr>
                        <w:rPr>
                          <w:i/>
                          <w:iCs/>
                          <w:szCs w:val="16"/>
                          <w:lang w:val="fr-FR"/>
                        </w:rPr>
                        <m:t>t</m:t>
                      </m:r>
                    </m:sub>
                  </m:sSub>
                </m:num>
                <m:den>
                  <m:sSup>
                    <m:sSupPr>
                      <m:ctrlPr>
                        <w:rPr>
                          <w:rFonts w:ascii="Cambria Math" w:hAnsi="Cambria Math"/>
                          <w:i/>
                          <w:iCs/>
                          <w:szCs w:val="16"/>
                        </w:rPr>
                      </m:ctrlPr>
                    </m:sSupPr>
                    <m:e>
                      <m:d>
                        <m:dPr>
                          <m:ctrlPr>
                            <w:rPr>
                              <w:rFonts w:ascii="Cambria Math" w:hAnsi="Cambria Math"/>
                              <w:i/>
                              <w:iCs/>
                              <w:szCs w:val="16"/>
                            </w:rPr>
                          </m:ctrlPr>
                        </m:dPr>
                        <m:e>
                          <m:r>
                            <m:rPr>
                              <m:nor/>
                            </m:rPr>
                            <w:rPr>
                              <w:i/>
                              <w:iCs/>
                              <w:szCs w:val="16"/>
                              <w:lang w:val="fr-FR"/>
                            </w:rPr>
                            <m:t>1</m:t>
                          </m:r>
                          <m:r>
                            <w:rPr>
                              <w:rFonts w:ascii="Cambria Math" w:hAnsi="Cambria Math"/>
                              <w:szCs w:val="16"/>
                              <w:lang w:val="fr-FR"/>
                            </w:rPr>
                            <m:t>+</m:t>
                          </m:r>
                          <m:f>
                            <m:fPr>
                              <m:type m:val="lin"/>
                              <m:ctrlPr>
                                <w:rPr>
                                  <w:rFonts w:ascii="Cambria Math" w:hAnsi="Cambria Math"/>
                                  <w:i/>
                                  <w:iCs/>
                                  <w:szCs w:val="16"/>
                                  <w:lang w:val="fr-FR"/>
                                </w:rPr>
                              </m:ctrlPr>
                            </m:fPr>
                            <m:num>
                              <m:sSub>
                                <m:sSubPr>
                                  <m:ctrlPr>
                                    <w:rPr>
                                      <w:rFonts w:ascii="Cambria Math" w:hAnsi="Cambria Math"/>
                                      <w:b/>
                                      <w:bCs/>
                                      <w:i/>
                                      <w:iCs/>
                                      <w:szCs w:val="16"/>
                                    </w:rPr>
                                  </m:ctrlPr>
                                </m:sSubPr>
                                <m:e>
                                  <m:r>
                                    <m:rPr>
                                      <m:nor/>
                                    </m:rPr>
                                    <w:rPr>
                                      <w:b/>
                                      <w:bCs/>
                                      <w:i/>
                                      <w:iCs/>
                                      <w:szCs w:val="16"/>
                                      <w:lang w:val="fr-FR"/>
                                    </w:rPr>
                                    <m:t>r</m:t>
                                  </m:r>
                                </m:e>
                                <m:sub>
                                  <m:r>
                                    <m:rPr>
                                      <m:nor/>
                                    </m:rPr>
                                    <w:rPr>
                                      <w:b/>
                                      <w:bCs/>
                                      <w:i/>
                                      <w:iCs/>
                                      <w:lang w:val="fr-FR"/>
                                    </w:rPr>
                                    <m:t>E</m:t>
                                  </m:r>
                                </m:sub>
                              </m:sSub>
                            </m:num>
                            <m:den>
                              <m:d>
                                <m:dPr>
                                  <m:ctrlPr>
                                    <w:rPr>
                                      <w:rFonts w:ascii="Cambria Math" w:hAnsi="Cambria Math"/>
                                      <w:i/>
                                      <w:iCs/>
                                      <w:szCs w:val="16"/>
                                    </w:rPr>
                                  </m:ctrlPr>
                                </m:dPr>
                                <m:e>
                                  <m:r>
                                    <m:rPr>
                                      <m:nor/>
                                    </m:rPr>
                                    <w:rPr>
                                      <w:i/>
                                      <w:iCs/>
                                      <w:szCs w:val="16"/>
                                      <w:lang w:val="fr-FR"/>
                                    </w:rPr>
                                    <m:t>1</m:t>
                                  </m:r>
                                  <m:r>
                                    <w:rPr>
                                      <w:rFonts w:ascii="Cambria Math" w:hAnsi="Cambria Math"/>
                                      <w:szCs w:val="16"/>
                                      <w:lang w:val="fr-FR"/>
                                    </w:rPr>
                                    <m:t>+</m:t>
                                  </m:r>
                                  <m:sSub>
                                    <m:sSubPr>
                                      <m:ctrlPr>
                                        <w:rPr>
                                          <w:rFonts w:ascii="Cambria Math" w:hAnsi="Cambria Math"/>
                                          <w:i/>
                                          <w:iCs/>
                                          <w:szCs w:val="16"/>
                                        </w:rPr>
                                      </m:ctrlPr>
                                    </m:sSubPr>
                                    <m:e>
                                      <m:r>
                                        <m:rPr>
                                          <m:nor/>
                                        </m:rPr>
                                        <w:rPr>
                                          <w:i/>
                                          <w:iCs/>
                                          <w:szCs w:val="16"/>
                                          <w:lang w:val="fr-FR"/>
                                        </w:rPr>
                                        <m:t>t</m:t>
                                      </m:r>
                                    </m:e>
                                    <m:sub>
                                      <m:r>
                                        <m:rPr>
                                          <m:nor/>
                                        </m:rPr>
                                        <w:rPr>
                                          <w:i/>
                                          <w:iCs/>
                                          <w:szCs w:val="16"/>
                                          <w:lang w:val="fr-FR"/>
                                        </w:rPr>
                                        <m:t>IRPF</m:t>
                                      </m:r>
                                    </m:sub>
                                  </m:sSub>
                                </m:e>
                              </m:d>
                            </m:den>
                          </m:f>
                        </m:e>
                      </m:d>
                    </m:e>
                    <m:sup>
                      <m:r>
                        <m:rPr>
                          <m:nor/>
                        </m:rPr>
                        <w:rPr>
                          <w:i/>
                          <w:iCs/>
                          <w:szCs w:val="16"/>
                          <w:lang w:val="fr-FR"/>
                        </w:rPr>
                        <m:t>t</m:t>
                      </m:r>
                    </m:sup>
                  </m:sSup>
                  <m:r>
                    <w:rPr>
                      <w:rFonts w:ascii="Cambria Math" w:hAnsi="Cambria Math"/>
                      <w:szCs w:val="16"/>
                      <w:lang w:val="fr-FR"/>
                    </w:rPr>
                    <m:t>∙</m:t>
                  </m:r>
                  <m:sSup>
                    <m:sSupPr>
                      <m:ctrlPr>
                        <w:rPr>
                          <w:rFonts w:ascii="Cambria Math" w:hAnsi="Cambria Math"/>
                          <w:i/>
                          <w:iCs/>
                          <w:szCs w:val="16"/>
                        </w:rPr>
                      </m:ctrlPr>
                    </m:sSupPr>
                    <m:e>
                      <m:d>
                        <m:dPr>
                          <m:ctrlPr>
                            <w:rPr>
                              <w:rFonts w:ascii="Cambria Math" w:hAnsi="Cambria Math"/>
                              <w:i/>
                              <w:iCs/>
                              <w:szCs w:val="16"/>
                            </w:rPr>
                          </m:ctrlPr>
                        </m:dPr>
                        <m:e>
                          <m:r>
                            <m:rPr>
                              <m:nor/>
                            </m:rPr>
                            <w:rPr>
                              <w:i/>
                              <w:iCs/>
                              <w:szCs w:val="16"/>
                              <w:lang w:val="fr-FR"/>
                            </w:rPr>
                            <m:t>1</m:t>
                          </m:r>
                          <m:r>
                            <w:rPr>
                              <w:rFonts w:ascii="Cambria Math" w:hAnsi="Cambria Math"/>
                              <w:szCs w:val="16"/>
                              <w:lang w:val="fr-FR"/>
                            </w:rPr>
                            <m:t>+</m:t>
                          </m:r>
                          <m:r>
                            <m:rPr>
                              <m:nor/>
                            </m:rPr>
                            <w:rPr>
                              <w:i/>
                              <w:szCs w:val="16"/>
                              <w:lang w:val="fr-FR"/>
                            </w:rPr>
                            <m:t>π</m:t>
                          </m:r>
                        </m:e>
                      </m:d>
                    </m:e>
                    <m:sup>
                      <m:r>
                        <m:rPr>
                          <m:nor/>
                        </m:rPr>
                        <w:rPr>
                          <w:i/>
                          <w:iCs/>
                          <w:szCs w:val="16"/>
                          <w:lang w:val="fr-FR"/>
                        </w:rPr>
                        <m:t>t</m:t>
                      </m:r>
                    </m:sup>
                  </m:sSup>
                </m:den>
              </m:f>
            </m:e>
          </m:nary>
        </m:oMath>
      </m:oMathPara>
    </w:p>
    <w:p w14:paraId="6C82ADB5" w14:textId="77777777" w:rsidR="00B50B2C" w:rsidRPr="00AD47B6" w:rsidRDefault="00B50B2C" w:rsidP="00B21F79">
      <w:pPr>
        <w:pStyle w:val="Textonotapie"/>
        <w:keepNext/>
        <w:spacing w:after="0"/>
        <w:rPr>
          <w:rFonts w:eastAsiaTheme="minorEastAsia"/>
          <w:szCs w:val="16"/>
        </w:rPr>
      </w:pPr>
      <w:r w:rsidRPr="00AD47B6">
        <w:rPr>
          <w:rFonts w:eastAsiaTheme="minorEastAsia"/>
          <w:szCs w:val="16"/>
        </w:rPr>
        <w:t>De esta manera el efecto de estos factores sería el siguiente:</w:t>
      </w:r>
    </w:p>
    <w:p w14:paraId="6C4EF50F" w14:textId="76CF818F" w:rsidR="00B50B2C" w:rsidRPr="00AD47B6" w:rsidRDefault="00B50B2C">
      <w:pPr>
        <w:pStyle w:val="Textonotapie"/>
        <w:numPr>
          <w:ilvl w:val="0"/>
          <w:numId w:val="10"/>
        </w:numPr>
        <w:spacing w:after="0"/>
        <w:ind w:left="283" w:hanging="113"/>
        <w:rPr>
          <w:szCs w:val="16"/>
        </w:rPr>
      </w:pPr>
      <w:r w:rsidRPr="00AD47B6">
        <w:rPr>
          <w:i/>
          <w:iCs/>
          <w:szCs w:val="16"/>
        </w:rPr>
        <w:t>Efecto de los impuestos</w:t>
      </w:r>
      <w:r w:rsidRPr="00AD47B6">
        <w:rPr>
          <w:szCs w:val="16"/>
        </w:rPr>
        <w:t xml:space="preserve"> (</w:t>
      </w:r>
      <m:oMath>
        <m:sSub>
          <m:sSubPr>
            <m:ctrlPr>
              <w:rPr>
                <w:rFonts w:ascii="Cambria Math" w:hAnsi="Cambria Math"/>
                <w:i/>
                <w:iCs/>
                <w:szCs w:val="16"/>
              </w:rPr>
            </m:ctrlPr>
          </m:sSubPr>
          <m:e>
            <m:r>
              <m:rPr>
                <m:nor/>
              </m:rPr>
              <w:rPr>
                <w:i/>
                <w:iCs/>
                <w:szCs w:val="16"/>
              </w:rPr>
              <m:t>t</m:t>
            </m:r>
          </m:e>
          <m:sub>
            <m:r>
              <m:rPr>
                <m:nor/>
              </m:rPr>
              <w:rPr>
                <w:i/>
                <w:iCs/>
                <w:szCs w:val="16"/>
              </w:rPr>
              <m:t>IRPF</m:t>
            </m:r>
          </m:sub>
        </m:sSub>
      </m:oMath>
      <w:r w:rsidRPr="00AD47B6">
        <w:rPr>
          <w:szCs w:val="16"/>
        </w:rPr>
        <w:t xml:space="preserve">): </w:t>
      </w:r>
      <w:r w:rsidR="00FC32A0">
        <w:rPr>
          <w:szCs w:val="16"/>
        </w:rPr>
        <w:t>E</w:t>
      </w:r>
      <w:r>
        <w:rPr>
          <w:szCs w:val="16"/>
        </w:rPr>
        <w:t xml:space="preserve">n el </w:t>
      </w:r>
      <w:r w:rsidR="00FC32A0">
        <w:rPr>
          <w:szCs w:val="16"/>
        </w:rPr>
        <w:t xml:space="preserve">caso del </w:t>
      </w:r>
      <w:r>
        <w:rPr>
          <w:szCs w:val="16"/>
        </w:rPr>
        <w:t>capital propio, los impuestos (concretamente el de la renta, que es el relevante en este caso)</w:t>
      </w:r>
      <w:r w:rsidR="00FC32A0">
        <w:rPr>
          <w:szCs w:val="16"/>
        </w:rPr>
        <w:t xml:space="preserve"> implican que </w:t>
      </w:r>
      <w:r>
        <w:rPr>
          <w:szCs w:val="16"/>
        </w:rPr>
        <w:t>si el accionista va a ver grabados sus dividendos, exigirá una rentabilidad superior para compensar</w:t>
      </w:r>
      <w:r w:rsidRPr="00AD47B6">
        <w:rPr>
          <w:szCs w:val="16"/>
        </w:rPr>
        <w:t>.</w:t>
      </w:r>
    </w:p>
    <w:p w14:paraId="2C1C277A" w14:textId="4FCA0F3C" w:rsidR="00B50B2C" w:rsidRPr="00AD47B6" w:rsidRDefault="00B50B2C">
      <w:pPr>
        <w:pStyle w:val="Textonotapie"/>
        <w:numPr>
          <w:ilvl w:val="0"/>
          <w:numId w:val="10"/>
        </w:numPr>
        <w:ind w:left="283" w:hanging="113"/>
        <w:rPr>
          <w:szCs w:val="16"/>
        </w:rPr>
      </w:pPr>
      <w:r w:rsidRPr="00AD47B6">
        <w:rPr>
          <w:i/>
          <w:iCs/>
          <w:szCs w:val="16"/>
        </w:rPr>
        <w:t>Efecto de la inflación</w:t>
      </w:r>
      <w:r w:rsidRPr="00AD47B6">
        <w:rPr>
          <w:szCs w:val="16"/>
        </w:rPr>
        <w:t xml:space="preserve"> (</w:t>
      </w:r>
      <m:oMath>
        <m:r>
          <m:rPr>
            <m:nor/>
          </m:rPr>
          <w:rPr>
            <w:i/>
            <w:szCs w:val="16"/>
            <w:lang w:val="fr-FR"/>
          </w:rPr>
          <m:t>π</m:t>
        </m:r>
      </m:oMath>
      <w:r w:rsidRPr="00AD47B6">
        <w:rPr>
          <w:szCs w:val="16"/>
        </w:rPr>
        <w:t>): Un aumento de la infl</w:t>
      </w:r>
      <w:r>
        <w:rPr>
          <w:szCs w:val="16"/>
        </w:rPr>
        <w:t xml:space="preserve">ación supondría una disminución del </w:t>
      </w:r>
      <w:r w:rsidR="007D3E0D">
        <w:rPr>
          <w:szCs w:val="16"/>
        </w:rPr>
        <w:t>v</w:t>
      </w:r>
      <w:r>
        <w:rPr>
          <w:szCs w:val="16"/>
        </w:rPr>
        <w:t>alor real de los dividendos distribuidos.</w:t>
      </w:r>
    </w:p>
  </w:footnote>
  <w:footnote w:id="22">
    <w:p w14:paraId="4F2343DE" w14:textId="77777777" w:rsidR="00B50B2C" w:rsidRPr="00AD47B6" w:rsidRDefault="00B50B2C" w:rsidP="003A470C">
      <w:pPr>
        <w:pStyle w:val="Textonotapie"/>
        <w:keepNext/>
        <w:spacing w:after="0"/>
        <w:rPr>
          <w:szCs w:val="16"/>
        </w:rPr>
      </w:pPr>
      <w:r w:rsidRPr="00AD47B6">
        <w:rPr>
          <w:rStyle w:val="Refdenotaalpie"/>
          <w:szCs w:val="16"/>
        </w:rPr>
        <w:footnoteRef/>
      </w:r>
      <w:r w:rsidRPr="00AD47B6">
        <w:rPr>
          <w:szCs w:val="16"/>
        </w:rPr>
        <w:t xml:space="preserve"> En caso de incluir el efecto de impuestos y de la inflación quedaría de la siguiente manera:</w:t>
      </w:r>
    </w:p>
    <w:p w14:paraId="16EF7F9B" w14:textId="6D5B3EB9" w:rsidR="00B50B2C" w:rsidRPr="00AD47B6" w:rsidRDefault="00000000" w:rsidP="00B50B2C">
      <w:pPr>
        <w:pStyle w:val="Textonotapie"/>
        <w:spacing w:after="0"/>
        <w:rPr>
          <w:rFonts w:eastAsiaTheme="minorEastAsia"/>
          <w:szCs w:val="16"/>
          <w:lang w:val="fr-FR"/>
        </w:rPr>
      </w:pPr>
      <m:oMathPara>
        <m:oMath>
          <m:sSub>
            <m:sSubPr>
              <m:ctrlPr>
                <w:rPr>
                  <w:rFonts w:ascii="Cambria Math" w:hAnsi="Cambria Math"/>
                  <w:i/>
                  <w:iCs/>
                  <w:szCs w:val="16"/>
                </w:rPr>
              </m:ctrlPr>
            </m:sSubPr>
            <m:e>
              <m:r>
                <m:rPr>
                  <m:nor/>
                </m:rPr>
                <w:rPr>
                  <w:i/>
                  <w:iCs/>
                  <w:szCs w:val="16"/>
                  <w:lang w:val="fr-FR"/>
                </w:rPr>
                <m:t>I</m:t>
              </m:r>
            </m:e>
            <m:sub>
              <m:r>
                <m:rPr>
                  <m:nor/>
                </m:rPr>
                <w:rPr>
                  <w:i/>
                  <w:iCs/>
                  <w:szCs w:val="16"/>
                  <w:lang w:val="fr-FR"/>
                </w:rPr>
                <m:t>0</m:t>
              </m:r>
            </m:sub>
          </m:sSub>
          <m:r>
            <w:rPr>
              <w:rFonts w:ascii="Cambria Math" w:hAnsi="Cambria Math"/>
              <w:szCs w:val="16"/>
              <w:lang w:val="fr-FR"/>
            </w:rPr>
            <m:t>=</m:t>
          </m:r>
          <m:nary>
            <m:naryPr>
              <m:chr m:val="∑"/>
              <m:limLoc m:val="undOvr"/>
              <m:ctrlPr>
                <w:rPr>
                  <w:rFonts w:ascii="Cambria Math" w:hAnsi="Cambria Math"/>
                  <w:i/>
                  <w:iCs/>
                  <w:szCs w:val="16"/>
                </w:rPr>
              </m:ctrlPr>
            </m:naryPr>
            <m:sub>
              <m:r>
                <m:rPr>
                  <m:nor/>
                </m:rPr>
                <w:rPr>
                  <w:i/>
                  <w:iCs/>
                  <w:szCs w:val="16"/>
                  <w:lang w:val="fr-FR"/>
                </w:rPr>
                <m:t>t</m:t>
              </m:r>
              <m:r>
                <w:rPr>
                  <w:rFonts w:ascii="Cambria Math" w:hAnsi="Cambria Math"/>
                  <w:szCs w:val="16"/>
                  <w:lang w:val="fr-FR"/>
                </w:rPr>
                <m:t>=</m:t>
              </m:r>
              <m:r>
                <m:rPr>
                  <m:nor/>
                </m:rPr>
                <w:rPr>
                  <w:i/>
                  <w:iCs/>
                  <w:szCs w:val="16"/>
                  <w:lang w:val="fr-FR"/>
                </w:rPr>
                <m:t>1</m:t>
              </m:r>
            </m:sub>
            <m:sup>
              <m:r>
                <w:rPr>
                  <w:rFonts w:ascii="Cambria Math" w:hAnsi="Cambria Math"/>
                  <w:szCs w:val="16"/>
                  <w:lang w:val="fr-FR"/>
                </w:rPr>
                <m:t>+∞</m:t>
              </m:r>
            </m:sup>
            <m:e>
              <m:f>
                <m:fPr>
                  <m:ctrlPr>
                    <w:rPr>
                      <w:rFonts w:ascii="Cambria Math" w:hAnsi="Cambria Math"/>
                      <w:i/>
                      <w:iCs/>
                      <w:szCs w:val="16"/>
                    </w:rPr>
                  </m:ctrlPr>
                </m:fPr>
                <m:num>
                  <m:sSub>
                    <m:sSubPr>
                      <m:ctrlPr>
                        <w:rPr>
                          <w:rFonts w:ascii="Cambria Math" w:hAnsi="Cambria Math"/>
                          <w:i/>
                          <w:iCs/>
                          <w:szCs w:val="16"/>
                        </w:rPr>
                      </m:ctrlPr>
                    </m:sSubPr>
                    <m:e>
                      <m:r>
                        <m:rPr>
                          <m:nor/>
                        </m:rPr>
                        <w:rPr>
                          <w:i/>
                          <w:iCs/>
                          <w:szCs w:val="16"/>
                          <w:lang w:val="fr-FR"/>
                        </w:rPr>
                        <m:t>S</m:t>
                      </m:r>
                    </m:e>
                    <m:sub>
                      <m:r>
                        <m:rPr>
                          <m:nor/>
                        </m:rPr>
                        <w:rPr>
                          <w:i/>
                          <w:iCs/>
                          <w:szCs w:val="16"/>
                          <w:lang w:val="fr-FR"/>
                        </w:rPr>
                        <m:t>t</m:t>
                      </m:r>
                    </m:sub>
                  </m:sSub>
                </m:num>
                <m:den>
                  <m:sSup>
                    <m:sSupPr>
                      <m:ctrlPr>
                        <w:rPr>
                          <w:rFonts w:ascii="Cambria Math" w:hAnsi="Cambria Math"/>
                          <w:i/>
                          <w:iCs/>
                          <w:szCs w:val="16"/>
                        </w:rPr>
                      </m:ctrlPr>
                    </m:sSupPr>
                    <m:e>
                      <m:d>
                        <m:dPr>
                          <m:ctrlPr>
                            <w:rPr>
                              <w:rFonts w:ascii="Cambria Math" w:hAnsi="Cambria Math"/>
                              <w:i/>
                              <w:iCs/>
                              <w:szCs w:val="16"/>
                            </w:rPr>
                          </m:ctrlPr>
                        </m:dPr>
                        <m:e>
                          <m:r>
                            <m:rPr>
                              <m:nor/>
                            </m:rPr>
                            <w:rPr>
                              <w:i/>
                              <w:iCs/>
                              <w:szCs w:val="16"/>
                              <w:lang w:val="fr-FR"/>
                            </w:rPr>
                            <m:t>1</m:t>
                          </m:r>
                          <m:r>
                            <w:rPr>
                              <w:rFonts w:ascii="Cambria Math" w:hAnsi="Cambria Math"/>
                              <w:szCs w:val="16"/>
                              <w:lang w:val="fr-FR"/>
                            </w:rPr>
                            <m:t>+</m:t>
                          </m:r>
                          <m:sSub>
                            <m:sSubPr>
                              <m:ctrlPr>
                                <w:rPr>
                                  <w:rFonts w:ascii="Cambria Math" w:hAnsi="Cambria Math"/>
                                  <w:b/>
                                  <w:bCs/>
                                  <w:i/>
                                  <w:iCs/>
                                  <w:szCs w:val="16"/>
                                </w:rPr>
                              </m:ctrlPr>
                            </m:sSubPr>
                            <m:e>
                              <m:r>
                                <m:rPr>
                                  <m:nor/>
                                </m:rPr>
                                <w:rPr>
                                  <w:b/>
                                  <w:bCs/>
                                  <w:i/>
                                  <w:iCs/>
                                  <w:szCs w:val="16"/>
                                  <w:lang w:val="fr-FR"/>
                                </w:rPr>
                                <m:t>r</m:t>
                              </m:r>
                            </m:e>
                            <m:sub>
                              <m:r>
                                <m:rPr>
                                  <m:nor/>
                                </m:rPr>
                                <w:rPr>
                                  <w:b/>
                                  <w:bCs/>
                                  <w:i/>
                                  <w:iCs/>
                                  <w:lang w:val="fr-FR"/>
                                </w:rPr>
                                <m:t>D</m:t>
                              </m:r>
                            </m:sub>
                          </m:sSub>
                          <m:r>
                            <w:rPr>
                              <w:rFonts w:ascii="Cambria Math" w:hAnsi="Cambria Math"/>
                              <w:szCs w:val="16"/>
                              <w:lang w:val="fr-FR"/>
                            </w:rPr>
                            <m:t>∙</m:t>
                          </m:r>
                          <m:d>
                            <m:dPr>
                              <m:ctrlPr>
                                <w:rPr>
                                  <w:rFonts w:ascii="Cambria Math" w:hAnsi="Cambria Math"/>
                                  <w:i/>
                                  <w:iCs/>
                                  <w:szCs w:val="16"/>
                                </w:rPr>
                              </m:ctrlPr>
                            </m:dPr>
                            <m:e>
                              <m:r>
                                <m:rPr>
                                  <m:nor/>
                                </m:rPr>
                                <w:rPr>
                                  <w:i/>
                                  <w:iCs/>
                                  <w:szCs w:val="16"/>
                                  <w:lang w:val="fr-FR"/>
                                </w:rPr>
                                <m:t>1</m:t>
                              </m:r>
                              <m:r>
                                <w:rPr>
                                  <w:rFonts w:ascii="Cambria Math" w:hAnsi="Cambria Math"/>
                                  <w:szCs w:val="16"/>
                                  <w:lang w:val="fr-FR"/>
                                </w:rPr>
                                <m:t>-</m:t>
                              </m:r>
                              <m:sSub>
                                <m:sSubPr>
                                  <m:ctrlPr>
                                    <w:rPr>
                                      <w:rFonts w:ascii="Cambria Math" w:hAnsi="Cambria Math"/>
                                      <w:i/>
                                      <w:iCs/>
                                      <w:szCs w:val="16"/>
                                    </w:rPr>
                                  </m:ctrlPr>
                                </m:sSubPr>
                                <m:e>
                                  <m:r>
                                    <m:rPr>
                                      <m:nor/>
                                    </m:rPr>
                                    <w:rPr>
                                      <w:i/>
                                      <w:iCs/>
                                      <w:szCs w:val="16"/>
                                      <w:lang w:val="fr-FR"/>
                                    </w:rPr>
                                    <m:t>t</m:t>
                                  </m:r>
                                </m:e>
                                <m:sub>
                                  <m:r>
                                    <m:rPr>
                                      <m:nor/>
                                    </m:rPr>
                                    <w:rPr>
                                      <w:i/>
                                      <w:iCs/>
                                      <w:szCs w:val="16"/>
                                      <w:lang w:val="fr-FR"/>
                                    </w:rPr>
                                    <m:t>IS</m:t>
                                  </m:r>
                                </m:sub>
                              </m:sSub>
                            </m:e>
                          </m:d>
                        </m:e>
                      </m:d>
                    </m:e>
                    <m:sup>
                      <m:r>
                        <m:rPr>
                          <m:nor/>
                        </m:rPr>
                        <w:rPr>
                          <w:i/>
                          <w:iCs/>
                          <w:szCs w:val="16"/>
                          <w:lang w:val="fr-FR"/>
                        </w:rPr>
                        <m:t>t</m:t>
                      </m:r>
                    </m:sup>
                  </m:sSup>
                  <m:r>
                    <w:rPr>
                      <w:rFonts w:ascii="Cambria Math" w:hAnsi="Cambria Math"/>
                      <w:szCs w:val="16"/>
                      <w:lang w:val="fr-FR"/>
                    </w:rPr>
                    <m:t>∙</m:t>
                  </m:r>
                  <m:sSup>
                    <m:sSupPr>
                      <m:ctrlPr>
                        <w:rPr>
                          <w:rFonts w:ascii="Cambria Math" w:hAnsi="Cambria Math"/>
                          <w:i/>
                          <w:iCs/>
                          <w:szCs w:val="16"/>
                        </w:rPr>
                      </m:ctrlPr>
                    </m:sSupPr>
                    <m:e>
                      <m:d>
                        <m:dPr>
                          <m:ctrlPr>
                            <w:rPr>
                              <w:rFonts w:ascii="Cambria Math" w:hAnsi="Cambria Math"/>
                              <w:i/>
                              <w:iCs/>
                              <w:szCs w:val="16"/>
                            </w:rPr>
                          </m:ctrlPr>
                        </m:dPr>
                        <m:e>
                          <m:r>
                            <m:rPr>
                              <m:nor/>
                            </m:rPr>
                            <w:rPr>
                              <w:i/>
                              <w:iCs/>
                              <w:szCs w:val="16"/>
                              <w:lang w:val="fr-FR"/>
                            </w:rPr>
                            <m:t>1</m:t>
                          </m:r>
                          <m:r>
                            <w:rPr>
                              <w:rFonts w:ascii="Cambria Math" w:hAnsi="Cambria Math"/>
                              <w:szCs w:val="16"/>
                              <w:lang w:val="fr-FR"/>
                            </w:rPr>
                            <m:t>+</m:t>
                          </m:r>
                          <m:r>
                            <m:rPr>
                              <m:nor/>
                            </m:rPr>
                            <w:rPr>
                              <w:i/>
                              <w:szCs w:val="16"/>
                              <w:lang w:val="fr-FR"/>
                            </w:rPr>
                            <m:t>π</m:t>
                          </m:r>
                        </m:e>
                      </m:d>
                    </m:e>
                    <m:sup>
                      <m:r>
                        <m:rPr>
                          <m:nor/>
                        </m:rPr>
                        <w:rPr>
                          <w:i/>
                          <w:iCs/>
                          <w:szCs w:val="16"/>
                          <w:lang w:val="fr-FR"/>
                        </w:rPr>
                        <m:t>t</m:t>
                      </m:r>
                    </m:sup>
                  </m:sSup>
                </m:den>
              </m:f>
            </m:e>
          </m:nary>
        </m:oMath>
      </m:oMathPara>
    </w:p>
    <w:p w14:paraId="7CFF1C9F" w14:textId="77777777" w:rsidR="00B50B2C" w:rsidRPr="00AD47B6" w:rsidRDefault="00B50B2C" w:rsidP="00B21F79">
      <w:pPr>
        <w:pStyle w:val="Textonotapie"/>
        <w:keepNext/>
        <w:spacing w:after="0"/>
        <w:rPr>
          <w:rFonts w:eastAsiaTheme="minorEastAsia"/>
          <w:szCs w:val="16"/>
        </w:rPr>
      </w:pPr>
      <w:r w:rsidRPr="00AD47B6">
        <w:rPr>
          <w:rFonts w:eastAsiaTheme="minorEastAsia"/>
          <w:szCs w:val="16"/>
        </w:rPr>
        <w:t>De esta manera el efecto de estos factores sería el siguiente:</w:t>
      </w:r>
    </w:p>
    <w:p w14:paraId="61F9EC42" w14:textId="2944919C" w:rsidR="00B50B2C" w:rsidRPr="00AD47B6" w:rsidRDefault="00B50B2C">
      <w:pPr>
        <w:pStyle w:val="Textonotapie"/>
        <w:numPr>
          <w:ilvl w:val="0"/>
          <w:numId w:val="10"/>
        </w:numPr>
        <w:spacing w:after="0"/>
        <w:ind w:left="283" w:hanging="113"/>
        <w:rPr>
          <w:szCs w:val="16"/>
        </w:rPr>
      </w:pPr>
      <w:r w:rsidRPr="00AD47B6">
        <w:rPr>
          <w:i/>
          <w:iCs/>
          <w:szCs w:val="16"/>
        </w:rPr>
        <w:t>Efecto de los impuestos</w:t>
      </w:r>
      <w:r w:rsidRPr="00AD47B6">
        <w:rPr>
          <w:szCs w:val="16"/>
        </w:rPr>
        <w:t xml:space="preserve"> (</w:t>
      </w:r>
      <m:oMath>
        <m:sSub>
          <m:sSubPr>
            <m:ctrlPr>
              <w:rPr>
                <w:rFonts w:ascii="Cambria Math" w:hAnsi="Cambria Math"/>
                <w:i/>
                <w:iCs/>
                <w:szCs w:val="16"/>
              </w:rPr>
            </m:ctrlPr>
          </m:sSubPr>
          <m:e>
            <m:r>
              <m:rPr>
                <m:nor/>
              </m:rPr>
              <w:rPr>
                <w:i/>
                <w:iCs/>
                <w:szCs w:val="16"/>
              </w:rPr>
              <m:t>t</m:t>
            </m:r>
          </m:e>
          <m:sub>
            <m:r>
              <m:rPr>
                <m:nor/>
              </m:rPr>
              <w:rPr>
                <w:i/>
                <w:iCs/>
                <w:szCs w:val="16"/>
              </w:rPr>
              <m:t>IS</m:t>
            </m:r>
          </m:sub>
        </m:sSub>
      </m:oMath>
      <w:r w:rsidRPr="00AD47B6">
        <w:rPr>
          <w:szCs w:val="16"/>
        </w:rPr>
        <w:t xml:space="preserve">): </w:t>
      </w:r>
      <w:r w:rsidR="00FC32A0">
        <w:rPr>
          <w:szCs w:val="16"/>
        </w:rPr>
        <w:t>L</w:t>
      </w:r>
      <w:r w:rsidRPr="00AD47B6">
        <w:rPr>
          <w:szCs w:val="16"/>
        </w:rPr>
        <w:t xml:space="preserve">as cantidades pagadas por la empresa en concepto de intereses son deducibles de la base imponible del impuesto de sociedades, por lo que para las empresas rentables (i.e. que obtengan beneficios y por lo tanto tengan que pagar el impuesto) el coste de capital ajeno en realidad será menor. Es el llamado </w:t>
      </w:r>
      <w:r w:rsidRPr="00AD47B6">
        <w:rPr>
          <w:i/>
          <w:iCs/>
          <w:szCs w:val="16"/>
        </w:rPr>
        <w:t>escudo fiscal</w:t>
      </w:r>
      <w:r w:rsidRPr="00AD47B6">
        <w:rPr>
          <w:szCs w:val="16"/>
        </w:rPr>
        <w:t>.</w:t>
      </w:r>
    </w:p>
    <w:p w14:paraId="4BE97A6A" w14:textId="1CABC2C5" w:rsidR="00B50B2C" w:rsidRPr="00F04E3D" w:rsidRDefault="00B50B2C">
      <w:pPr>
        <w:pStyle w:val="Textonotapie"/>
        <w:numPr>
          <w:ilvl w:val="0"/>
          <w:numId w:val="10"/>
        </w:numPr>
        <w:ind w:left="283" w:hanging="113"/>
        <w:rPr>
          <w:sz w:val="18"/>
          <w:szCs w:val="22"/>
        </w:rPr>
      </w:pPr>
      <w:r w:rsidRPr="00AD47B6">
        <w:rPr>
          <w:i/>
          <w:iCs/>
          <w:szCs w:val="16"/>
        </w:rPr>
        <w:t>Efecto de la inflación</w:t>
      </w:r>
      <w:r w:rsidRPr="00AD47B6">
        <w:rPr>
          <w:szCs w:val="16"/>
        </w:rPr>
        <w:t xml:space="preserve"> (</w:t>
      </w:r>
      <m:oMath>
        <m:r>
          <m:rPr>
            <m:nor/>
          </m:rPr>
          <w:rPr>
            <w:i/>
            <w:szCs w:val="16"/>
            <w:lang w:val="fr-FR"/>
          </w:rPr>
          <m:t>π</m:t>
        </m:r>
      </m:oMath>
      <w:r w:rsidRPr="00AD47B6">
        <w:rPr>
          <w:szCs w:val="16"/>
        </w:rPr>
        <w:t xml:space="preserve">): Dado que al pagar una deuda sólo </w:t>
      </w:r>
      <w:r w:rsidR="005704DC">
        <w:rPr>
          <w:szCs w:val="16"/>
        </w:rPr>
        <w:t xml:space="preserve">se </w:t>
      </w:r>
      <w:r w:rsidRPr="00AD47B6">
        <w:rPr>
          <w:szCs w:val="16"/>
        </w:rPr>
        <w:t>dev</w:t>
      </w:r>
      <w:r w:rsidR="005704DC">
        <w:rPr>
          <w:szCs w:val="16"/>
        </w:rPr>
        <w:t>ue</w:t>
      </w:r>
      <w:r w:rsidRPr="00AD47B6">
        <w:rPr>
          <w:szCs w:val="16"/>
        </w:rPr>
        <w:t>lve su valor nominal, un aumento de la inflación reduce el valor real de la deuda.</w:t>
      </w:r>
    </w:p>
  </w:footnote>
  <w:footnote w:id="23">
    <w:p w14:paraId="395A9E66" w14:textId="55B87542" w:rsidR="00AA1A9C" w:rsidRDefault="00AA1A9C">
      <w:pPr>
        <w:pStyle w:val="Textonotapie"/>
      </w:pPr>
      <w:r>
        <w:rPr>
          <w:rStyle w:val="Refdenotaalpie"/>
        </w:rPr>
        <w:footnoteRef/>
      </w:r>
      <w:r>
        <w:t xml:space="preserve"> Es decir, el coste de capital no es la media ponderada de dos costes separados. El riesgo total de la compañía está representado por el coste de capital, cuyos componentes principales son patrimonio neto y deuda. Los costes del patrimonio neto y de la deuda son una función del riesgo de los activos, el coste del capital total y el respectivo peso de cada uno.</w:t>
      </w:r>
    </w:p>
  </w:footnote>
  <w:footnote w:id="24">
    <w:p w14:paraId="79D4B7CE" w14:textId="77777777" w:rsidR="002E02DF" w:rsidRPr="00785770" w:rsidRDefault="002E02DF" w:rsidP="002E02DF">
      <w:pPr>
        <w:pStyle w:val="Textonotapie"/>
      </w:pPr>
      <w:r>
        <w:rPr>
          <w:rStyle w:val="Refdenotaalpie"/>
        </w:rPr>
        <w:footnoteRef/>
      </w:r>
      <w:r>
        <w:t xml:space="preserve"> Para ver un ejemplo consultar </w:t>
      </w:r>
      <w:r>
        <w:rPr>
          <w:smallCaps/>
        </w:rPr>
        <w:t>Vernimmen</w:t>
      </w:r>
      <w:r>
        <w:t xml:space="preserve"> et al. (2017), págs. 594 y 595.</w:t>
      </w:r>
    </w:p>
  </w:footnote>
  <w:footnote w:id="25">
    <w:p w14:paraId="51CD8DB5" w14:textId="6F7E7AA9" w:rsidR="0093731D" w:rsidRDefault="0093731D">
      <w:pPr>
        <w:pStyle w:val="Textonotapie"/>
      </w:pPr>
      <w:r>
        <w:rPr>
          <w:rStyle w:val="Refdenotaalpie"/>
        </w:rPr>
        <w:footnoteRef/>
      </w:r>
      <w:r>
        <w:t xml:space="preserve"> Pero si la primera proposición decía que el valor de la empresa es independiente de su estructura de capital, ¿cómo decimos ahora que </w:t>
      </w:r>
      <w:r w:rsidR="00403F00">
        <w:t>la rentabilidad esperada de las acciones de la empresa</w:t>
      </w:r>
      <w:r>
        <w:t xml:space="preserve"> aumenta conforme lo hace la ratio deuda-fondos propios? No es contradictorio, ya que lo que </w:t>
      </w:r>
      <w:r w:rsidR="00403F00">
        <w:t xml:space="preserve">dice </w:t>
      </w:r>
      <w:r>
        <w:t xml:space="preserve">la segunda proposición es que, ante un aumento de la deuda, aumenta la rentabilidad de las acciones de una empresa, no su valor. Y es que el valor de una empresa es igual al valor de sus acciones menos </w:t>
      </w:r>
      <w:r w:rsidR="00403F00">
        <w:t xml:space="preserve">el valor de </w:t>
      </w:r>
      <w:r>
        <w:t>la deuda.</w:t>
      </w:r>
    </w:p>
  </w:footnote>
  <w:footnote w:id="26">
    <w:p w14:paraId="64F217E3" w14:textId="20028165" w:rsidR="003D56CA" w:rsidRDefault="003D56CA">
      <w:pPr>
        <w:pStyle w:val="Textonotapie"/>
      </w:pPr>
      <w:r>
        <w:rPr>
          <w:rStyle w:val="Refdenotaalpie"/>
        </w:rPr>
        <w:footnoteRef/>
      </w:r>
      <w:r>
        <w:t xml:space="preserve"> Aunque lo que interesa es el tramo horizontal, no cabe duda de que a partir de un determinado nivel de endeudamiento (</w:t>
      </w:r>
      <m:oMath>
        <m:r>
          <m:rPr>
            <m:nor/>
          </m:rPr>
          <w:rPr>
            <w:i/>
            <w:iCs/>
          </w:rPr>
          <m:t>L</m:t>
        </m:r>
      </m:oMath>
      <w:r>
        <w:rPr>
          <w:rFonts w:eastAsiaTheme="minorEastAsia"/>
          <w:iCs/>
        </w:rPr>
        <w:t>), el WACC terminará subiendo.</w:t>
      </w:r>
      <w:r w:rsidR="00C11CA7">
        <w:rPr>
          <w:rFonts w:eastAsiaTheme="minorEastAsia"/>
          <w:iCs/>
        </w:rPr>
        <w:t xml:space="preserve"> Esto no es relevante, el tramo relevante es el tramo horizontal, de modo que se llega a las conclusiones que vemos</w:t>
      </w:r>
      <w:r w:rsidR="00924D78">
        <w:rPr>
          <w:rFonts w:eastAsiaTheme="minorEastAsia"/>
          <w:iCs/>
        </w:rPr>
        <w:t xml:space="preserve"> en el cuerpo del tema</w:t>
      </w:r>
      <w:r w:rsidR="00C11CA7">
        <w:rPr>
          <w:rFonts w:eastAsiaTheme="minorEastAsia"/>
          <w:iCs/>
        </w:rPr>
        <w:t>.</w:t>
      </w:r>
    </w:p>
  </w:footnote>
  <w:footnote w:id="27">
    <w:p w14:paraId="329AFB9F" w14:textId="77777777" w:rsidR="002F168A" w:rsidRPr="00DE2505" w:rsidRDefault="002F168A" w:rsidP="002F168A">
      <w:pPr>
        <w:pStyle w:val="Textonotapie"/>
        <w:keepNext/>
        <w:spacing w:after="0"/>
      </w:pPr>
      <w:r>
        <w:rPr>
          <w:rStyle w:val="Refdenotaalpie"/>
        </w:rPr>
        <w:footnoteRef/>
      </w:r>
      <w:r>
        <w:t xml:space="preserve"> Artículo interesante del </w:t>
      </w:r>
      <w:r>
        <w:rPr>
          <w:i/>
          <w:iCs/>
        </w:rPr>
        <w:t>Financial Times</w:t>
      </w:r>
      <w:r>
        <w:t xml:space="preserve"> en el que se explica la teoría de </w:t>
      </w:r>
      <w:r>
        <w:rPr>
          <w:smallCaps/>
        </w:rPr>
        <w:t>Modigliani</w:t>
      </w:r>
      <w:r>
        <w:t xml:space="preserve"> y </w:t>
      </w:r>
      <w:r>
        <w:rPr>
          <w:smallCaps/>
        </w:rPr>
        <w:t>Miller</w:t>
      </w:r>
      <w:r>
        <w:t xml:space="preserve"> en el contexto de la pandemia.</w:t>
      </w:r>
    </w:p>
    <w:p w14:paraId="7EB3C85E" w14:textId="77777777" w:rsidR="002F168A" w:rsidRDefault="002F168A" w:rsidP="002F168A">
      <w:pPr>
        <w:pStyle w:val="Textonotapie"/>
        <w:rPr>
          <w:rStyle w:val="Hipervnculo"/>
          <w:lang w:val="en-US"/>
        </w:rPr>
      </w:pPr>
      <w:r w:rsidRPr="00DE2505">
        <w:rPr>
          <w:lang w:val="en-US"/>
        </w:rPr>
        <w:t xml:space="preserve">Wigglesworth, R. (2020, octubre 19). The debt bubble legacy of economists Modigliani and Miller. </w:t>
      </w:r>
      <w:r w:rsidRPr="00DE2505">
        <w:rPr>
          <w:i/>
          <w:iCs/>
          <w:lang w:val="en-US"/>
        </w:rPr>
        <w:t>Financial Times</w:t>
      </w:r>
      <w:r w:rsidRPr="00DE2505">
        <w:rPr>
          <w:lang w:val="en-US"/>
        </w:rPr>
        <w:t xml:space="preserve">. </w:t>
      </w:r>
      <w:hyperlink r:id="rId2" w:history="1">
        <w:r w:rsidRPr="00633860">
          <w:rPr>
            <w:rStyle w:val="Hipervnculo"/>
            <w:lang w:val="en-US"/>
          </w:rPr>
          <w:t>https://www.ft.com/content/87efe5a9-4cb6-493b-a31a-f9efd5ddd242</w:t>
        </w:r>
      </w:hyperlink>
    </w:p>
    <w:p w14:paraId="521AB489" w14:textId="77777777" w:rsidR="002F168A" w:rsidRPr="00E06345" w:rsidRDefault="002F168A" w:rsidP="002F168A">
      <w:pPr>
        <w:pStyle w:val="Textonotapie"/>
        <w:ind w:left="284"/>
        <w:rPr>
          <w:spacing w:val="-2"/>
          <w:lang w:val="en-US"/>
        </w:rPr>
      </w:pPr>
      <w:r w:rsidRPr="00E06345">
        <w:rPr>
          <w:spacing w:val="-2"/>
          <w:lang w:val="en-US"/>
        </w:rPr>
        <w:t>Half a century ago, two starlets of economics argued that whether companies funded themselves with debt or equity was irrelevant. One legacy of that insight is becoming clearer in the wreckage of corporate failures mounting in the wake of the pandemic. Until then most companies had assumed that too much debt would affect the value of the firm, so their paper was a counterintuitive bombshell. […]</w:t>
      </w:r>
    </w:p>
    <w:p w14:paraId="658CC54F" w14:textId="77777777" w:rsidR="002F168A" w:rsidRPr="00E06345" w:rsidRDefault="002F168A" w:rsidP="002F168A">
      <w:pPr>
        <w:pStyle w:val="Textonotapie"/>
        <w:ind w:left="284"/>
        <w:rPr>
          <w:spacing w:val="-2"/>
          <w:lang w:val="en-US"/>
        </w:rPr>
      </w:pPr>
      <w:r w:rsidRPr="00E06345">
        <w:rPr>
          <w:spacing w:val="-2"/>
          <w:lang w:val="en-US"/>
        </w:rPr>
        <w:t xml:space="preserve">This gave rise to the idea of “efficient” balance sheets layered with debt, and immortalised by a memorable phrase written by 2 corporate finance specialists in 1988: </w:t>
      </w:r>
      <w:r w:rsidRPr="00E06345">
        <w:rPr>
          <w:i/>
          <w:iCs/>
          <w:spacing w:val="-2"/>
          <w:lang w:val="en-US"/>
        </w:rPr>
        <w:t>“Equity is soft, debt hard. Equity is forgiving, debt insistent. Equity is a pillow, debt a sword.”</w:t>
      </w:r>
    </w:p>
    <w:p w14:paraId="647A43DC" w14:textId="77777777" w:rsidR="002F168A" w:rsidRPr="00E06345" w:rsidRDefault="002F168A" w:rsidP="002F168A">
      <w:pPr>
        <w:pStyle w:val="Textonotapie"/>
        <w:ind w:left="284"/>
        <w:rPr>
          <w:spacing w:val="-2"/>
          <w:lang w:val="en-US"/>
        </w:rPr>
      </w:pPr>
      <w:r w:rsidRPr="00E06345">
        <w:rPr>
          <w:spacing w:val="-2"/>
          <w:lang w:val="en-US"/>
        </w:rPr>
        <w:t>The result can be seen in the evolving distribution of corporate credit ratings. Four decades ago, Standard &amp; Poor’s had given 65</w:t>
      </w:r>
      <w:r>
        <w:rPr>
          <w:spacing w:val="-2"/>
          <w:lang w:val="en-US"/>
        </w:rPr>
        <w:t> </w:t>
      </w:r>
      <w:r w:rsidRPr="00E06345">
        <w:rPr>
          <w:spacing w:val="-2"/>
          <w:lang w:val="en-US"/>
        </w:rPr>
        <w:t>companies around the world a spotless triple</w:t>
      </w:r>
      <w:r>
        <w:rPr>
          <w:spacing w:val="-2"/>
          <w:lang w:val="en-US"/>
        </w:rPr>
        <w:t> </w:t>
      </w:r>
      <w:r w:rsidRPr="00E06345">
        <w:rPr>
          <w:spacing w:val="-2"/>
          <w:lang w:val="en-US"/>
        </w:rPr>
        <w:t>A rating, equal to almost 6 per cent of its total ratings. Another 679</w:t>
      </w:r>
      <w:r>
        <w:rPr>
          <w:spacing w:val="-2"/>
          <w:lang w:val="en-US"/>
        </w:rPr>
        <w:t> </w:t>
      </w:r>
      <w:r w:rsidRPr="00E06345">
        <w:rPr>
          <w:spacing w:val="-2"/>
          <w:lang w:val="en-US"/>
        </w:rPr>
        <w:t>companies enjoyed ratings in the A</w:t>
      </w:r>
      <w:r>
        <w:rPr>
          <w:spacing w:val="-2"/>
          <w:lang w:val="en-US"/>
        </w:rPr>
        <w:t> </w:t>
      </w:r>
      <w:r w:rsidRPr="00E06345">
        <w:rPr>
          <w:spacing w:val="-2"/>
          <w:lang w:val="en-US"/>
        </w:rPr>
        <w:t>range.</w:t>
      </w:r>
      <w:r>
        <w:rPr>
          <w:spacing w:val="-2"/>
          <w:lang w:val="en-US"/>
        </w:rPr>
        <w:t xml:space="preserve"> </w:t>
      </w:r>
      <w:r w:rsidRPr="00E06345">
        <w:rPr>
          <w:lang w:val="en-US"/>
        </w:rPr>
        <w:t xml:space="preserve">Today there are only </w:t>
      </w:r>
      <w:r>
        <w:rPr>
          <w:lang w:val="en-US"/>
        </w:rPr>
        <w:t>5 </w:t>
      </w:r>
      <w:r w:rsidRPr="00E06345">
        <w:rPr>
          <w:lang w:val="en-US"/>
        </w:rPr>
        <w:t>companies with triple</w:t>
      </w:r>
      <w:r>
        <w:rPr>
          <w:lang w:val="en-US"/>
        </w:rPr>
        <w:t> </w:t>
      </w:r>
      <w:r w:rsidRPr="00E06345">
        <w:rPr>
          <w:lang w:val="en-US"/>
        </w:rPr>
        <w:t>A</w:t>
      </w:r>
      <w:r>
        <w:rPr>
          <w:lang w:val="en-US"/>
        </w:rPr>
        <w:t> </w:t>
      </w:r>
      <w:r w:rsidRPr="00E06345">
        <w:rPr>
          <w:lang w:val="en-US"/>
        </w:rPr>
        <w:t>ratings, out of nearly 5,000</w:t>
      </w:r>
      <w:r>
        <w:rPr>
          <w:lang w:val="en-US"/>
        </w:rPr>
        <w:t> </w:t>
      </w:r>
      <w:r w:rsidRPr="00E06345">
        <w:rPr>
          <w:lang w:val="en-US"/>
        </w:rPr>
        <w:t>companies. And under 14</w:t>
      </w:r>
      <w:r>
        <w:rPr>
          <w:lang w:val="en-US"/>
        </w:rPr>
        <w:t> %</w:t>
      </w:r>
      <w:r w:rsidRPr="00E06345">
        <w:rPr>
          <w:lang w:val="en-US"/>
        </w:rPr>
        <w:t xml:space="preserve"> of all rated companies are in the A</w:t>
      </w:r>
      <w:r>
        <w:rPr>
          <w:lang w:val="en-US"/>
        </w:rPr>
        <w:t> </w:t>
      </w:r>
      <w:r w:rsidRPr="00E06345">
        <w:rPr>
          <w:lang w:val="en-US"/>
        </w:rPr>
        <w:t>range.</w:t>
      </w:r>
    </w:p>
    <w:p w14:paraId="418A38CC" w14:textId="77777777" w:rsidR="002F168A" w:rsidRPr="00E06345" w:rsidRDefault="002F168A" w:rsidP="002F168A">
      <w:pPr>
        <w:pStyle w:val="Textonotapie"/>
        <w:ind w:left="284"/>
        <w:jc w:val="center"/>
        <w:rPr>
          <w:spacing w:val="-2"/>
          <w:lang w:val="en-US"/>
        </w:rPr>
      </w:pPr>
      <w:r w:rsidRPr="00E06345">
        <w:rPr>
          <w:noProof/>
          <w:spacing w:val="-2"/>
        </w:rPr>
        <w:drawing>
          <wp:inline distT="0" distB="0" distL="0" distR="0" wp14:anchorId="4B63648B" wp14:editId="3F151751">
            <wp:extent cx="2160000" cy="1541000"/>
            <wp:effectExtent l="0" t="0" r="0" b="2540"/>
            <wp:docPr id="1591973638" name="Imagen 1" descr="Column chart of Number of S&amp;P non-financial credit ratings, by grade showing Global creditworthiness has atrophied since the 1990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umn chart of Number of S&amp;P non-financial credit ratings, by grade showing Global creditworthiness has atrophied since the 1990s"/>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160000" cy="1541000"/>
                    </a:xfrm>
                    <a:prstGeom prst="rect">
                      <a:avLst/>
                    </a:prstGeom>
                    <a:noFill/>
                    <a:ln>
                      <a:noFill/>
                    </a:ln>
                  </pic:spPr>
                </pic:pic>
              </a:graphicData>
            </a:graphic>
          </wp:inline>
        </w:drawing>
      </w:r>
    </w:p>
    <w:p w14:paraId="6EB1B6D5" w14:textId="77777777" w:rsidR="002F168A" w:rsidRPr="00E06345" w:rsidRDefault="002F168A" w:rsidP="002F168A">
      <w:pPr>
        <w:pStyle w:val="Textonotapie"/>
        <w:ind w:left="284"/>
        <w:rPr>
          <w:spacing w:val="-2"/>
          <w:lang w:val="en-US"/>
        </w:rPr>
      </w:pPr>
      <w:r w:rsidRPr="00E06345">
        <w:rPr>
          <w:spacing w:val="-2"/>
          <w:lang w:val="en-US"/>
        </w:rPr>
        <w:t xml:space="preserve">Once again, we can see the cost all around us with many corporate executives now rueing choosing the sword over the pillow. For sure, the Covid-19 pandemic was an extraordinary shock that could have threatened the solvency of even the sturdiest company. But the fact that </w:t>
      </w:r>
      <w:r w:rsidRPr="00E06345">
        <w:rPr>
          <w:spacing w:val="-2"/>
          <w:u w:val="single"/>
          <w:lang w:val="en-US"/>
        </w:rPr>
        <w:t>so many companies around the world are far from sturdy is a major reason why governments and central banks had to go to eye-popping lengths to moderate a tidal wave of corporate bankruptcies</w:t>
      </w:r>
      <w:r w:rsidRPr="00E06345">
        <w:rPr>
          <w:spacing w:val="-2"/>
          <w:lang w:val="en-US"/>
        </w:rPr>
        <w:t>.</w:t>
      </w:r>
    </w:p>
    <w:p w14:paraId="32C00995" w14:textId="77777777" w:rsidR="002F168A" w:rsidRPr="00E06345" w:rsidRDefault="002F168A" w:rsidP="002F168A">
      <w:pPr>
        <w:pStyle w:val="Textonotapie"/>
        <w:ind w:left="284"/>
        <w:rPr>
          <w:spacing w:val="-2"/>
          <w:lang w:val="en-US"/>
        </w:rPr>
      </w:pPr>
      <w:r w:rsidRPr="00E06345">
        <w:rPr>
          <w:spacing w:val="-2"/>
          <w:lang w:val="en-US"/>
        </w:rPr>
        <w:t xml:space="preserve">Those efforts have largely been successful. Yet </w:t>
      </w:r>
      <w:r w:rsidRPr="00E06345">
        <w:rPr>
          <w:spacing w:val="-2"/>
          <w:u w:val="single"/>
          <w:lang w:val="en-US"/>
        </w:rPr>
        <w:t>the cost has been gargantuan</w:t>
      </w:r>
      <w:r w:rsidRPr="00E06345">
        <w:rPr>
          <w:spacing w:val="-2"/>
          <w:lang w:val="en-US"/>
        </w:rPr>
        <w:t xml:space="preserve"> and the pain will still be frightful. Standard &amp; Poor’s tallied 88 corporate bond defaults just in the second quarter of 2020, the highest since the peak of the financial crisis. Millions of smaller businesses have gone under.</w:t>
      </w:r>
      <w:r>
        <w:rPr>
          <w:spacing w:val="-2"/>
          <w:lang w:val="en-US"/>
        </w:rPr>
        <w:t xml:space="preserve"> </w:t>
      </w:r>
      <w:r w:rsidRPr="00E06345">
        <w:rPr>
          <w:spacing w:val="-2"/>
          <w:u w:val="single"/>
          <w:lang w:val="en-US"/>
        </w:rPr>
        <w:t>While the overall toll is likely to be more moderate than that caused by the global financial crisis, we will be living with the legacy for years to come</w:t>
      </w:r>
      <w:r w:rsidRPr="00E06345">
        <w:rPr>
          <w:spacing w:val="-2"/>
          <w:lang w:val="en-US"/>
        </w:rPr>
        <w:t>.</w:t>
      </w:r>
    </w:p>
    <w:p w14:paraId="0C3C6AE1" w14:textId="77777777" w:rsidR="002F168A" w:rsidRPr="00E31269" w:rsidRDefault="002F168A" w:rsidP="002F168A">
      <w:pPr>
        <w:pStyle w:val="Textonotapie"/>
        <w:ind w:left="284"/>
        <w:rPr>
          <w:spacing w:val="-5"/>
          <w:lang w:val="en-US"/>
        </w:rPr>
      </w:pPr>
      <w:r w:rsidRPr="00E31269">
        <w:rPr>
          <w:spacing w:val="-5"/>
          <w:lang w:val="en-US"/>
        </w:rPr>
        <w:t xml:space="preserve">After 2008, there was a reckoning with banks and how they fund themselves. After 2020, there should be a similar overhaul for companies. The aim can obviously not be to immunise every company completely from every crisis — let alone one as abrupt, broad and deep as Covid-19. But </w:t>
      </w:r>
      <w:r w:rsidRPr="00E31269">
        <w:rPr>
          <w:spacing w:val="-5"/>
          <w:u w:val="single"/>
          <w:lang w:val="en-US"/>
        </w:rPr>
        <w:t>a shift from efficient to resilient balance sheets would be a long-term boon to the health of the financial system and the global economy</w:t>
      </w:r>
      <w:r w:rsidRPr="00E31269">
        <w:rPr>
          <w:spacing w:val="-5"/>
          <w:lang w:val="en-US"/>
        </w:rPr>
        <w:t>.</w:t>
      </w:r>
    </w:p>
    <w:p w14:paraId="04DCF3BD" w14:textId="77777777" w:rsidR="002F168A" w:rsidRPr="00E06345" w:rsidRDefault="002F168A" w:rsidP="002F168A">
      <w:pPr>
        <w:pStyle w:val="Textonotapie"/>
        <w:ind w:left="284"/>
        <w:rPr>
          <w:spacing w:val="-2"/>
          <w:lang w:val="en-US"/>
        </w:rPr>
      </w:pPr>
      <w:r w:rsidRPr="00E06345">
        <w:rPr>
          <w:spacing w:val="-2"/>
          <w:lang w:val="en-US"/>
        </w:rPr>
        <w:t>Ideally, this should happen in response to the signals already being sent by markets: The shares of companies with stronger balance sheets have this year massively outperformed those with weaker ones, according to Goldman Sachs data.</w:t>
      </w:r>
    </w:p>
    <w:p w14:paraId="2B7F3D67" w14:textId="77777777" w:rsidR="002F168A" w:rsidRPr="00E06345" w:rsidRDefault="002F168A" w:rsidP="002F168A">
      <w:pPr>
        <w:pStyle w:val="Textonotapie"/>
        <w:ind w:left="284"/>
        <w:rPr>
          <w:spacing w:val="-2"/>
          <w:lang w:val="en-US"/>
        </w:rPr>
      </w:pPr>
      <w:r w:rsidRPr="00E06345">
        <w:rPr>
          <w:spacing w:val="-2"/>
          <w:lang w:val="en-US"/>
        </w:rPr>
        <w:t>But if this proves a fleeting phenomenon —as is likely— then more countries should start taking a hard look at the tax advantages enjoyed by debt. Such a draconian move can only be done carefully, over a long period of time. But everyone would benefit from a world where companies once again aspire to be more creditworthy.</w:t>
      </w:r>
    </w:p>
  </w:footnote>
  <w:footnote w:id="28">
    <w:p w14:paraId="38E9F87F" w14:textId="77777777" w:rsidR="005C37D0" w:rsidRPr="002F168A" w:rsidRDefault="005C37D0" w:rsidP="005C37D0">
      <w:pPr>
        <w:pStyle w:val="Textonotapie"/>
        <w:rPr>
          <w:lang w:val="en-US"/>
        </w:rPr>
      </w:pPr>
      <w:r>
        <w:rPr>
          <w:rStyle w:val="Refdenotaalpie"/>
        </w:rPr>
        <w:footnoteRef/>
      </w:r>
      <w:r w:rsidRPr="002F168A">
        <w:rPr>
          <w:lang w:val="en-US"/>
        </w:rPr>
        <w:t xml:space="preserve"> </w:t>
      </w:r>
      <w:hyperlink r:id="rId4" w:history="1">
        <w:r w:rsidRPr="002F168A">
          <w:rPr>
            <w:rStyle w:val="Hipervnculo"/>
            <w:lang w:val="en-US"/>
          </w:rPr>
          <w:t>https://www.youtube.com/watch?v=DoLc5CCqd3g</w:t>
        </w:r>
      </w:hyperlink>
    </w:p>
  </w:footnote>
  <w:footnote w:id="29">
    <w:p w14:paraId="14434FA2" w14:textId="389B03C0" w:rsidR="002F50CD" w:rsidRPr="00C326D3" w:rsidRDefault="002F50CD" w:rsidP="00C326D3">
      <w:pPr>
        <w:keepNext/>
        <w:spacing w:after="0"/>
        <w:rPr>
          <w:rFonts w:ascii="Cambria Math" w:eastAsiaTheme="minorEastAsia" w:hAnsi="Cambria Math"/>
          <w:i/>
          <w:sz w:val="16"/>
          <w:szCs w:val="16"/>
        </w:rPr>
      </w:pPr>
      <w:r w:rsidRPr="002F50CD">
        <w:rPr>
          <w:rStyle w:val="Refdenotaalpie"/>
          <w:sz w:val="16"/>
          <w:szCs w:val="16"/>
        </w:rPr>
        <w:footnoteRef/>
      </w:r>
      <w:r w:rsidRPr="002F50CD">
        <w:rPr>
          <w:sz w:val="16"/>
          <w:szCs w:val="16"/>
        </w:rPr>
        <w:t xml:space="preserve"> </w:t>
      </w:r>
      <w:r w:rsidRPr="002F50CD">
        <w:rPr>
          <w:rFonts w:ascii="Cambria Math" w:hAnsi="Cambria Math"/>
          <w:i/>
        </w:rPr>
        <w:br/>
      </w:r>
      <m:oMathPara>
        <m:oMath>
          <m:m>
            <m:mPr>
              <m:mcs>
                <m:mc>
                  <m:mcPr>
                    <m:count m:val="1"/>
                    <m:mcJc m:val="center"/>
                  </m:mcPr>
                </m:mc>
              </m:mcs>
              <m:ctrlPr>
                <w:rPr>
                  <w:rFonts w:ascii="Cambria Math" w:hAnsi="Cambria Math"/>
                  <w:i/>
                  <w:sz w:val="16"/>
                  <w:szCs w:val="16"/>
                </w:rPr>
              </m:ctrlPr>
            </m:mPr>
            <m:mr>
              <m:e>
                <m:limUpp>
                  <m:limUppPr>
                    <m:ctrlPr>
                      <w:rPr>
                        <w:rFonts w:ascii="Cambria Math" w:hAnsi="Cambria Math"/>
                        <w:i/>
                        <w:sz w:val="16"/>
                        <w:szCs w:val="16"/>
                      </w:rPr>
                    </m:ctrlPr>
                  </m:limUppPr>
                  <m:e>
                    <m:groupChr>
                      <m:groupChrPr>
                        <m:chr m:val="⏞"/>
                        <m:pos m:val="top"/>
                        <m:vertJc m:val="bot"/>
                        <m:ctrlPr>
                          <w:rPr>
                            <w:rFonts w:ascii="Cambria Math" w:hAnsi="Cambria Math"/>
                            <w:i/>
                            <w:sz w:val="16"/>
                            <w:szCs w:val="16"/>
                          </w:rPr>
                        </m:ctrlPr>
                      </m:groupChrPr>
                      <m:e>
                        <m:limLow>
                          <m:limLowPr>
                            <m:ctrlPr>
                              <w:rPr>
                                <w:rFonts w:ascii="Cambria Math" w:hAnsi="Cambria Math"/>
                                <w:i/>
                                <w:iCs/>
                                <w:color w:val="000000"/>
                                <w:spacing w:val="-4"/>
                                <w:sz w:val="16"/>
                                <w:szCs w:val="16"/>
                              </w:rPr>
                            </m:ctrlPr>
                          </m:limLowPr>
                          <m:e>
                            <m:groupChr>
                              <m:groupChrPr>
                                <m:ctrlPr>
                                  <w:rPr>
                                    <w:rFonts w:ascii="Cambria Math" w:hAnsi="Cambria Math"/>
                                    <w:i/>
                                    <w:iCs/>
                                    <w:color w:val="000000"/>
                                    <w:spacing w:val="-4"/>
                                    <w:sz w:val="16"/>
                                    <w:szCs w:val="16"/>
                                  </w:rPr>
                                </m:ctrlPr>
                              </m:groupChrPr>
                              <m:e>
                                <m:r>
                                  <m:rPr>
                                    <m:nor/>
                                  </m:rPr>
                                  <w:rPr>
                                    <w:i/>
                                    <w:iCs/>
                                    <w:color w:val="000000"/>
                                    <w:spacing w:val="-4"/>
                                    <w:sz w:val="16"/>
                                    <w:szCs w:val="16"/>
                                  </w:rPr>
                                  <m:t>B</m:t>
                                </m:r>
                                <m:r>
                                  <w:rPr>
                                    <w:rFonts w:ascii="Cambria Math" w:hAnsi="Cambria Math"/>
                                    <w:color w:val="000000"/>
                                    <w:spacing w:val="-4"/>
                                    <w:sz w:val="16"/>
                                    <w:szCs w:val="16"/>
                                  </w:rPr>
                                  <m:t>∙</m:t>
                                </m:r>
                                <m:d>
                                  <m:dPr>
                                    <m:ctrlPr>
                                      <w:rPr>
                                        <w:rFonts w:ascii="Cambria Math" w:hAnsi="Cambria Math"/>
                                        <w:i/>
                                        <w:iCs/>
                                        <w:color w:val="000000"/>
                                        <w:spacing w:val="-4"/>
                                        <w:sz w:val="16"/>
                                        <w:szCs w:val="16"/>
                                      </w:rPr>
                                    </m:ctrlPr>
                                  </m:dPr>
                                  <m:e>
                                    <m:r>
                                      <m:rPr>
                                        <m:nor/>
                                      </m:rPr>
                                      <w:rPr>
                                        <w:i/>
                                        <w:color w:val="000000"/>
                                        <w:spacing w:val="-4"/>
                                        <w:sz w:val="16"/>
                                        <w:szCs w:val="16"/>
                                      </w:rPr>
                                      <m:t>1</m:t>
                                    </m:r>
                                    <m:r>
                                      <w:rPr>
                                        <w:rFonts w:ascii="Cambria Math" w:hAnsi="Cambria Math"/>
                                        <w:color w:val="000000"/>
                                        <w:spacing w:val="-4"/>
                                        <w:sz w:val="16"/>
                                        <w:szCs w:val="16"/>
                                      </w:rPr>
                                      <m:t>-</m:t>
                                    </m:r>
                                    <m:sSub>
                                      <m:sSubPr>
                                        <m:ctrlPr>
                                          <w:rPr>
                                            <w:rFonts w:ascii="Cambria Math" w:hAnsi="Cambria Math"/>
                                            <w:i/>
                                            <w:iCs/>
                                            <w:color w:val="000000"/>
                                            <w:spacing w:val="-4"/>
                                            <w:sz w:val="16"/>
                                            <w:szCs w:val="16"/>
                                          </w:rPr>
                                        </m:ctrlPr>
                                      </m:sSubPr>
                                      <m:e>
                                        <m:r>
                                          <m:rPr>
                                            <m:nor/>
                                          </m:rPr>
                                          <w:rPr>
                                            <w:i/>
                                            <w:iCs/>
                                            <w:color w:val="000000"/>
                                            <w:spacing w:val="-4"/>
                                            <w:sz w:val="16"/>
                                            <w:szCs w:val="16"/>
                                          </w:rPr>
                                          <m:t>t</m:t>
                                        </m:r>
                                      </m:e>
                                      <m:sub>
                                        <m:r>
                                          <m:rPr>
                                            <m:nor/>
                                          </m:rPr>
                                          <w:rPr>
                                            <w:i/>
                                            <w:iCs/>
                                            <w:color w:val="000000"/>
                                            <w:spacing w:val="-4"/>
                                            <w:sz w:val="16"/>
                                            <w:szCs w:val="16"/>
                                          </w:rPr>
                                          <m:t>IS</m:t>
                                        </m:r>
                                      </m:sub>
                                    </m:sSub>
                                  </m:e>
                                </m:d>
                              </m:e>
                            </m:groupChr>
                          </m:e>
                          <m:lim>
                            <m:r>
                              <m:rPr>
                                <m:nor/>
                              </m:rPr>
                              <w:rPr>
                                <w:i/>
                                <w:color w:val="000000"/>
                                <w:spacing w:val="-4"/>
                                <w:sz w:val="16"/>
                                <w:szCs w:val="16"/>
                              </w:rPr>
                              <m:t>Beneficio tras impuestos</m:t>
                            </m:r>
                          </m:lim>
                        </m:limLow>
                        <m:r>
                          <w:rPr>
                            <w:rFonts w:ascii="Cambria Math" w:hAnsi="Cambria Math"/>
                            <w:color w:val="000000"/>
                            <w:spacing w:val="-4"/>
                            <w:sz w:val="16"/>
                            <w:szCs w:val="16"/>
                          </w:rPr>
                          <m:t>-</m:t>
                        </m:r>
                        <m:limLow>
                          <m:limLowPr>
                            <m:ctrlPr>
                              <w:rPr>
                                <w:rFonts w:ascii="Cambria Math" w:hAnsi="Cambria Math"/>
                                <w:i/>
                                <w:iCs/>
                                <w:color w:val="000000"/>
                                <w:spacing w:val="-4"/>
                                <w:sz w:val="16"/>
                                <w:szCs w:val="16"/>
                              </w:rPr>
                            </m:ctrlPr>
                          </m:limLowPr>
                          <m:e>
                            <m:groupChr>
                              <m:groupChrPr>
                                <m:ctrlPr>
                                  <w:rPr>
                                    <w:rFonts w:ascii="Cambria Math" w:hAnsi="Cambria Math"/>
                                    <w:i/>
                                    <w:iCs/>
                                    <w:color w:val="000000"/>
                                    <w:spacing w:val="-4"/>
                                    <w:sz w:val="16"/>
                                    <w:szCs w:val="16"/>
                                  </w:rPr>
                                </m:ctrlPr>
                              </m:groupChrPr>
                              <m:e>
                                <m:sSub>
                                  <m:sSubPr>
                                    <m:ctrlPr>
                                      <w:rPr>
                                        <w:rFonts w:ascii="Cambria Math" w:hAnsi="Cambria Math"/>
                                        <w:i/>
                                        <w:iCs/>
                                        <w:color w:val="000000"/>
                                        <w:spacing w:val="-4"/>
                                        <w:sz w:val="16"/>
                                        <w:szCs w:val="16"/>
                                      </w:rPr>
                                    </m:ctrlPr>
                                  </m:sSubPr>
                                  <m:e>
                                    <m:r>
                                      <m:rPr>
                                        <m:nor/>
                                      </m:rPr>
                                      <w:rPr>
                                        <w:i/>
                                        <w:iCs/>
                                        <w:color w:val="000000"/>
                                        <w:spacing w:val="-4"/>
                                        <w:sz w:val="16"/>
                                        <w:szCs w:val="16"/>
                                      </w:rPr>
                                      <m:t>V</m:t>
                                    </m:r>
                                  </m:e>
                                  <m:sub>
                                    <m:r>
                                      <m:rPr>
                                        <m:nor/>
                                      </m:rPr>
                                      <w:rPr>
                                        <w:i/>
                                        <w:iCs/>
                                        <w:color w:val="000000"/>
                                        <w:spacing w:val="-4"/>
                                        <w:sz w:val="16"/>
                                        <w:szCs w:val="16"/>
                                      </w:rPr>
                                      <m:t>D</m:t>
                                    </m:r>
                                  </m:sub>
                                </m:sSub>
                                <m:r>
                                  <w:rPr>
                                    <w:rFonts w:ascii="Cambria Math" w:hAnsi="Cambria Math"/>
                                    <w:color w:val="000000"/>
                                    <w:spacing w:val="-4"/>
                                    <w:sz w:val="16"/>
                                    <w:szCs w:val="16"/>
                                  </w:rPr>
                                  <m:t>∙</m:t>
                                </m:r>
                                <m:d>
                                  <m:dPr>
                                    <m:ctrlPr>
                                      <w:rPr>
                                        <w:rFonts w:ascii="Cambria Math" w:hAnsi="Cambria Math"/>
                                        <w:i/>
                                        <w:iCs/>
                                        <w:color w:val="000000"/>
                                        <w:spacing w:val="-4"/>
                                        <w:sz w:val="16"/>
                                        <w:szCs w:val="16"/>
                                      </w:rPr>
                                    </m:ctrlPr>
                                  </m:dPr>
                                  <m:e>
                                    <m:r>
                                      <m:rPr>
                                        <m:nor/>
                                      </m:rPr>
                                      <w:rPr>
                                        <w:i/>
                                        <w:iCs/>
                                        <w:color w:val="000000"/>
                                        <w:spacing w:val="-4"/>
                                        <w:sz w:val="16"/>
                                        <w:szCs w:val="16"/>
                                      </w:rPr>
                                      <m:t>1</m:t>
                                    </m:r>
                                    <m:r>
                                      <w:rPr>
                                        <w:rFonts w:ascii="Cambria Math" w:hAnsi="Cambria Math"/>
                                        <w:color w:val="000000"/>
                                        <w:spacing w:val="-4"/>
                                        <w:sz w:val="16"/>
                                        <w:szCs w:val="16"/>
                                      </w:rPr>
                                      <m:t>-</m:t>
                                    </m:r>
                                    <m:sSub>
                                      <m:sSubPr>
                                        <m:ctrlPr>
                                          <w:rPr>
                                            <w:rFonts w:ascii="Cambria Math" w:hAnsi="Cambria Math"/>
                                            <w:i/>
                                            <w:iCs/>
                                            <w:color w:val="000000"/>
                                            <w:spacing w:val="-4"/>
                                            <w:sz w:val="16"/>
                                            <w:szCs w:val="16"/>
                                          </w:rPr>
                                        </m:ctrlPr>
                                      </m:sSubPr>
                                      <m:e>
                                        <m:r>
                                          <m:rPr>
                                            <m:nor/>
                                          </m:rPr>
                                          <w:rPr>
                                            <w:i/>
                                            <w:iCs/>
                                            <w:color w:val="000000"/>
                                            <w:spacing w:val="-4"/>
                                            <w:sz w:val="16"/>
                                            <w:szCs w:val="16"/>
                                          </w:rPr>
                                          <m:t>t</m:t>
                                        </m:r>
                                      </m:e>
                                      <m:sub>
                                        <m:r>
                                          <m:rPr>
                                            <m:nor/>
                                          </m:rPr>
                                          <w:rPr>
                                            <w:i/>
                                            <w:iCs/>
                                            <w:color w:val="000000"/>
                                            <w:spacing w:val="-4"/>
                                            <w:sz w:val="16"/>
                                            <w:szCs w:val="16"/>
                                          </w:rPr>
                                          <m:t>IS</m:t>
                                        </m:r>
                                      </m:sub>
                                    </m:sSub>
                                  </m:e>
                                </m:d>
                              </m:e>
                            </m:groupChr>
                          </m:e>
                          <m:lim>
                            <m:r>
                              <m:rPr>
                                <m:nor/>
                              </m:rPr>
                              <w:rPr>
                                <w:i/>
                                <w:color w:val="000000"/>
                                <w:spacing w:val="-4"/>
                                <w:sz w:val="16"/>
                                <w:szCs w:val="16"/>
                              </w:rPr>
                              <m:t>Coste de la deuda tras impuestos</m:t>
                            </m:r>
                          </m:lim>
                        </m:limLow>
                      </m:e>
                    </m:groupChr>
                  </m:e>
                  <m:lim>
                    <m:eqArr>
                      <m:eqArrPr>
                        <m:ctrlPr>
                          <w:rPr>
                            <w:rFonts w:ascii="Cambria Math" w:hAnsi="Cambria Math"/>
                            <w:i/>
                            <w:iCs/>
                            <w:color w:val="000000"/>
                            <w:spacing w:val="-4"/>
                            <w:sz w:val="16"/>
                            <w:szCs w:val="16"/>
                            <w:lang w:val="fr-FR"/>
                          </w:rPr>
                        </m:ctrlPr>
                      </m:eqArrPr>
                      <m:e>
                        <m:r>
                          <m:rPr>
                            <m:nor/>
                          </m:rPr>
                          <w:rPr>
                            <w:i/>
                            <w:iCs/>
                            <w:color w:val="000000"/>
                            <w:spacing w:val="-4"/>
                            <w:sz w:val="16"/>
                            <w:szCs w:val="16"/>
                          </w:rPr>
                          <m:t>Renta disponible para accionistas y obligacionistas</m:t>
                        </m:r>
                      </m:e>
                      <m:e>
                        <m:r>
                          <m:rPr>
                            <m:nor/>
                          </m:rPr>
                          <w:rPr>
                            <w:i/>
                            <w:iCs/>
                            <w:color w:val="000000"/>
                            <w:spacing w:val="-4"/>
                            <w:sz w:val="16"/>
                            <w:szCs w:val="16"/>
                          </w:rPr>
                          <m:t>en el caso de una empresa endeudada</m:t>
                        </m:r>
                      </m:e>
                    </m:eqArr>
                  </m:lim>
                </m:limUpp>
                <m:r>
                  <w:rPr>
                    <w:rFonts w:ascii="Cambria Math" w:hAnsi="Cambria Math"/>
                    <w:color w:val="000000"/>
                    <w:spacing w:val="-4"/>
                    <w:sz w:val="16"/>
                    <w:szCs w:val="16"/>
                  </w:rPr>
                  <m:t>=</m:t>
                </m:r>
                <m:limUpp>
                  <m:limUppPr>
                    <m:ctrlPr>
                      <w:rPr>
                        <w:rFonts w:ascii="Cambria Math" w:hAnsi="Cambria Math"/>
                        <w:i/>
                        <w:iCs/>
                        <w:color w:val="000000"/>
                        <w:spacing w:val="-4"/>
                        <w:sz w:val="16"/>
                        <w:szCs w:val="16"/>
                        <w:lang w:val="fr-FR"/>
                      </w:rPr>
                    </m:ctrlPr>
                  </m:limUppPr>
                  <m:e>
                    <m:groupChr>
                      <m:groupChrPr>
                        <m:chr m:val="⏞"/>
                        <m:pos m:val="top"/>
                        <m:vertJc m:val="bot"/>
                        <m:ctrlPr>
                          <w:rPr>
                            <w:rFonts w:ascii="Cambria Math" w:hAnsi="Cambria Math"/>
                            <w:i/>
                            <w:iCs/>
                            <w:color w:val="000000"/>
                            <w:spacing w:val="-4"/>
                            <w:sz w:val="16"/>
                            <w:szCs w:val="16"/>
                            <w:lang w:val="fr-FR"/>
                          </w:rPr>
                        </m:ctrlPr>
                      </m:groupChrPr>
                      <m:e>
                        <m:limLow>
                          <m:limLowPr>
                            <m:ctrlPr>
                              <w:rPr>
                                <w:rFonts w:ascii="Cambria Math" w:hAnsi="Cambria Math"/>
                                <w:i/>
                                <w:iCs/>
                                <w:color w:val="000000"/>
                                <w:spacing w:val="-4"/>
                                <w:sz w:val="16"/>
                                <w:szCs w:val="16"/>
                              </w:rPr>
                            </m:ctrlPr>
                          </m:limLowPr>
                          <m:e>
                            <m:groupChr>
                              <m:groupChrPr>
                                <m:ctrlPr>
                                  <w:rPr>
                                    <w:rFonts w:ascii="Cambria Math" w:hAnsi="Cambria Math"/>
                                    <w:i/>
                                    <w:iCs/>
                                    <w:color w:val="000000"/>
                                    <w:spacing w:val="-4"/>
                                    <w:sz w:val="16"/>
                                    <w:szCs w:val="16"/>
                                  </w:rPr>
                                </m:ctrlPr>
                              </m:groupChrPr>
                              <m:e>
                                <m:r>
                                  <m:rPr>
                                    <m:nor/>
                                  </m:rPr>
                                  <w:rPr>
                                    <w:i/>
                                    <w:iCs/>
                                    <w:color w:val="000000"/>
                                    <w:spacing w:val="-4"/>
                                    <w:sz w:val="16"/>
                                    <w:szCs w:val="16"/>
                                  </w:rPr>
                                  <m:t>B</m:t>
                                </m:r>
                                <m:r>
                                  <w:rPr>
                                    <w:rFonts w:ascii="Cambria Math" w:hAnsi="Cambria Math"/>
                                    <w:color w:val="000000"/>
                                    <w:spacing w:val="-4"/>
                                    <w:sz w:val="16"/>
                                    <w:szCs w:val="16"/>
                                  </w:rPr>
                                  <m:t>∙</m:t>
                                </m:r>
                                <m:d>
                                  <m:dPr>
                                    <m:ctrlPr>
                                      <w:rPr>
                                        <w:rFonts w:ascii="Cambria Math" w:hAnsi="Cambria Math"/>
                                        <w:i/>
                                        <w:iCs/>
                                        <w:color w:val="000000"/>
                                        <w:spacing w:val="-4"/>
                                        <w:sz w:val="16"/>
                                        <w:szCs w:val="16"/>
                                      </w:rPr>
                                    </m:ctrlPr>
                                  </m:dPr>
                                  <m:e>
                                    <m:r>
                                      <m:rPr>
                                        <m:nor/>
                                      </m:rPr>
                                      <w:rPr>
                                        <w:i/>
                                        <w:color w:val="000000"/>
                                        <w:spacing w:val="-4"/>
                                        <w:sz w:val="16"/>
                                        <w:szCs w:val="16"/>
                                      </w:rPr>
                                      <m:t>1</m:t>
                                    </m:r>
                                    <m:r>
                                      <w:rPr>
                                        <w:rFonts w:ascii="Cambria Math" w:hAnsi="Cambria Math"/>
                                        <w:color w:val="000000"/>
                                        <w:spacing w:val="-4"/>
                                        <w:sz w:val="16"/>
                                        <w:szCs w:val="16"/>
                                      </w:rPr>
                                      <m:t>-</m:t>
                                    </m:r>
                                    <m:sSub>
                                      <m:sSubPr>
                                        <m:ctrlPr>
                                          <w:rPr>
                                            <w:rFonts w:ascii="Cambria Math" w:hAnsi="Cambria Math"/>
                                            <w:i/>
                                            <w:iCs/>
                                            <w:color w:val="000000"/>
                                            <w:spacing w:val="-4"/>
                                            <w:sz w:val="16"/>
                                            <w:szCs w:val="16"/>
                                          </w:rPr>
                                        </m:ctrlPr>
                                      </m:sSubPr>
                                      <m:e>
                                        <m:r>
                                          <m:rPr>
                                            <m:nor/>
                                          </m:rPr>
                                          <w:rPr>
                                            <w:i/>
                                            <w:iCs/>
                                            <w:color w:val="000000"/>
                                            <w:spacing w:val="-4"/>
                                            <w:sz w:val="16"/>
                                            <w:szCs w:val="16"/>
                                          </w:rPr>
                                          <m:t>t</m:t>
                                        </m:r>
                                      </m:e>
                                      <m:sub>
                                        <m:r>
                                          <m:rPr>
                                            <m:nor/>
                                          </m:rPr>
                                          <w:rPr>
                                            <w:i/>
                                            <w:iCs/>
                                            <w:color w:val="000000"/>
                                            <w:spacing w:val="-4"/>
                                            <w:sz w:val="16"/>
                                            <w:szCs w:val="16"/>
                                          </w:rPr>
                                          <m:t>IS</m:t>
                                        </m:r>
                                      </m:sub>
                                    </m:sSub>
                                  </m:e>
                                </m:d>
                              </m:e>
                            </m:groupChr>
                          </m:e>
                          <m:lim>
                            <m:r>
                              <m:rPr>
                                <m:nor/>
                              </m:rPr>
                              <w:rPr>
                                <w:i/>
                                <w:color w:val="000000"/>
                                <w:spacing w:val="-4"/>
                                <w:sz w:val="16"/>
                                <w:szCs w:val="16"/>
                              </w:rPr>
                              <m:t>Beneficio tras impuestos</m:t>
                            </m:r>
                          </m:lim>
                        </m:limLow>
                      </m:e>
                    </m:groupChr>
                  </m:e>
                  <m:lim>
                    <m:eqArr>
                      <m:eqArrPr>
                        <m:ctrlPr>
                          <w:rPr>
                            <w:rFonts w:ascii="Cambria Math" w:hAnsi="Cambria Math"/>
                            <w:i/>
                            <w:iCs/>
                            <w:color w:val="000000"/>
                            <w:spacing w:val="-4"/>
                            <w:sz w:val="16"/>
                            <w:szCs w:val="16"/>
                            <w:lang w:val="fr-FR"/>
                          </w:rPr>
                        </m:ctrlPr>
                      </m:eqArrPr>
                      <m:e>
                        <m:r>
                          <m:rPr>
                            <m:nor/>
                          </m:rPr>
                          <w:rPr>
                            <w:i/>
                            <w:iCs/>
                            <w:color w:val="000000"/>
                            <w:spacing w:val="-4"/>
                            <w:sz w:val="16"/>
                            <w:szCs w:val="16"/>
                          </w:rPr>
                          <m:t>Renta disponible para accionistas</m:t>
                        </m:r>
                      </m:e>
                      <m:e>
                        <m:r>
                          <m:rPr>
                            <m:nor/>
                          </m:rPr>
                          <w:rPr>
                            <w:i/>
                            <w:iCs/>
                            <w:color w:val="000000"/>
                            <w:spacing w:val="-4"/>
                            <w:sz w:val="16"/>
                            <w:szCs w:val="16"/>
                          </w:rPr>
                          <m:t>en el caso de una empresa no endeudada</m:t>
                        </m:r>
                      </m:e>
                    </m:eqArr>
                  </m:lim>
                </m:limUpp>
              </m:e>
            </m:mr>
            <m:mr>
              <m:e>
                <m:r>
                  <w:rPr>
                    <w:rFonts w:ascii="Cambria Math" w:hAnsi="Cambria Math"/>
                    <w:sz w:val="16"/>
                    <w:szCs w:val="16"/>
                  </w:rPr>
                  <m:t xml:space="preserve">                                                </m:t>
                </m:r>
                <m:m>
                  <m:mPr>
                    <m:mcs>
                      <m:mc>
                        <m:mcPr>
                          <m:count m:val="2"/>
                          <m:mcJc m:val="center"/>
                        </m:mcPr>
                      </m:mc>
                    </m:mcs>
                    <m:ctrlPr>
                      <w:rPr>
                        <w:rFonts w:ascii="Cambria Math" w:hAnsi="Cambria Math"/>
                        <w:i/>
                        <w:sz w:val="16"/>
                        <w:szCs w:val="16"/>
                      </w:rPr>
                    </m:ctrlPr>
                  </m:mPr>
                  <m:mr>
                    <m:e>
                      <m:r>
                        <w:rPr>
                          <w:rFonts w:ascii="Cambria Math" w:hAnsi="Cambria Math"/>
                          <w:sz w:val="16"/>
                          <w:szCs w:val="16"/>
                        </w:rPr>
                        <m:t>⇓</m:t>
                      </m:r>
                    </m:e>
                    <m:e>
                      <m:d>
                        <m:dPr>
                          <m:begChr m:val="{"/>
                          <m:endChr m:val=""/>
                          <m:ctrlPr>
                            <w:rPr>
                              <w:rFonts w:ascii="Cambria Math" w:hAnsi="Cambria Math"/>
                              <w:i/>
                              <w:sz w:val="16"/>
                              <w:szCs w:val="16"/>
                            </w:rPr>
                          </m:ctrlPr>
                        </m:dPr>
                        <m:e>
                          <m:r>
                            <m:rPr>
                              <m:nor/>
                            </m:rPr>
                            <w:rPr>
                              <w:i/>
                              <w:iCs/>
                              <w:sz w:val="16"/>
                              <w:szCs w:val="16"/>
                            </w:rPr>
                            <m:t>Pasamos lo de la derecha restando</m:t>
                          </m:r>
                        </m:e>
                      </m:d>
                    </m:e>
                  </m:mr>
                </m:m>
              </m:e>
            </m:mr>
            <m:mr>
              <m:e>
                <m:r>
                  <m:rPr>
                    <m:nor/>
                  </m:rPr>
                  <w:rPr>
                    <w:i/>
                    <w:iCs/>
                    <w:color w:val="000000"/>
                    <w:spacing w:val="-4"/>
                    <w:sz w:val="16"/>
                    <w:szCs w:val="16"/>
                  </w:rPr>
                  <m:t xml:space="preserve">Ahorro fiscal por endeudarse una cantidad </m:t>
                </m:r>
                <m:sSub>
                  <m:sSubPr>
                    <m:ctrlPr>
                      <w:rPr>
                        <w:rFonts w:ascii="Cambria Math" w:hAnsi="Cambria Math"/>
                        <w:i/>
                        <w:iCs/>
                        <w:color w:val="000000"/>
                        <w:spacing w:val="-4"/>
                        <w:sz w:val="16"/>
                        <w:szCs w:val="16"/>
                      </w:rPr>
                    </m:ctrlPr>
                  </m:sSubPr>
                  <m:e>
                    <m:r>
                      <m:rPr>
                        <m:nor/>
                      </m:rPr>
                      <w:rPr>
                        <w:i/>
                        <w:iCs/>
                        <w:color w:val="000000"/>
                        <w:spacing w:val="-4"/>
                        <w:sz w:val="16"/>
                        <w:szCs w:val="16"/>
                      </w:rPr>
                      <m:t>V</m:t>
                    </m:r>
                  </m:e>
                  <m:sub>
                    <m:r>
                      <m:rPr>
                        <m:nor/>
                      </m:rPr>
                      <w:rPr>
                        <w:i/>
                        <w:iCs/>
                        <w:color w:val="000000"/>
                        <w:spacing w:val="-4"/>
                        <w:sz w:val="16"/>
                        <w:szCs w:val="16"/>
                      </w:rPr>
                      <m:t>D</m:t>
                    </m:r>
                  </m:sub>
                </m:sSub>
                <m:r>
                  <m:rPr>
                    <m:nor/>
                  </m:rPr>
                  <w:rPr>
                    <w:rFonts w:ascii="Cambria Math"/>
                    <w:i/>
                    <w:iCs/>
                    <w:color w:val="000000"/>
                    <w:spacing w:val="-4"/>
                    <w:sz w:val="16"/>
                    <w:szCs w:val="16"/>
                  </w:rPr>
                  <m:t xml:space="preserve"> </m:t>
                </m:r>
                <m:r>
                  <m:rPr>
                    <m:nor/>
                  </m:rPr>
                  <w:rPr>
                    <w:color w:val="000000"/>
                    <w:spacing w:val="-4"/>
                    <w:sz w:val="16"/>
                    <w:szCs w:val="16"/>
                  </w:rPr>
                  <m:t>(</m:t>
                </m:r>
                <m:r>
                  <m:rPr>
                    <m:nor/>
                  </m:rPr>
                  <w:rPr>
                    <w:i/>
                    <w:color w:val="000000"/>
                    <w:spacing w:val="-4"/>
                    <w:sz w:val="16"/>
                    <w:szCs w:val="16"/>
                  </w:rPr>
                  <m:t>Escudo fiscal</m:t>
                </m:r>
                <m:r>
                  <m:rPr>
                    <m:nor/>
                  </m:rPr>
                  <w:rPr>
                    <w:color w:val="000000"/>
                    <w:spacing w:val="-4"/>
                    <w:sz w:val="16"/>
                    <w:szCs w:val="16"/>
                  </w:rPr>
                  <m:t>)</m:t>
                </m:r>
                <m:r>
                  <w:rPr>
                    <w:rFonts w:ascii="Cambria Math" w:hAnsi="Cambria Math"/>
                    <w:color w:val="000000"/>
                    <w:spacing w:val="-4"/>
                    <w:sz w:val="16"/>
                    <w:szCs w:val="16"/>
                  </w:rPr>
                  <m:t xml:space="preserve">: </m:t>
                </m:r>
                <m:borderBox>
                  <m:borderBoxPr>
                    <m:ctrlPr>
                      <w:rPr>
                        <w:rFonts w:ascii="Cambria Math" w:hAnsi="Cambria Math"/>
                        <w:i/>
                        <w:iCs/>
                        <w:color w:val="000000"/>
                        <w:spacing w:val="-4"/>
                        <w:sz w:val="16"/>
                        <w:szCs w:val="16"/>
                      </w:rPr>
                    </m:ctrlPr>
                  </m:borderBoxPr>
                  <m:e>
                    <m:sSub>
                      <m:sSubPr>
                        <m:ctrlPr>
                          <w:rPr>
                            <w:rFonts w:ascii="Cambria Math" w:hAnsi="Cambria Math"/>
                            <w:i/>
                            <w:iCs/>
                            <w:color w:val="000000"/>
                            <w:spacing w:val="-4"/>
                            <w:sz w:val="16"/>
                            <w:szCs w:val="16"/>
                          </w:rPr>
                        </m:ctrlPr>
                      </m:sSubPr>
                      <m:e>
                        <m:r>
                          <m:rPr>
                            <m:nor/>
                          </m:rPr>
                          <w:rPr>
                            <w:i/>
                            <w:iCs/>
                            <w:color w:val="000000"/>
                            <w:spacing w:val="-4"/>
                            <w:sz w:val="16"/>
                            <w:szCs w:val="16"/>
                          </w:rPr>
                          <m:t>V</m:t>
                        </m:r>
                      </m:e>
                      <m:sub>
                        <m:r>
                          <m:rPr>
                            <m:nor/>
                          </m:rPr>
                          <w:rPr>
                            <w:i/>
                            <w:iCs/>
                            <w:color w:val="000000"/>
                            <w:spacing w:val="-4"/>
                            <w:sz w:val="16"/>
                            <w:szCs w:val="16"/>
                          </w:rPr>
                          <m:t>D</m:t>
                        </m:r>
                      </m:sub>
                    </m:sSub>
                    <m:r>
                      <w:rPr>
                        <w:rFonts w:ascii="Cambria Math" w:hAnsi="Cambria Math"/>
                        <w:color w:val="000000"/>
                        <w:spacing w:val="-4"/>
                        <w:sz w:val="16"/>
                        <w:szCs w:val="16"/>
                      </w:rPr>
                      <m:t>∙</m:t>
                    </m:r>
                    <m:sSub>
                      <m:sSubPr>
                        <m:ctrlPr>
                          <w:rPr>
                            <w:rFonts w:ascii="Cambria Math" w:hAnsi="Cambria Math"/>
                            <w:i/>
                            <w:iCs/>
                            <w:color w:val="000000"/>
                            <w:spacing w:val="-4"/>
                            <w:sz w:val="16"/>
                            <w:szCs w:val="16"/>
                          </w:rPr>
                        </m:ctrlPr>
                      </m:sSubPr>
                      <m:e>
                        <m:r>
                          <m:rPr>
                            <m:nor/>
                          </m:rPr>
                          <w:rPr>
                            <w:i/>
                            <w:iCs/>
                            <w:color w:val="000000"/>
                            <w:spacing w:val="-4"/>
                            <w:sz w:val="16"/>
                            <w:szCs w:val="16"/>
                          </w:rPr>
                          <m:t>t</m:t>
                        </m:r>
                      </m:e>
                      <m:sub>
                        <m:r>
                          <m:rPr>
                            <m:nor/>
                          </m:rPr>
                          <w:rPr>
                            <w:i/>
                            <w:iCs/>
                            <w:color w:val="000000"/>
                            <w:spacing w:val="-4"/>
                            <w:sz w:val="16"/>
                            <w:szCs w:val="16"/>
                          </w:rPr>
                          <m:t>IS</m:t>
                        </m:r>
                      </m:sub>
                    </m:sSub>
                  </m:e>
                </m:borderBox>
              </m:e>
            </m:mr>
          </m:m>
        </m:oMath>
      </m:oMathPara>
    </w:p>
  </w:footnote>
  <w:footnote w:id="30">
    <w:p w14:paraId="007FE282" w14:textId="05339147" w:rsidR="006C0561" w:rsidRDefault="006C0561">
      <w:pPr>
        <w:pStyle w:val="Textonotapie"/>
      </w:pPr>
      <w:r>
        <w:rPr>
          <w:rStyle w:val="Refdenotaalpie"/>
        </w:rPr>
        <w:footnoteRef/>
      </w:r>
      <w:r>
        <w:t xml:space="preserve"> Por simplicidad consideraremos el IRPF con un tipo impositivo único</w:t>
      </w:r>
      <w:r w:rsidR="009204B8">
        <w:t xml:space="preserve"> (impuesto proporcional)</w:t>
      </w:r>
      <w:r>
        <w:t>. En la práctica, sin embargo, es un impuesto progresivo, por lo que cada obligacionista y cada accionista tienen un tipo marginal distinto</w:t>
      </w:r>
      <w:r w:rsidR="00EE41FF">
        <w:t>.</w:t>
      </w:r>
    </w:p>
  </w:footnote>
  <w:footnote w:id="31">
    <w:p w14:paraId="6505D1EC" w14:textId="7A54D4B8" w:rsidR="008C74F9" w:rsidRDefault="008C74F9">
      <w:pPr>
        <w:pStyle w:val="Textonotapie"/>
      </w:pPr>
      <w:r>
        <w:rPr>
          <w:rStyle w:val="Refdenotaalpie"/>
        </w:rPr>
        <w:footnoteRef/>
      </w:r>
      <w:r>
        <w:t xml:space="preserve"> </w:t>
      </w:r>
      <w:hyperlink r:id="rId5" w:history="1">
        <w:r w:rsidRPr="00286535">
          <w:rPr>
            <w:rStyle w:val="Hipervnculo"/>
          </w:rPr>
          <w:t>https://onlinelibrary.wiley.com/doi/epdf/10.1111/j.1540-6261.1977.tb03267.x</w:t>
        </w:r>
      </w:hyperlink>
    </w:p>
  </w:footnote>
  <w:footnote w:id="32">
    <w:p w14:paraId="3EB2C3F8" w14:textId="77777777" w:rsidR="004008B7" w:rsidRPr="003A66FF" w:rsidRDefault="004008B7" w:rsidP="004008B7">
      <w:pPr>
        <w:pStyle w:val="Textonotapie"/>
      </w:pPr>
      <w:r>
        <w:rPr>
          <w:rStyle w:val="Refdenotaalpie"/>
        </w:rPr>
        <w:footnoteRef/>
      </w:r>
      <w:r>
        <w:t xml:space="preserve"> </w:t>
      </w:r>
      <w:r>
        <w:rPr>
          <w:smallCaps/>
        </w:rPr>
        <w:t>Ross</w:t>
      </w:r>
      <w:r>
        <w:t xml:space="preserve"> (1977) demuestra que cualquier variación en la política de financiación de la empresa cambia la percepción de los inversores acerca de la compañía y es, por lo tanto, una señal de mercado.</w:t>
      </w:r>
    </w:p>
  </w:footnote>
  <w:footnote w:id="33">
    <w:p w14:paraId="70604480" w14:textId="2FCDB99F" w:rsidR="00741D8B" w:rsidRDefault="00741D8B" w:rsidP="00F03A71">
      <w:pPr>
        <w:pStyle w:val="Textonotapie"/>
        <w:spacing w:after="0"/>
      </w:pPr>
      <w:r>
        <w:rPr>
          <w:rStyle w:val="Refdenotaalpie"/>
        </w:rPr>
        <w:footnoteRef/>
      </w:r>
      <w:r>
        <w:t xml:space="preserve"> </w:t>
      </w:r>
      <w:r>
        <w:rPr>
          <w:smallCaps/>
        </w:rPr>
        <w:t>Jean Tirole</w:t>
      </w:r>
      <w:r>
        <w:t xml:space="preserve"> obtuvo el Premio Nobel de Economía en 2014 </w:t>
      </w:r>
      <w:r w:rsidRPr="00A84110">
        <w:t>«Por sus análisis sobre el poder y las regulaciones del mercado»</w:t>
      </w:r>
      <w:r w:rsidR="00F03A71">
        <w:t>.</w:t>
      </w:r>
    </w:p>
    <w:p w14:paraId="3830D5E4" w14:textId="41C10FDF" w:rsidR="00741D8B" w:rsidRPr="00A84110" w:rsidRDefault="00741D8B" w:rsidP="00741D8B">
      <w:pPr>
        <w:pStyle w:val="Textonotapie"/>
      </w:pPr>
      <w:r>
        <w:rPr>
          <w:smallCaps/>
        </w:rPr>
        <w:t>Bengt R. Holmström</w:t>
      </w:r>
      <w:r>
        <w:t xml:space="preserve"> obtuvo el Premio Nobel de Economía en 2016 </w:t>
      </w:r>
      <w:r w:rsidRPr="00A84110">
        <w:t>«</w:t>
      </w:r>
      <w:r>
        <w:t>P</w:t>
      </w:r>
      <w:r w:rsidRPr="00A84110">
        <w:t>or sus contribuciones a la teoría de contratos»</w:t>
      </w:r>
      <w:r w:rsidR="00F03A71">
        <w:t>.</w:t>
      </w:r>
    </w:p>
  </w:footnote>
  <w:footnote w:id="34">
    <w:p w14:paraId="448A5B2D" w14:textId="77777777" w:rsidR="00741D8B" w:rsidRDefault="00741D8B" w:rsidP="00741D8B">
      <w:pPr>
        <w:pStyle w:val="Textonotapie"/>
      </w:pPr>
      <w:r>
        <w:rPr>
          <w:rStyle w:val="Refdenotaalpie"/>
        </w:rPr>
        <w:footnoteRef/>
      </w:r>
      <w:r>
        <w:t xml:space="preserve"> </w:t>
      </w:r>
      <w:hyperlink r:id="rId6" w:history="1">
        <w:r w:rsidRPr="00633860">
          <w:rPr>
            <w:rStyle w:val="Hipervnculo"/>
          </w:rPr>
          <w:t>https://nadaesgratis.es/fernandez-villaverde/liquidez-interna-y-externa-i</w:t>
        </w:r>
      </w:hyperlink>
    </w:p>
  </w:footnote>
  <w:footnote w:id="35">
    <w:p w14:paraId="3E012744" w14:textId="77777777" w:rsidR="00CC4F34" w:rsidRDefault="00CC4F34" w:rsidP="00CC4F34">
      <w:pPr>
        <w:pStyle w:val="Textonotapie"/>
        <w:keepNext/>
        <w:spacing w:after="0"/>
      </w:pPr>
      <w:r>
        <w:rPr>
          <w:rStyle w:val="Refdenotaalpie"/>
        </w:rPr>
        <w:footnoteRef/>
      </w:r>
      <w:r>
        <w:t xml:space="preserve"> ¿Qué falla en los mercados financieros? ¿Cómo explicamos este comportamiento aparentemente contradictorio con lo que esperaríamos de los mercados financieros?:</w:t>
      </w:r>
    </w:p>
    <w:p w14:paraId="4D4C2DC0" w14:textId="77777777" w:rsidR="00CC4F34" w:rsidRDefault="00CC4F34">
      <w:pPr>
        <w:pStyle w:val="Textonotapie"/>
        <w:numPr>
          <w:ilvl w:val="0"/>
          <w:numId w:val="28"/>
        </w:numPr>
        <w:spacing w:after="0"/>
        <w:ind w:left="113" w:hanging="113"/>
      </w:pPr>
      <w:r>
        <w:t>Una primera posibilidad, que tiene una importancia más que considerable, es la legislación fiscal. Las empresas pueden preferir “ahorrar” por sus accionistas. En vez de distribuir dividendos, pueden sentarse en ellos, incrementar el precio de la acción por los mismos y el accionista vender su participación (o un porcentaje de ella). Es común en muchos sistemas fiscales que las ganancias de capital a largo plazo, como las generadas por el incremento de precio de una acción en varios años, tributen a menor tipo que las rentas del capital provenientes de dividendos corrientes. Básicamente esto es lo que ocurría en Estados Unidos hasta la reforma fiscal de 2002 y por lo cual las empresas distribuían pocos dividendos. En cuanto cambio la legislación, empezó a cambiar el comportamiento de las empresas: incluso Microsoft dio dividendos en 2006. Hoy en día existe un problema similar con la repatriación de beneficios en filiales extranjeras. De igual manera, los intereses de la deuda de las empresas son deducibles del impuesto de sociedades, con lo cual liquidar la misma contra efectivo puede no compensar a muchas corporaciones. Los sistemas fiscales son lamentablemente muy complejos, pero la idea básica es sencilla: las distorsiones fiscales inducen comportamientos de inversión y decisiones de liquidez a primera vista extraños y probablemente ineficientes desde el punto de vista social. Mis propias inversiones en bolsa y las acciones que compro y vendo a menudo vienen dictadas, en buena medida, por motivos fiscales.</w:t>
      </w:r>
    </w:p>
    <w:p w14:paraId="7E83F49D" w14:textId="77777777" w:rsidR="00CC4F34" w:rsidRDefault="00CC4F34">
      <w:pPr>
        <w:pStyle w:val="Textonotapie"/>
        <w:numPr>
          <w:ilvl w:val="0"/>
          <w:numId w:val="28"/>
        </w:numPr>
        <w:ind w:left="113" w:hanging="113"/>
      </w:pPr>
      <w:r>
        <w:t>La segunda posibilidad parte de la observación de que los mercados financieros están plagados de problemas de información asimétrica. Si yo soy una empresa del sector tecnológico y necesito financiación para absorber a una “startup” con una nueva tecnología que me interesa, los bancos -o los mercados financieros más en general- que me podrían prestar los fondos para esta operación van a enfrentarse al dilema de cómo juzgar si la tecnología de esta “startup” merece realmente el dinero que voy a pagar por ella. Los bancos tendrían que conocer la calidad de la tecnología de la “startup” y cómo esta complementa mi propia tecnología. Verificar estas dos características puede ser extremadamente costoso, cuando no cercano a imposible (¿ha intentado, querido lector, alguna vez leer unos cuantas miles de líneas de código escrito por otra persona?). Y esta verificación es clave pues yo me puedo estar equivocando (con lo cual me arriesgo a que mi empresa no pueda devolver el préstamo) o puedo estar pagando un precio incorrecto por algún motivo adicional que no se alinea con el interés del banco (la “startup” es de un familiar/amigo, la “startup” es del hijo de un político que me va a otorgar en contraprestación un favor personal del que mi empresa no se va a beneficiar, etc.). Y sin verificación, no hay financiación (o financiación insuficiente) y se pierden beneficios potenciales. Antes estas dificultades, una empresa puede decidir mantener suficiente efectivo como para poder adquirir “startups” sin necesidad de ir al mercado cada vez que tal compra sea necesaria. Un vistazo rápido a las adquisiciones de Google a lo largo de los años nos confirma la importancia de este mecanismo: las empresas crecen muy a menudo a base de adquisiciones de terceras compañías.</w:t>
      </w:r>
    </w:p>
  </w:footnote>
  <w:footnote w:id="36">
    <w:p w14:paraId="4CD8815C" w14:textId="57C094CA" w:rsidR="00154DC7" w:rsidRDefault="00154DC7" w:rsidP="002566A7">
      <w:pPr>
        <w:pStyle w:val="Textonotapie"/>
        <w:keepNext/>
        <w:spacing w:after="0"/>
      </w:pPr>
      <w:r>
        <w:rPr>
          <w:rStyle w:val="Refdenotaalpie"/>
        </w:rPr>
        <w:footnoteRef/>
      </w:r>
      <w:r>
        <w:t xml:space="preserve"> El orden de prioridad de las fuentes de financiación para una empresa sería el siguiente:</w:t>
      </w:r>
    </w:p>
    <w:p w14:paraId="4722EAC2" w14:textId="77777777" w:rsidR="00154DC7" w:rsidRDefault="00154DC7" w:rsidP="006F6046">
      <w:pPr>
        <w:pStyle w:val="Textonotapie"/>
        <w:keepNext/>
        <w:numPr>
          <w:ilvl w:val="0"/>
          <w:numId w:val="15"/>
        </w:numPr>
        <w:spacing w:after="0"/>
        <w:ind w:left="283" w:hanging="170"/>
      </w:pPr>
      <w:r>
        <w:rPr>
          <w:i/>
          <w:iCs/>
        </w:rPr>
        <w:t>Financiación interna</w:t>
      </w:r>
      <w:r>
        <w:t>, pues no requiere ningún procedimiento especial. Su principal ventaja es la sencillez.</w:t>
      </w:r>
    </w:p>
    <w:p w14:paraId="5E316E20" w14:textId="182A8C89" w:rsidR="00154DC7" w:rsidRPr="00154DC7" w:rsidRDefault="00154DC7" w:rsidP="006F6046">
      <w:pPr>
        <w:pStyle w:val="Textonotapie"/>
        <w:keepNext/>
        <w:numPr>
          <w:ilvl w:val="0"/>
          <w:numId w:val="15"/>
        </w:numPr>
        <w:spacing w:after="0"/>
        <w:ind w:left="283" w:hanging="170"/>
      </w:pPr>
      <w:r>
        <w:rPr>
          <w:i/>
          <w:iCs/>
        </w:rPr>
        <w:t>Financiación mediante deuda</w:t>
      </w:r>
      <w:r>
        <w:t>,</w:t>
      </w:r>
    </w:p>
    <w:p w14:paraId="1218F74E" w14:textId="44771A2C" w:rsidR="00154DC7" w:rsidRPr="006F6046" w:rsidRDefault="00154DC7" w:rsidP="006F6046">
      <w:pPr>
        <w:pStyle w:val="Textonotapie"/>
        <w:numPr>
          <w:ilvl w:val="0"/>
          <w:numId w:val="15"/>
        </w:numPr>
        <w:spacing w:after="0"/>
        <w:ind w:left="283" w:hanging="170"/>
        <w:rPr>
          <w:spacing w:val="-1"/>
        </w:rPr>
      </w:pPr>
      <w:r w:rsidRPr="006F6046">
        <w:rPr>
          <w:i/>
          <w:iCs/>
          <w:spacing w:val="-1"/>
        </w:rPr>
        <w:t>Financiación mediante ampliaciones de capital</w:t>
      </w:r>
      <w:r w:rsidRPr="006F6046">
        <w:rPr>
          <w:spacing w:val="-1"/>
        </w:rPr>
        <w:t>, pu</w:t>
      </w:r>
      <w:r w:rsidR="00036CBC" w:rsidRPr="006F6046">
        <w:rPr>
          <w:spacing w:val="-1"/>
        </w:rPr>
        <w:t>e</w:t>
      </w:r>
      <w:r w:rsidRPr="006F6046">
        <w:rPr>
          <w:spacing w:val="-1"/>
        </w:rPr>
        <w:t>s son habitualmente interpretadas automáticamente como una señal negativa. Una investigación muestra que cuando una empresa anuncia una ampliación de capital</w:t>
      </w:r>
      <w:r w:rsidR="00DC3FCD" w:rsidRPr="006F6046">
        <w:rPr>
          <w:spacing w:val="-1"/>
        </w:rPr>
        <w:t>, el precio de las acciones generalmente cae de media un 3</w:t>
      </w:r>
      <w:r w:rsidR="002566A7" w:rsidRPr="006F6046">
        <w:rPr>
          <w:spacing w:val="-1"/>
        </w:rPr>
        <w:t> </w:t>
      </w:r>
      <w:r w:rsidR="00DC3FCD" w:rsidRPr="006F6046">
        <w:rPr>
          <w:spacing w:val="-1"/>
        </w:rPr>
        <w:t>%. El mercado “considera” que los managers no hubieran aumentado el capital si, con la información que tienen disponible, pensarán que está infravalorada, ya que esto perjudicaría a los accionistas ya existentes. Si no hubiera razones que obligaran a ampliar el capital, los inversores inferirían que, de acuerdo a la información disponible a los managers, estos considerarían que el precio de la acción es demasiado elevado y esa es la razón por la que los accionistas ya existentes aceptan la ampliación de capital.</w:t>
      </w:r>
    </w:p>
  </w:footnote>
  <w:footnote w:id="37">
    <w:p w14:paraId="1A847087" w14:textId="77777777" w:rsidR="002566A7" w:rsidRDefault="002566A7" w:rsidP="002566A7">
      <w:pPr>
        <w:pStyle w:val="Textonotapie"/>
      </w:pPr>
      <w:r>
        <w:rPr>
          <w:rStyle w:val="Refdenotaalpie"/>
        </w:rPr>
        <w:footnoteRef/>
      </w:r>
      <w:r>
        <w:t xml:space="preserve"> Hay literatura interesante sobre dividendos y ciclos económicos, especialmente en entidades financieras. El BCE recomienda a bancos no distribuir dividendos por el momento ni recomprar acciones. Es la primera vez que el BCE solicita a los bancos que no distribuyan dividendos incluso si están cumpliendo con requerimientos de capital. Existe apoyo empírico en este sentido.</w:t>
      </w:r>
    </w:p>
  </w:footnote>
  <w:footnote w:id="38">
    <w:p w14:paraId="1E5D51CD" w14:textId="6C30BCD8" w:rsidR="00F17033" w:rsidRDefault="00006BB1" w:rsidP="00006BB1">
      <w:pPr>
        <w:pStyle w:val="Textonotapie"/>
      </w:pPr>
      <w:r>
        <w:rPr>
          <w:rStyle w:val="Refdenotaalpie"/>
        </w:rPr>
        <w:footnoteRef/>
      </w:r>
      <w:r>
        <w:t xml:space="preserve"> </w:t>
      </w:r>
      <w:r w:rsidR="00F17033" w:rsidRPr="00F17033">
        <w:t>La recompra de acciones es una de las vías que tienen las empresas para retribuir a los accionistas. Consiste en comprar un paquete de acciones propias, normalmente en mercado abierto, y amortizarlas (eliminarlas) con el objetivo de elevar el precio de las restantes.</w:t>
      </w:r>
    </w:p>
    <w:p w14:paraId="79F2D675" w14:textId="158159C3" w:rsidR="00006BB1" w:rsidRDefault="00006BB1" w:rsidP="00006BB1">
      <w:pPr>
        <w:pStyle w:val="Textonotapie"/>
      </w:pPr>
      <w:r w:rsidRPr="00653763">
        <w:t>Redenciones son cuando una empresa pide a los accionistas que vendan algunas de sus acciones a la empresa. Para que una empresa pueda redimir acciones, debe estipularse previamente que esas acciones son redimibles o recurribles. Las acciones rescatables tienen un precio fijo, que es el precio de la acción que la empresa se compromete a pagar al accionista en el momento del rescate. El precio de la llamada se fija al comienzo de la emisión de las acciones. Los accionistas están obligados a vender las acciones.</w:t>
      </w:r>
    </w:p>
  </w:footnote>
  <w:footnote w:id="39">
    <w:p w14:paraId="1A08D22B" w14:textId="7EFF06CC" w:rsidR="00A92D87" w:rsidRDefault="00A92D87">
      <w:pPr>
        <w:pStyle w:val="Textonotapie"/>
      </w:pPr>
      <w:r>
        <w:rPr>
          <w:rStyle w:val="Refdenotaalpie"/>
        </w:rPr>
        <w:footnoteRef/>
      </w:r>
      <w:r>
        <w:t xml:space="preserve"> </w:t>
      </w:r>
      <w:r w:rsidRPr="00A92D87">
        <w:t xml:space="preserve">El término se suele emplear para definir el conjunto de técnicas contables empleadas para modificar legalmente la presentación de sus resultados de su patrimonio, de manera a cumplir ciertos objetivos, normalmente de comunicación. En inglés, además del término </w:t>
      </w:r>
      <w:r w:rsidRPr="00A92D87">
        <w:rPr>
          <w:i/>
          <w:iCs/>
        </w:rPr>
        <w:t>“creative accounting”</w:t>
      </w:r>
      <w:r w:rsidRPr="00A92D87">
        <w:t xml:space="preserve"> se suele hablar de </w:t>
      </w:r>
      <w:r w:rsidRPr="00A92D87">
        <w:rPr>
          <w:i/>
          <w:iCs/>
        </w:rPr>
        <w:t>“windows dressing”</w:t>
      </w:r>
      <w:r w:rsidRPr="00A92D87">
        <w:t xml:space="preserve"> (decoración de ventanas). Se usa para describir el hecho de presentar de forma más favorable unos resultados que de otra forma parecerían malos. Pero no hay que olvidar que la contabilidad creativa no se usa s</w:t>
      </w:r>
      <w:r w:rsidR="00B13CE0">
        <w:t>ó</w:t>
      </w:r>
      <w:r w:rsidRPr="00A92D87">
        <w:t>lo para mejorar resultados, sino también para empeorarlos cuando toca.</w:t>
      </w:r>
    </w:p>
  </w:footnote>
  <w:footnote w:id="40">
    <w:p w14:paraId="3B46C514" w14:textId="39A64AD0" w:rsidR="00E01F21" w:rsidRDefault="00E01F21" w:rsidP="00207677">
      <w:pPr>
        <w:pStyle w:val="Textonotapie"/>
        <w:spacing w:after="0"/>
      </w:pPr>
      <w:r>
        <w:rPr>
          <w:rStyle w:val="Refdenotaalpie"/>
        </w:rPr>
        <w:footnoteRef/>
      </w:r>
      <w:r>
        <w:t xml:space="preserve"> Hay literatura interesante sobre dividendos y ciclos económicos, especialmente en entidades financiera. </w:t>
      </w:r>
      <w:r w:rsidR="00207677">
        <w:t>Durante la pandemia, el</w:t>
      </w:r>
      <w:r>
        <w:t xml:space="preserve"> BCE recomienda a los bancos no distribuir dividendos ni recomprar acciones. </w:t>
      </w:r>
      <w:r w:rsidR="00207677">
        <w:t>Esta ha sido</w:t>
      </w:r>
      <w:r>
        <w:t xml:space="preserve"> la primera vez que el BCE solicita a los bancos que no distribuyan dividendos incluso si están cumpliendo con los requisitos de capital. Hay apoyo empírico en este sentido </w:t>
      </w:r>
      <w:r w:rsidRPr="00E01F21">
        <w:rPr>
          <w:color w:val="767171" w:themeColor="background2" w:themeShade="80"/>
          <w:sz w:val="14"/>
          <w:szCs w:val="14"/>
        </w:rPr>
        <w:t>[ver tema 3.B.2</w:t>
      </w:r>
      <w:r w:rsidR="00811726">
        <w:rPr>
          <w:color w:val="767171" w:themeColor="background2" w:themeShade="80"/>
          <w:sz w:val="14"/>
          <w:szCs w:val="14"/>
        </w:rPr>
        <w:t>7</w:t>
      </w:r>
      <w:r w:rsidRPr="00E01F21">
        <w:rPr>
          <w:color w:val="767171" w:themeColor="background2" w:themeShade="80"/>
          <w:sz w:val="14"/>
          <w:szCs w:val="14"/>
        </w:rPr>
        <w:t>]</w:t>
      </w:r>
      <w:r>
        <w:t>.</w:t>
      </w:r>
    </w:p>
    <w:p w14:paraId="3EA17C9D" w14:textId="4859CAED" w:rsidR="00207677" w:rsidRDefault="00000000">
      <w:pPr>
        <w:pStyle w:val="Textonotapie"/>
      </w:pPr>
      <w:hyperlink r:id="rId7" w:history="1">
        <w:r w:rsidR="00207677" w:rsidRPr="00286535">
          <w:rPr>
            <w:rStyle w:val="Hipervnculo"/>
          </w:rPr>
          <w:t>https://cincodias.elpais.com/cincodias/2021/07/23/companias/1627053588_202012.html</w:t>
        </w:r>
      </w:hyperlink>
    </w:p>
  </w:footnote>
  <w:footnote w:id="41">
    <w:p w14:paraId="5DB1D8A6" w14:textId="607C8D00" w:rsidR="00CD6698" w:rsidRDefault="00CD6698">
      <w:pPr>
        <w:pStyle w:val="Textonotapie"/>
      </w:pPr>
      <w:r>
        <w:rPr>
          <w:rStyle w:val="Refdenotaalpie"/>
        </w:rPr>
        <w:footnoteRef/>
      </w:r>
      <w:r>
        <w:t xml:space="preserve"> Con mercados de capitales perfectos, el pago de dividendos no tiene impacto en la riqueza de los accionistas. El accionista estaría indiferente entre 1 € más de dividendo y una ganancia de capital de 1 €. Es decir, si la empresa paga una mayor proporción en dividendos sus acciones valdrán menos pero los accionistas recibirán más efectivo.</w:t>
      </w:r>
    </w:p>
  </w:footnote>
  <w:footnote w:id="42">
    <w:p w14:paraId="188A06FB" w14:textId="2856E830" w:rsidR="00680687" w:rsidRDefault="00680687" w:rsidP="00680687">
      <w:pPr>
        <w:pStyle w:val="Textonotapie"/>
      </w:pPr>
      <w:r>
        <w:rPr>
          <w:rStyle w:val="Refdenotaalpie"/>
        </w:rPr>
        <w:footnoteRef/>
      </w:r>
      <w:r>
        <w:t xml:space="preserve"> </w:t>
      </w:r>
      <w:r w:rsidRPr="00680687">
        <w:t xml:space="preserve">Suponemos </w:t>
      </w:r>
      <w:r w:rsidRPr="00F379CE">
        <w:rPr>
          <w:szCs w:val="16"/>
        </w:rPr>
        <w:t xml:space="preserve">que </w:t>
      </w:r>
      <m:oMath>
        <m:sSub>
          <m:sSubPr>
            <m:ctrlPr>
              <w:rPr>
                <w:rFonts w:ascii="Cambria Math" w:hAnsi="Cambria Math"/>
                <w:szCs w:val="16"/>
                <w:lang w:val="fr-FR"/>
              </w:rPr>
            </m:ctrlPr>
          </m:sSubPr>
          <m:e>
            <m:r>
              <m:rPr>
                <m:nor/>
              </m:rPr>
              <w:rPr>
                <w:i/>
                <w:iCs/>
                <w:szCs w:val="16"/>
              </w:rPr>
              <m:t>r</m:t>
            </m:r>
          </m:e>
          <m:sub>
            <m:r>
              <m:rPr>
                <m:nor/>
              </m:rPr>
              <w:rPr>
                <w:i/>
                <w:iCs/>
                <w:szCs w:val="16"/>
              </w:rPr>
              <m:t>E</m:t>
            </m:r>
          </m:sub>
        </m:sSub>
        <m:r>
          <w:rPr>
            <w:rFonts w:ascii="Cambria Math" w:hAnsi="Cambria Math"/>
            <w:szCs w:val="16"/>
          </w:rPr>
          <m:t>&gt;</m:t>
        </m:r>
        <m:d>
          <m:dPr>
            <m:ctrlPr>
              <w:rPr>
                <w:rFonts w:ascii="Cambria Math" w:hAnsi="Cambria Math"/>
                <w:szCs w:val="16"/>
              </w:rPr>
            </m:ctrlPr>
          </m:dPr>
          <m:e>
            <m:r>
              <m:rPr>
                <m:nor/>
              </m:rPr>
              <w:rPr>
                <w:i/>
                <w:iCs/>
                <w:szCs w:val="16"/>
              </w:rPr>
              <m:t>y</m:t>
            </m:r>
            <m:r>
              <w:rPr>
                <w:rFonts w:ascii="Cambria Math" w:hAnsi="Cambria Math"/>
                <w:szCs w:val="16"/>
              </w:rPr>
              <m:t>∙</m:t>
            </m:r>
            <m:r>
              <m:rPr>
                <m:nor/>
              </m:rPr>
              <w:rPr>
                <w:i/>
                <w:iCs/>
                <w:szCs w:val="16"/>
              </w:rPr>
              <m:t>b</m:t>
            </m:r>
          </m:e>
        </m:d>
      </m:oMath>
      <w:r w:rsidRPr="00F379CE">
        <w:rPr>
          <w:szCs w:val="16"/>
        </w:rPr>
        <w:t>, ya que de no</w:t>
      </w:r>
      <w:r w:rsidRPr="00680687">
        <w:t xml:space="preserve"> se</w:t>
      </w:r>
      <w:r w:rsidR="00F94197">
        <w:t>r</w:t>
      </w:r>
      <w:r w:rsidRPr="00680687">
        <w:t xml:space="preserve"> así el valor de la empresa no estaría acotado (tendería a infinito).</w:t>
      </w:r>
    </w:p>
  </w:footnote>
  <w:footnote w:id="43">
    <w:p w14:paraId="2E65CF84" w14:textId="1506ED40" w:rsidR="00305113" w:rsidRPr="00AE0078" w:rsidRDefault="00305113" w:rsidP="00383DB3">
      <w:pPr>
        <w:pStyle w:val="Textonotapie"/>
        <w:keepNext/>
        <w:spacing w:after="0"/>
        <w:rPr>
          <w:szCs w:val="16"/>
        </w:rPr>
      </w:pPr>
      <w:r>
        <w:rPr>
          <w:rStyle w:val="Refdenotaalpie"/>
        </w:rPr>
        <w:footnoteRef/>
      </w:r>
      <w:r>
        <w:t xml:space="preserve"> La derivada de un cociente es la derivada del numerador por el numerador, menos la derivada del denominador por el numerador, todo ello dividid</w:t>
      </w:r>
      <w:r w:rsidRPr="00AE0078">
        <w:rPr>
          <w:szCs w:val="16"/>
        </w:rPr>
        <w:t>o por el cuadrado del denominador:</w:t>
      </w:r>
    </w:p>
    <w:p w14:paraId="45C8751C" w14:textId="1EB22500" w:rsidR="00305113" w:rsidRPr="00AE0078" w:rsidRDefault="00305113" w:rsidP="00305113">
      <w:pPr>
        <w:pStyle w:val="Textonotapie"/>
        <w:keepNext/>
        <w:rPr>
          <w:rFonts w:eastAsiaTheme="minorEastAsia"/>
          <w:szCs w:val="16"/>
        </w:rPr>
      </w:pPr>
      <m:oMathPara>
        <m:oMath>
          <m:r>
            <m:rPr>
              <m:nor/>
            </m:rPr>
            <w:rPr>
              <w:rFonts w:ascii="Cambria Math"/>
              <w:szCs w:val="16"/>
            </w:rPr>
            <m:t xml:space="preserve"> </m:t>
          </m:r>
          <m:r>
            <m:rPr>
              <m:nor/>
            </m:rPr>
            <w:rPr>
              <w:i/>
              <w:iCs/>
              <w:szCs w:val="16"/>
            </w:rPr>
            <m:t>V</m:t>
          </m:r>
          <m:r>
            <w:rPr>
              <w:rFonts w:ascii="Cambria Math" w:hAnsi="Cambria Math"/>
              <w:szCs w:val="16"/>
            </w:rPr>
            <m:t>=</m:t>
          </m:r>
          <m:f>
            <m:fPr>
              <m:ctrlPr>
                <w:rPr>
                  <w:rFonts w:ascii="Cambria Math" w:eastAsiaTheme="minorEastAsia" w:hAnsi="Cambria Math"/>
                  <w:i/>
                  <w:szCs w:val="16"/>
                  <w:lang w:val="fr-FR"/>
                </w:rPr>
              </m:ctrlPr>
            </m:fPr>
            <m:num>
              <m:d>
                <m:dPr>
                  <m:ctrlPr>
                    <w:rPr>
                      <w:rFonts w:ascii="Cambria Math" w:eastAsiaTheme="minorEastAsia" w:hAnsi="Cambria Math"/>
                      <w:i/>
                      <w:iCs/>
                      <w:szCs w:val="16"/>
                      <w:lang w:val="fr-FR"/>
                    </w:rPr>
                  </m:ctrlPr>
                </m:dPr>
                <m:e>
                  <m:r>
                    <m:rPr>
                      <m:nor/>
                    </m:rPr>
                    <w:rPr>
                      <w:rFonts w:eastAsiaTheme="minorEastAsia"/>
                      <w:i/>
                      <w:szCs w:val="16"/>
                    </w:rPr>
                    <m:t>1</m:t>
                  </m:r>
                  <m:r>
                    <w:rPr>
                      <w:rFonts w:ascii="Cambria Math" w:eastAsiaTheme="minorEastAsia" w:hAnsi="Cambria Math"/>
                      <w:szCs w:val="16"/>
                    </w:rPr>
                    <m:t>-</m:t>
                  </m:r>
                  <m:r>
                    <m:rPr>
                      <m:nor/>
                    </m:rPr>
                    <w:rPr>
                      <w:rFonts w:eastAsiaTheme="minorEastAsia"/>
                      <w:i/>
                      <w:szCs w:val="16"/>
                    </w:rPr>
                    <m:t>b</m:t>
                  </m:r>
                </m:e>
              </m:d>
              <m:r>
                <w:rPr>
                  <w:rFonts w:ascii="Cambria Math" w:eastAsiaTheme="minorEastAsia" w:hAnsi="Cambria Math"/>
                  <w:szCs w:val="16"/>
                </w:rPr>
                <m:t>∙</m:t>
              </m:r>
              <m:sSub>
                <m:sSubPr>
                  <m:ctrlPr>
                    <w:rPr>
                      <w:rFonts w:ascii="Cambria Math" w:hAnsi="Cambria Math"/>
                      <w:i/>
                      <w:szCs w:val="16"/>
                    </w:rPr>
                  </m:ctrlPr>
                </m:sSubPr>
                <m:e>
                  <m:r>
                    <m:rPr>
                      <m:nor/>
                    </m:rPr>
                    <w:rPr>
                      <w:i/>
                      <w:iCs/>
                      <w:szCs w:val="16"/>
                    </w:rPr>
                    <m:t>B</m:t>
                  </m:r>
                </m:e>
                <m:sub>
                  <m:r>
                    <m:rPr>
                      <m:nor/>
                    </m:rPr>
                    <w:rPr>
                      <w:i/>
                      <w:iCs/>
                      <w:szCs w:val="16"/>
                    </w:rPr>
                    <m:t>0</m:t>
                  </m:r>
                </m:sub>
              </m:sSub>
            </m:num>
            <m:den>
              <m:sSub>
                <m:sSubPr>
                  <m:ctrlPr>
                    <w:rPr>
                      <w:rFonts w:ascii="Cambria Math" w:hAnsi="Cambria Math"/>
                      <w:i/>
                      <w:iCs/>
                      <w:szCs w:val="16"/>
                      <w:lang w:val="fr-FR"/>
                    </w:rPr>
                  </m:ctrlPr>
                </m:sSubPr>
                <m:e>
                  <m:r>
                    <m:rPr>
                      <m:nor/>
                    </m:rPr>
                    <w:rPr>
                      <w:i/>
                      <w:iCs/>
                      <w:szCs w:val="16"/>
                    </w:rPr>
                    <m:t>r</m:t>
                  </m:r>
                </m:e>
                <m:sub>
                  <m:r>
                    <m:rPr>
                      <m:nor/>
                    </m:rPr>
                    <w:rPr>
                      <w:i/>
                      <w:iCs/>
                      <w:szCs w:val="16"/>
                    </w:rPr>
                    <m:t>E</m:t>
                  </m:r>
                </m:sub>
              </m:sSub>
              <m:r>
                <w:rPr>
                  <w:rFonts w:ascii="Cambria Math" w:hAnsi="Cambria Math"/>
                  <w:szCs w:val="16"/>
                </w:rPr>
                <m:t>-</m:t>
              </m:r>
              <m:r>
                <m:rPr>
                  <m:nor/>
                </m:rPr>
                <w:rPr>
                  <w:i/>
                  <w:iCs/>
                  <w:szCs w:val="16"/>
                </w:rPr>
                <m:t>y</m:t>
              </m:r>
              <m:r>
                <w:rPr>
                  <w:rFonts w:ascii="Cambria Math" w:hAnsi="Cambria Math"/>
                  <w:szCs w:val="16"/>
                </w:rPr>
                <m:t>∙</m:t>
              </m:r>
              <m:r>
                <m:rPr>
                  <m:nor/>
                </m:rPr>
                <w:rPr>
                  <w:i/>
                  <w:iCs/>
                  <w:szCs w:val="16"/>
                </w:rPr>
                <m:t>b</m:t>
              </m:r>
            </m:den>
          </m:f>
        </m:oMath>
      </m:oMathPara>
    </w:p>
    <w:p w14:paraId="79B39766" w14:textId="6D56ED01" w:rsidR="00305113" w:rsidRPr="00847D89" w:rsidRDefault="00000000" w:rsidP="00847D89">
      <w:pPr>
        <w:pStyle w:val="Textonotapie"/>
        <w:keepNext/>
      </w:pPr>
      <m:oMathPara>
        <m:oMath>
          <m:f>
            <m:fPr>
              <m:ctrlPr>
                <w:rPr>
                  <w:rFonts w:ascii="Cambria Math" w:hAnsi="Cambria Math"/>
                  <w:i/>
                  <w:iCs/>
                  <w:szCs w:val="16"/>
                  <w:lang w:val="fr-FR"/>
                </w:rPr>
              </m:ctrlPr>
            </m:fPr>
            <m:num>
              <m:r>
                <w:rPr>
                  <w:rFonts w:ascii="Cambria Math" w:hAnsi="Cambria Math"/>
                  <w:szCs w:val="16"/>
                  <w:lang w:val="fr-FR"/>
                </w:rPr>
                <m:t>∂</m:t>
              </m:r>
              <m:r>
                <m:rPr>
                  <m:nor/>
                </m:rPr>
                <w:rPr>
                  <w:i/>
                  <w:iCs/>
                  <w:szCs w:val="16"/>
                </w:rPr>
                <m:t>V</m:t>
              </m:r>
            </m:num>
            <m:den>
              <m:r>
                <w:rPr>
                  <w:rFonts w:ascii="Cambria Math" w:hAnsi="Cambria Math"/>
                  <w:szCs w:val="16"/>
                  <w:lang w:val="fr-FR"/>
                </w:rPr>
                <m:t>∂</m:t>
              </m:r>
              <m:r>
                <m:rPr>
                  <m:nor/>
                </m:rPr>
                <w:rPr>
                  <w:i/>
                  <w:iCs/>
                  <w:szCs w:val="16"/>
                </w:rPr>
                <m:t>b</m:t>
              </m:r>
            </m:den>
          </m:f>
          <m:r>
            <w:rPr>
              <w:rFonts w:ascii="Cambria Math" w:hAnsi="Cambria Math"/>
              <w:szCs w:val="16"/>
            </w:rPr>
            <m:t>=</m:t>
          </m:r>
          <m:f>
            <m:fPr>
              <m:ctrlPr>
                <w:rPr>
                  <w:rFonts w:ascii="Cambria Math" w:eastAsiaTheme="minorEastAsia" w:hAnsi="Cambria Math"/>
                  <w:i/>
                  <w:szCs w:val="16"/>
                  <w:lang w:val="fr-FR"/>
                </w:rPr>
              </m:ctrlPr>
            </m:fPr>
            <m:num>
              <m:r>
                <w:rPr>
                  <w:rFonts w:ascii="Cambria Math" w:eastAsiaTheme="minorEastAsia" w:hAnsi="Cambria Math"/>
                  <w:szCs w:val="16"/>
                </w:rPr>
                <m:t>-</m:t>
              </m:r>
              <m:sSub>
                <m:sSubPr>
                  <m:ctrlPr>
                    <w:rPr>
                      <w:rFonts w:ascii="Cambria Math" w:hAnsi="Cambria Math"/>
                      <w:i/>
                      <w:szCs w:val="16"/>
                    </w:rPr>
                  </m:ctrlPr>
                </m:sSubPr>
                <m:e>
                  <m:r>
                    <m:rPr>
                      <m:nor/>
                    </m:rPr>
                    <w:rPr>
                      <w:i/>
                      <w:iCs/>
                      <w:szCs w:val="16"/>
                    </w:rPr>
                    <m:t>B</m:t>
                  </m:r>
                </m:e>
                <m:sub>
                  <m:r>
                    <m:rPr>
                      <m:nor/>
                    </m:rPr>
                    <w:rPr>
                      <w:i/>
                      <w:iCs/>
                      <w:szCs w:val="16"/>
                    </w:rPr>
                    <m:t>0</m:t>
                  </m:r>
                </m:sub>
              </m:sSub>
              <m:r>
                <w:rPr>
                  <w:rFonts w:ascii="Cambria Math" w:eastAsiaTheme="minorEastAsia" w:hAnsi="Cambria Math"/>
                  <w:szCs w:val="16"/>
                </w:rPr>
                <m:t>∙</m:t>
              </m:r>
              <m:d>
                <m:dPr>
                  <m:ctrlPr>
                    <w:rPr>
                      <w:rFonts w:ascii="Cambria Math" w:hAnsi="Cambria Math"/>
                      <w:i/>
                      <w:iCs/>
                      <w:szCs w:val="16"/>
                      <w:lang w:val="fr-FR"/>
                    </w:rPr>
                  </m:ctrlPr>
                </m:dPr>
                <m:e>
                  <m:sSub>
                    <m:sSubPr>
                      <m:ctrlPr>
                        <w:rPr>
                          <w:rFonts w:ascii="Cambria Math" w:hAnsi="Cambria Math"/>
                          <w:i/>
                          <w:iCs/>
                          <w:szCs w:val="16"/>
                          <w:lang w:val="fr-FR"/>
                        </w:rPr>
                      </m:ctrlPr>
                    </m:sSubPr>
                    <m:e>
                      <m:r>
                        <m:rPr>
                          <m:nor/>
                        </m:rPr>
                        <w:rPr>
                          <w:i/>
                          <w:iCs/>
                          <w:szCs w:val="16"/>
                        </w:rPr>
                        <m:t>r</m:t>
                      </m:r>
                    </m:e>
                    <m:sub>
                      <m:r>
                        <m:rPr>
                          <m:nor/>
                        </m:rPr>
                        <w:rPr>
                          <w:i/>
                          <w:iCs/>
                          <w:szCs w:val="16"/>
                        </w:rPr>
                        <m:t>E</m:t>
                      </m:r>
                    </m:sub>
                  </m:sSub>
                  <m:r>
                    <w:rPr>
                      <w:rFonts w:ascii="Cambria Math" w:hAnsi="Cambria Math"/>
                      <w:szCs w:val="16"/>
                    </w:rPr>
                    <m:t>-</m:t>
                  </m:r>
                  <m:r>
                    <m:rPr>
                      <m:nor/>
                    </m:rPr>
                    <w:rPr>
                      <w:i/>
                      <w:iCs/>
                      <w:szCs w:val="16"/>
                    </w:rPr>
                    <m:t>y</m:t>
                  </m:r>
                  <m:r>
                    <w:rPr>
                      <w:rFonts w:ascii="Cambria Math" w:hAnsi="Cambria Math"/>
                      <w:szCs w:val="16"/>
                    </w:rPr>
                    <m:t>∙</m:t>
                  </m:r>
                  <m:r>
                    <m:rPr>
                      <m:nor/>
                    </m:rPr>
                    <w:rPr>
                      <w:i/>
                      <w:iCs/>
                      <w:szCs w:val="16"/>
                    </w:rPr>
                    <m:t>b</m:t>
                  </m:r>
                </m:e>
              </m:d>
              <m:r>
                <w:rPr>
                  <w:rFonts w:ascii="Cambria Math" w:eastAsiaTheme="minorEastAsia" w:hAnsi="Cambria Math"/>
                  <w:szCs w:val="16"/>
                </w:rPr>
                <m:t>-</m:t>
              </m:r>
              <m:d>
                <m:dPr>
                  <m:ctrlPr>
                    <w:rPr>
                      <w:rFonts w:ascii="Cambria Math" w:hAnsi="Cambria Math"/>
                      <w:i/>
                      <w:iCs/>
                      <w:szCs w:val="16"/>
                    </w:rPr>
                  </m:ctrlPr>
                </m:dPr>
                <m:e>
                  <m:r>
                    <w:rPr>
                      <w:rFonts w:ascii="Cambria Math" w:hAnsi="Cambria Math"/>
                      <w:szCs w:val="16"/>
                    </w:rPr>
                    <m:t>-</m:t>
                  </m:r>
                  <m:r>
                    <m:rPr>
                      <m:nor/>
                    </m:rPr>
                    <w:rPr>
                      <w:i/>
                      <w:iCs/>
                      <w:szCs w:val="16"/>
                    </w:rPr>
                    <m:t>y</m:t>
                  </m:r>
                </m:e>
              </m:d>
              <m:r>
                <w:rPr>
                  <w:rFonts w:ascii="Cambria Math" w:hAnsi="Cambria Math"/>
                  <w:szCs w:val="16"/>
                </w:rPr>
                <m:t>∙</m:t>
              </m:r>
              <m:d>
                <m:dPr>
                  <m:ctrlPr>
                    <w:rPr>
                      <w:rFonts w:ascii="Cambria Math" w:eastAsiaTheme="minorEastAsia" w:hAnsi="Cambria Math"/>
                      <w:i/>
                      <w:iCs/>
                      <w:szCs w:val="16"/>
                      <w:lang w:val="fr-FR"/>
                    </w:rPr>
                  </m:ctrlPr>
                </m:dPr>
                <m:e>
                  <m:d>
                    <m:dPr>
                      <m:ctrlPr>
                        <w:rPr>
                          <w:rFonts w:ascii="Cambria Math" w:eastAsiaTheme="minorEastAsia" w:hAnsi="Cambria Math"/>
                          <w:i/>
                          <w:iCs/>
                          <w:szCs w:val="16"/>
                          <w:lang w:val="fr-FR"/>
                        </w:rPr>
                      </m:ctrlPr>
                    </m:dPr>
                    <m:e>
                      <m:r>
                        <m:rPr>
                          <m:nor/>
                        </m:rPr>
                        <w:rPr>
                          <w:rFonts w:eastAsiaTheme="minorEastAsia"/>
                          <w:i/>
                          <w:szCs w:val="16"/>
                        </w:rPr>
                        <m:t>1</m:t>
                      </m:r>
                      <m:r>
                        <w:rPr>
                          <w:rFonts w:ascii="Cambria Math" w:eastAsiaTheme="minorEastAsia" w:hAnsi="Cambria Math"/>
                          <w:szCs w:val="16"/>
                        </w:rPr>
                        <m:t>-</m:t>
                      </m:r>
                      <m:r>
                        <m:rPr>
                          <m:nor/>
                        </m:rPr>
                        <w:rPr>
                          <w:rFonts w:eastAsiaTheme="minorEastAsia"/>
                          <w:i/>
                          <w:szCs w:val="16"/>
                        </w:rPr>
                        <m:t>b</m:t>
                      </m:r>
                    </m:e>
                  </m:d>
                  <m:r>
                    <w:rPr>
                      <w:rFonts w:ascii="Cambria Math" w:eastAsiaTheme="minorEastAsia" w:hAnsi="Cambria Math"/>
                      <w:szCs w:val="16"/>
                    </w:rPr>
                    <m:t>∙</m:t>
                  </m:r>
                  <m:sSub>
                    <m:sSubPr>
                      <m:ctrlPr>
                        <w:rPr>
                          <w:rFonts w:ascii="Cambria Math" w:hAnsi="Cambria Math"/>
                          <w:i/>
                          <w:szCs w:val="16"/>
                        </w:rPr>
                      </m:ctrlPr>
                    </m:sSubPr>
                    <m:e>
                      <m:r>
                        <m:rPr>
                          <m:nor/>
                        </m:rPr>
                        <w:rPr>
                          <w:i/>
                          <w:iCs/>
                          <w:szCs w:val="16"/>
                        </w:rPr>
                        <m:t>B</m:t>
                      </m:r>
                    </m:e>
                    <m:sub>
                      <m:r>
                        <m:rPr>
                          <m:nor/>
                        </m:rPr>
                        <w:rPr>
                          <w:i/>
                          <w:iCs/>
                          <w:szCs w:val="16"/>
                        </w:rPr>
                        <m:t>0</m:t>
                      </m:r>
                    </m:sub>
                  </m:sSub>
                </m:e>
              </m:d>
            </m:num>
            <m:den>
              <m:sSup>
                <m:sSupPr>
                  <m:ctrlPr>
                    <w:rPr>
                      <w:rFonts w:ascii="Cambria Math" w:hAnsi="Cambria Math"/>
                      <w:i/>
                      <w:iCs/>
                      <w:szCs w:val="16"/>
                      <w:lang w:val="fr-FR"/>
                    </w:rPr>
                  </m:ctrlPr>
                </m:sSupPr>
                <m:e>
                  <m:d>
                    <m:dPr>
                      <m:ctrlPr>
                        <w:rPr>
                          <w:rFonts w:ascii="Cambria Math" w:hAnsi="Cambria Math"/>
                          <w:i/>
                          <w:iCs/>
                          <w:szCs w:val="16"/>
                          <w:lang w:val="fr-FR"/>
                        </w:rPr>
                      </m:ctrlPr>
                    </m:dPr>
                    <m:e>
                      <m:sSub>
                        <m:sSubPr>
                          <m:ctrlPr>
                            <w:rPr>
                              <w:rFonts w:ascii="Cambria Math" w:hAnsi="Cambria Math"/>
                              <w:i/>
                              <w:iCs/>
                              <w:szCs w:val="16"/>
                              <w:lang w:val="fr-FR"/>
                            </w:rPr>
                          </m:ctrlPr>
                        </m:sSubPr>
                        <m:e>
                          <m:r>
                            <m:rPr>
                              <m:nor/>
                            </m:rPr>
                            <w:rPr>
                              <w:i/>
                              <w:iCs/>
                              <w:szCs w:val="16"/>
                            </w:rPr>
                            <m:t>r</m:t>
                          </m:r>
                        </m:e>
                        <m:sub>
                          <m:r>
                            <m:rPr>
                              <m:nor/>
                            </m:rPr>
                            <w:rPr>
                              <w:i/>
                              <w:iCs/>
                              <w:szCs w:val="16"/>
                            </w:rPr>
                            <m:t>E</m:t>
                          </m:r>
                        </m:sub>
                      </m:sSub>
                      <m:r>
                        <w:rPr>
                          <w:rFonts w:ascii="Cambria Math" w:hAnsi="Cambria Math"/>
                          <w:szCs w:val="16"/>
                        </w:rPr>
                        <m:t>-</m:t>
                      </m:r>
                      <m:r>
                        <m:rPr>
                          <m:nor/>
                        </m:rPr>
                        <w:rPr>
                          <w:i/>
                          <w:iCs/>
                          <w:szCs w:val="16"/>
                        </w:rPr>
                        <m:t>y</m:t>
                      </m:r>
                      <m:r>
                        <w:rPr>
                          <w:rFonts w:ascii="Cambria Math" w:hAnsi="Cambria Math"/>
                          <w:szCs w:val="16"/>
                        </w:rPr>
                        <m:t>∙</m:t>
                      </m:r>
                      <m:r>
                        <m:rPr>
                          <m:nor/>
                        </m:rPr>
                        <w:rPr>
                          <w:i/>
                          <w:iCs/>
                          <w:szCs w:val="16"/>
                        </w:rPr>
                        <m:t>b</m:t>
                      </m:r>
                    </m:e>
                  </m:d>
                </m:e>
                <m:sup>
                  <m:r>
                    <m:rPr>
                      <m:nor/>
                    </m:rPr>
                    <w:rPr>
                      <w:i/>
                      <w:szCs w:val="16"/>
                    </w:rPr>
                    <m:t>2</m:t>
                  </m:r>
                </m:sup>
              </m:sSup>
            </m:den>
          </m:f>
          <m:r>
            <w:rPr>
              <w:rFonts w:ascii="Cambria Math" w:eastAsiaTheme="minorEastAsia" w:hAnsi="Cambria Math"/>
              <w:szCs w:val="16"/>
            </w:rPr>
            <m:t>=</m:t>
          </m:r>
          <m:f>
            <m:fPr>
              <m:ctrlPr>
                <w:rPr>
                  <w:rFonts w:ascii="Cambria Math" w:eastAsiaTheme="minorEastAsia" w:hAnsi="Cambria Math"/>
                  <w:i/>
                  <w:szCs w:val="16"/>
                  <w:lang w:val="fr-FR"/>
                </w:rPr>
              </m:ctrlPr>
            </m:fPr>
            <m:num>
              <m:r>
                <w:rPr>
                  <w:rFonts w:ascii="Cambria Math" w:eastAsiaTheme="minorEastAsia" w:hAnsi="Cambria Math"/>
                  <w:szCs w:val="16"/>
                </w:rPr>
                <m:t>-</m:t>
              </m:r>
              <m:sSub>
                <m:sSubPr>
                  <m:ctrlPr>
                    <w:rPr>
                      <w:rFonts w:ascii="Cambria Math" w:hAnsi="Cambria Math"/>
                      <w:i/>
                      <w:szCs w:val="16"/>
                    </w:rPr>
                  </m:ctrlPr>
                </m:sSubPr>
                <m:e>
                  <m:r>
                    <m:rPr>
                      <m:nor/>
                    </m:rPr>
                    <w:rPr>
                      <w:i/>
                      <w:iCs/>
                      <w:szCs w:val="16"/>
                    </w:rPr>
                    <m:t>B</m:t>
                  </m:r>
                </m:e>
                <m:sub>
                  <m:r>
                    <m:rPr>
                      <m:nor/>
                    </m:rPr>
                    <w:rPr>
                      <w:i/>
                      <w:iCs/>
                      <w:szCs w:val="16"/>
                    </w:rPr>
                    <m:t>0</m:t>
                  </m:r>
                </m:sub>
              </m:sSub>
              <m:r>
                <w:rPr>
                  <w:rFonts w:ascii="Cambria Math" w:eastAsiaTheme="minorEastAsia" w:hAnsi="Cambria Math"/>
                  <w:szCs w:val="16"/>
                </w:rPr>
                <m:t>∙</m:t>
              </m:r>
              <m:d>
                <m:dPr>
                  <m:ctrlPr>
                    <w:rPr>
                      <w:rFonts w:ascii="Cambria Math" w:hAnsi="Cambria Math"/>
                      <w:i/>
                      <w:iCs/>
                      <w:szCs w:val="16"/>
                      <w:lang w:val="fr-FR"/>
                    </w:rPr>
                  </m:ctrlPr>
                </m:dPr>
                <m:e>
                  <m:sSub>
                    <m:sSubPr>
                      <m:ctrlPr>
                        <w:rPr>
                          <w:rFonts w:ascii="Cambria Math" w:hAnsi="Cambria Math"/>
                          <w:i/>
                          <w:iCs/>
                          <w:szCs w:val="16"/>
                          <w:lang w:val="fr-FR"/>
                        </w:rPr>
                      </m:ctrlPr>
                    </m:sSubPr>
                    <m:e>
                      <m:r>
                        <m:rPr>
                          <m:nor/>
                        </m:rPr>
                        <w:rPr>
                          <w:i/>
                          <w:iCs/>
                          <w:szCs w:val="16"/>
                        </w:rPr>
                        <m:t>r</m:t>
                      </m:r>
                    </m:e>
                    <m:sub>
                      <m:r>
                        <m:rPr>
                          <m:nor/>
                        </m:rPr>
                        <w:rPr>
                          <w:i/>
                          <w:iCs/>
                          <w:szCs w:val="16"/>
                        </w:rPr>
                        <m:t>E</m:t>
                      </m:r>
                    </m:sub>
                  </m:sSub>
                  <m:r>
                    <w:rPr>
                      <w:rFonts w:ascii="Cambria Math" w:hAnsi="Cambria Math"/>
                      <w:szCs w:val="16"/>
                    </w:rPr>
                    <m:t>-</m:t>
                  </m:r>
                  <m:r>
                    <m:rPr>
                      <m:nor/>
                    </m:rPr>
                    <w:rPr>
                      <w:i/>
                      <w:iCs/>
                      <w:szCs w:val="16"/>
                    </w:rPr>
                    <m:t>y</m:t>
                  </m:r>
                  <m:r>
                    <w:rPr>
                      <w:rFonts w:ascii="Cambria Math" w:hAnsi="Cambria Math"/>
                      <w:szCs w:val="16"/>
                    </w:rPr>
                    <m:t>∙</m:t>
                  </m:r>
                  <m:r>
                    <m:rPr>
                      <m:nor/>
                    </m:rPr>
                    <w:rPr>
                      <w:i/>
                      <w:iCs/>
                      <w:szCs w:val="16"/>
                    </w:rPr>
                    <m:t>b</m:t>
                  </m:r>
                </m:e>
              </m:d>
              <m:r>
                <w:rPr>
                  <w:rFonts w:ascii="Cambria Math"/>
                  <w:szCs w:val="16"/>
                </w:rPr>
                <m:t>+</m:t>
              </m:r>
              <m:r>
                <m:rPr>
                  <m:nor/>
                </m:rPr>
                <w:rPr>
                  <w:i/>
                  <w:iCs/>
                  <w:szCs w:val="16"/>
                </w:rPr>
                <m:t>y</m:t>
              </m:r>
              <m:r>
                <w:rPr>
                  <w:rFonts w:ascii="Cambria Math" w:eastAsiaTheme="minorEastAsia" w:hAnsi="Cambria Math"/>
                  <w:szCs w:val="16"/>
                </w:rPr>
                <m:t>∙</m:t>
              </m:r>
              <m:sSub>
                <m:sSubPr>
                  <m:ctrlPr>
                    <w:rPr>
                      <w:rFonts w:ascii="Cambria Math" w:hAnsi="Cambria Math"/>
                      <w:i/>
                      <w:szCs w:val="16"/>
                    </w:rPr>
                  </m:ctrlPr>
                </m:sSubPr>
                <m:e>
                  <m:r>
                    <m:rPr>
                      <m:nor/>
                    </m:rPr>
                    <w:rPr>
                      <w:i/>
                      <w:iCs/>
                      <w:szCs w:val="16"/>
                    </w:rPr>
                    <m:t>B</m:t>
                  </m:r>
                </m:e>
                <m:sub>
                  <m:r>
                    <m:rPr>
                      <m:nor/>
                    </m:rPr>
                    <w:rPr>
                      <w:i/>
                      <w:iCs/>
                      <w:szCs w:val="16"/>
                    </w:rPr>
                    <m:t>0</m:t>
                  </m:r>
                </m:sub>
              </m:sSub>
              <m:r>
                <w:rPr>
                  <w:rFonts w:ascii="Cambria Math" w:hAnsi="Cambria Math"/>
                  <w:szCs w:val="16"/>
                </w:rPr>
                <m:t>∙</m:t>
              </m:r>
              <m:d>
                <m:dPr>
                  <m:ctrlPr>
                    <w:rPr>
                      <w:rFonts w:ascii="Cambria Math" w:eastAsiaTheme="minorEastAsia" w:hAnsi="Cambria Math"/>
                      <w:i/>
                      <w:iCs/>
                      <w:szCs w:val="16"/>
                      <w:lang w:val="fr-FR"/>
                    </w:rPr>
                  </m:ctrlPr>
                </m:dPr>
                <m:e>
                  <m:r>
                    <m:rPr>
                      <m:nor/>
                    </m:rPr>
                    <w:rPr>
                      <w:rFonts w:eastAsiaTheme="minorEastAsia"/>
                      <w:i/>
                      <w:szCs w:val="16"/>
                    </w:rPr>
                    <m:t>1</m:t>
                  </m:r>
                  <m:r>
                    <w:rPr>
                      <w:rFonts w:ascii="Cambria Math" w:eastAsiaTheme="minorEastAsia" w:hAnsi="Cambria Math"/>
                      <w:szCs w:val="16"/>
                    </w:rPr>
                    <m:t>-</m:t>
                  </m:r>
                  <m:r>
                    <m:rPr>
                      <m:nor/>
                    </m:rPr>
                    <w:rPr>
                      <w:rFonts w:eastAsiaTheme="minorEastAsia"/>
                      <w:i/>
                      <w:szCs w:val="16"/>
                    </w:rPr>
                    <m:t>b</m:t>
                  </m:r>
                </m:e>
              </m:d>
            </m:num>
            <m:den>
              <m:sSup>
                <m:sSupPr>
                  <m:ctrlPr>
                    <w:rPr>
                      <w:rFonts w:ascii="Cambria Math" w:hAnsi="Cambria Math"/>
                      <w:i/>
                      <w:iCs/>
                      <w:szCs w:val="16"/>
                      <w:lang w:val="fr-FR"/>
                    </w:rPr>
                  </m:ctrlPr>
                </m:sSupPr>
                <m:e>
                  <m:d>
                    <m:dPr>
                      <m:ctrlPr>
                        <w:rPr>
                          <w:rFonts w:ascii="Cambria Math" w:hAnsi="Cambria Math"/>
                          <w:i/>
                          <w:iCs/>
                          <w:szCs w:val="16"/>
                          <w:lang w:val="fr-FR"/>
                        </w:rPr>
                      </m:ctrlPr>
                    </m:dPr>
                    <m:e>
                      <m:sSub>
                        <m:sSubPr>
                          <m:ctrlPr>
                            <w:rPr>
                              <w:rFonts w:ascii="Cambria Math" w:hAnsi="Cambria Math"/>
                              <w:i/>
                              <w:iCs/>
                              <w:szCs w:val="16"/>
                              <w:lang w:val="fr-FR"/>
                            </w:rPr>
                          </m:ctrlPr>
                        </m:sSubPr>
                        <m:e>
                          <m:r>
                            <m:rPr>
                              <m:nor/>
                            </m:rPr>
                            <w:rPr>
                              <w:i/>
                              <w:iCs/>
                              <w:szCs w:val="16"/>
                            </w:rPr>
                            <m:t>r</m:t>
                          </m:r>
                        </m:e>
                        <m:sub>
                          <m:r>
                            <m:rPr>
                              <m:nor/>
                            </m:rPr>
                            <w:rPr>
                              <w:i/>
                              <w:iCs/>
                              <w:szCs w:val="16"/>
                            </w:rPr>
                            <m:t>E</m:t>
                          </m:r>
                        </m:sub>
                      </m:sSub>
                      <m:r>
                        <w:rPr>
                          <w:rFonts w:ascii="Cambria Math" w:hAnsi="Cambria Math"/>
                          <w:szCs w:val="16"/>
                        </w:rPr>
                        <m:t>-</m:t>
                      </m:r>
                      <m:r>
                        <m:rPr>
                          <m:nor/>
                        </m:rPr>
                        <w:rPr>
                          <w:i/>
                          <w:iCs/>
                          <w:szCs w:val="16"/>
                        </w:rPr>
                        <m:t>y</m:t>
                      </m:r>
                      <m:r>
                        <w:rPr>
                          <w:rFonts w:ascii="Cambria Math" w:hAnsi="Cambria Math"/>
                          <w:szCs w:val="16"/>
                        </w:rPr>
                        <m:t>∙</m:t>
                      </m:r>
                      <m:r>
                        <m:rPr>
                          <m:nor/>
                        </m:rPr>
                        <w:rPr>
                          <w:i/>
                          <w:iCs/>
                          <w:szCs w:val="16"/>
                        </w:rPr>
                        <m:t>b</m:t>
                      </m:r>
                    </m:e>
                  </m:d>
                </m:e>
                <m:sup>
                  <m:r>
                    <m:rPr>
                      <m:nor/>
                    </m:rPr>
                    <w:rPr>
                      <w:i/>
                      <w:szCs w:val="16"/>
                    </w:rPr>
                    <m:t>2</m:t>
                  </m:r>
                </m:sup>
              </m:sSup>
            </m:den>
          </m:f>
          <m:r>
            <w:rPr>
              <w:rFonts w:ascii="Cambria Math" w:hAnsi="Cambria Math"/>
              <w:szCs w:val="16"/>
            </w:rPr>
            <m:t>⟹</m:t>
          </m:r>
          <m:r>
            <m:rPr>
              <m:sty m:val="p"/>
            </m:rPr>
            <w:rPr>
              <w:rFonts w:ascii="Cambria Math" w:hAnsi="Cambria Math"/>
              <w:szCs w:val="16"/>
            </w:rPr>
            <w:br/>
          </m:r>
        </m:oMath>
        <m:oMath>
          <m:r>
            <w:rPr>
              <w:rFonts w:ascii="Cambria Math" w:hAnsi="Cambria Math"/>
              <w:szCs w:val="16"/>
            </w:rPr>
            <m:t>⟹</m:t>
          </m:r>
          <m:f>
            <m:fPr>
              <m:ctrlPr>
                <w:rPr>
                  <w:rFonts w:ascii="Cambria Math" w:hAnsi="Cambria Math"/>
                  <w:i/>
                  <w:iCs/>
                  <w:szCs w:val="16"/>
                  <w:lang w:val="fr-FR"/>
                </w:rPr>
              </m:ctrlPr>
            </m:fPr>
            <m:num>
              <m:r>
                <w:rPr>
                  <w:rFonts w:ascii="Cambria Math" w:hAnsi="Cambria Math"/>
                  <w:szCs w:val="16"/>
                  <w:lang w:val="fr-FR"/>
                </w:rPr>
                <m:t>∂</m:t>
              </m:r>
              <m:r>
                <m:rPr>
                  <m:nor/>
                </m:rPr>
                <w:rPr>
                  <w:i/>
                  <w:iCs/>
                  <w:szCs w:val="16"/>
                </w:rPr>
                <m:t>V</m:t>
              </m:r>
            </m:num>
            <m:den>
              <m:r>
                <w:rPr>
                  <w:rFonts w:ascii="Cambria Math" w:hAnsi="Cambria Math"/>
                  <w:szCs w:val="16"/>
                  <w:lang w:val="fr-FR"/>
                </w:rPr>
                <m:t>∂</m:t>
              </m:r>
              <m:r>
                <m:rPr>
                  <m:nor/>
                </m:rPr>
                <w:rPr>
                  <w:i/>
                  <w:iCs/>
                  <w:szCs w:val="16"/>
                </w:rPr>
                <m:t>b</m:t>
              </m:r>
            </m:den>
          </m:f>
          <m:r>
            <w:rPr>
              <w:rFonts w:ascii="Cambria Math" w:eastAsiaTheme="minorEastAsia" w:hAnsi="Cambria Math"/>
              <w:szCs w:val="16"/>
            </w:rPr>
            <m:t>=</m:t>
          </m:r>
          <m:f>
            <m:fPr>
              <m:ctrlPr>
                <w:rPr>
                  <w:rFonts w:ascii="Cambria Math" w:eastAsiaTheme="minorEastAsia" w:hAnsi="Cambria Math"/>
                  <w:i/>
                  <w:szCs w:val="16"/>
                  <w:lang w:val="fr-FR"/>
                </w:rPr>
              </m:ctrlPr>
            </m:fPr>
            <m:num>
              <m:r>
                <w:rPr>
                  <w:rFonts w:ascii="Cambria Math" w:eastAsiaTheme="minorEastAsia" w:hAnsi="Cambria Math"/>
                  <w:szCs w:val="16"/>
                </w:rPr>
                <m:t>-</m:t>
              </m:r>
              <m:sSub>
                <m:sSubPr>
                  <m:ctrlPr>
                    <w:rPr>
                      <w:rFonts w:ascii="Cambria Math" w:hAnsi="Cambria Math"/>
                      <w:i/>
                      <w:szCs w:val="16"/>
                    </w:rPr>
                  </m:ctrlPr>
                </m:sSubPr>
                <m:e>
                  <m:r>
                    <m:rPr>
                      <m:nor/>
                    </m:rPr>
                    <w:rPr>
                      <w:i/>
                      <w:iCs/>
                      <w:szCs w:val="16"/>
                    </w:rPr>
                    <m:t>B</m:t>
                  </m:r>
                </m:e>
                <m:sub>
                  <m:r>
                    <m:rPr>
                      <m:nor/>
                    </m:rPr>
                    <w:rPr>
                      <w:i/>
                      <w:iCs/>
                      <w:szCs w:val="16"/>
                    </w:rPr>
                    <m:t>0</m:t>
                  </m:r>
                </m:sub>
              </m:sSub>
              <m:r>
                <w:rPr>
                  <w:rFonts w:ascii="Cambria Math" w:eastAsiaTheme="minorEastAsia" w:hAnsi="Cambria Math"/>
                  <w:szCs w:val="16"/>
                </w:rPr>
                <m:t>∙</m:t>
              </m:r>
              <m:sSub>
                <m:sSubPr>
                  <m:ctrlPr>
                    <w:rPr>
                      <w:rFonts w:ascii="Cambria Math" w:hAnsi="Cambria Math"/>
                      <w:i/>
                      <w:iCs/>
                      <w:szCs w:val="16"/>
                      <w:lang w:val="fr-FR"/>
                    </w:rPr>
                  </m:ctrlPr>
                </m:sSubPr>
                <m:e>
                  <m:r>
                    <m:rPr>
                      <m:nor/>
                    </m:rPr>
                    <w:rPr>
                      <w:i/>
                      <w:iCs/>
                      <w:szCs w:val="16"/>
                    </w:rPr>
                    <m:t>r</m:t>
                  </m:r>
                </m:e>
                <m:sub>
                  <m:r>
                    <m:rPr>
                      <m:nor/>
                    </m:rPr>
                    <w:rPr>
                      <w:i/>
                      <w:iCs/>
                      <w:szCs w:val="16"/>
                    </w:rPr>
                    <m:t>E</m:t>
                  </m:r>
                </m:sub>
              </m:sSub>
              <m:r>
                <w:rPr>
                  <w:rFonts w:ascii="Cambria Math" w:eastAsiaTheme="minorEastAsia" w:hAnsi="Cambria Math"/>
                  <w:szCs w:val="16"/>
                </w:rPr>
                <m:t>+</m:t>
              </m:r>
              <m:sSub>
                <m:sSubPr>
                  <m:ctrlPr>
                    <w:rPr>
                      <w:rFonts w:ascii="Cambria Math" w:hAnsi="Cambria Math"/>
                      <w:i/>
                      <w:strike/>
                      <w:szCs w:val="16"/>
                    </w:rPr>
                  </m:ctrlPr>
                </m:sSubPr>
                <m:e>
                  <m:r>
                    <m:rPr>
                      <m:nor/>
                    </m:rPr>
                    <w:rPr>
                      <w:i/>
                      <w:iCs/>
                      <w:strike/>
                      <w:szCs w:val="16"/>
                    </w:rPr>
                    <m:t>B</m:t>
                  </m:r>
                </m:e>
                <m:sub>
                  <m:r>
                    <m:rPr>
                      <m:nor/>
                    </m:rPr>
                    <w:rPr>
                      <w:i/>
                      <w:iCs/>
                      <w:strike/>
                      <w:szCs w:val="16"/>
                    </w:rPr>
                    <m:t>0</m:t>
                  </m:r>
                </m:sub>
              </m:sSub>
              <m:r>
                <w:rPr>
                  <w:rFonts w:ascii="Cambria Math" w:eastAsiaTheme="minorEastAsia" w:hAnsi="Cambria Math"/>
                  <w:strike/>
                  <w:szCs w:val="16"/>
                </w:rPr>
                <m:t>∙</m:t>
              </m:r>
              <m:r>
                <m:rPr>
                  <m:nor/>
                </m:rPr>
                <w:rPr>
                  <w:i/>
                  <w:iCs/>
                  <w:strike/>
                  <w:szCs w:val="16"/>
                </w:rPr>
                <m:t>y</m:t>
              </m:r>
              <m:r>
                <w:rPr>
                  <w:rFonts w:ascii="Cambria Math" w:hAnsi="Cambria Math"/>
                  <w:strike/>
                  <w:szCs w:val="16"/>
                </w:rPr>
                <m:t>∙</m:t>
              </m:r>
              <m:r>
                <m:rPr>
                  <m:nor/>
                </m:rPr>
                <w:rPr>
                  <w:i/>
                  <w:iCs/>
                  <w:strike/>
                  <w:szCs w:val="16"/>
                </w:rPr>
                <m:t>b</m:t>
              </m:r>
              <m:r>
                <w:rPr>
                  <w:rFonts w:ascii="Cambria Math"/>
                  <w:szCs w:val="16"/>
                </w:rPr>
                <m:t>+</m:t>
              </m:r>
              <m:r>
                <m:rPr>
                  <m:nor/>
                </m:rPr>
                <w:rPr>
                  <w:i/>
                  <w:iCs/>
                  <w:szCs w:val="16"/>
                </w:rPr>
                <m:t>y</m:t>
              </m:r>
              <m:r>
                <w:rPr>
                  <w:rFonts w:ascii="Cambria Math" w:hAnsi="Cambria Math"/>
                  <w:szCs w:val="16"/>
                </w:rPr>
                <m:t>∙</m:t>
              </m:r>
              <m:sSub>
                <m:sSubPr>
                  <m:ctrlPr>
                    <w:rPr>
                      <w:rFonts w:ascii="Cambria Math" w:hAnsi="Cambria Math"/>
                      <w:i/>
                      <w:szCs w:val="16"/>
                    </w:rPr>
                  </m:ctrlPr>
                </m:sSubPr>
                <m:e>
                  <m:r>
                    <m:rPr>
                      <m:nor/>
                    </m:rPr>
                    <w:rPr>
                      <w:i/>
                      <w:iCs/>
                      <w:szCs w:val="16"/>
                    </w:rPr>
                    <m:t>B</m:t>
                  </m:r>
                </m:e>
                <m:sub>
                  <m:r>
                    <m:rPr>
                      <m:nor/>
                    </m:rPr>
                    <w:rPr>
                      <w:i/>
                      <w:iCs/>
                      <w:szCs w:val="16"/>
                    </w:rPr>
                    <m:t>0</m:t>
                  </m:r>
                </m:sub>
              </m:sSub>
              <m:r>
                <w:rPr>
                  <w:rFonts w:ascii="Cambria Math" w:eastAsiaTheme="minorEastAsia" w:hAnsi="Cambria Math"/>
                  <w:szCs w:val="16"/>
                </w:rPr>
                <m:t>-</m:t>
              </m:r>
              <m:r>
                <m:rPr>
                  <m:nor/>
                </m:rPr>
                <w:rPr>
                  <w:i/>
                  <w:iCs/>
                  <w:strike/>
                  <w:szCs w:val="16"/>
                </w:rPr>
                <m:t>y</m:t>
              </m:r>
              <m:r>
                <w:rPr>
                  <w:rFonts w:ascii="Cambria Math" w:hAnsi="Cambria Math"/>
                  <w:strike/>
                  <w:szCs w:val="16"/>
                </w:rPr>
                <m:t>∙</m:t>
              </m:r>
              <m:r>
                <m:rPr>
                  <m:nor/>
                </m:rPr>
                <w:rPr>
                  <w:rFonts w:eastAsiaTheme="minorEastAsia"/>
                  <w:i/>
                  <w:strike/>
                  <w:szCs w:val="16"/>
                </w:rPr>
                <m:t>b</m:t>
              </m:r>
              <m:r>
                <w:rPr>
                  <w:rFonts w:ascii="Cambria Math" w:eastAsiaTheme="minorEastAsia" w:hAnsi="Cambria Math"/>
                  <w:strike/>
                  <w:szCs w:val="16"/>
                </w:rPr>
                <m:t>∙</m:t>
              </m:r>
              <m:sSub>
                <m:sSubPr>
                  <m:ctrlPr>
                    <w:rPr>
                      <w:rFonts w:ascii="Cambria Math" w:hAnsi="Cambria Math"/>
                      <w:i/>
                      <w:strike/>
                      <w:szCs w:val="16"/>
                    </w:rPr>
                  </m:ctrlPr>
                </m:sSubPr>
                <m:e>
                  <m:r>
                    <m:rPr>
                      <m:nor/>
                    </m:rPr>
                    <w:rPr>
                      <w:i/>
                      <w:iCs/>
                      <w:strike/>
                      <w:szCs w:val="16"/>
                    </w:rPr>
                    <m:t>B</m:t>
                  </m:r>
                </m:e>
                <m:sub>
                  <m:r>
                    <m:rPr>
                      <m:nor/>
                    </m:rPr>
                    <w:rPr>
                      <w:i/>
                      <w:iCs/>
                      <w:strike/>
                      <w:szCs w:val="16"/>
                    </w:rPr>
                    <m:t>0</m:t>
                  </m:r>
                </m:sub>
              </m:sSub>
            </m:num>
            <m:den>
              <m:sSup>
                <m:sSupPr>
                  <m:ctrlPr>
                    <w:rPr>
                      <w:rFonts w:ascii="Cambria Math" w:hAnsi="Cambria Math"/>
                      <w:i/>
                      <w:iCs/>
                      <w:szCs w:val="16"/>
                      <w:lang w:val="fr-FR"/>
                    </w:rPr>
                  </m:ctrlPr>
                </m:sSupPr>
                <m:e>
                  <m:d>
                    <m:dPr>
                      <m:ctrlPr>
                        <w:rPr>
                          <w:rFonts w:ascii="Cambria Math" w:hAnsi="Cambria Math"/>
                          <w:i/>
                          <w:iCs/>
                          <w:szCs w:val="16"/>
                          <w:lang w:val="fr-FR"/>
                        </w:rPr>
                      </m:ctrlPr>
                    </m:dPr>
                    <m:e>
                      <m:sSub>
                        <m:sSubPr>
                          <m:ctrlPr>
                            <w:rPr>
                              <w:rFonts w:ascii="Cambria Math" w:hAnsi="Cambria Math"/>
                              <w:i/>
                              <w:iCs/>
                              <w:szCs w:val="16"/>
                              <w:lang w:val="fr-FR"/>
                            </w:rPr>
                          </m:ctrlPr>
                        </m:sSubPr>
                        <m:e>
                          <m:r>
                            <m:rPr>
                              <m:nor/>
                            </m:rPr>
                            <w:rPr>
                              <w:i/>
                              <w:iCs/>
                              <w:szCs w:val="16"/>
                            </w:rPr>
                            <m:t>r</m:t>
                          </m:r>
                        </m:e>
                        <m:sub>
                          <m:r>
                            <m:rPr>
                              <m:nor/>
                            </m:rPr>
                            <w:rPr>
                              <w:i/>
                              <w:iCs/>
                              <w:szCs w:val="16"/>
                            </w:rPr>
                            <m:t>E</m:t>
                          </m:r>
                        </m:sub>
                      </m:sSub>
                      <m:r>
                        <w:rPr>
                          <w:rFonts w:ascii="Cambria Math" w:hAnsi="Cambria Math"/>
                          <w:szCs w:val="16"/>
                        </w:rPr>
                        <m:t>-</m:t>
                      </m:r>
                      <m:r>
                        <m:rPr>
                          <m:nor/>
                        </m:rPr>
                        <w:rPr>
                          <w:i/>
                          <w:iCs/>
                          <w:szCs w:val="16"/>
                        </w:rPr>
                        <m:t>y</m:t>
                      </m:r>
                      <m:r>
                        <w:rPr>
                          <w:rFonts w:ascii="Cambria Math" w:hAnsi="Cambria Math"/>
                          <w:szCs w:val="16"/>
                        </w:rPr>
                        <m:t>∙</m:t>
                      </m:r>
                      <m:r>
                        <m:rPr>
                          <m:nor/>
                        </m:rPr>
                        <w:rPr>
                          <w:i/>
                          <w:iCs/>
                          <w:szCs w:val="16"/>
                        </w:rPr>
                        <m:t>b</m:t>
                      </m:r>
                    </m:e>
                  </m:d>
                </m:e>
                <m:sup>
                  <m:r>
                    <m:rPr>
                      <m:nor/>
                    </m:rPr>
                    <w:rPr>
                      <w:i/>
                      <w:szCs w:val="16"/>
                    </w:rPr>
                    <m:t>2</m:t>
                  </m:r>
                </m:sup>
              </m:sSup>
            </m:den>
          </m:f>
          <m:r>
            <w:rPr>
              <w:rFonts w:ascii="Cambria Math" w:hAnsi="Cambria Math"/>
              <w:szCs w:val="16"/>
            </w:rPr>
            <m:t>⟹</m:t>
          </m:r>
          <m:borderBox>
            <m:borderBoxPr>
              <m:ctrlPr>
                <w:rPr>
                  <w:rFonts w:ascii="Cambria Math" w:hAnsi="Cambria Math"/>
                  <w:i/>
                  <w:iCs/>
                  <w:szCs w:val="16"/>
                  <w:lang w:val="fr-FR"/>
                </w:rPr>
              </m:ctrlPr>
            </m:borderBoxPr>
            <m:e>
              <m:f>
                <m:fPr>
                  <m:ctrlPr>
                    <w:rPr>
                      <w:rFonts w:ascii="Cambria Math" w:hAnsi="Cambria Math"/>
                      <w:i/>
                      <w:iCs/>
                      <w:szCs w:val="16"/>
                      <w:lang w:val="fr-FR"/>
                    </w:rPr>
                  </m:ctrlPr>
                </m:fPr>
                <m:num>
                  <m:r>
                    <w:rPr>
                      <w:rFonts w:ascii="Cambria Math" w:hAnsi="Cambria Math"/>
                      <w:szCs w:val="16"/>
                      <w:lang w:val="fr-FR"/>
                    </w:rPr>
                    <m:t>∂</m:t>
                  </m:r>
                  <m:r>
                    <m:rPr>
                      <m:nor/>
                    </m:rPr>
                    <w:rPr>
                      <w:i/>
                      <w:iCs/>
                      <w:szCs w:val="16"/>
                    </w:rPr>
                    <m:t>V</m:t>
                  </m:r>
                </m:num>
                <m:den>
                  <m:r>
                    <w:rPr>
                      <w:rFonts w:ascii="Cambria Math" w:hAnsi="Cambria Math"/>
                      <w:szCs w:val="16"/>
                      <w:lang w:val="fr-FR"/>
                    </w:rPr>
                    <m:t>∂</m:t>
                  </m:r>
                  <m:r>
                    <m:rPr>
                      <m:nor/>
                    </m:rPr>
                    <w:rPr>
                      <w:i/>
                      <w:iCs/>
                      <w:szCs w:val="16"/>
                    </w:rPr>
                    <m:t>b</m:t>
                  </m:r>
                </m:den>
              </m:f>
              <m:r>
                <w:rPr>
                  <w:rFonts w:ascii="Cambria Math" w:eastAsiaTheme="minorEastAsia" w:hAnsi="Cambria Math"/>
                  <w:szCs w:val="16"/>
                </w:rPr>
                <m:t>=</m:t>
              </m:r>
              <m:f>
                <m:fPr>
                  <m:ctrlPr>
                    <w:rPr>
                      <w:rFonts w:ascii="Cambria Math" w:eastAsiaTheme="minorEastAsia" w:hAnsi="Cambria Math"/>
                      <w:i/>
                      <w:szCs w:val="16"/>
                      <w:lang w:val="fr-FR"/>
                    </w:rPr>
                  </m:ctrlPr>
                </m:fPr>
                <m:num>
                  <m:sSub>
                    <m:sSubPr>
                      <m:ctrlPr>
                        <w:rPr>
                          <w:rFonts w:ascii="Cambria Math" w:hAnsi="Cambria Math"/>
                          <w:i/>
                          <w:szCs w:val="16"/>
                        </w:rPr>
                      </m:ctrlPr>
                    </m:sSubPr>
                    <m:e>
                      <m:r>
                        <m:rPr>
                          <m:nor/>
                        </m:rPr>
                        <w:rPr>
                          <w:i/>
                          <w:iCs/>
                          <w:szCs w:val="16"/>
                        </w:rPr>
                        <m:t>B</m:t>
                      </m:r>
                    </m:e>
                    <m:sub>
                      <m:r>
                        <m:rPr>
                          <m:nor/>
                        </m:rPr>
                        <w:rPr>
                          <w:i/>
                          <w:iCs/>
                          <w:szCs w:val="16"/>
                        </w:rPr>
                        <m:t>0</m:t>
                      </m:r>
                    </m:sub>
                  </m:sSub>
                  <m:r>
                    <w:rPr>
                      <w:rFonts w:ascii="Cambria Math" w:eastAsiaTheme="minorEastAsia" w:hAnsi="Cambria Math"/>
                      <w:szCs w:val="16"/>
                    </w:rPr>
                    <m:t>∙</m:t>
                  </m:r>
                  <m:d>
                    <m:dPr>
                      <m:ctrlPr>
                        <w:rPr>
                          <w:rFonts w:ascii="Cambria Math" w:eastAsiaTheme="minorEastAsia" w:hAnsi="Cambria Math"/>
                          <w:i/>
                          <w:iCs/>
                          <w:szCs w:val="16"/>
                        </w:rPr>
                      </m:ctrlPr>
                    </m:dPr>
                    <m:e>
                      <m:r>
                        <m:rPr>
                          <m:nor/>
                        </m:rPr>
                        <w:rPr>
                          <w:i/>
                          <w:iCs/>
                          <w:szCs w:val="16"/>
                        </w:rPr>
                        <m:t>y</m:t>
                      </m:r>
                      <m:r>
                        <w:rPr>
                          <w:rFonts w:ascii="Cambria Math" w:hAnsi="Cambria Math"/>
                          <w:szCs w:val="16"/>
                        </w:rPr>
                        <m:t>-</m:t>
                      </m:r>
                      <m:sSub>
                        <m:sSubPr>
                          <m:ctrlPr>
                            <w:rPr>
                              <w:rFonts w:ascii="Cambria Math" w:hAnsi="Cambria Math"/>
                              <w:i/>
                              <w:iCs/>
                              <w:szCs w:val="16"/>
                              <w:lang w:val="fr-FR"/>
                            </w:rPr>
                          </m:ctrlPr>
                        </m:sSubPr>
                        <m:e>
                          <m:r>
                            <m:rPr>
                              <m:nor/>
                            </m:rPr>
                            <w:rPr>
                              <w:i/>
                              <w:iCs/>
                              <w:szCs w:val="16"/>
                            </w:rPr>
                            <m:t>r</m:t>
                          </m:r>
                        </m:e>
                        <m:sub>
                          <m:r>
                            <m:rPr>
                              <m:nor/>
                            </m:rPr>
                            <w:rPr>
                              <w:i/>
                              <w:iCs/>
                              <w:szCs w:val="16"/>
                            </w:rPr>
                            <m:t>E</m:t>
                          </m:r>
                        </m:sub>
                      </m:sSub>
                    </m:e>
                  </m:d>
                </m:num>
                <m:den>
                  <m:sSup>
                    <m:sSupPr>
                      <m:ctrlPr>
                        <w:rPr>
                          <w:rFonts w:ascii="Cambria Math" w:hAnsi="Cambria Math"/>
                          <w:i/>
                          <w:iCs/>
                          <w:szCs w:val="16"/>
                          <w:lang w:val="fr-FR"/>
                        </w:rPr>
                      </m:ctrlPr>
                    </m:sSupPr>
                    <m:e>
                      <m:d>
                        <m:dPr>
                          <m:ctrlPr>
                            <w:rPr>
                              <w:rFonts w:ascii="Cambria Math" w:hAnsi="Cambria Math"/>
                              <w:i/>
                              <w:iCs/>
                              <w:szCs w:val="16"/>
                              <w:lang w:val="fr-FR"/>
                            </w:rPr>
                          </m:ctrlPr>
                        </m:dPr>
                        <m:e>
                          <m:sSub>
                            <m:sSubPr>
                              <m:ctrlPr>
                                <w:rPr>
                                  <w:rFonts w:ascii="Cambria Math" w:hAnsi="Cambria Math"/>
                                  <w:i/>
                                  <w:iCs/>
                                  <w:szCs w:val="16"/>
                                  <w:lang w:val="fr-FR"/>
                                </w:rPr>
                              </m:ctrlPr>
                            </m:sSubPr>
                            <m:e>
                              <m:r>
                                <m:rPr>
                                  <m:nor/>
                                </m:rPr>
                                <w:rPr>
                                  <w:i/>
                                  <w:iCs/>
                                  <w:szCs w:val="16"/>
                                </w:rPr>
                                <m:t>r</m:t>
                              </m:r>
                            </m:e>
                            <m:sub>
                              <m:r>
                                <m:rPr>
                                  <m:nor/>
                                </m:rPr>
                                <w:rPr>
                                  <w:i/>
                                  <w:iCs/>
                                  <w:szCs w:val="16"/>
                                </w:rPr>
                                <m:t>E</m:t>
                              </m:r>
                            </m:sub>
                          </m:sSub>
                          <m:r>
                            <w:rPr>
                              <w:rFonts w:ascii="Cambria Math" w:hAnsi="Cambria Math"/>
                              <w:szCs w:val="16"/>
                            </w:rPr>
                            <m:t>-</m:t>
                          </m:r>
                          <m:r>
                            <m:rPr>
                              <m:nor/>
                            </m:rPr>
                            <w:rPr>
                              <w:i/>
                              <w:iCs/>
                              <w:szCs w:val="16"/>
                            </w:rPr>
                            <m:t>y</m:t>
                          </m:r>
                          <m:r>
                            <w:rPr>
                              <w:rFonts w:ascii="Cambria Math" w:hAnsi="Cambria Math"/>
                              <w:szCs w:val="16"/>
                            </w:rPr>
                            <m:t>∙</m:t>
                          </m:r>
                          <m:r>
                            <m:rPr>
                              <m:nor/>
                            </m:rPr>
                            <w:rPr>
                              <w:i/>
                              <w:iCs/>
                              <w:szCs w:val="16"/>
                            </w:rPr>
                            <m:t>b</m:t>
                          </m:r>
                        </m:e>
                      </m:d>
                    </m:e>
                    <m:sup>
                      <m:r>
                        <m:rPr>
                          <m:nor/>
                        </m:rPr>
                        <w:rPr>
                          <w:i/>
                          <w:iCs/>
                          <w:szCs w:val="16"/>
                        </w:rPr>
                        <m:t>2</m:t>
                      </m:r>
                    </m:sup>
                  </m:sSup>
                </m:den>
              </m:f>
            </m:e>
          </m:borderBox>
        </m:oMath>
      </m:oMathPara>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1B770E" w:rsidRPr="00C44422" w14:paraId="5293460B" w14:textId="77777777" w:rsidTr="00DF50DA">
      <w:trPr>
        <w:trHeight w:val="136"/>
        <w:jc w:val="center"/>
      </w:trPr>
      <w:bookmarkStart w:id="79" w:name="_Hlk72149218" w:displacedByCustomXml="next"/>
      <w:sdt>
        <w:sdtPr>
          <w:rPr>
            <w:b/>
            <w:bCs/>
            <w:i/>
            <w:iCs/>
            <w:caps/>
            <w:color w:val="5F2987"/>
            <w:sz w:val="18"/>
            <w:szCs w:val="18"/>
          </w:rPr>
          <w:alias w:val="Title"/>
          <w:tag w:val=""/>
          <w:id w:val="-1308857006"/>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2E9A7BD2" w14:textId="1E0D6A6A" w:rsidR="001B770E" w:rsidRPr="00C44422" w:rsidRDefault="001B770E" w:rsidP="00DF50DA">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3.B.3</w:t>
              </w:r>
            </w:p>
          </w:tc>
        </w:sdtContent>
      </w:sdt>
      <w:tc>
        <w:tcPr>
          <w:tcW w:w="7088" w:type="dxa"/>
          <w:vAlign w:val="center"/>
        </w:tcPr>
        <w:sdt>
          <w:sdtPr>
            <w:rPr>
              <w:i/>
              <w:iCs/>
              <w:color w:val="5F2987"/>
              <w:sz w:val="18"/>
              <w:szCs w:val="18"/>
            </w:rPr>
            <w:alias w:val="Subject"/>
            <w:tag w:val=""/>
            <w:id w:val="1147391997"/>
            <w:dataBinding w:prefixMappings="xmlns:ns0='http://purl.org/dc/elements/1.1/' xmlns:ns1='http://schemas.openxmlformats.org/package/2006/metadata/core-properties' " w:xpath="/ns1:coreProperties[1]/ns0:subject[1]" w:storeItemID="{6C3C8BC8-F283-45AE-878A-BAB7291924A1}"/>
            <w:text/>
          </w:sdtPr>
          <w:sdtContent>
            <w:p w14:paraId="778CE4F4" w14:textId="28E42631" w:rsidR="001B770E" w:rsidRPr="00C44422" w:rsidRDefault="00403890" w:rsidP="00DF50DA">
              <w:pPr>
                <w:pStyle w:val="Encabezado"/>
                <w:spacing w:after="0"/>
                <w:ind w:right="-110"/>
                <w:contextualSpacing/>
                <w:jc w:val="center"/>
                <w:rPr>
                  <w:i/>
                  <w:iCs/>
                  <w:color w:val="5F2987"/>
                  <w:sz w:val="18"/>
                  <w:szCs w:val="18"/>
                </w:rPr>
              </w:pPr>
              <w:r>
                <w:rPr>
                  <w:i/>
                  <w:iCs/>
                  <w:color w:val="5F2987"/>
                  <w:sz w:val="18"/>
                  <w:szCs w:val="18"/>
                </w:rPr>
                <w:t>La empresa y las decisiones de financiación. Financiación propia frente a financiación ajena. Política de dividendos y estructura del capital.</w:t>
              </w:r>
            </w:p>
          </w:sdtContent>
        </w:sdt>
      </w:tc>
      <w:sdt>
        <w:sdtPr>
          <w:rPr>
            <w:b/>
            <w:bCs/>
            <w:i/>
            <w:iCs/>
            <w:color w:val="5F2987"/>
            <w:spacing w:val="-6"/>
            <w:sz w:val="18"/>
            <w:szCs w:val="18"/>
          </w:rPr>
          <w:alias w:val="Author"/>
          <w:tag w:val=""/>
          <w:id w:val="-206470490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73385149" w14:textId="77777777" w:rsidR="001B770E" w:rsidRPr="00C44422" w:rsidRDefault="001B770E" w:rsidP="00DF50DA">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bookmarkEnd w:id="79"/>
  </w:tbl>
  <w:p w14:paraId="6DC50727" w14:textId="77777777" w:rsidR="002756C0" w:rsidRPr="00B70943" w:rsidRDefault="002756C0" w:rsidP="00B70943">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3D772C" w:rsidRPr="00C44422" w14:paraId="440975D2" w14:textId="77777777" w:rsidTr="00DF50DA">
      <w:trPr>
        <w:trHeight w:val="136"/>
        <w:jc w:val="center"/>
      </w:trPr>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4292206A" w14:textId="3E39E0C6" w:rsidR="003D772C" w:rsidRPr="00C44422" w:rsidRDefault="003D772C" w:rsidP="00DF50DA">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3.B.3</w:t>
              </w:r>
            </w:p>
          </w:tc>
        </w:sdtContent>
      </w:sdt>
      <w:tc>
        <w:tcPr>
          <w:tcW w:w="7088" w:type="dxa"/>
          <w:vAlign w:val="center"/>
        </w:tcPr>
        <w:sdt>
          <w:sdtPr>
            <w:rPr>
              <w:i/>
              <w:iCs/>
              <w:color w:val="5F2987"/>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7AF26A0E" w14:textId="53A0E2E4" w:rsidR="003D772C" w:rsidRPr="00C44422" w:rsidRDefault="00403890" w:rsidP="00DF50DA">
              <w:pPr>
                <w:pStyle w:val="Encabezado"/>
                <w:spacing w:after="0"/>
                <w:ind w:right="-110"/>
                <w:contextualSpacing/>
                <w:jc w:val="center"/>
                <w:rPr>
                  <w:i/>
                  <w:iCs/>
                  <w:color w:val="5F2987"/>
                  <w:sz w:val="18"/>
                  <w:szCs w:val="18"/>
                </w:rPr>
              </w:pPr>
              <w:r>
                <w:rPr>
                  <w:i/>
                  <w:iCs/>
                  <w:color w:val="5F2987"/>
                  <w:sz w:val="18"/>
                  <w:szCs w:val="18"/>
                </w:rPr>
                <w:t>La empresa y las decisiones de financiación. Financiación propia frente a financiación ajena. Política de dividendos y estructura del capital.</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40DB9C56" w14:textId="77777777" w:rsidR="003D772C" w:rsidRPr="00C44422" w:rsidRDefault="003D772C" w:rsidP="00DF50DA">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5647FE1E" w14:textId="77777777" w:rsidR="008274D7" w:rsidRPr="004C465C" w:rsidRDefault="008274D7" w:rsidP="00B70943">
    <w:pPr>
      <w:pStyle w:val="Encabezado"/>
      <w:spacing w:after="0"/>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3D772C" w:rsidRPr="00BE1B62" w14:paraId="119D3806" w14:textId="77777777" w:rsidTr="00666E14">
      <w:tc>
        <w:tcPr>
          <w:tcW w:w="3261" w:type="dxa"/>
          <w:tcBorders>
            <w:bottom w:val="thickThinSmallGap" w:sz="12" w:space="0" w:color="5F2987"/>
          </w:tcBorders>
        </w:tcPr>
        <w:p w14:paraId="76AD5E09" w14:textId="76EB301E" w:rsidR="003D772C" w:rsidRPr="00BE1B62" w:rsidRDefault="003D772C" w:rsidP="006155EF">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583A5D">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73FD6ADD" w14:textId="77777777" w:rsidR="003D772C" w:rsidRPr="00BE1B62" w:rsidRDefault="003D772C" w:rsidP="006155EF">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432435049"/>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5BF99A31" w14:textId="22C8DE40" w:rsidR="003D772C" w:rsidRPr="00BE1B62" w:rsidRDefault="003D772C" w:rsidP="006155EF">
              <w:pPr>
                <w:pStyle w:val="Encabezado"/>
                <w:spacing w:after="0"/>
                <w:jc w:val="right"/>
                <w:rPr>
                  <w:i/>
                  <w:iCs/>
                  <w:color w:val="5F2987"/>
                  <w:spacing w:val="-6"/>
                  <w:sz w:val="18"/>
                  <w:szCs w:val="18"/>
                </w:rPr>
              </w:pPr>
              <w:r>
                <w:rPr>
                  <w:i/>
                  <w:iCs/>
                  <w:color w:val="5F2987"/>
                  <w:spacing w:val="-6"/>
                  <w:sz w:val="20"/>
                  <w:szCs w:val="20"/>
                </w:rPr>
                <w:t>3.B.3</w:t>
              </w:r>
            </w:p>
          </w:tc>
        </w:sdtContent>
      </w:sdt>
    </w:tr>
  </w:tbl>
  <w:p w14:paraId="36D145CB" w14:textId="77777777" w:rsidR="002756C0" w:rsidRPr="00BE1B62" w:rsidRDefault="002756C0" w:rsidP="006155EF">
    <w:pPr>
      <w:pStyle w:val="Encabezado"/>
      <w:spacing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224619"/>
    <w:multiLevelType w:val="hybridMultilevel"/>
    <w:tmpl w:val="91724A0A"/>
    <w:lvl w:ilvl="0" w:tplc="FFFFFFFF">
      <w:start w:val="1"/>
      <w:numFmt w:val="lowerRoman"/>
      <w:lvlText w:val="%1."/>
      <w:lvlJc w:val="right"/>
      <w:pPr>
        <w:ind w:left="1429" w:hanging="360"/>
      </w:pPr>
      <w:rPr>
        <w:i/>
        <w:iCs/>
      </w:rPr>
    </w:lvl>
    <w:lvl w:ilvl="1" w:tplc="FFFFFFFF">
      <w:start w:val="1"/>
      <w:numFmt w:val="lowerLetter"/>
      <w:lvlText w:val="%2."/>
      <w:lvlJc w:val="left"/>
      <w:pPr>
        <w:ind w:left="2149" w:hanging="360"/>
      </w:pPr>
    </w:lvl>
    <w:lvl w:ilvl="2" w:tplc="FFFFFFFF">
      <w:start w:val="1"/>
      <w:numFmt w:val="lowerRoman"/>
      <w:lvlText w:val="%3."/>
      <w:lvlJc w:val="right"/>
      <w:pPr>
        <w:ind w:left="2869" w:hanging="180"/>
      </w:pPr>
      <w:rPr>
        <w:i/>
        <w:iCs/>
      </w:rPr>
    </w:lvl>
    <w:lvl w:ilvl="3" w:tplc="0D68C970">
      <w:start w:val="1"/>
      <w:numFmt w:val="lowerLetter"/>
      <w:lvlText w:val="%4)"/>
      <w:lvlJc w:val="right"/>
      <w:pPr>
        <w:ind w:left="3589" w:hanging="360"/>
      </w:pPr>
      <w:rPr>
        <w:rFonts w:hint="default"/>
        <w:i/>
        <w:iCs/>
      </w:rPr>
    </w:lvl>
    <w:lvl w:ilvl="4" w:tplc="FFFFFFFF">
      <w:start w:val="1"/>
      <w:numFmt w:val="lowerLetter"/>
      <w:lvlText w:val="%5."/>
      <w:lvlJc w:val="left"/>
      <w:pPr>
        <w:ind w:left="4309" w:hanging="360"/>
      </w:pPr>
    </w:lvl>
    <w:lvl w:ilvl="5" w:tplc="C7FC8860">
      <w:start w:val="1"/>
      <w:numFmt w:val="lowerRoman"/>
      <w:lvlText w:val="%6)"/>
      <w:lvlJc w:val="right"/>
      <w:pPr>
        <w:ind w:left="5569" w:hanging="720"/>
      </w:pPr>
      <w:rPr>
        <w:rFonts w:hint="default"/>
        <w:i/>
      </w:rPr>
    </w:lvl>
    <w:lvl w:ilvl="6" w:tplc="52F85884">
      <w:start w:val="1"/>
      <w:numFmt w:val="decimal"/>
      <w:lvlText w:val="%7)"/>
      <w:lvlJc w:val="left"/>
      <w:pPr>
        <w:ind w:left="5749" w:hanging="360"/>
      </w:pPr>
      <w:rPr>
        <w:rFonts w:hint="default"/>
      </w:r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1" w15:restartNumberingAfterBreak="0">
    <w:nsid w:val="0627486C"/>
    <w:multiLevelType w:val="hybridMultilevel"/>
    <w:tmpl w:val="31FC15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start w:val="1"/>
      <w:numFmt w:val="lowerRoman"/>
      <w:lvlText w:val="%6."/>
      <w:lvlJc w:val="right"/>
      <w:pPr>
        <w:ind w:left="5029" w:hanging="180"/>
      </w:pPr>
    </w:lvl>
    <w:lvl w:ilvl="6" w:tplc="0C0A000F">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3" w15:restartNumberingAfterBreak="0">
    <w:nsid w:val="08B65A57"/>
    <w:multiLevelType w:val="hybridMultilevel"/>
    <w:tmpl w:val="69C29C5C"/>
    <w:lvl w:ilvl="0" w:tplc="0D68C970">
      <w:start w:val="1"/>
      <w:numFmt w:val="lowerLetter"/>
      <w:lvlText w:val="%1)"/>
      <w:lvlJc w:val="right"/>
      <w:pPr>
        <w:ind w:left="3049" w:hanging="360"/>
      </w:pPr>
      <w:rPr>
        <w:rFonts w:hint="default"/>
        <w:i/>
        <w:iCs/>
      </w:rPr>
    </w:lvl>
    <w:lvl w:ilvl="1" w:tplc="0C0A0019" w:tentative="1">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5"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F843F68"/>
    <w:multiLevelType w:val="hybridMultilevel"/>
    <w:tmpl w:val="F0EE68FC"/>
    <w:lvl w:ilvl="0" w:tplc="EF067114">
      <w:start w:val="1"/>
      <w:numFmt w:val="decimal"/>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0" w15:restartNumberingAfterBreak="0">
    <w:nsid w:val="27911F93"/>
    <w:multiLevelType w:val="hybridMultilevel"/>
    <w:tmpl w:val="350C687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317A40A7"/>
    <w:multiLevelType w:val="hybridMultilevel"/>
    <w:tmpl w:val="E202223E"/>
    <w:lvl w:ilvl="0" w:tplc="EDF69E1C">
      <w:start w:val="1"/>
      <w:numFmt w:val="lowerLetter"/>
      <w:lvlText w:val="%1."/>
      <w:lvlJc w:val="left"/>
      <w:pPr>
        <w:ind w:left="2149" w:hanging="360"/>
      </w:pPr>
      <w:rPr>
        <w:i/>
        <w:iCs/>
      </w:rPr>
    </w:lvl>
    <w:lvl w:ilvl="1" w:tplc="0C0A0019" w:tentative="1">
      <w:start w:val="1"/>
      <w:numFmt w:val="lowerLetter"/>
      <w:lvlText w:val="%2."/>
      <w:lvlJc w:val="left"/>
      <w:pPr>
        <w:ind w:left="2869" w:hanging="360"/>
      </w:pPr>
    </w:lvl>
    <w:lvl w:ilvl="2" w:tplc="0C0A001B" w:tentative="1">
      <w:start w:val="1"/>
      <w:numFmt w:val="lowerRoman"/>
      <w:lvlText w:val="%3."/>
      <w:lvlJc w:val="right"/>
      <w:pPr>
        <w:ind w:left="3589" w:hanging="180"/>
      </w:pPr>
    </w:lvl>
    <w:lvl w:ilvl="3" w:tplc="0C0A000F" w:tentative="1">
      <w:start w:val="1"/>
      <w:numFmt w:val="decimal"/>
      <w:lvlText w:val="%4."/>
      <w:lvlJc w:val="left"/>
      <w:pPr>
        <w:ind w:left="4309" w:hanging="360"/>
      </w:pPr>
    </w:lvl>
    <w:lvl w:ilvl="4" w:tplc="0C0A0019" w:tentative="1">
      <w:start w:val="1"/>
      <w:numFmt w:val="lowerLetter"/>
      <w:lvlText w:val="%5."/>
      <w:lvlJc w:val="left"/>
      <w:pPr>
        <w:ind w:left="5029" w:hanging="360"/>
      </w:pPr>
    </w:lvl>
    <w:lvl w:ilvl="5" w:tplc="0C0A001B" w:tentative="1">
      <w:start w:val="1"/>
      <w:numFmt w:val="lowerRoman"/>
      <w:lvlText w:val="%6."/>
      <w:lvlJc w:val="right"/>
      <w:pPr>
        <w:ind w:left="5749" w:hanging="180"/>
      </w:pPr>
    </w:lvl>
    <w:lvl w:ilvl="6" w:tplc="0C0A000F" w:tentative="1">
      <w:start w:val="1"/>
      <w:numFmt w:val="decimal"/>
      <w:lvlText w:val="%7."/>
      <w:lvlJc w:val="left"/>
      <w:pPr>
        <w:ind w:left="6469" w:hanging="360"/>
      </w:pPr>
    </w:lvl>
    <w:lvl w:ilvl="7" w:tplc="0C0A0019" w:tentative="1">
      <w:start w:val="1"/>
      <w:numFmt w:val="lowerLetter"/>
      <w:lvlText w:val="%8."/>
      <w:lvlJc w:val="left"/>
      <w:pPr>
        <w:ind w:left="7189" w:hanging="360"/>
      </w:pPr>
    </w:lvl>
    <w:lvl w:ilvl="8" w:tplc="0C0A001B" w:tentative="1">
      <w:start w:val="1"/>
      <w:numFmt w:val="lowerRoman"/>
      <w:lvlText w:val="%9."/>
      <w:lvlJc w:val="right"/>
      <w:pPr>
        <w:ind w:left="7909" w:hanging="180"/>
      </w:pPr>
    </w:lvl>
  </w:abstractNum>
  <w:abstractNum w:abstractNumId="22" w15:restartNumberingAfterBreak="0">
    <w:nsid w:val="32603A95"/>
    <w:multiLevelType w:val="hybridMultilevel"/>
    <w:tmpl w:val="65B67234"/>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337D040A"/>
    <w:multiLevelType w:val="hybridMultilevel"/>
    <w:tmpl w:val="E3608416"/>
    <w:lvl w:ilvl="0" w:tplc="B32C47E8">
      <w:start w:val="1"/>
      <w:numFmt w:val="bullet"/>
      <w:lvlText w:val=""/>
      <w:lvlJc w:val="left"/>
      <w:pPr>
        <w:ind w:left="720" w:hanging="360"/>
      </w:pPr>
      <w:rPr>
        <w:rFonts w:ascii="Symbol" w:hAnsi="Symbol" w:hint="default"/>
        <w:sz w:val="16"/>
        <w:szCs w:val="1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A0B6729"/>
    <w:multiLevelType w:val="hybridMultilevel"/>
    <w:tmpl w:val="09A2C918"/>
    <w:lvl w:ilvl="0" w:tplc="35C895C2">
      <w:start w:val="1"/>
      <w:numFmt w:val="lowerRoman"/>
      <w:lvlText w:val="%1)"/>
      <w:lvlJc w:val="right"/>
      <w:pPr>
        <w:ind w:left="1353" w:hanging="360"/>
      </w:pPr>
      <w:rPr>
        <w:rFonts w:eastAsiaTheme="minorHAnsi" w:hint="default"/>
        <w:i/>
      </w:rPr>
    </w:lvl>
    <w:lvl w:ilvl="1" w:tplc="0C0A0019" w:tentative="1">
      <w:start w:val="1"/>
      <w:numFmt w:val="lowerLetter"/>
      <w:lvlText w:val="%2."/>
      <w:lvlJc w:val="left"/>
      <w:pPr>
        <w:ind w:left="2073" w:hanging="360"/>
      </w:pPr>
    </w:lvl>
    <w:lvl w:ilvl="2" w:tplc="0C0A001B" w:tentative="1">
      <w:start w:val="1"/>
      <w:numFmt w:val="lowerRoman"/>
      <w:lvlText w:val="%3."/>
      <w:lvlJc w:val="right"/>
      <w:pPr>
        <w:ind w:left="2793" w:hanging="180"/>
      </w:pPr>
    </w:lvl>
    <w:lvl w:ilvl="3" w:tplc="0C0A000F" w:tentative="1">
      <w:start w:val="1"/>
      <w:numFmt w:val="decimal"/>
      <w:lvlText w:val="%4."/>
      <w:lvlJc w:val="left"/>
      <w:pPr>
        <w:ind w:left="3513" w:hanging="360"/>
      </w:pPr>
    </w:lvl>
    <w:lvl w:ilvl="4" w:tplc="0C0A0019" w:tentative="1">
      <w:start w:val="1"/>
      <w:numFmt w:val="lowerLetter"/>
      <w:lvlText w:val="%5."/>
      <w:lvlJc w:val="left"/>
      <w:pPr>
        <w:ind w:left="4233" w:hanging="360"/>
      </w:pPr>
    </w:lvl>
    <w:lvl w:ilvl="5" w:tplc="0C0A001B" w:tentative="1">
      <w:start w:val="1"/>
      <w:numFmt w:val="lowerRoman"/>
      <w:lvlText w:val="%6."/>
      <w:lvlJc w:val="right"/>
      <w:pPr>
        <w:ind w:left="4953" w:hanging="180"/>
      </w:pPr>
    </w:lvl>
    <w:lvl w:ilvl="6" w:tplc="0C0A000F" w:tentative="1">
      <w:start w:val="1"/>
      <w:numFmt w:val="decimal"/>
      <w:lvlText w:val="%7."/>
      <w:lvlJc w:val="left"/>
      <w:pPr>
        <w:ind w:left="5673" w:hanging="360"/>
      </w:pPr>
    </w:lvl>
    <w:lvl w:ilvl="7" w:tplc="0C0A0019" w:tentative="1">
      <w:start w:val="1"/>
      <w:numFmt w:val="lowerLetter"/>
      <w:lvlText w:val="%8."/>
      <w:lvlJc w:val="left"/>
      <w:pPr>
        <w:ind w:left="6393" w:hanging="360"/>
      </w:pPr>
    </w:lvl>
    <w:lvl w:ilvl="8" w:tplc="0C0A001B" w:tentative="1">
      <w:start w:val="1"/>
      <w:numFmt w:val="lowerRoman"/>
      <w:lvlText w:val="%9."/>
      <w:lvlJc w:val="right"/>
      <w:pPr>
        <w:ind w:left="7113" w:hanging="180"/>
      </w:pPr>
    </w:lvl>
  </w:abstractNum>
  <w:abstractNum w:abstractNumId="26" w15:restartNumberingAfterBreak="0">
    <w:nsid w:val="40FC3D40"/>
    <w:multiLevelType w:val="hybridMultilevel"/>
    <w:tmpl w:val="7688D7C4"/>
    <w:lvl w:ilvl="0" w:tplc="0C0A0001">
      <w:start w:val="1"/>
      <w:numFmt w:val="bullet"/>
      <w:lvlText w:val=""/>
      <w:lvlJc w:val="left"/>
      <w:pPr>
        <w:ind w:left="720" w:hanging="360"/>
      </w:pPr>
      <w:rPr>
        <w:rFonts w:ascii="Symbol" w:hAnsi="Symbol" w:hint="default"/>
      </w:rPr>
    </w:lvl>
    <w:lvl w:ilvl="1" w:tplc="F23ECD64">
      <w:start w:val="1"/>
      <w:numFmt w:val="bullet"/>
      <w:lvlText w:val="▫"/>
      <w:lvlJc w:val="left"/>
      <w:pPr>
        <w:ind w:left="1440" w:hanging="360"/>
      </w:pPr>
      <w:rPr>
        <w:rFonts w:ascii="Palatino Linotype" w:hAnsi="Palatino Linotype"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4585434E"/>
    <w:multiLevelType w:val="hybridMultilevel"/>
    <w:tmpl w:val="000C2B96"/>
    <w:lvl w:ilvl="0" w:tplc="0C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47CD4DBD"/>
    <w:multiLevelType w:val="hybridMultilevel"/>
    <w:tmpl w:val="2E003C48"/>
    <w:lvl w:ilvl="0" w:tplc="6EFA104A">
      <w:start w:val="1"/>
      <w:numFmt w:val="lowerRoman"/>
      <w:lvlText w:val="(%1)"/>
      <w:lvlJc w:val="right"/>
      <w:pPr>
        <w:ind w:left="1080" w:hanging="72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50FB7C1A"/>
    <w:multiLevelType w:val="multilevel"/>
    <w:tmpl w:val="0809001D"/>
    <w:numStyleLink w:val="Lista1"/>
  </w:abstractNum>
  <w:abstractNum w:abstractNumId="31"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BB443D7"/>
    <w:multiLevelType w:val="hybridMultilevel"/>
    <w:tmpl w:val="B7E20964"/>
    <w:lvl w:ilvl="0" w:tplc="F23ECD64">
      <w:start w:val="1"/>
      <w:numFmt w:val="bullet"/>
      <w:lvlText w:val="▫"/>
      <w:lvlJc w:val="left"/>
      <w:pPr>
        <w:ind w:left="720" w:hanging="360"/>
      </w:pPr>
      <w:rPr>
        <w:rFonts w:ascii="Palatino Linotype" w:hAnsi="Palatino Linotype"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5BC602D3"/>
    <w:multiLevelType w:val="hybridMultilevel"/>
    <w:tmpl w:val="F3CEDB1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7"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720F087D"/>
    <w:multiLevelType w:val="hybridMultilevel"/>
    <w:tmpl w:val="B84E07A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8AD688F"/>
    <w:multiLevelType w:val="hybridMultilevel"/>
    <w:tmpl w:val="EAF8AD96"/>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793E1334"/>
    <w:multiLevelType w:val="hybridMultilevel"/>
    <w:tmpl w:val="CF7C7C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43"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4"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num w:numId="1" w16cid:durableId="1203981968">
    <w:abstractNumId w:val="14"/>
  </w:num>
  <w:num w:numId="2" w16cid:durableId="1541701134">
    <w:abstractNumId w:val="43"/>
  </w:num>
  <w:num w:numId="3" w16cid:durableId="1440025012">
    <w:abstractNumId w:val="18"/>
  </w:num>
  <w:num w:numId="4" w16cid:durableId="1376925767">
    <w:abstractNumId w:val="36"/>
  </w:num>
  <w:num w:numId="5" w16cid:durableId="429590096">
    <w:abstractNumId w:val="19"/>
  </w:num>
  <w:num w:numId="6" w16cid:durableId="410783674">
    <w:abstractNumId w:val="27"/>
  </w:num>
  <w:num w:numId="7" w16cid:durableId="790713384">
    <w:abstractNumId w:val="12"/>
  </w:num>
  <w:num w:numId="8" w16cid:durableId="500511453">
    <w:abstractNumId w:val="11"/>
  </w:num>
  <w:num w:numId="9" w16cid:durableId="1919291383">
    <w:abstractNumId w:val="12"/>
    <w:lvlOverride w:ilvl="0">
      <w:startOverride w:val="1"/>
    </w:lvlOverride>
  </w:num>
  <w:num w:numId="10" w16cid:durableId="210383405">
    <w:abstractNumId w:val="34"/>
  </w:num>
  <w:num w:numId="11" w16cid:durableId="35929415">
    <w:abstractNumId w:val="36"/>
  </w:num>
  <w:num w:numId="12" w16cid:durableId="282349306">
    <w:abstractNumId w:val="15"/>
  </w:num>
  <w:num w:numId="13" w16cid:durableId="775754382">
    <w:abstractNumId w:val="40"/>
  </w:num>
  <w:num w:numId="14" w16cid:durableId="1190951705">
    <w:abstractNumId w:val="21"/>
  </w:num>
  <w:num w:numId="15" w16cid:durableId="1620259904">
    <w:abstractNumId w:val="22"/>
  </w:num>
  <w:num w:numId="16" w16cid:durableId="667682453">
    <w:abstractNumId w:val="23"/>
  </w:num>
  <w:num w:numId="17" w16cid:durableId="1007829353">
    <w:abstractNumId w:val="26"/>
  </w:num>
  <w:num w:numId="18" w16cid:durableId="1238133770">
    <w:abstractNumId w:val="36"/>
    <w:lvlOverride w:ilvl="0">
      <w:startOverride w:val="1"/>
    </w:lvlOverride>
  </w:num>
  <w:num w:numId="19" w16cid:durableId="1755008428">
    <w:abstractNumId w:val="16"/>
  </w:num>
  <w:num w:numId="20" w16cid:durableId="1888951703">
    <w:abstractNumId w:val="38"/>
  </w:num>
  <w:num w:numId="21" w16cid:durableId="2061318313">
    <w:abstractNumId w:val="10"/>
  </w:num>
  <w:num w:numId="22" w16cid:durableId="1752239582">
    <w:abstractNumId w:val="25"/>
  </w:num>
  <w:num w:numId="23" w16cid:durableId="848955300">
    <w:abstractNumId w:val="33"/>
  </w:num>
  <w:num w:numId="24" w16cid:durableId="1941722815">
    <w:abstractNumId w:val="20"/>
  </w:num>
  <w:num w:numId="25" w16cid:durableId="952708078">
    <w:abstractNumId w:val="28"/>
  </w:num>
  <w:num w:numId="26" w16cid:durableId="81419697">
    <w:abstractNumId w:val="29"/>
  </w:num>
  <w:num w:numId="27" w16cid:durableId="1727991608">
    <w:abstractNumId w:val="13"/>
  </w:num>
  <w:num w:numId="28" w16cid:durableId="1416244520">
    <w:abstractNumId w:val="41"/>
  </w:num>
  <w:num w:numId="29" w16cid:durableId="1647972607">
    <w:abstractNumId w:val="37"/>
  </w:num>
  <w:num w:numId="30" w16cid:durableId="758450573">
    <w:abstractNumId w:val="39"/>
  </w:num>
  <w:num w:numId="31" w16cid:durableId="357238227">
    <w:abstractNumId w:val="44"/>
  </w:num>
  <w:num w:numId="32" w16cid:durableId="548424252">
    <w:abstractNumId w:val="17"/>
  </w:num>
  <w:num w:numId="33" w16cid:durableId="290400971">
    <w:abstractNumId w:val="32"/>
  </w:num>
  <w:num w:numId="34" w16cid:durableId="1445227009">
    <w:abstractNumId w:val="30"/>
  </w:num>
  <w:num w:numId="35" w16cid:durableId="1863859253">
    <w:abstractNumId w:val="9"/>
  </w:num>
  <w:num w:numId="36" w16cid:durableId="221449076">
    <w:abstractNumId w:val="7"/>
  </w:num>
  <w:num w:numId="37" w16cid:durableId="618948894">
    <w:abstractNumId w:val="6"/>
  </w:num>
  <w:num w:numId="38" w16cid:durableId="2041972119">
    <w:abstractNumId w:val="5"/>
  </w:num>
  <w:num w:numId="39" w16cid:durableId="751777757">
    <w:abstractNumId w:val="4"/>
  </w:num>
  <w:num w:numId="40" w16cid:durableId="1628852396">
    <w:abstractNumId w:val="8"/>
  </w:num>
  <w:num w:numId="41" w16cid:durableId="627710706">
    <w:abstractNumId w:val="3"/>
  </w:num>
  <w:num w:numId="42" w16cid:durableId="2112580255">
    <w:abstractNumId w:val="2"/>
  </w:num>
  <w:num w:numId="43" w16cid:durableId="379208571">
    <w:abstractNumId w:val="1"/>
  </w:num>
  <w:num w:numId="44" w16cid:durableId="326523936">
    <w:abstractNumId w:val="0"/>
  </w:num>
  <w:num w:numId="45" w16cid:durableId="297346159">
    <w:abstractNumId w:val="42"/>
  </w:num>
  <w:num w:numId="46" w16cid:durableId="1986738898">
    <w:abstractNumId w:val="24"/>
  </w:num>
  <w:num w:numId="47" w16cid:durableId="7665390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735542235">
    <w:abstractNumId w:val="31"/>
  </w:num>
  <w:num w:numId="49" w16cid:durableId="481045944">
    <w:abstractNumId w:val="3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6D7"/>
    <w:rsid w:val="000002B3"/>
    <w:rsid w:val="00000ABE"/>
    <w:rsid w:val="00002579"/>
    <w:rsid w:val="00005A5E"/>
    <w:rsid w:val="00006BB1"/>
    <w:rsid w:val="000077CB"/>
    <w:rsid w:val="00021EA1"/>
    <w:rsid w:val="00022BA9"/>
    <w:rsid w:val="0002425B"/>
    <w:rsid w:val="0002549F"/>
    <w:rsid w:val="00025BD3"/>
    <w:rsid w:val="00026AD7"/>
    <w:rsid w:val="00027376"/>
    <w:rsid w:val="00031D43"/>
    <w:rsid w:val="00033326"/>
    <w:rsid w:val="000342EE"/>
    <w:rsid w:val="00036B4D"/>
    <w:rsid w:val="00036CBC"/>
    <w:rsid w:val="00040BCA"/>
    <w:rsid w:val="00044055"/>
    <w:rsid w:val="000470D4"/>
    <w:rsid w:val="000524D7"/>
    <w:rsid w:val="000550AA"/>
    <w:rsid w:val="0006155C"/>
    <w:rsid w:val="0006593D"/>
    <w:rsid w:val="00070E39"/>
    <w:rsid w:val="0007146E"/>
    <w:rsid w:val="000726A8"/>
    <w:rsid w:val="000731D1"/>
    <w:rsid w:val="000757C2"/>
    <w:rsid w:val="00081476"/>
    <w:rsid w:val="00081579"/>
    <w:rsid w:val="0008541B"/>
    <w:rsid w:val="00086FFD"/>
    <w:rsid w:val="0009406E"/>
    <w:rsid w:val="000943B8"/>
    <w:rsid w:val="00096DE0"/>
    <w:rsid w:val="0009793C"/>
    <w:rsid w:val="000A07DB"/>
    <w:rsid w:val="000A0F94"/>
    <w:rsid w:val="000A3137"/>
    <w:rsid w:val="000A5834"/>
    <w:rsid w:val="000B0850"/>
    <w:rsid w:val="000B3925"/>
    <w:rsid w:val="000B6430"/>
    <w:rsid w:val="000C7085"/>
    <w:rsid w:val="000D004F"/>
    <w:rsid w:val="000D2079"/>
    <w:rsid w:val="000E3517"/>
    <w:rsid w:val="000E3CF5"/>
    <w:rsid w:val="000E5D1E"/>
    <w:rsid w:val="00100BB6"/>
    <w:rsid w:val="00103B5E"/>
    <w:rsid w:val="00112907"/>
    <w:rsid w:val="00114141"/>
    <w:rsid w:val="00120EFE"/>
    <w:rsid w:val="001229C0"/>
    <w:rsid w:val="001255B3"/>
    <w:rsid w:val="001304AF"/>
    <w:rsid w:val="00134105"/>
    <w:rsid w:val="00141243"/>
    <w:rsid w:val="0015013E"/>
    <w:rsid w:val="00154DC7"/>
    <w:rsid w:val="00160C77"/>
    <w:rsid w:val="00161367"/>
    <w:rsid w:val="001624C2"/>
    <w:rsid w:val="00163B63"/>
    <w:rsid w:val="00166F59"/>
    <w:rsid w:val="0016795D"/>
    <w:rsid w:val="001741B0"/>
    <w:rsid w:val="001810B4"/>
    <w:rsid w:val="0018160D"/>
    <w:rsid w:val="0018255E"/>
    <w:rsid w:val="001838E9"/>
    <w:rsid w:val="001869B6"/>
    <w:rsid w:val="00187AD8"/>
    <w:rsid w:val="00190C4B"/>
    <w:rsid w:val="001928DC"/>
    <w:rsid w:val="00192C5F"/>
    <w:rsid w:val="001932BB"/>
    <w:rsid w:val="001957CC"/>
    <w:rsid w:val="00196640"/>
    <w:rsid w:val="001A61E4"/>
    <w:rsid w:val="001B42D9"/>
    <w:rsid w:val="001B770E"/>
    <w:rsid w:val="001B7DC3"/>
    <w:rsid w:val="001C552B"/>
    <w:rsid w:val="001C6284"/>
    <w:rsid w:val="001C766A"/>
    <w:rsid w:val="001D00B0"/>
    <w:rsid w:val="001D37DD"/>
    <w:rsid w:val="001E4958"/>
    <w:rsid w:val="001F2599"/>
    <w:rsid w:val="001F2C65"/>
    <w:rsid w:val="001F3638"/>
    <w:rsid w:val="001F41A2"/>
    <w:rsid w:val="002041FF"/>
    <w:rsid w:val="002070C8"/>
    <w:rsid w:val="00207677"/>
    <w:rsid w:val="0021091C"/>
    <w:rsid w:val="00211D43"/>
    <w:rsid w:val="00211F9C"/>
    <w:rsid w:val="002141AE"/>
    <w:rsid w:val="00216959"/>
    <w:rsid w:val="002174C9"/>
    <w:rsid w:val="0021754E"/>
    <w:rsid w:val="0021774E"/>
    <w:rsid w:val="00221794"/>
    <w:rsid w:val="00226F84"/>
    <w:rsid w:val="00237C60"/>
    <w:rsid w:val="0024029E"/>
    <w:rsid w:val="002422B6"/>
    <w:rsid w:val="002469C0"/>
    <w:rsid w:val="00250190"/>
    <w:rsid w:val="00253900"/>
    <w:rsid w:val="00254714"/>
    <w:rsid w:val="002566A7"/>
    <w:rsid w:val="00262381"/>
    <w:rsid w:val="002649E5"/>
    <w:rsid w:val="00267006"/>
    <w:rsid w:val="00267BC7"/>
    <w:rsid w:val="00274EB6"/>
    <w:rsid w:val="002756C0"/>
    <w:rsid w:val="00277374"/>
    <w:rsid w:val="0028075B"/>
    <w:rsid w:val="00281F4D"/>
    <w:rsid w:val="00283986"/>
    <w:rsid w:val="00285F4B"/>
    <w:rsid w:val="00290934"/>
    <w:rsid w:val="0029207F"/>
    <w:rsid w:val="0029255D"/>
    <w:rsid w:val="00293C0C"/>
    <w:rsid w:val="00294AD7"/>
    <w:rsid w:val="00295F46"/>
    <w:rsid w:val="0029703E"/>
    <w:rsid w:val="002A1386"/>
    <w:rsid w:val="002A17D0"/>
    <w:rsid w:val="002A3679"/>
    <w:rsid w:val="002A3B56"/>
    <w:rsid w:val="002A3D60"/>
    <w:rsid w:val="002A4419"/>
    <w:rsid w:val="002A6689"/>
    <w:rsid w:val="002A7603"/>
    <w:rsid w:val="002B0988"/>
    <w:rsid w:val="002B13E6"/>
    <w:rsid w:val="002B2396"/>
    <w:rsid w:val="002B455C"/>
    <w:rsid w:val="002B652A"/>
    <w:rsid w:val="002B698E"/>
    <w:rsid w:val="002C6439"/>
    <w:rsid w:val="002D1105"/>
    <w:rsid w:val="002E02DF"/>
    <w:rsid w:val="002E0C48"/>
    <w:rsid w:val="002E4EA4"/>
    <w:rsid w:val="002E5D59"/>
    <w:rsid w:val="002E5F5F"/>
    <w:rsid w:val="002F1679"/>
    <w:rsid w:val="002F168A"/>
    <w:rsid w:val="002F3C53"/>
    <w:rsid w:val="002F50CD"/>
    <w:rsid w:val="002F5A81"/>
    <w:rsid w:val="002F5A9F"/>
    <w:rsid w:val="002F7FA3"/>
    <w:rsid w:val="00302A0E"/>
    <w:rsid w:val="00305113"/>
    <w:rsid w:val="00307C23"/>
    <w:rsid w:val="00313623"/>
    <w:rsid w:val="0031650D"/>
    <w:rsid w:val="0031762E"/>
    <w:rsid w:val="003235AF"/>
    <w:rsid w:val="003239DA"/>
    <w:rsid w:val="003304C8"/>
    <w:rsid w:val="00336474"/>
    <w:rsid w:val="0033752C"/>
    <w:rsid w:val="00342148"/>
    <w:rsid w:val="00342648"/>
    <w:rsid w:val="003431D0"/>
    <w:rsid w:val="00345308"/>
    <w:rsid w:val="003472F3"/>
    <w:rsid w:val="0034759D"/>
    <w:rsid w:val="00350A36"/>
    <w:rsid w:val="00366477"/>
    <w:rsid w:val="0037051F"/>
    <w:rsid w:val="00373316"/>
    <w:rsid w:val="003739F7"/>
    <w:rsid w:val="00376F5B"/>
    <w:rsid w:val="00383DB3"/>
    <w:rsid w:val="003847B1"/>
    <w:rsid w:val="003850C5"/>
    <w:rsid w:val="003862D2"/>
    <w:rsid w:val="003913DE"/>
    <w:rsid w:val="00394D83"/>
    <w:rsid w:val="003955ED"/>
    <w:rsid w:val="003A129A"/>
    <w:rsid w:val="003A470C"/>
    <w:rsid w:val="003A4AD0"/>
    <w:rsid w:val="003A5873"/>
    <w:rsid w:val="003A66FF"/>
    <w:rsid w:val="003B04F7"/>
    <w:rsid w:val="003B3819"/>
    <w:rsid w:val="003B52F7"/>
    <w:rsid w:val="003B5FC1"/>
    <w:rsid w:val="003B7CA2"/>
    <w:rsid w:val="003C3F19"/>
    <w:rsid w:val="003C5AED"/>
    <w:rsid w:val="003D07C8"/>
    <w:rsid w:val="003D1025"/>
    <w:rsid w:val="003D161D"/>
    <w:rsid w:val="003D5636"/>
    <w:rsid w:val="003D56CA"/>
    <w:rsid w:val="003D772C"/>
    <w:rsid w:val="003E4089"/>
    <w:rsid w:val="003E5E39"/>
    <w:rsid w:val="003E6ADA"/>
    <w:rsid w:val="003E77BB"/>
    <w:rsid w:val="003E7F3C"/>
    <w:rsid w:val="003F03CF"/>
    <w:rsid w:val="003F0CCB"/>
    <w:rsid w:val="003F529B"/>
    <w:rsid w:val="004005AD"/>
    <w:rsid w:val="004008B7"/>
    <w:rsid w:val="00403890"/>
    <w:rsid w:val="00403F00"/>
    <w:rsid w:val="0040758F"/>
    <w:rsid w:val="00417327"/>
    <w:rsid w:val="004263AB"/>
    <w:rsid w:val="0043137E"/>
    <w:rsid w:val="00431AE3"/>
    <w:rsid w:val="00434F48"/>
    <w:rsid w:val="004435D3"/>
    <w:rsid w:val="004464AC"/>
    <w:rsid w:val="00447376"/>
    <w:rsid w:val="00447C0F"/>
    <w:rsid w:val="0045101A"/>
    <w:rsid w:val="004514BB"/>
    <w:rsid w:val="004567F5"/>
    <w:rsid w:val="004623D6"/>
    <w:rsid w:val="00462D2B"/>
    <w:rsid w:val="00471030"/>
    <w:rsid w:val="0047205D"/>
    <w:rsid w:val="00481420"/>
    <w:rsid w:val="0048193E"/>
    <w:rsid w:val="00481E21"/>
    <w:rsid w:val="00483631"/>
    <w:rsid w:val="00484E68"/>
    <w:rsid w:val="00490C2C"/>
    <w:rsid w:val="004961B1"/>
    <w:rsid w:val="00497043"/>
    <w:rsid w:val="004972ED"/>
    <w:rsid w:val="004A56D7"/>
    <w:rsid w:val="004A5C07"/>
    <w:rsid w:val="004A6BE1"/>
    <w:rsid w:val="004B5BB1"/>
    <w:rsid w:val="004C09AE"/>
    <w:rsid w:val="004C0C34"/>
    <w:rsid w:val="004C0D84"/>
    <w:rsid w:val="004C465C"/>
    <w:rsid w:val="004C5DE5"/>
    <w:rsid w:val="004C6AB8"/>
    <w:rsid w:val="004D215A"/>
    <w:rsid w:val="004E0E25"/>
    <w:rsid w:val="004F11A4"/>
    <w:rsid w:val="004F687D"/>
    <w:rsid w:val="00500701"/>
    <w:rsid w:val="00501CF1"/>
    <w:rsid w:val="00502A72"/>
    <w:rsid w:val="00503D17"/>
    <w:rsid w:val="00505FFC"/>
    <w:rsid w:val="00510FB5"/>
    <w:rsid w:val="00511F8C"/>
    <w:rsid w:val="00521D46"/>
    <w:rsid w:val="0052273D"/>
    <w:rsid w:val="005244E6"/>
    <w:rsid w:val="00526280"/>
    <w:rsid w:val="00527ED0"/>
    <w:rsid w:val="00534FBB"/>
    <w:rsid w:val="00536EFA"/>
    <w:rsid w:val="00542CBE"/>
    <w:rsid w:val="00550E4F"/>
    <w:rsid w:val="00551D82"/>
    <w:rsid w:val="0055220F"/>
    <w:rsid w:val="00552D50"/>
    <w:rsid w:val="00554E7A"/>
    <w:rsid w:val="00556F6E"/>
    <w:rsid w:val="005704DC"/>
    <w:rsid w:val="0058286B"/>
    <w:rsid w:val="00583A5D"/>
    <w:rsid w:val="00583B9A"/>
    <w:rsid w:val="00592342"/>
    <w:rsid w:val="00594683"/>
    <w:rsid w:val="005955A5"/>
    <w:rsid w:val="005A0192"/>
    <w:rsid w:val="005A0EDE"/>
    <w:rsid w:val="005A4B93"/>
    <w:rsid w:val="005B05CF"/>
    <w:rsid w:val="005B2785"/>
    <w:rsid w:val="005B4FE2"/>
    <w:rsid w:val="005B5161"/>
    <w:rsid w:val="005B6014"/>
    <w:rsid w:val="005B7A11"/>
    <w:rsid w:val="005C131B"/>
    <w:rsid w:val="005C1E73"/>
    <w:rsid w:val="005C37D0"/>
    <w:rsid w:val="005D15E6"/>
    <w:rsid w:val="005D4481"/>
    <w:rsid w:val="005D657C"/>
    <w:rsid w:val="005D7E1C"/>
    <w:rsid w:val="005E3540"/>
    <w:rsid w:val="005E473A"/>
    <w:rsid w:val="005E53B9"/>
    <w:rsid w:val="005E7105"/>
    <w:rsid w:val="005F038C"/>
    <w:rsid w:val="005F0C11"/>
    <w:rsid w:val="005F4F5B"/>
    <w:rsid w:val="005F6A9F"/>
    <w:rsid w:val="006016A3"/>
    <w:rsid w:val="0060179A"/>
    <w:rsid w:val="00602888"/>
    <w:rsid w:val="00606280"/>
    <w:rsid w:val="0060664A"/>
    <w:rsid w:val="00606E13"/>
    <w:rsid w:val="006076EE"/>
    <w:rsid w:val="006155EF"/>
    <w:rsid w:val="006225DE"/>
    <w:rsid w:val="00623CA2"/>
    <w:rsid w:val="00630477"/>
    <w:rsid w:val="00630D0B"/>
    <w:rsid w:val="00636938"/>
    <w:rsid w:val="00637BD4"/>
    <w:rsid w:val="006446AB"/>
    <w:rsid w:val="00645F6B"/>
    <w:rsid w:val="00646261"/>
    <w:rsid w:val="00651CB4"/>
    <w:rsid w:val="00653763"/>
    <w:rsid w:val="006560C1"/>
    <w:rsid w:val="0065657E"/>
    <w:rsid w:val="006569EC"/>
    <w:rsid w:val="00661A50"/>
    <w:rsid w:val="00666E11"/>
    <w:rsid w:val="00666E14"/>
    <w:rsid w:val="00673572"/>
    <w:rsid w:val="0067485E"/>
    <w:rsid w:val="00680642"/>
    <w:rsid w:val="00680687"/>
    <w:rsid w:val="00684229"/>
    <w:rsid w:val="0068426C"/>
    <w:rsid w:val="00685934"/>
    <w:rsid w:val="0069031F"/>
    <w:rsid w:val="00690BCF"/>
    <w:rsid w:val="0069132E"/>
    <w:rsid w:val="00693525"/>
    <w:rsid w:val="00693B21"/>
    <w:rsid w:val="00693E74"/>
    <w:rsid w:val="00694D46"/>
    <w:rsid w:val="00696F5B"/>
    <w:rsid w:val="006A0751"/>
    <w:rsid w:val="006A0E0F"/>
    <w:rsid w:val="006A4AAD"/>
    <w:rsid w:val="006A51FD"/>
    <w:rsid w:val="006B2866"/>
    <w:rsid w:val="006B5047"/>
    <w:rsid w:val="006B51B3"/>
    <w:rsid w:val="006C0561"/>
    <w:rsid w:val="006C4F49"/>
    <w:rsid w:val="006C69B3"/>
    <w:rsid w:val="006E1CC7"/>
    <w:rsid w:val="006E1CD7"/>
    <w:rsid w:val="006E40AC"/>
    <w:rsid w:val="006E7DB4"/>
    <w:rsid w:val="006F27FD"/>
    <w:rsid w:val="006F2E70"/>
    <w:rsid w:val="006F422A"/>
    <w:rsid w:val="006F6046"/>
    <w:rsid w:val="00700E95"/>
    <w:rsid w:val="007036EB"/>
    <w:rsid w:val="00712483"/>
    <w:rsid w:val="00714629"/>
    <w:rsid w:val="00717093"/>
    <w:rsid w:val="00723EC1"/>
    <w:rsid w:val="00724939"/>
    <w:rsid w:val="007269B1"/>
    <w:rsid w:val="00736702"/>
    <w:rsid w:val="00741B8A"/>
    <w:rsid w:val="00741D8B"/>
    <w:rsid w:val="00743783"/>
    <w:rsid w:val="0074538C"/>
    <w:rsid w:val="00746FB8"/>
    <w:rsid w:val="00754605"/>
    <w:rsid w:val="00754CC8"/>
    <w:rsid w:val="00755A7D"/>
    <w:rsid w:val="0076214C"/>
    <w:rsid w:val="0076375D"/>
    <w:rsid w:val="00764940"/>
    <w:rsid w:val="007678A7"/>
    <w:rsid w:val="007770BC"/>
    <w:rsid w:val="00785770"/>
    <w:rsid w:val="00787A4D"/>
    <w:rsid w:val="00791796"/>
    <w:rsid w:val="007917AE"/>
    <w:rsid w:val="00791BD9"/>
    <w:rsid w:val="00796200"/>
    <w:rsid w:val="00797879"/>
    <w:rsid w:val="007A5040"/>
    <w:rsid w:val="007A52E1"/>
    <w:rsid w:val="007B3CEE"/>
    <w:rsid w:val="007B5C61"/>
    <w:rsid w:val="007B755C"/>
    <w:rsid w:val="007C4984"/>
    <w:rsid w:val="007C4B8E"/>
    <w:rsid w:val="007C6044"/>
    <w:rsid w:val="007C7EE3"/>
    <w:rsid w:val="007D0E0E"/>
    <w:rsid w:val="007D2A4F"/>
    <w:rsid w:val="007D3B0A"/>
    <w:rsid w:val="007D3D4A"/>
    <w:rsid w:val="007D3E0D"/>
    <w:rsid w:val="007D3F84"/>
    <w:rsid w:val="007D7B56"/>
    <w:rsid w:val="007D7FAA"/>
    <w:rsid w:val="007E2E3B"/>
    <w:rsid w:val="007E4A7C"/>
    <w:rsid w:val="007F213D"/>
    <w:rsid w:val="007F73FD"/>
    <w:rsid w:val="00800ED6"/>
    <w:rsid w:val="00803098"/>
    <w:rsid w:val="0080522A"/>
    <w:rsid w:val="00805476"/>
    <w:rsid w:val="00805E5F"/>
    <w:rsid w:val="0080682A"/>
    <w:rsid w:val="00807701"/>
    <w:rsid w:val="00807D40"/>
    <w:rsid w:val="00811726"/>
    <w:rsid w:val="00812700"/>
    <w:rsid w:val="00813E62"/>
    <w:rsid w:val="008142B0"/>
    <w:rsid w:val="00814832"/>
    <w:rsid w:val="0081544B"/>
    <w:rsid w:val="008233F9"/>
    <w:rsid w:val="008247BD"/>
    <w:rsid w:val="008274D7"/>
    <w:rsid w:val="00827955"/>
    <w:rsid w:val="00830E36"/>
    <w:rsid w:val="00832BC1"/>
    <w:rsid w:val="00835BCB"/>
    <w:rsid w:val="00837B5A"/>
    <w:rsid w:val="0084167F"/>
    <w:rsid w:val="00844FA4"/>
    <w:rsid w:val="00847D89"/>
    <w:rsid w:val="00850744"/>
    <w:rsid w:val="00850C66"/>
    <w:rsid w:val="008557BA"/>
    <w:rsid w:val="00856C38"/>
    <w:rsid w:val="00863B70"/>
    <w:rsid w:val="008653F0"/>
    <w:rsid w:val="00874181"/>
    <w:rsid w:val="008762F1"/>
    <w:rsid w:val="008764F9"/>
    <w:rsid w:val="008772F7"/>
    <w:rsid w:val="00880683"/>
    <w:rsid w:val="00893698"/>
    <w:rsid w:val="008937DA"/>
    <w:rsid w:val="00895734"/>
    <w:rsid w:val="008A0941"/>
    <w:rsid w:val="008A260A"/>
    <w:rsid w:val="008A6142"/>
    <w:rsid w:val="008A75A3"/>
    <w:rsid w:val="008A75F0"/>
    <w:rsid w:val="008C6121"/>
    <w:rsid w:val="008C74F9"/>
    <w:rsid w:val="008D0AD2"/>
    <w:rsid w:val="008D1FA4"/>
    <w:rsid w:val="008D290B"/>
    <w:rsid w:val="008D2D66"/>
    <w:rsid w:val="008D435E"/>
    <w:rsid w:val="008D45FA"/>
    <w:rsid w:val="008D6A3A"/>
    <w:rsid w:val="008E2DA4"/>
    <w:rsid w:val="008E50C4"/>
    <w:rsid w:val="008E5500"/>
    <w:rsid w:val="008E6329"/>
    <w:rsid w:val="008E6F07"/>
    <w:rsid w:val="008F13F0"/>
    <w:rsid w:val="008F3450"/>
    <w:rsid w:val="008F4B1C"/>
    <w:rsid w:val="008F677F"/>
    <w:rsid w:val="00900D26"/>
    <w:rsid w:val="00901B44"/>
    <w:rsid w:val="00904529"/>
    <w:rsid w:val="0090606F"/>
    <w:rsid w:val="00913670"/>
    <w:rsid w:val="00913ACB"/>
    <w:rsid w:val="00913EAB"/>
    <w:rsid w:val="009204B8"/>
    <w:rsid w:val="00924D78"/>
    <w:rsid w:val="009340A9"/>
    <w:rsid w:val="00935AA4"/>
    <w:rsid w:val="0093731D"/>
    <w:rsid w:val="0094106C"/>
    <w:rsid w:val="00944E9B"/>
    <w:rsid w:val="00945AB8"/>
    <w:rsid w:val="009500AC"/>
    <w:rsid w:val="00952E07"/>
    <w:rsid w:val="0095455B"/>
    <w:rsid w:val="0096481D"/>
    <w:rsid w:val="0096730F"/>
    <w:rsid w:val="00967587"/>
    <w:rsid w:val="00971031"/>
    <w:rsid w:val="00972435"/>
    <w:rsid w:val="009739FF"/>
    <w:rsid w:val="0097461B"/>
    <w:rsid w:val="009747CD"/>
    <w:rsid w:val="00976193"/>
    <w:rsid w:val="00976B58"/>
    <w:rsid w:val="00977C9A"/>
    <w:rsid w:val="009802E5"/>
    <w:rsid w:val="00981350"/>
    <w:rsid w:val="00981A85"/>
    <w:rsid w:val="00981F11"/>
    <w:rsid w:val="00982BFC"/>
    <w:rsid w:val="00983DE0"/>
    <w:rsid w:val="0099032D"/>
    <w:rsid w:val="0099384B"/>
    <w:rsid w:val="00993A58"/>
    <w:rsid w:val="00993F2B"/>
    <w:rsid w:val="00994BDA"/>
    <w:rsid w:val="00996605"/>
    <w:rsid w:val="009A302F"/>
    <w:rsid w:val="009B0474"/>
    <w:rsid w:val="009B2342"/>
    <w:rsid w:val="009B6A60"/>
    <w:rsid w:val="009B7CCA"/>
    <w:rsid w:val="009C0C9E"/>
    <w:rsid w:val="009C61AF"/>
    <w:rsid w:val="009C69E8"/>
    <w:rsid w:val="009C7C42"/>
    <w:rsid w:val="009D4A9E"/>
    <w:rsid w:val="009D5820"/>
    <w:rsid w:val="009E25C7"/>
    <w:rsid w:val="009E2ACF"/>
    <w:rsid w:val="009E489B"/>
    <w:rsid w:val="009E6C76"/>
    <w:rsid w:val="009E71EC"/>
    <w:rsid w:val="009E72EA"/>
    <w:rsid w:val="009F10F0"/>
    <w:rsid w:val="009F1B91"/>
    <w:rsid w:val="009F2002"/>
    <w:rsid w:val="009F303D"/>
    <w:rsid w:val="009F383C"/>
    <w:rsid w:val="009F4408"/>
    <w:rsid w:val="009F7488"/>
    <w:rsid w:val="00A002E0"/>
    <w:rsid w:val="00A01FF1"/>
    <w:rsid w:val="00A04349"/>
    <w:rsid w:val="00A103A5"/>
    <w:rsid w:val="00A116B6"/>
    <w:rsid w:val="00A127BE"/>
    <w:rsid w:val="00A20BF3"/>
    <w:rsid w:val="00A230A3"/>
    <w:rsid w:val="00A234D9"/>
    <w:rsid w:val="00A343CA"/>
    <w:rsid w:val="00A37940"/>
    <w:rsid w:val="00A402F1"/>
    <w:rsid w:val="00A4145F"/>
    <w:rsid w:val="00A42511"/>
    <w:rsid w:val="00A42628"/>
    <w:rsid w:val="00A42B58"/>
    <w:rsid w:val="00A443E0"/>
    <w:rsid w:val="00A475D1"/>
    <w:rsid w:val="00A50464"/>
    <w:rsid w:val="00A51B24"/>
    <w:rsid w:val="00A54398"/>
    <w:rsid w:val="00A55E52"/>
    <w:rsid w:val="00A600DA"/>
    <w:rsid w:val="00A62A8C"/>
    <w:rsid w:val="00A6505E"/>
    <w:rsid w:val="00A73A52"/>
    <w:rsid w:val="00A75725"/>
    <w:rsid w:val="00A82034"/>
    <w:rsid w:val="00A92D87"/>
    <w:rsid w:val="00A93CAF"/>
    <w:rsid w:val="00AA09B0"/>
    <w:rsid w:val="00AA1A9C"/>
    <w:rsid w:val="00AB0451"/>
    <w:rsid w:val="00AB2EF7"/>
    <w:rsid w:val="00AB3CBF"/>
    <w:rsid w:val="00AB3E2C"/>
    <w:rsid w:val="00AC09F9"/>
    <w:rsid w:val="00AC16AC"/>
    <w:rsid w:val="00AC3DB3"/>
    <w:rsid w:val="00AC6BA6"/>
    <w:rsid w:val="00AD3854"/>
    <w:rsid w:val="00AD472E"/>
    <w:rsid w:val="00AD47B6"/>
    <w:rsid w:val="00AD4844"/>
    <w:rsid w:val="00AD5A8C"/>
    <w:rsid w:val="00AD5D3A"/>
    <w:rsid w:val="00AD60B0"/>
    <w:rsid w:val="00AD6F6B"/>
    <w:rsid w:val="00AD77F2"/>
    <w:rsid w:val="00AD78E9"/>
    <w:rsid w:val="00AE0078"/>
    <w:rsid w:val="00AE3A2D"/>
    <w:rsid w:val="00AE3AEF"/>
    <w:rsid w:val="00AE7E4F"/>
    <w:rsid w:val="00AE7F27"/>
    <w:rsid w:val="00AF2B6D"/>
    <w:rsid w:val="00AF4F1E"/>
    <w:rsid w:val="00B0080A"/>
    <w:rsid w:val="00B00FA2"/>
    <w:rsid w:val="00B012A2"/>
    <w:rsid w:val="00B13CE0"/>
    <w:rsid w:val="00B206CA"/>
    <w:rsid w:val="00B2146D"/>
    <w:rsid w:val="00B21F79"/>
    <w:rsid w:val="00B2208D"/>
    <w:rsid w:val="00B2464C"/>
    <w:rsid w:val="00B248BB"/>
    <w:rsid w:val="00B375A9"/>
    <w:rsid w:val="00B4173C"/>
    <w:rsid w:val="00B41E03"/>
    <w:rsid w:val="00B436A6"/>
    <w:rsid w:val="00B436F3"/>
    <w:rsid w:val="00B460BE"/>
    <w:rsid w:val="00B50B2C"/>
    <w:rsid w:val="00B50D06"/>
    <w:rsid w:val="00B514D5"/>
    <w:rsid w:val="00B51A2F"/>
    <w:rsid w:val="00B52052"/>
    <w:rsid w:val="00B53567"/>
    <w:rsid w:val="00B62011"/>
    <w:rsid w:val="00B70943"/>
    <w:rsid w:val="00B75046"/>
    <w:rsid w:val="00B75D76"/>
    <w:rsid w:val="00B77C0F"/>
    <w:rsid w:val="00B8254B"/>
    <w:rsid w:val="00B82804"/>
    <w:rsid w:val="00B83555"/>
    <w:rsid w:val="00B85358"/>
    <w:rsid w:val="00B85B28"/>
    <w:rsid w:val="00B9022F"/>
    <w:rsid w:val="00B938CE"/>
    <w:rsid w:val="00B939A3"/>
    <w:rsid w:val="00B947B1"/>
    <w:rsid w:val="00B949A4"/>
    <w:rsid w:val="00B95758"/>
    <w:rsid w:val="00B962BC"/>
    <w:rsid w:val="00BA10A5"/>
    <w:rsid w:val="00BA5DA8"/>
    <w:rsid w:val="00BA659B"/>
    <w:rsid w:val="00BA7715"/>
    <w:rsid w:val="00BB100F"/>
    <w:rsid w:val="00BB2BF3"/>
    <w:rsid w:val="00BB312F"/>
    <w:rsid w:val="00BC1D78"/>
    <w:rsid w:val="00BC434C"/>
    <w:rsid w:val="00BD1180"/>
    <w:rsid w:val="00BD3A37"/>
    <w:rsid w:val="00BD4C4A"/>
    <w:rsid w:val="00BE1B62"/>
    <w:rsid w:val="00BE2692"/>
    <w:rsid w:val="00BE7E89"/>
    <w:rsid w:val="00BF02FE"/>
    <w:rsid w:val="00BF2191"/>
    <w:rsid w:val="00C10EB5"/>
    <w:rsid w:val="00C11454"/>
    <w:rsid w:val="00C11CA7"/>
    <w:rsid w:val="00C1420D"/>
    <w:rsid w:val="00C254A0"/>
    <w:rsid w:val="00C26FE2"/>
    <w:rsid w:val="00C325BE"/>
    <w:rsid w:val="00C326D3"/>
    <w:rsid w:val="00C34CC2"/>
    <w:rsid w:val="00C366D0"/>
    <w:rsid w:val="00C41682"/>
    <w:rsid w:val="00C4210F"/>
    <w:rsid w:val="00C42AE8"/>
    <w:rsid w:val="00C452A7"/>
    <w:rsid w:val="00C51137"/>
    <w:rsid w:val="00C6231B"/>
    <w:rsid w:val="00C63D60"/>
    <w:rsid w:val="00C640C4"/>
    <w:rsid w:val="00C66727"/>
    <w:rsid w:val="00C710E8"/>
    <w:rsid w:val="00C71E32"/>
    <w:rsid w:val="00C73466"/>
    <w:rsid w:val="00C73598"/>
    <w:rsid w:val="00C75462"/>
    <w:rsid w:val="00C75C3B"/>
    <w:rsid w:val="00C75E64"/>
    <w:rsid w:val="00C779BD"/>
    <w:rsid w:val="00C81078"/>
    <w:rsid w:val="00C851DA"/>
    <w:rsid w:val="00C90DC8"/>
    <w:rsid w:val="00C97079"/>
    <w:rsid w:val="00CA4535"/>
    <w:rsid w:val="00CA58D3"/>
    <w:rsid w:val="00CA6A8D"/>
    <w:rsid w:val="00CA6BA1"/>
    <w:rsid w:val="00CA6BEA"/>
    <w:rsid w:val="00CA7217"/>
    <w:rsid w:val="00CB6F1D"/>
    <w:rsid w:val="00CC4F34"/>
    <w:rsid w:val="00CC6BA6"/>
    <w:rsid w:val="00CC74CB"/>
    <w:rsid w:val="00CD6698"/>
    <w:rsid w:val="00CD69AF"/>
    <w:rsid w:val="00CD6EDF"/>
    <w:rsid w:val="00CE00DC"/>
    <w:rsid w:val="00CE01DE"/>
    <w:rsid w:val="00CE054D"/>
    <w:rsid w:val="00CE0A9F"/>
    <w:rsid w:val="00CE3923"/>
    <w:rsid w:val="00CE3F6B"/>
    <w:rsid w:val="00CE7446"/>
    <w:rsid w:val="00CE7571"/>
    <w:rsid w:val="00CE7E1B"/>
    <w:rsid w:val="00CF38AD"/>
    <w:rsid w:val="00CF6BBD"/>
    <w:rsid w:val="00CF6FE1"/>
    <w:rsid w:val="00D00CB2"/>
    <w:rsid w:val="00D02833"/>
    <w:rsid w:val="00D04029"/>
    <w:rsid w:val="00D05D2C"/>
    <w:rsid w:val="00D06D1F"/>
    <w:rsid w:val="00D11DF8"/>
    <w:rsid w:val="00D12186"/>
    <w:rsid w:val="00D22E11"/>
    <w:rsid w:val="00D278F2"/>
    <w:rsid w:val="00D32574"/>
    <w:rsid w:val="00D336DA"/>
    <w:rsid w:val="00D34916"/>
    <w:rsid w:val="00D40F17"/>
    <w:rsid w:val="00D52A44"/>
    <w:rsid w:val="00D53570"/>
    <w:rsid w:val="00D564BC"/>
    <w:rsid w:val="00D606D7"/>
    <w:rsid w:val="00D613E4"/>
    <w:rsid w:val="00D62139"/>
    <w:rsid w:val="00D62B23"/>
    <w:rsid w:val="00D738C9"/>
    <w:rsid w:val="00D76F54"/>
    <w:rsid w:val="00D772A1"/>
    <w:rsid w:val="00D852AF"/>
    <w:rsid w:val="00D877E8"/>
    <w:rsid w:val="00D87A72"/>
    <w:rsid w:val="00D90296"/>
    <w:rsid w:val="00D93FBC"/>
    <w:rsid w:val="00D9451E"/>
    <w:rsid w:val="00DA5E29"/>
    <w:rsid w:val="00DA6A87"/>
    <w:rsid w:val="00DA723A"/>
    <w:rsid w:val="00DB3942"/>
    <w:rsid w:val="00DB438A"/>
    <w:rsid w:val="00DB4466"/>
    <w:rsid w:val="00DC0D48"/>
    <w:rsid w:val="00DC0F19"/>
    <w:rsid w:val="00DC117D"/>
    <w:rsid w:val="00DC136E"/>
    <w:rsid w:val="00DC1A0F"/>
    <w:rsid w:val="00DC3FCD"/>
    <w:rsid w:val="00DC6F40"/>
    <w:rsid w:val="00DD64F9"/>
    <w:rsid w:val="00DD6E73"/>
    <w:rsid w:val="00DE664B"/>
    <w:rsid w:val="00DF0C7F"/>
    <w:rsid w:val="00DF4EF2"/>
    <w:rsid w:val="00DF50DA"/>
    <w:rsid w:val="00DF7F8B"/>
    <w:rsid w:val="00E0123D"/>
    <w:rsid w:val="00E01F21"/>
    <w:rsid w:val="00E0521F"/>
    <w:rsid w:val="00E05FA5"/>
    <w:rsid w:val="00E07730"/>
    <w:rsid w:val="00E11D30"/>
    <w:rsid w:val="00E14EF3"/>
    <w:rsid w:val="00E157AF"/>
    <w:rsid w:val="00E22630"/>
    <w:rsid w:val="00E23397"/>
    <w:rsid w:val="00E23A51"/>
    <w:rsid w:val="00E31269"/>
    <w:rsid w:val="00E3262F"/>
    <w:rsid w:val="00E37B9B"/>
    <w:rsid w:val="00E4195B"/>
    <w:rsid w:val="00E4285C"/>
    <w:rsid w:val="00E4386B"/>
    <w:rsid w:val="00E4614A"/>
    <w:rsid w:val="00E4703E"/>
    <w:rsid w:val="00E5034D"/>
    <w:rsid w:val="00E546B3"/>
    <w:rsid w:val="00E64AB0"/>
    <w:rsid w:val="00E65180"/>
    <w:rsid w:val="00E6544F"/>
    <w:rsid w:val="00E7152B"/>
    <w:rsid w:val="00E7297E"/>
    <w:rsid w:val="00E7336A"/>
    <w:rsid w:val="00E7487F"/>
    <w:rsid w:val="00E74E39"/>
    <w:rsid w:val="00E80815"/>
    <w:rsid w:val="00E81361"/>
    <w:rsid w:val="00E82057"/>
    <w:rsid w:val="00E823F6"/>
    <w:rsid w:val="00E84D5D"/>
    <w:rsid w:val="00E90810"/>
    <w:rsid w:val="00E93D36"/>
    <w:rsid w:val="00E940DC"/>
    <w:rsid w:val="00EA6523"/>
    <w:rsid w:val="00EB2AC4"/>
    <w:rsid w:val="00EB35D3"/>
    <w:rsid w:val="00EB4311"/>
    <w:rsid w:val="00EB504E"/>
    <w:rsid w:val="00EB707E"/>
    <w:rsid w:val="00EC024C"/>
    <w:rsid w:val="00EC0B36"/>
    <w:rsid w:val="00EC1F1B"/>
    <w:rsid w:val="00EC22DD"/>
    <w:rsid w:val="00EC48F5"/>
    <w:rsid w:val="00EC7260"/>
    <w:rsid w:val="00EC7CBB"/>
    <w:rsid w:val="00ED3049"/>
    <w:rsid w:val="00ED33EF"/>
    <w:rsid w:val="00ED40CF"/>
    <w:rsid w:val="00ED5BF4"/>
    <w:rsid w:val="00ED62D6"/>
    <w:rsid w:val="00ED646B"/>
    <w:rsid w:val="00ED71C5"/>
    <w:rsid w:val="00ED7809"/>
    <w:rsid w:val="00ED7C2E"/>
    <w:rsid w:val="00EE1200"/>
    <w:rsid w:val="00EE41FF"/>
    <w:rsid w:val="00EF1314"/>
    <w:rsid w:val="00EF3DE2"/>
    <w:rsid w:val="00EF7A1C"/>
    <w:rsid w:val="00F00A06"/>
    <w:rsid w:val="00F00C2F"/>
    <w:rsid w:val="00F018F3"/>
    <w:rsid w:val="00F03A71"/>
    <w:rsid w:val="00F04343"/>
    <w:rsid w:val="00F04E3D"/>
    <w:rsid w:val="00F131C0"/>
    <w:rsid w:val="00F1340F"/>
    <w:rsid w:val="00F148AE"/>
    <w:rsid w:val="00F17033"/>
    <w:rsid w:val="00F17F8F"/>
    <w:rsid w:val="00F20383"/>
    <w:rsid w:val="00F206D4"/>
    <w:rsid w:val="00F21CCD"/>
    <w:rsid w:val="00F2467B"/>
    <w:rsid w:val="00F31E37"/>
    <w:rsid w:val="00F32485"/>
    <w:rsid w:val="00F328E2"/>
    <w:rsid w:val="00F352EF"/>
    <w:rsid w:val="00F358E4"/>
    <w:rsid w:val="00F379CE"/>
    <w:rsid w:val="00F42E68"/>
    <w:rsid w:val="00F42F3C"/>
    <w:rsid w:val="00F439E7"/>
    <w:rsid w:val="00F447B6"/>
    <w:rsid w:val="00F50F9C"/>
    <w:rsid w:val="00F54B35"/>
    <w:rsid w:val="00F56431"/>
    <w:rsid w:val="00F601CE"/>
    <w:rsid w:val="00F608E4"/>
    <w:rsid w:val="00F6286D"/>
    <w:rsid w:val="00F70DF2"/>
    <w:rsid w:val="00F711DE"/>
    <w:rsid w:val="00F737C9"/>
    <w:rsid w:val="00F77CAF"/>
    <w:rsid w:val="00F77DCC"/>
    <w:rsid w:val="00F80933"/>
    <w:rsid w:val="00F810B2"/>
    <w:rsid w:val="00F81B3F"/>
    <w:rsid w:val="00F82AC1"/>
    <w:rsid w:val="00F84DD2"/>
    <w:rsid w:val="00F86DE7"/>
    <w:rsid w:val="00F87AD1"/>
    <w:rsid w:val="00F919B8"/>
    <w:rsid w:val="00F94197"/>
    <w:rsid w:val="00F945E9"/>
    <w:rsid w:val="00F97388"/>
    <w:rsid w:val="00FB305C"/>
    <w:rsid w:val="00FB379F"/>
    <w:rsid w:val="00FB4EF7"/>
    <w:rsid w:val="00FB6C6B"/>
    <w:rsid w:val="00FB7E1C"/>
    <w:rsid w:val="00FC2A07"/>
    <w:rsid w:val="00FC32A0"/>
    <w:rsid w:val="00FC32EF"/>
    <w:rsid w:val="00FD095D"/>
    <w:rsid w:val="00FD30D0"/>
    <w:rsid w:val="00FD530C"/>
    <w:rsid w:val="00FD7152"/>
    <w:rsid w:val="00FE0280"/>
    <w:rsid w:val="00FE0542"/>
    <w:rsid w:val="00FE0638"/>
    <w:rsid w:val="00FE194B"/>
    <w:rsid w:val="00FE1B56"/>
    <w:rsid w:val="00FE5781"/>
    <w:rsid w:val="00FE6F1A"/>
    <w:rsid w:val="00FE7428"/>
    <w:rsid w:val="00FF0353"/>
    <w:rsid w:val="00FF5F3C"/>
    <w:rsid w:val="00FF7625"/>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F779C6"/>
  <w15:docId w15:val="{20E602DE-C69C-4E40-9544-FF24F39D2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2907"/>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112907"/>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112907"/>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112907"/>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112907"/>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112907"/>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112907"/>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112907"/>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112907"/>
    <w:pPr>
      <w:ind w:left="993"/>
      <w:outlineLvl w:val="7"/>
    </w:pPr>
    <w:rPr>
      <w:color w:val="321547"/>
      <w:szCs w:val="22"/>
      <w:u w:val="dotDotDash"/>
    </w:rPr>
  </w:style>
  <w:style w:type="paragraph" w:styleId="Ttulo9">
    <w:name w:val="heading 9"/>
    <w:basedOn w:val="Ttulo8"/>
    <w:next w:val="Normal"/>
    <w:link w:val="Ttulo9Car"/>
    <w:uiPriority w:val="9"/>
    <w:unhideWhenUsed/>
    <w:qFormat/>
    <w:rsid w:val="00112907"/>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112907"/>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112907"/>
  </w:style>
  <w:style w:type="paragraph" w:styleId="Encabezado">
    <w:name w:val="header"/>
    <w:basedOn w:val="Normal"/>
    <w:link w:val="EncabezadoCar"/>
    <w:uiPriority w:val="99"/>
    <w:unhideWhenUsed/>
    <w:rsid w:val="00112907"/>
    <w:pPr>
      <w:tabs>
        <w:tab w:val="center" w:pos="4252"/>
        <w:tab w:val="right" w:pos="8504"/>
      </w:tabs>
    </w:pPr>
  </w:style>
  <w:style w:type="character" w:customStyle="1" w:styleId="HeaderChar">
    <w:name w:val="Header Char"/>
    <w:basedOn w:val="Fuentedeprrafopredeter"/>
    <w:uiPriority w:val="99"/>
    <w:rsid w:val="00112907"/>
    <w:rPr>
      <w:rFonts w:ascii="Garamond" w:hAnsi="Garamond"/>
      <w:lang w:val="es-ES"/>
    </w:rPr>
  </w:style>
  <w:style w:type="character" w:customStyle="1" w:styleId="FooterChar">
    <w:name w:val="Footer Char"/>
    <w:basedOn w:val="Fuentedeprrafopredeter"/>
    <w:uiPriority w:val="99"/>
    <w:rsid w:val="00112907"/>
    <w:rPr>
      <w:rFonts w:ascii="Garamond" w:hAnsi="Garamond"/>
      <w:lang w:val="es-ES"/>
    </w:rPr>
  </w:style>
  <w:style w:type="table" w:styleId="Tablaconcuadrcula">
    <w:name w:val="Table Grid"/>
    <w:basedOn w:val="Tablanormal"/>
    <w:uiPriority w:val="39"/>
    <w:rsid w:val="001129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112907"/>
    <w:rPr>
      <w:color w:val="808080"/>
    </w:rPr>
  </w:style>
  <w:style w:type="paragraph" w:styleId="Ttulo">
    <w:name w:val="Title"/>
    <w:basedOn w:val="Normal"/>
    <w:next w:val="Normal"/>
    <w:link w:val="TtuloCar"/>
    <w:uiPriority w:val="10"/>
    <w:qFormat/>
    <w:rsid w:val="00112907"/>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itleChar">
    <w:name w:val="Title Char"/>
    <w:basedOn w:val="Fuentedeprrafopredeter"/>
    <w:uiPriority w:val="10"/>
    <w:rsid w:val="00112907"/>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112907"/>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112907"/>
    <w:pPr>
      <w:numPr>
        <w:ilvl w:val="1"/>
        <w:numId w:val="1"/>
      </w:numPr>
      <w:spacing w:after="100"/>
      <w:ind w:left="1049" w:hanging="198"/>
      <w:contextualSpacing/>
    </w:pPr>
  </w:style>
  <w:style w:type="character" w:customStyle="1" w:styleId="Heading2Char">
    <w:name w:val="Heading 2 Char"/>
    <w:basedOn w:val="Fuentedeprrafopredeter"/>
    <w:uiPriority w:val="9"/>
    <w:rsid w:val="00112907"/>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112907"/>
    <w:pPr>
      <w:numPr>
        <w:numId w:val="0"/>
      </w:numPr>
      <w:shd w:val="clear" w:color="auto" w:fill="auto"/>
      <w:spacing w:before="100" w:after="40" w:line="240" w:lineRule="auto"/>
      <w:jc w:val="center"/>
      <w:outlineLvl w:val="9"/>
    </w:pPr>
    <w:rPr>
      <w:rFonts w:eastAsiaTheme="majorEastAsia" w:cstheme="majorBidi"/>
      <w:bCs w:val="0"/>
      <w:i/>
      <w:caps w:val="0"/>
      <w:color w:val="461E64" w:themeColor="accent1" w:themeShade="BF"/>
      <w:szCs w:val="32"/>
      <w:u w:val="single"/>
      <w:lang w:val="en-US"/>
    </w:rPr>
  </w:style>
  <w:style w:type="paragraph" w:styleId="TDC1">
    <w:name w:val="toc 1"/>
    <w:basedOn w:val="Normal"/>
    <w:next w:val="FinTDC"/>
    <w:autoRedefine/>
    <w:uiPriority w:val="39"/>
    <w:unhideWhenUsed/>
    <w:rsid w:val="00112907"/>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112907"/>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112907"/>
    <w:rPr>
      <w:color w:val="0563C1" w:themeColor="hyperlink"/>
      <w:u w:val="single"/>
    </w:rPr>
  </w:style>
  <w:style w:type="character" w:customStyle="1" w:styleId="Heading3Char">
    <w:name w:val="Heading 3 Char"/>
    <w:basedOn w:val="Fuentedeprrafopredeter"/>
    <w:uiPriority w:val="9"/>
    <w:rsid w:val="00112907"/>
    <w:rPr>
      <w:rFonts w:ascii="Garamond" w:hAnsi="Garamond"/>
      <w:i/>
      <w:iCs/>
      <w:color w:val="5F2987"/>
      <w:u w:val="single"/>
      <w:lang w:val="es-ES"/>
    </w:rPr>
  </w:style>
  <w:style w:type="paragraph" w:styleId="TDC3">
    <w:name w:val="toc 3"/>
    <w:basedOn w:val="Normal"/>
    <w:next w:val="FinTDC"/>
    <w:autoRedefine/>
    <w:uiPriority w:val="39"/>
    <w:unhideWhenUsed/>
    <w:rsid w:val="00112907"/>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112907"/>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112907"/>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112907"/>
    <w:rPr>
      <w:color w:val="FFFFFF" w:themeColor="text1" w:themeTint="80"/>
      <w:sz w:val="16"/>
    </w:rPr>
  </w:style>
  <w:style w:type="character" w:customStyle="1" w:styleId="NocantarChar">
    <w:name w:val="No cantar Char"/>
    <w:basedOn w:val="Fuentedeprrafopredeter"/>
    <w:link w:val="Nocantar"/>
    <w:rsid w:val="00112907"/>
    <w:rPr>
      <w:rFonts w:ascii="Palatino Linotype" w:hAnsi="Palatino Linotype"/>
      <w:color w:val="FFFFFF" w:themeColor="text1" w:themeTint="80"/>
      <w:sz w:val="16"/>
      <w:lang w:val="es-ES"/>
    </w:rPr>
  </w:style>
  <w:style w:type="paragraph" w:customStyle="1" w:styleId="Introduccinyconclusin">
    <w:name w:val="Introducción y conclusión"/>
    <w:basedOn w:val="Ttulo1"/>
    <w:next w:val="Normal"/>
    <w:link w:val="IntroduccinyconclusinChar"/>
    <w:qFormat/>
    <w:rsid w:val="00112907"/>
    <w:pPr>
      <w:numPr>
        <w:numId w:val="0"/>
      </w:numPr>
      <w:ind w:firstLine="142"/>
    </w:pPr>
  </w:style>
  <w:style w:type="character" w:customStyle="1" w:styleId="IntroduccinyconclusinChar">
    <w:name w:val="Introducción y conclusión Char"/>
    <w:basedOn w:val="Ttulo1Car"/>
    <w:link w:val="Introduccinyconclusin"/>
    <w:rsid w:val="00112907"/>
    <w:rPr>
      <w:rFonts w:ascii="Palatino Linotype" w:hAnsi="Palatino Linotype"/>
      <w:b/>
      <w:bCs/>
      <w:caps/>
      <w:color w:val="E2EFD9" w:themeColor="accent6" w:themeTint="33"/>
      <w:shd w:val="clear" w:color="auto" w:fill="5F2987"/>
      <w:lang w:val="es-ES"/>
    </w:rPr>
  </w:style>
  <w:style w:type="numbering" w:customStyle="1" w:styleId="Lista1">
    <w:name w:val="Lista1"/>
    <w:basedOn w:val="Sinlista"/>
    <w:uiPriority w:val="99"/>
    <w:rsid w:val="00112907"/>
    <w:pPr>
      <w:numPr>
        <w:numId w:val="3"/>
      </w:numPr>
    </w:pPr>
  </w:style>
  <w:style w:type="paragraph" w:customStyle="1" w:styleId="Nivel1">
    <w:name w:val="Nivel 1"/>
    <w:basedOn w:val="Normal"/>
    <w:qFormat/>
    <w:rsid w:val="00112907"/>
    <w:pPr>
      <w:numPr>
        <w:numId w:val="1"/>
      </w:numPr>
      <w:spacing w:before="100" w:after="100"/>
      <w:ind w:left="623" w:hanging="198"/>
    </w:pPr>
  </w:style>
  <w:style w:type="paragraph" w:customStyle="1" w:styleId="Nivel3">
    <w:name w:val="Nivel 3"/>
    <w:basedOn w:val="Nivel2"/>
    <w:link w:val="Nivel3Car"/>
    <w:qFormat/>
    <w:rsid w:val="00112907"/>
    <w:pPr>
      <w:numPr>
        <w:ilvl w:val="2"/>
      </w:numPr>
      <w:spacing w:after="0"/>
      <w:ind w:left="1474" w:hanging="198"/>
    </w:pPr>
  </w:style>
  <w:style w:type="paragraph" w:customStyle="1" w:styleId="Letra">
    <w:name w:val="Letra"/>
    <w:basedOn w:val="Nivel1"/>
    <w:qFormat/>
    <w:rsid w:val="00112907"/>
    <w:pPr>
      <w:numPr>
        <w:numId w:val="4"/>
      </w:numPr>
      <w:spacing w:before="0" w:after="40"/>
      <w:ind w:left="936" w:hanging="227"/>
    </w:pPr>
  </w:style>
  <w:style w:type="paragraph" w:customStyle="1" w:styleId="Nmero">
    <w:name w:val="Número"/>
    <w:basedOn w:val="Normal"/>
    <w:qFormat/>
    <w:rsid w:val="00112907"/>
    <w:pPr>
      <w:numPr>
        <w:numId w:val="5"/>
      </w:numPr>
      <w:spacing w:after="40"/>
      <w:ind w:left="936" w:hanging="227"/>
    </w:pPr>
  </w:style>
  <w:style w:type="paragraph" w:styleId="Textodeglobo">
    <w:name w:val="Balloon Text"/>
    <w:basedOn w:val="Normal"/>
    <w:link w:val="TextodegloboCar"/>
    <w:uiPriority w:val="99"/>
    <w:semiHidden/>
    <w:unhideWhenUsed/>
    <w:rsid w:val="00112907"/>
    <w:rPr>
      <w:rFonts w:ascii="Segoe UI" w:hAnsi="Segoe UI" w:cs="Segoe UI"/>
      <w:sz w:val="18"/>
      <w:szCs w:val="18"/>
    </w:rPr>
  </w:style>
  <w:style w:type="character" w:customStyle="1" w:styleId="BalloonTextChar">
    <w:name w:val="Balloon Text Char"/>
    <w:basedOn w:val="Fuentedeprrafopredeter"/>
    <w:uiPriority w:val="99"/>
    <w:semiHidden/>
    <w:rsid w:val="00112907"/>
    <w:rPr>
      <w:rFonts w:ascii="Segoe UI" w:hAnsi="Segoe UI" w:cs="Segoe UI"/>
      <w:sz w:val="18"/>
      <w:szCs w:val="18"/>
      <w:lang w:val="es-ES"/>
    </w:rPr>
  </w:style>
  <w:style w:type="paragraph" w:customStyle="1" w:styleId="Notaalopositor">
    <w:name w:val="Nota al opositor"/>
    <w:basedOn w:val="Normal"/>
    <w:link w:val="NotaalopositorChar"/>
    <w:qFormat/>
    <w:rsid w:val="00112907"/>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112907"/>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112907"/>
    <w:pPr>
      <w:keepLines/>
      <w:spacing w:after="40" w:line="240" w:lineRule="auto"/>
    </w:pPr>
    <w:rPr>
      <w:sz w:val="16"/>
      <w:szCs w:val="20"/>
    </w:rPr>
  </w:style>
  <w:style w:type="character" w:customStyle="1" w:styleId="FootnoteTextChar">
    <w:name w:val="Footnote Text Char"/>
    <w:aliases w:val="Nota a pie de página Char"/>
    <w:basedOn w:val="Fuentedeprrafopredeter"/>
    <w:uiPriority w:val="99"/>
    <w:rsid w:val="00112907"/>
    <w:rPr>
      <w:rFonts w:ascii="Garamond" w:hAnsi="Garamond"/>
      <w:sz w:val="16"/>
      <w:szCs w:val="20"/>
      <w:lang w:val="es-ES"/>
    </w:rPr>
  </w:style>
  <w:style w:type="character" w:styleId="Refdenotaalpie">
    <w:name w:val="footnote reference"/>
    <w:basedOn w:val="Fuentedeprrafopredeter"/>
    <w:uiPriority w:val="99"/>
    <w:unhideWhenUsed/>
    <w:rsid w:val="00112907"/>
    <w:rPr>
      <w:vertAlign w:val="superscript"/>
    </w:rPr>
  </w:style>
  <w:style w:type="character" w:customStyle="1" w:styleId="Heading6Char">
    <w:name w:val="Heading 6 Char"/>
    <w:basedOn w:val="Fuentedeprrafopredeter"/>
    <w:uiPriority w:val="9"/>
    <w:semiHidden/>
    <w:rsid w:val="00112907"/>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112907"/>
    <w:pPr>
      <w:numPr>
        <w:ilvl w:val="1"/>
      </w:numPr>
    </w:pPr>
    <w:rPr>
      <w:rFonts w:eastAsiaTheme="minorEastAsia"/>
      <w:smallCaps/>
      <w:color w:val="FFFFFF" w:themeColor="text1" w:themeTint="A5"/>
    </w:rPr>
  </w:style>
  <w:style w:type="character" w:customStyle="1" w:styleId="SubtitleChar">
    <w:name w:val="Subtitle Char"/>
    <w:basedOn w:val="Fuentedeprrafopredeter"/>
    <w:uiPriority w:val="11"/>
    <w:rsid w:val="00112907"/>
    <w:rPr>
      <w:rFonts w:ascii="Garamond" w:eastAsiaTheme="minorEastAsia" w:hAnsi="Garamond"/>
      <w:smallCaps/>
      <w:color w:val="FFFFFF" w:themeColor="text1" w:themeTint="A5"/>
      <w:lang w:val="es-ES"/>
    </w:rPr>
  </w:style>
  <w:style w:type="paragraph" w:customStyle="1" w:styleId="Nivel1SM">
    <w:name w:val="Nivel 1 SM"/>
    <w:basedOn w:val="Nivel1"/>
    <w:qFormat/>
    <w:rsid w:val="00112907"/>
    <w:pPr>
      <w:ind w:left="0"/>
    </w:pPr>
  </w:style>
  <w:style w:type="paragraph" w:customStyle="1" w:styleId="Nivel2SM">
    <w:name w:val="Nivel 2 SM"/>
    <w:basedOn w:val="Nivel2"/>
    <w:qFormat/>
    <w:rsid w:val="00112907"/>
    <w:pPr>
      <w:ind w:left="567"/>
    </w:pPr>
  </w:style>
  <w:style w:type="paragraph" w:customStyle="1" w:styleId="Nivel3SM">
    <w:name w:val="Nivel 3 SM"/>
    <w:basedOn w:val="Nivel3"/>
    <w:qFormat/>
    <w:rsid w:val="00112907"/>
    <w:pPr>
      <w:ind w:left="963"/>
    </w:pPr>
  </w:style>
  <w:style w:type="paragraph" w:styleId="Encabezadodelista">
    <w:name w:val="toa heading"/>
    <w:basedOn w:val="Normal"/>
    <w:next w:val="Normal"/>
    <w:uiPriority w:val="99"/>
    <w:semiHidden/>
    <w:unhideWhenUsed/>
    <w:rsid w:val="00112907"/>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112907"/>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112907"/>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112907"/>
    <w:rPr>
      <w:rFonts w:ascii="Palatino Linotype" w:hAnsi="Palatino Linotype"/>
      <w:shd w:val="clear" w:color="auto" w:fill="E7E6E6" w:themeFill="background2"/>
      <w:lang w:val="es-ES"/>
    </w:rPr>
  </w:style>
  <w:style w:type="character" w:customStyle="1" w:styleId="EncabezadoCar">
    <w:name w:val="Encabezado Car"/>
    <w:basedOn w:val="Fuentedeprrafopredeter"/>
    <w:link w:val="Encabezado"/>
    <w:uiPriority w:val="99"/>
    <w:rsid w:val="00112907"/>
    <w:rPr>
      <w:rFonts w:ascii="Palatino Linotype" w:hAnsi="Palatino Linotype"/>
      <w:lang w:val="es-ES"/>
    </w:rPr>
  </w:style>
  <w:style w:type="character" w:customStyle="1" w:styleId="TtuloCar">
    <w:name w:val="Título Car"/>
    <w:basedOn w:val="Fuentedeprrafopredeter"/>
    <w:link w:val="Ttulo"/>
    <w:uiPriority w:val="10"/>
    <w:rsid w:val="00112907"/>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112907"/>
    <w:rPr>
      <w:rFonts w:ascii="Palatino Linotype" w:hAnsi="Palatino Linotype"/>
      <w:b/>
      <w:bCs/>
      <w:caps/>
      <w:color w:val="E2EFD9" w:themeColor="accent6" w:themeTint="33"/>
      <w:shd w:val="clear" w:color="auto" w:fill="5F2987"/>
      <w:lang w:val="es-ES"/>
    </w:rPr>
  </w:style>
  <w:style w:type="character" w:customStyle="1" w:styleId="Ttulo2Car">
    <w:name w:val="Título 2 Car"/>
    <w:basedOn w:val="Fuentedeprrafopredeter"/>
    <w:link w:val="Ttulo2"/>
    <w:uiPriority w:val="9"/>
    <w:rsid w:val="00112907"/>
    <w:rPr>
      <w:rFonts w:ascii="Palatino Linotype" w:hAnsi="Palatino Linotype"/>
      <w:b/>
      <w:bCs/>
      <w:color w:val="5F2987"/>
      <w:shd w:val="clear" w:color="auto" w:fill="E2EFD9" w:themeFill="accent6" w:themeFillTint="33"/>
      <w:lang w:val="es-ES"/>
    </w:rPr>
  </w:style>
  <w:style w:type="character" w:customStyle="1" w:styleId="Ttulo3Car">
    <w:name w:val="Título 3 Car"/>
    <w:basedOn w:val="Fuentedeprrafopredeter"/>
    <w:link w:val="Ttulo3"/>
    <w:uiPriority w:val="9"/>
    <w:rsid w:val="00112907"/>
    <w:rPr>
      <w:rFonts w:ascii="Palatino Linotype" w:hAnsi="Palatino Linotype"/>
      <w:i/>
      <w:iCs/>
      <w:color w:val="5F2987"/>
      <w:u w:val="single"/>
      <w:lang w:val="es-ES"/>
    </w:rPr>
  </w:style>
  <w:style w:type="character" w:customStyle="1" w:styleId="Ttulo4Car">
    <w:name w:val="Título 4 Car"/>
    <w:basedOn w:val="Fuentedeprrafopredeter"/>
    <w:link w:val="Ttulo4"/>
    <w:uiPriority w:val="9"/>
    <w:rsid w:val="00112907"/>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112907"/>
    <w:rPr>
      <w:rFonts w:ascii="Palatino Linotype" w:hAnsi="Palatino Linotype"/>
      <w:i/>
      <w:iCs/>
      <w:color w:val="5F2987"/>
      <w:spacing w:val="-4"/>
      <w:u w:val="single"/>
      <w:shd w:val="clear" w:color="auto" w:fill="E2EFD9" w:themeFill="accent6" w:themeFillTint="33"/>
      <w:lang w:val="es-ES"/>
    </w:rPr>
  </w:style>
  <w:style w:type="character" w:customStyle="1" w:styleId="TextodegloboCar">
    <w:name w:val="Texto de globo Car"/>
    <w:basedOn w:val="Fuentedeprrafopredeter"/>
    <w:link w:val="Textodeglobo"/>
    <w:uiPriority w:val="99"/>
    <w:semiHidden/>
    <w:rsid w:val="00112907"/>
    <w:rPr>
      <w:rFonts w:ascii="Segoe UI" w:hAnsi="Segoe UI" w:cs="Segoe UI"/>
      <w:sz w:val="18"/>
      <w:szCs w:val="18"/>
      <w:lang w:val="es-ES"/>
    </w:rPr>
  </w:style>
  <w:style w:type="character" w:customStyle="1" w:styleId="TextonotapieCar">
    <w:name w:val="Texto nota pie Car"/>
    <w:aliases w:val="Nota a pie de página Car"/>
    <w:basedOn w:val="Fuentedeprrafopredeter"/>
    <w:link w:val="Textonotapie"/>
    <w:uiPriority w:val="99"/>
    <w:rsid w:val="00112907"/>
    <w:rPr>
      <w:rFonts w:ascii="Palatino Linotype" w:hAnsi="Palatino Linotype"/>
      <w:sz w:val="16"/>
      <w:szCs w:val="20"/>
      <w:lang w:val="es-ES"/>
    </w:rPr>
  </w:style>
  <w:style w:type="character" w:customStyle="1" w:styleId="Ttulo6Car">
    <w:name w:val="Título 6 Car"/>
    <w:basedOn w:val="Fuentedeprrafopredeter"/>
    <w:link w:val="Ttulo6"/>
    <w:uiPriority w:val="9"/>
    <w:rsid w:val="00112907"/>
    <w:rPr>
      <w:rFonts w:ascii="Palatino Linotype" w:eastAsiaTheme="majorEastAsia" w:hAnsi="Palatino Linotype" w:cstheme="majorBidi"/>
      <w:b/>
      <w:color w:val="5F2987"/>
      <w:u w:val="single"/>
      <w:lang w:val="es-ES"/>
    </w:rPr>
  </w:style>
  <w:style w:type="character" w:customStyle="1" w:styleId="SubttuloCar">
    <w:name w:val="Subtítulo Car"/>
    <w:basedOn w:val="Fuentedeprrafopredeter"/>
    <w:link w:val="Subttulo"/>
    <w:uiPriority w:val="11"/>
    <w:rsid w:val="00112907"/>
    <w:rPr>
      <w:rFonts w:ascii="Palatino Linotype" w:eastAsiaTheme="minorEastAsia" w:hAnsi="Palatino Linotype"/>
      <w:smallCaps/>
      <w:color w:val="FFFFFF" w:themeColor="text1" w:themeTint="A5"/>
      <w:lang w:val="es-ES"/>
    </w:rPr>
  </w:style>
  <w:style w:type="character" w:styleId="Mencinsinresolver">
    <w:name w:val="Unresolved Mention"/>
    <w:basedOn w:val="Fuentedeprrafopredeter"/>
    <w:uiPriority w:val="99"/>
    <w:semiHidden/>
    <w:unhideWhenUsed/>
    <w:rsid w:val="00112907"/>
    <w:rPr>
      <w:color w:val="605E5C"/>
      <w:shd w:val="clear" w:color="auto" w:fill="E1DFDD"/>
    </w:rPr>
  </w:style>
  <w:style w:type="character" w:customStyle="1" w:styleId="Ttulo7Car">
    <w:name w:val="Título 7 Car"/>
    <w:basedOn w:val="Fuentedeprrafopredeter"/>
    <w:link w:val="Ttulo7"/>
    <w:uiPriority w:val="9"/>
    <w:rsid w:val="00112907"/>
    <w:rPr>
      <w:rFonts w:ascii="Palatino Linotype" w:eastAsiaTheme="majorEastAsia" w:hAnsi="Palatino Linotype" w:cstheme="majorBidi"/>
      <w:i/>
      <w:iCs/>
      <w:color w:val="5F2987"/>
      <w:spacing w:val="-4"/>
      <w:szCs w:val="20"/>
      <w:u w:val="dash"/>
      <w:lang w:val="es-ES"/>
    </w:rPr>
  </w:style>
  <w:style w:type="paragraph" w:styleId="TDC5">
    <w:name w:val="toc 5"/>
    <w:basedOn w:val="Normal"/>
    <w:next w:val="FinTDC"/>
    <w:autoRedefine/>
    <w:uiPriority w:val="39"/>
    <w:unhideWhenUsed/>
    <w:rsid w:val="00112907"/>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112907"/>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112907"/>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112907"/>
    <w:rPr>
      <w:rFonts w:ascii="Palatino Linotype" w:hAnsi="Palatino Linotype"/>
      <w:iCs/>
      <w:noProof/>
      <w:color w:val="171717" w:themeColor="background2" w:themeShade="1A"/>
      <w:sz w:val="20"/>
      <w:szCs w:val="20"/>
      <w:lang w:val="es-ES"/>
    </w:rPr>
  </w:style>
  <w:style w:type="character" w:styleId="Hipervnculovisitado">
    <w:name w:val="FollowedHyperlink"/>
    <w:basedOn w:val="Fuentedeprrafopredeter"/>
    <w:uiPriority w:val="99"/>
    <w:semiHidden/>
    <w:unhideWhenUsed/>
    <w:rsid w:val="0045101A"/>
    <w:rPr>
      <w:color w:val="954F72" w:themeColor="followedHyperlink"/>
      <w:u w:val="single"/>
    </w:rPr>
  </w:style>
  <w:style w:type="character" w:customStyle="1" w:styleId="Ttulo8Car">
    <w:name w:val="Título 8 Car"/>
    <w:basedOn w:val="Fuentedeprrafopredeter"/>
    <w:link w:val="Ttulo8"/>
    <w:uiPriority w:val="9"/>
    <w:rsid w:val="00112907"/>
    <w:rPr>
      <w:rFonts w:ascii="Palatino Linotype" w:eastAsiaTheme="majorEastAsia" w:hAnsi="Palatino Linotype" w:cstheme="majorBidi"/>
      <w:i/>
      <w:iCs/>
      <w:color w:val="321547"/>
      <w:spacing w:val="-4"/>
      <w:u w:val="dotDotDash"/>
      <w:lang w:val="es-ES"/>
    </w:rPr>
  </w:style>
  <w:style w:type="paragraph" w:styleId="Bibliografa">
    <w:name w:val="Bibliography"/>
    <w:basedOn w:val="Normal"/>
    <w:next w:val="Normal"/>
    <w:uiPriority w:val="37"/>
    <w:unhideWhenUsed/>
    <w:rsid w:val="00112907"/>
    <w:pPr>
      <w:spacing w:line="240" w:lineRule="auto"/>
      <w:ind w:left="567" w:hanging="567"/>
    </w:pPr>
  </w:style>
  <w:style w:type="paragraph" w:customStyle="1" w:styleId="Ttuloimagen">
    <w:name w:val="Título imagen"/>
    <w:basedOn w:val="PiedeImagen"/>
    <w:next w:val="Imagen"/>
    <w:link w:val="TtuloimagenCar"/>
    <w:qFormat/>
    <w:rsid w:val="00112907"/>
    <w:pPr>
      <w:keepNext/>
      <w:spacing w:after="0"/>
    </w:pPr>
    <w:rPr>
      <w:i w:val="0"/>
      <w:smallCaps/>
      <w:sz w:val="20"/>
    </w:rPr>
  </w:style>
  <w:style w:type="character" w:customStyle="1" w:styleId="TtuloimagenCar">
    <w:name w:val="Título imagen Car"/>
    <w:basedOn w:val="ImagenCar"/>
    <w:link w:val="Ttuloimagen"/>
    <w:rsid w:val="00112907"/>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112907"/>
    <w:pPr>
      <w:ind w:left="1100"/>
    </w:pPr>
  </w:style>
  <w:style w:type="paragraph" w:styleId="Sinespaciado">
    <w:name w:val="No Spacing"/>
    <w:link w:val="SinespaciadoCar"/>
    <w:uiPriority w:val="1"/>
    <w:qFormat/>
    <w:rsid w:val="00112907"/>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112907"/>
    <w:rPr>
      <w:rFonts w:eastAsiaTheme="minorEastAsia"/>
      <w:lang w:val="es-ES" w:eastAsia="es-ES"/>
    </w:rPr>
  </w:style>
  <w:style w:type="paragraph" w:styleId="Prrafodelista">
    <w:name w:val="List Paragraph"/>
    <w:basedOn w:val="Normal"/>
    <w:uiPriority w:val="34"/>
    <w:rsid w:val="00112907"/>
    <w:pPr>
      <w:ind w:left="720"/>
      <w:contextualSpacing/>
    </w:pPr>
  </w:style>
  <w:style w:type="paragraph" w:customStyle="1" w:styleId="Nmeroromano">
    <w:name w:val="Número romano"/>
    <w:basedOn w:val="Prrafodelista"/>
    <w:qFormat/>
    <w:rsid w:val="00112907"/>
    <w:pPr>
      <w:numPr>
        <w:numId w:val="49"/>
      </w:numPr>
      <w:spacing w:after="100"/>
      <w:ind w:left="567" w:hanging="113"/>
    </w:pPr>
  </w:style>
  <w:style w:type="paragraph" w:customStyle="1" w:styleId="Saltodettulos">
    <w:name w:val="Salto de títulos"/>
    <w:basedOn w:val="Normal"/>
    <w:rsid w:val="00112907"/>
    <w:pPr>
      <w:spacing w:after="0" w:line="240" w:lineRule="auto"/>
    </w:pPr>
    <w:rPr>
      <w:color w:val="FFFFFF"/>
      <w:sz w:val="2"/>
    </w:rPr>
  </w:style>
  <w:style w:type="paragraph" w:styleId="TDC7">
    <w:name w:val="toc 7"/>
    <w:basedOn w:val="Normal"/>
    <w:next w:val="FinTDC"/>
    <w:autoRedefine/>
    <w:uiPriority w:val="39"/>
    <w:unhideWhenUsed/>
    <w:rsid w:val="00112907"/>
    <w:pPr>
      <w:spacing w:after="0" w:line="20" w:lineRule="atLeast"/>
      <w:ind w:left="1418"/>
      <w:jc w:val="left"/>
    </w:pPr>
    <w:rPr>
      <w:i/>
      <w:color w:val="5F2987"/>
      <w:sz w:val="12"/>
    </w:rPr>
  </w:style>
  <w:style w:type="character" w:customStyle="1" w:styleId="Ttulo9Car">
    <w:name w:val="Título 9 Car"/>
    <w:basedOn w:val="Fuentedeprrafopredeter"/>
    <w:link w:val="Ttulo9"/>
    <w:uiPriority w:val="9"/>
    <w:rsid w:val="00112907"/>
    <w:rPr>
      <w:rFonts w:ascii="Palatino Linotype" w:eastAsiaTheme="majorEastAsia" w:hAnsi="Palatino Linotype" w:cstheme="majorBidi"/>
      <w:i/>
      <w:color w:val="240F33"/>
      <w:spacing w:val="-4"/>
      <w:w w:val="99"/>
      <w:sz w:val="21"/>
      <w:szCs w:val="21"/>
      <w:u w:val="dotted"/>
      <w:lang w:val="es-ES"/>
    </w:rPr>
  </w:style>
  <w:style w:type="paragraph" w:customStyle="1" w:styleId="FinTDC">
    <w:name w:val="FinTDC"/>
    <w:basedOn w:val="Nivel1"/>
    <w:qFormat/>
    <w:rsid w:val="00112907"/>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112907"/>
    <w:pPr>
      <w:spacing w:after="0" w:line="240" w:lineRule="auto"/>
      <w:jc w:val="left"/>
    </w:pPr>
    <w:rPr>
      <w:sz w:val="15"/>
    </w:rPr>
  </w:style>
  <w:style w:type="paragraph" w:styleId="TDC9">
    <w:name w:val="toc 9"/>
    <w:basedOn w:val="TDC8"/>
    <w:next w:val="FinTDC"/>
    <w:autoRedefine/>
    <w:uiPriority w:val="39"/>
    <w:semiHidden/>
    <w:unhideWhenUsed/>
    <w:rsid w:val="00112907"/>
    <w:pPr>
      <w:ind w:left="1760"/>
    </w:pPr>
  </w:style>
  <w:style w:type="paragraph" w:customStyle="1" w:styleId="Apartado0">
    <w:name w:val="Apartado 0"/>
    <w:basedOn w:val="Ttulo1"/>
    <w:next w:val="Normal"/>
    <w:link w:val="Apartado0Car"/>
    <w:qFormat/>
    <w:rsid w:val="00112907"/>
    <w:pPr>
      <w:numPr>
        <w:numId w:val="12"/>
      </w:numPr>
      <w:ind w:left="357" w:hanging="357"/>
    </w:pPr>
  </w:style>
  <w:style w:type="character" w:customStyle="1" w:styleId="Apartado0Car">
    <w:name w:val="Apartado 0 Car"/>
    <w:basedOn w:val="Ttulo1Car"/>
    <w:link w:val="Apartado0"/>
    <w:rsid w:val="00112907"/>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112907"/>
    <w:pPr>
      <w:numPr>
        <w:ilvl w:val="3"/>
      </w:numPr>
      <w:ind w:left="1899" w:hanging="198"/>
    </w:pPr>
  </w:style>
  <w:style w:type="paragraph" w:customStyle="1" w:styleId="Nivel5">
    <w:name w:val="Nivel 5"/>
    <w:basedOn w:val="Nivel4"/>
    <w:link w:val="Nivel5Car"/>
    <w:qFormat/>
    <w:rsid w:val="00112907"/>
    <w:pPr>
      <w:numPr>
        <w:ilvl w:val="4"/>
      </w:numPr>
      <w:ind w:left="2155" w:hanging="170"/>
    </w:pPr>
  </w:style>
  <w:style w:type="character" w:customStyle="1" w:styleId="Nivel2Car">
    <w:name w:val="Nivel 2 Car"/>
    <w:basedOn w:val="Fuentedeprrafopredeter"/>
    <w:link w:val="Nivel2"/>
    <w:rsid w:val="00112907"/>
    <w:rPr>
      <w:rFonts w:ascii="Palatino Linotype" w:hAnsi="Palatino Linotype"/>
      <w:lang w:val="es-ES"/>
    </w:rPr>
  </w:style>
  <w:style w:type="character" w:customStyle="1" w:styleId="Nivel3Car">
    <w:name w:val="Nivel 3 Car"/>
    <w:basedOn w:val="Nivel2Car"/>
    <w:link w:val="Nivel3"/>
    <w:rsid w:val="00112907"/>
    <w:rPr>
      <w:rFonts w:ascii="Palatino Linotype" w:hAnsi="Palatino Linotype"/>
      <w:lang w:val="es-ES"/>
    </w:rPr>
  </w:style>
  <w:style w:type="character" w:customStyle="1" w:styleId="Nivel4Car">
    <w:name w:val="Nivel 4 Car"/>
    <w:basedOn w:val="Nivel3Car"/>
    <w:link w:val="Nivel4"/>
    <w:rsid w:val="00112907"/>
    <w:rPr>
      <w:rFonts w:ascii="Palatino Linotype" w:hAnsi="Palatino Linotype"/>
      <w:lang w:val="es-ES"/>
    </w:rPr>
  </w:style>
  <w:style w:type="paragraph" w:customStyle="1" w:styleId="Nivel6">
    <w:name w:val="Nivel 6"/>
    <w:basedOn w:val="Nivel5"/>
    <w:link w:val="Nivel6Car"/>
    <w:qFormat/>
    <w:rsid w:val="00112907"/>
    <w:pPr>
      <w:numPr>
        <w:ilvl w:val="5"/>
      </w:numPr>
      <w:ind w:left="2438" w:hanging="227"/>
    </w:pPr>
  </w:style>
  <w:style w:type="character" w:customStyle="1" w:styleId="Nivel5Car">
    <w:name w:val="Nivel 5 Car"/>
    <w:basedOn w:val="Nivel4Car"/>
    <w:link w:val="Nivel5"/>
    <w:rsid w:val="00112907"/>
    <w:rPr>
      <w:rFonts w:ascii="Palatino Linotype" w:hAnsi="Palatino Linotype"/>
      <w:lang w:val="es-ES"/>
    </w:rPr>
  </w:style>
  <w:style w:type="paragraph" w:customStyle="1" w:styleId="Nivel7">
    <w:name w:val="Nivel 7"/>
    <w:basedOn w:val="Nivel5"/>
    <w:link w:val="Nivel7Car"/>
    <w:qFormat/>
    <w:rsid w:val="00112907"/>
    <w:pPr>
      <w:numPr>
        <w:ilvl w:val="6"/>
      </w:numPr>
      <w:ind w:left="2722" w:hanging="170"/>
    </w:pPr>
  </w:style>
  <w:style w:type="character" w:customStyle="1" w:styleId="Nivel6Car">
    <w:name w:val="Nivel 6 Car"/>
    <w:basedOn w:val="Nivel5Car"/>
    <w:link w:val="Nivel6"/>
    <w:rsid w:val="00112907"/>
    <w:rPr>
      <w:rFonts w:ascii="Palatino Linotype" w:hAnsi="Palatino Linotype"/>
      <w:lang w:val="es-ES"/>
    </w:rPr>
  </w:style>
  <w:style w:type="character" w:customStyle="1" w:styleId="Nivel7Car">
    <w:name w:val="Nivel 7 Car"/>
    <w:basedOn w:val="Nivel5Car"/>
    <w:link w:val="Nivel7"/>
    <w:rsid w:val="00112907"/>
    <w:rPr>
      <w:rFonts w:ascii="Palatino Linotype" w:hAnsi="Palatino Linotype"/>
      <w:lang w:val="es-ES"/>
    </w:rPr>
  </w:style>
  <w:style w:type="paragraph" w:styleId="Descripcin">
    <w:name w:val="caption"/>
    <w:basedOn w:val="Normal"/>
    <w:next w:val="Normal"/>
    <w:uiPriority w:val="35"/>
    <w:unhideWhenUsed/>
    <w:qFormat/>
    <w:rsid w:val="00112907"/>
    <w:pPr>
      <w:spacing w:after="200" w:line="240" w:lineRule="auto"/>
    </w:pPr>
    <w:rPr>
      <w:i/>
      <w:iCs/>
      <w:color w:val="44546A" w:themeColor="text2"/>
      <w:sz w:val="18"/>
      <w:szCs w:val="18"/>
    </w:rPr>
  </w:style>
  <w:style w:type="paragraph" w:styleId="Textonotaalfinal">
    <w:name w:val="endnote text"/>
    <w:basedOn w:val="Normal"/>
    <w:link w:val="TextonotaalfinalCar"/>
    <w:uiPriority w:val="99"/>
    <w:semiHidden/>
    <w:unhideWhenUsed/>
    <w:rsid w:val="00112907"/>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112907"/>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112907"/>
    <w:rPr>
      <w:vertAlign w:val="superscript"/>
    </w:rPr>
  </w:style>
  <w:style w:type="paragraph" w:customStyle="1" w:styleId="Ttulo10">
    <w:name w:val="Título 10"/>
    <w:basedOn w:val="Ttulo9"/>
    <w:link w:val="Ttulo10Car"/>
    <w:qFormat/>
    <w:rsid w:val="00112907"/>
    <w:pPr>
      <w:ind w:left="1276"/>
    </w:pPr>
    <w:rPr>
      <w:w w:val="97"/>
      <w:sz w:val="20"/>
    </w:rPr>
  </w:style>
  <w:style w:type="character" w:customStyle="1" w:styleId="Ttulo10Car">
    <w:name w:val="Título 10 Car"/>
    <w:basedOn w:val="Ttulo9Car"/>
    <w:link w:val="Ttulo10"/>
    <w:rsid w:val="00112907"/>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112907"/>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112907"/>
    <w:pPr>
      <w:numPr>
        <w:ilvl w:val="7"/>
      </w:numPr>
      <w:ind w:left="3005" w:hanging="170"/>
    </w:pPr>
  </w:style>
  <w:style w:type="character" w:customStyle="1" w:styleId="Nivel8Car">
    <w:name w:val="Nivel 8 Car"/>
    <w:basedOn w:val="Nivel7Car"/>
    <w:link w:val="Nivel8"/>
    <w:rsid w:val="00112907"/>
    <w:rPr>
      <w:rFonts w:ascii="Palatino Linotype" w:hAnsi="Palatino Linotype"/>
      <w:lang w:val="es-ES"/>
    </w:rPr>
  </w:style>
  <w:style w:type="paragraph" w:customStyle="1" w:styleId="Advertencia">
    <w:name w:val="Advertencia"/>
    <w:basedOn w:val="Normal"/>
    <w:next w:val="Normal"/>
    <w:link w:val="AdvertenciaCar"/>
    <w:qFormat/>
    <w:rsid w:val="00112907"/>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112907"/>
    <w:rPr>
      <w:rFonts w:ascii="Palatino Linotype" w:hAnsi="Palatino Linotype"/>
      <w:color w:val="C00000"/>
      <w:shd w:val="clear" w:color="auto" w:fill="FBE4D5" w:themeFill="accent2" w:themeFillTint="33"/>
      <w:lang w:val="es-ES"/>
    </w:rPr>
  </w:style>
  <w:style w:type="paragraph" w:styleId="Piedepgina">
    <w:name w:val="footer"/>
    <w:basedOn w:val="Normal"/>
    <w:link w:val="PiedepginaCar"/>
    <w:uiPriority w:val="99"/>
    <w:unhideWhenUsed/>
    <w:qFormat/>
    <w:rsid w:val="000943B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943B8"/>
    <w:rPr>
      <w:rFonts w:ascii="Palatino Linotype" w:hAnsi="Palatino Linotype"/>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0459595">
      <w:bodyDiv w:val="1"/>
      <w:marLeft w:val="0"/>
      <w:marRight w:val="0"/>
      <w:marTop w:val="0"/>
      <w:marBottom w:val="0"/>
      <w:divBdr>
        <w:top w:val="none" w:sz="0" w:space="0" w:color="auto"/>
        <w:left w:val="none" w:sz="0" w:space="0" w:color="auto"/>
        <w:bottom w:val="none" w:sz="0" w:space="0" w:color="auto"/>
        <w:right w:val="none" w:sz="0" w:space="0" w:color="auto"/>
      </w:divBdr>
      <w:divsChild>
        <w:div w:id="1238054413">
          <w:marLeft w:val="480"/>
          <w:marRight w:val="0"/>
          <w:marTop w:val="0"/>
          <w:marBottom w:val="0"/>
          <w:divBdr>
            <w:top w:val="none" w:sz="0" w:space="0" w:color="auto"/>
            <w:left w:val="none" w:sz="0" w:space="0" w:color="auto"/>
            <w:bottom w:val="none" w:sz="0" w:space="0" w:color="auto"/>
            <w:right w:val="none" w:sz="0" w:space="0" w:color="auto"/>
          </w:divBdr>
          <w:divsChild>
            <w:div w:id="185526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992186">
      <w:bodyDiv w:val="1"/>
      <w:marLeft w:val="0"/>
      <w:marRight w:val="0"/>
      <w:marTop w:val="0"/>
      <w:marBottom w:val="0"/>
      <w:divBdr>
        <w:top w:val="none" w:sz="0" w:space="0" w:color="auto"/>
        <w:left w:val="none" w:sz="0" w:space="0" w:color="auto"/>
        <w:bottom w:val="none" w:sz="0" w:space="0" w:color="auto"/>
        <w:right w:val="none" w:sz="0" w:space="0" w:color="auto"/>
      </w:divBdr>
    </w:div>
    <w:div w:id="1076561218">
      <w:bodyDiv w:val="1"/>
      <w:marLeft w:val="0"/>
      <w:marRight w:val="0"/>
      <w:marTop w:val="0"/>
      <w:marBottom w:val="0"/>
      <w:divBdr>
        <w:top w:val="none" w:sz="0" w:space="0" w:color="auto"/>
        <w:left w:val="none" w:sz="0" w:space="0" w:color="auto"/>
        <w:bottom w:val="none" w:sz="0" w:space="0" w:color="auto"/>
        <w:right w:val="none" w:sz="0" w:space="0" w:color="auto"/>
      </w:divBdr>
      <w:divsChild>
        <w:div w:id="2119325083">
          <w:marLeft w:val="480"/>
          <w:marRight w:val="0"/>
          <w:marTop w:val="0"/>
          <w:marBottom w:val="0"/>
          <w:divBdr>
            <w:top w:val="none" w:sz="0" w:space="0" w:color="auto"/>
            <w:left w:val="none" w:sz="0" w:space="0" w:color="auto"/>
            <w:bottom w:val="none" w:sz="0" w:space="0" w:color="auto"/>
            <w:right w:val="none" w:sz="0" w:space="0" w:color="auto"/>
          </w:divBdr>
          <w:divsChild>
            <w:div w:id="61625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799983">
      <w:bodyDiv w:val="1"/>
      <w:marLeft w:val="0"/>
      <w:marRight w:val="0"/>
      <w:marTop w:val="0"/>
      <w:marBottom w:val="0"/>
      <w:divBdr>
        <w:top w:val="none" w:sz="0" w:space="0" w:color="auto"/>
        <w:left w:val="none" w:sz="0" w:space="0" w:color="auto"/>
        <w:bottom w:val="none" w:sz="0" w:space="0" w:color="auto"/>
        <w:right w:val="none" w:sz="0" w:space="0" w:color="auto"/>
      </w:divBdr>
      <w:divsChild>
        <w:div w:id="2131820602">
          <w:marLeft w:val="480"/>
          <w:marRight w:val="0"/>
          <w:marTop w:val="0"/>
          <w:marBottom w:val="0"/>
          <w:divBdr>
            <w:top w:val="none" w:sz="0" w:space="0" w:color="auto"/>
            <w:left w:val="none" w:sz="0" w:space="0" w:color="auto"/>
            <w:bottom w:val="none" w:sz="0" w:space="0" w:color="auto"/>
            <w:right w:val="none" w:sz="0" w:space="0" w:color="auto"/>
          </w:divBdr>
          <w:divsChild>
            <w:div w:id="165101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208109">
      <w:bodyDiv w:val="1"/>
      <w:marLeft w:val="0"/>
      <w:marRight w:val="0"/>
      <w:marTop w:val="0"/>
      <w:marBottom w:val="0"/>
      <w:divBdr>
        <w:top w:val="none" w:sz="0" w:space="0" w:color="auto"/>
        <w:left w:val="none" w:sz="0" w:space="0" w:color="auto"/>
        <w:bottom w:val="none" w:sz="0" w:space="0" w:color="auto"/>
        <w:right w:val="none" w:sz="0" w:space="0" w:color="auto"/>
      </w:divBdr>
    </w:div>
    <w:div w:id="1278951543">
      <w:bodyDiv w:val="1"/>
      <w:marLeft w:val="0"/>
      <w:marRight w:val="0"/>
      <w:marTop w:val="0"/>
      <w:marBottom w:val="0"/>
      <w:divBdr>
        <w:top w:val="none" w:sz="0" w:space="0" w:color="auto"/>
        <w:left w:val="none" w:sz="0" w:space="0" w:color="auto"/>
        <w:bottom w:val="none" w:sz="0" w:space="0" w:color="auto"/>
        <w:right w:val="none" w:sz="0" w:space="0" w:color="auto"/>
      </w:divBdr>
    </w:div>
    <w:div w:id="1423919275">
      <w:bodyDiv w:val="1"/>
      <w:marLeft w:val="0"/>
      <w:marRight w:val="0"/>
      <w:marTop w:val="0"/>
      <w:marBottom w:val="0"/>
      <w:divBdr>
        <w:top w:val="none" w:sz="0" w:space="0" w:color="auto"/>
        <w:left w:val="none" w:sz="0" w:space="0" w:color="auto"/>
        <w:bottom w:val="none" w:sz="0" w:space="0" w:color="auto"/>
        <w:right w:val="none" w:sz="0" w:space="0" w:color="auto"/>
      </w:divBdr>
      <w:divsChild>
        <w:div w:id="1011180810">
          <w:marLeft w:val="480"/>
          <w:marRight w:val="0"/>
          <w:marTop w:val="0"/>
          <w:marBottom w:val="0"/>
          <w:divBdr>
            <w:top w:val="none" w:sz="0" w:space="0" w:color="auto"/>
            <w:left w:val="none" w:sz="0" w:space="0" w:color="auto"/>
            <w:bottom w:val="none" w:sz="0" w:space="0" w:color="auto"/>
            <w:right w:val="none" w:sz="0" w:space="0" w:color="auto"/>
          </w:divBdr>
          <w:divsChild>
            <w:div w:id="146022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813611">
      <w:bodyDiv w:val="1"/>
      <w:marLeft w:val="0"/>
      <w:marRight w:val="0"/>
      <w:marTop w:val="0"/>
      <w:marBottom w:val="0"/>
      <w:divBdr>
        <w:top w:val="none" w:sz="0" w:space="0" w:color="auto"/>
        <w:left w:val="none" w:sz="0" w:space="0" w:color="auto"/>
        <w:bottom w:val="none" w:sz="0" w:space="0" w:color="auto"/>
        <w:right w:val="none" w:sz="0" w:space="0" w:color="auto"/>
      </w:divBdr>
      <w:divsChild>
        <w:div w:id="1455520392">
          <w:marLeft w:val="480"/>
          <w:marRight w:val="0"/>
          <w:marTop w:val="0"/>
          <w:marBottom w:val="0"/>
          <w:divBdr>
            <w:top w:val="none" w:sz="0" w:space="0" w:color="auto"/>
            <w:left w:val="none" w:sz="0" w:space="0" w:color="auto"/>
            <w:bottom w:val="none" w:sz="0" w:space="0" w:color="auto"/>
            <w:right w:val="none" w:sz="0" w:space="0" w:color="auto"/>
          </w:divBdr>
          <w:divsChild>
            <w:div w:id="1571312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0970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8.png"/><Relationship Id="rId18" Type="http://schemas.openxmlformats.org/officeDocument/2006/relationships/image" Target="media/image12.pn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7.jpg"/><Relationship Id="rId17" Type="http://schemas.openxmlformats.org/officeDocument/2006/relationships/image" Target="media/image11.pn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hyperlink" Target="https://www.quia.com/quiz/6562940.htm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footer" Target="footer1.xml"/><Relationship Id="rId28" Type="http://schemas.openxmlformats.org/officeDocument/2006/relationships/glossaryDocument" Target="glossary/document.xml"/><Relationship Id="rId10" Type="http://schemas.openxmlformats.org/officeDocument/2006/relationships/image" Target="media/image4.jpg"/><Relationship Id="rId19" Type="http://schemas.openxmlformats.org/officeDocument/2006/relationships/hyperlink" Target="https://doi.org/10.1016/j.jfineco.2009.10.009" TargetMode="External"/><Relationship Id="rId4" Type="http://schemas.openxmlformats.org/officeDocument/2006/relationships/settings" Target="settings.xml"/><Relationship Id="rId9" Type="http://schemas.openxmlformats.org/officeDocument/2006/relationships/image" Target="media/image3.jpg"/><Relationship Id="rId14" Type="http://schemas.microsoft.com/office/2007/relationships/hdphoto" Target="media/hdphoto1.wdp"/><Relationship Id="rId22" Type="http://schemas.openxmlformats.org/officeDocument/2006/relationships/header" Target="header2.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image" Target="media/image6.png"/><Relationship Id="rId7" Type="http://schemas.openxmlformats.org/officeDocument/2006/relationships/hyperlink" Target="https://cincodias.elpais.com/cincodias/2021/07/23/companias/1627053588_202012.html" TargetMode="External"/><Relationship Id="rId2" Type="http://schemas.openxmlformats.org/officeDocument/2006/relationships/hyperlink" Target="https://www.ft.com/content/87efe5a9-4cb6-493b-a31a-f9efd5ddd242" TargetMode="External"/><Relationship Id="rId1" Type="http://schemas.openxmlformats.org/officeDocument/2006/relationships/image" Target="media/image2.jpg"/><Relationship Id="rId6" Type="http://schemas.openxmlformats.org/officeDocument/2006/relationships/hyperlink" Target="https://nadaesgratis.es/fernandez-villaverde/liquidez-interna-y-externa-i" TargetMode="External"/><Relationship Id="rId5" Type="http://schemas.openxmlformats.org/officeDocument/2006/relationships/hyperlink" Target="https://onlinelibrary.wiley.com/doi/epdf/10.1111/j.1540-6261.1977.tb03267.x" TargetMode="External"/><Relationship Id="rId4" Type="http://schemas.openxmlformats.org/officeDocument/2006/relationships/hyperlink" Target="https://www.youtube.com/watch?v=DoLc5CCqd3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4CD825F0F034E34A7BD2CA680A318A1"/>
        <w:category>
          <w:name w:val="General"/>
          <w:gallery w:val="placeholder"/>
        </w:category>
        <w:types>
          <w:type w:val="bbPlcHdr"/>
        </w:types>
        <w:behaviors>
          <w:behavior w:val="content"/>
        </w:behaviors>
        <w:guid w:val="{713D8AC2-E54B-4178-9275-2E7DD3E7D37C}"/>
      </w:docPartPr>
      <w:docPartBody>
        <w:p w:rsidR="003612E0" w:rsidRDefault="00A850A2">
          <w:pPr>
            <w:pStyle w:val="24CD825F0F034E34A7BD2CA680A318A1"/>
          </w:pPr>
          <w:r w:rsidRPr="001B5103">
            <w:rPr>
              <w:rStyle w:val="Textodelmarcadordeposicin"/>
            </w:rPr>
            <w:t>[Title]</w:t>
          </w:r>
        </w:p>
      </w:docPartBody>
    </w:docPart>
    <w:docPart>
      <w:docPartPr>
        <w:name w:val="3BD653D3E2F7418E8057AFC5465D4F61"/>
        <w:category>
          <w:name w:val="General"/>
          <w:gallery w:val="placeholder"/>
        </w:category>
        <w:types>
          <w:type w:val="bbPlcHdr"/>
        </w:types>
        <w:behaviors>
          <w:behavior w:val="content"/>
        </w:behaviors>
        <w:guid w:val="{5ACBA288-8D60-44E9-92EF-20EA59798704}"/>
      </w:docPartPr>
      <w:docPartBody>
        <w:p w:rsidR="003612E0" w:rsidRDefault="00A850A2">
          <w:pPr>
            <w:pStyle w:val="3BD653D3E2F7418E8057AFC5465D4F61"/>
          </w:pPr>
          <w:r w:rsidRPr="001B5103">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0A2"/>
    <w:rsid w:val="00024AE5"/>
    <w:rsid w:val="000B701B"/>
    <w:rsid w:val="000F3D7E"/>
    <w:rsid w:val="0011207C"/>
    <w:rsid w:val="001304AF"/>
    <w:rsid w:val="001855DF"/>
    <w:rsid w:val="001B1680"/>
    <w:rsid w:val="00205EFA"/>
    <w:rsid w:val="00283986"/>
    <w:rsid w:val="003339C1"/>
    <w:rsid w:val="00355E80"/>
    <w:rsid w:val="003612E0"/>
    <w:rsid w:val="00365BBF"/>
    <w:rsid w:val="00376F45"/>
    <w:rsid w:val="004A249D"/>
    <w:rsid w:val="004E04BB"/>
    <w:rsid w:val="005441DD"/>
    <w:rsid w:val="00573610"/>
    <w:rsid w:val="005862F5"/>
    <w:rsid w:val="00614612"/>
    <w:rsid w:val="00695E81"/>
    <w:rsid w:val="006A29FF"/>
    <w:rsid w:val="006E0B62"/>
    <w:rsid w:val="00734355"/>
    <w:rsid w:val="00841B3E"/>
    <w:rsid w:val="0085587A"/>
    <w:rsid w:val="0088512F"/>
    <w:rsid w:val="008B24C7"/>
    <w:rsid w:val="008D290B"/>
    <w:rsid w:val="0095347E"/>
    <w:rsid w:val="009F1B91"/>
    <w:rsid w:val="00A03560"/>
    <w:rsid w:val="00A40381"/>
    <w:rsid w:val="00A5664A"/>
    <w:rsid w:val="00A602E1"/>
    <w:rsid w:val="00A850A2"/>
    <w:rsid w:val="00AB137E"/>
    <w:rsid w:val="00B2471E"/>
    <w:rsid w:val="00B7728E"/>
    <w:rsid w:val="00BB5504"/>
    <w:rsid w:val="00C20B5B"/>
    <w:rsid w:val="00C35B79"/>
    <w:rsid w:val="00C4626A"/>
    <w:rsid w:val="00C47611"/>
    <w:rsid w:val="00C964CF"/>
    <w:rsid w:val="00D85328"/>
    <w:rsid w:val="00E27143"/>
    <w:rsid w:val="00E404CB"/>
    <w:rsid w:val="00E537C8"/>
    <w:rsid w:val="00E929D7"/>
    <w:rsid w:val="00EC2D19"/>
    <w:rsid w:val="00EE38FB"/>
    <w:rsid w:val="00F079A3"/>
    <w:rsid w:val="00F10E57"/>
    <w:rsid w:val="00FE4DD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695E81"/>
    <w:rPr>
      <w:color w:val="808080"/>
    </w:rPr>
  </w:style>
  <w:style w:type="paragraph" w:customStyle="1" w:styleId="24CD825F0F034E34A7BD2CA680A318A1">
    <w:name w:val="24CD825F0F034E34A7BD2CA680A318A1"/>
  </w:style>
  <w:style w:type="paragraph" w:customStyle="1" w:styleId="3BD653D3E2F7418E8057AFC5465D4F61">
    <w:name w:val="3BD653D3E2F7418E8057AFC5465D4F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Custom 3">
      <a:dk1>
        <a:srgbClr val="FFFFFF"/>
      </a:dk1>
      <a:lt1>
        <a:sysClr val="window" lastClr="FFFFFF"/>
      </a:lt1>
      <a:dk2>
        <a:srgbClr val="44546A"/>
      </a:dk2>
      <a:lt2>
        <a:srgbClr val="E7E6E6"/>
      </a:lt2>
      <a:accent1>
        <a:srgbClr val="5F2987"/>
      </a:accent1>
      <a:accent2>
        <a:srgbClr val="ED7D31"/>
      </a:accent2>
      <a:accent3>
        <a:srgbClr val="4472C4"/>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EC501-CB00-4071-8A84-39B0D45BA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79</TotalTime>
  <Pages>1</Pages>
  <Words>11574</Words>
  <Characters>63662</Characters>
  <Application>Microsoft Office Word</Application>
  <DocSecurity>0</DocSecurity>
  <Lines>530</Lines>
  <Paragraphs>150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3.B.3</vt:lpstr>
      <vt:lpstr>TEMA E.P.NN</vt:lpstr>
    </vt:vector>
  </TitlesOfParts>
  <Company/>
  <LinksUpToDate>false</LinksUpToDate>
  <CharactersWithSpaces>75086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3.B.3</dc:title>
  <dc:subject>La empresa y las decisiones de financiación. Financiación propia frente a financiación ajena. Política de dividendos y estructura del capital.</dc:subject>
  <dc:creator>Víctor Gutiérrez Marcos</dc:creator>
  <cp:keywords/>
  <dc:description/>
  <cp:lastModifiedBy>Víctor Gutiérrez Marcos</cp:lastModifiedBy>
  <dcterms:created xsi:type="dcterms:W3CDTF">2024-07-18T21:03:00Z</dcterms:created>
  <dcterms:modified xsi:type="dcterms:W3CDTF">2024-08-10T19:04:00Z</dcterms:modified>
</cp:coreProperties>
</file>