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76D06" w14:textId="329095CE" w:rsidR="00307C23" w:rsidRDefault="00000000" w:rsidP="004C0C34">
      <w:pPr>
        <w:pStyle w:val="Ttulo"/>
      </w:pPr>
      <w:sdt>
        <w:sdtPr>
          <w:rPr>
            <w:i/>
            <w:iCs w:val="0"/>
            <w:u w:val="single"/>
          </w:rPr>
          <w:alias w:val="Title"/>
          <w:tag w:val=""/>
          <w:id w:val="-780801520"/>
          <w:placeholder>
            <w:docPart w:val="E19EBCB7ED9F4DD69CA6451FBF7B50F7"/>
          </w:placeholder>
          <w:dataBinding w:prefixMappings="xmlns:ns0='http://purl.org/dc/elements/1.1/' xmlns:ns1='http://schemas.openxmlformats.org/package/2006/metadata/core-properties' " w:xpath="/ns1:coreProperties[1]/ns0:title[1]" w:storeItemID="{6C3C8BC8-F283-45AE-878A-BAB7291924A1}"/>
          <w:text/>
        </w:sdtPr>
        <w:sdtContent>
          <w:r w:rsidR="000E318A">
            <w:rPr>
              <w:i/>
              <w:iCs w:val="0"/>
              <w:u w:val="single"/>
            </w:rPr>
            <w:t>3</w:t>
          </w:r>
          <w:r w:rsidR="00302A0E" w:rsidRPr="004C0D84">
            <w:rPr>
              <w:i/>
              <w:iCs w:val="0"/>
              <w:u w:val="single"/>
            </w:rPr>
            <w:t>.</w:t>
          </w:r>
          <w:r w:rsidR="000E318A">
            <w:rPr>
              <w:i/>
              <w:iCs w:val="0"/>
              <w:u w:val="single"/>
            </w:rPr>
            <w:t>B</w:t>
          </w:r>
          <w:r w:rsidR="00302A0E" w:rsidRPr="004C0D84">
            <w:rPr>
              <w:i/>
              <w:iCs w:val="0"/>
              <w:u w:val="single"/>
            </w:rPr>
            <w:t>.</w:t>
          </w:r>
          <w:r w:rsidR="000E318A">
            <w:rPr>
              <w:i/>
              <w:iCs w:val="0"/>
              <w:u w:val="single"/>
            </w:rPr>
            <w:t>2</w:t>
          </w:r>
        </w:sdtContent>
      </w:sdt>
      <w:r w:rsidR="00C851DA">
        <w:t xml:space="preserve"> :</w:t>
      </w:r>
      <w:r w:rsidR="00C81078" w:rsidRPr="004C0C34">
        <w:t xml:space="preserve"> </w:t>
      </w:r>
      <w:sdt>
        <w:sdtPr>
          <w:alias w:val="Subject"/>
          <w:tag w:val=""/>
          <w:id w:val="-1903059896"/>
          <w:placeholder>
            <w:docPart w:val="24C7739CF7824F95B7745963B0C7A57E"/>
          </w:placeholder>
          <w:dataBinding w:prefixMappings="xmlns:ns0='http://purl.org/dc/elements/1.1/' xmlns:ns1='http://schemas.openxmlformats.org/package/2006/metadata/core-properties' " w:xpath="/ns1:coreProperties[1]/ns0:subject[1]" w:storeItemID="{6C3C8BC8-F283-45AE-878A-BAB7291924A1}"/>
          <w:text/>
        </w:sdtPr>
        <w:sdtContent>
          <w:r w:rsidR="000E318A">
            <w:t>La empresa y las decisiones de inversión. Diferentes criterios de valoración de proyectos. Rentabilidad, riesgo y coste de capital</w:t>
          </w:r>
          <w:r w:rsidR="00C04A4E">
            <w:t>.</w:t>
          </w:r>
        </w:sdtContent>
      </w:sdt>
    </w:p>
    <w:p w14:paraId="62405287" w14:textId="77777777" w:rsidR="006A5334" w:rsidRDefault="006A5334" w:rsidP="006A5334">
      <w:pPr>
        <w:pStyle w:val="Notaalopositor"/>
        <w:spacing w:after="0"/>
      </w:pPr>
      <w:bookmarkStart w:id="0" w:name="_Hlk111398052"/>
      <w:bookmarkStart w:id="1" w:name="_Hlk123131219"/>
      <w:r>
        <w:t>Con el cambio de temario, a partir de la convocatoria de 2023 este tema pasará a ser:</w:t>
      </w:r>
    </w:p>
    <w:p w14:paraId="58AAFFD9" w14:textId="730A0A41" w:rsidR="006A5334" w:rsidRDefault="006A5334" w:rsidP="006A5334">
      <w:pPr>
        <w:pStyle w:val="Notaalopositor"/>
      </w:pPr>
      <w:r>
        <w:t>3.B.2: La empresa y las decisiones de inversión. Diferentes criterios de valoración de proyectos. Rentabilidad, riesgo y coste de capital.</w:t>
      </w:r>
    </w:p>
    <w:p w14:paraId="33261CDF" w14:textId="77777777" w:rsidR="006A5334" w:rsidRDefault="006A5334" w:rsidP="006A5334">
      <w:pPr>
        <w:pStyle w:val="Notaalopositor"/>
        <w:spacing w:after="0"/>
      </w:pPr>
      <w:r>
        <w:t xml:space="preserve">De este modo, con lo escrito en este documento estaría </w:t>
      </w:r>
      <w:r>
        <w:rPr>
          <w:b/>
          <w:bCs/>
        </w:rPr>
        <w:t>actualizado</w:t>
      </w:r>
      <w:r w:rsidRPr="00CC188F">
        <w:rPr>
          <w:bCs/>
        </w:rPr>
        <w:t>.</w:t>
      </w:r>
      <w:bookmarkEnd w:id="0"/>
    </w:p>
    <w:bookmarkEnd w:id="1"/>
    <w:p w14:paraId="582E6636" w14:textId="7AFAE019" w:rsidR="006A5334" w:rsidRDefault="006A5334" w:rsidP="006A5334">
      <w:pPr>
        <w:pStyle w:val="Notaalopositor"/>
        <w:jc w:val="center"/>
      </w:pPr>
      <w:r w:rsidRPr="006A5334">
        <w:rPr>
          <w:noProof/>
        </w:rPr>
        <w:drawing>
          <wp:inline distT="0" distB="0" distL="0" distR="0" wp14:anchorId="649B4A18" wp14:editId="0FA148D5">
            <wp:extent cx="2880000" cy="2281768"/>
            <wp:effectExtent l="0" t="0" r="0" b="4445"/>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8"/>
                    <a:stretch>
                      <a:fillRect/>
                    </a:stretch>
                  </pic:blipFill>
                  <pic:spPr>
                    <a:xfrm>
                      <a:off x="0" y="0"/>
                      <a:ext cx="2880000" cy="2281768"/>
                    </a:xfrm>
                    <a:prstGeom prst="rect">
                      <a:avLst/>
                    </a:prstGeom>
                  </pic:spPr>
                </pic:pic>
              </a:graphicData>
            </a:graphic>
          </wp:inline>
        </w:drawing>
      </w:r>
    </w:p>
    <w:p w14:paraId="4C2E30DB" w14:textId="1A375394" w:rsidR="0021774E" w:rsidRDefault="0021774E" w:rsidP="00574189">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574189">
        <w:rPr>
          <w:rStyle w:val="IntroduccinyconclusinChar"/>
          <w:b/>
          <w:bCs/>
          <w:caps/>
          <w:shd w:val="clear" w:color="auto" w:fill="auto"/>
        </w:rPr>
        <w:t>I</w:t>
      </w:r>
      <w:r w:rsidRPr="00E5034D">
        <w:rPr>
          <w:rStyle w:val="IntroduccinyconclusinChar"/>
          <w:b/>
          <w:bCs/>
          <w:caps/>
          <w:shd w:val="clear" w:color="auto" w:fill="auto"/>
        </w:rPr>
        <w:t>NTRODUCCIÓN</w:t>
      </w:r>
      <w:bookmarkEnd w:id="2"/>
      <w:bookmarkEnd w:id="3"/>
      <w:bookmarkEnd w:id="4"/>
      <w:bookmarkEnd w:id="5"/>
    </w:p>
    <w:p w14:paraId="4BCC8F0C" w14:textId="77777777" w:rsidR="00A22067" w:rsidRDefault="00B77C0F" w:rsidP="0071310A">
      <w:pPr>
        <w:pStyle w:val="Nivel1"/>
        <w:keepNext/>
        <w:spacing w:before="0" w:after="0"/>
      </w:pPr>
      <w:r w:rsidRPr="00C325BE">
        <w:rPr>
          <w:b/>
          <w:bCs/>
          <w:i/>
          <w:iCs/>
        </w:rPr>
        <w:t>Enganche</w:t>
      </w:r>
      <w:r>
        <w:t>:</w:t>
      </w:r>
    </w:p>
    <w:p w14:paraId="7FE1810A" w14:textId="77777777" w:rsidR="00451893" w:rsidRDefault="00451893" w:rsidP="00451893">
      <w:pPr>
        <w:pStyle w:val="Nivel2"/>
        <w:keepNext/>
        <w:spacing w:after="0"/>
      </w:pPr>
      <w:r>
        <w:t xml:space="preserve">Desde un punto de vista de la </w:t>
      </w:r>
      <w:r w:rsidRPr="0018160D">
        <w:rPr>
          <w:i/>
          <w:iCs/>
        </w:rPr>
        <w:t>teoría microeconómica</w:t>
      </w:r>
      <w:r>
        <w:t>, solemos definir a la empresa como la unidad de producción que combina una serie de inputs para producir una serie de outputs que satisfacen las necesidades de los consumidores. El objetivo de la empresa sería la maximización de beneficios.</w:t>
      </w:r>
    </w:p>
    <w:p w14:paraId="09204F80" w14:textId="77777777" w:rsidR="00451893" w:rsidRDefault="00451893" w:rsidP="00451893">
      <w:pPr>
        <w:pStyle w:val="Nivel3"/>
        <w:keepNext/>
      </w:pPr>
      <w:r>
        <w:t xml:space="preserve">Sin embargo, desde un punto de vista de </w:t>
      </w:r>
      <w:r w:rsidRPr="00190C4B">
        <w:rPr>
          <w:b/>
          <w:bCs/>
          <w:i/>
          <w:iCs/>
        </w:rPr>
        <w:t>finanzas corporativas</w:t>
      </w:r>
      <w:r>
        <w:t>, vamos a entender a la empresa como una entidad que va a realizar una serie de decisiones de inversión que van a requerir sus correspondientes decisiones de financiación.</w:t>
      </w:r>
    </w:p>
    <w:p w14:paraId="3796A683" w14:textId="77777777" w:rsidR="00451893" w:rsidRPr="00751924" w:rsidRDefault="00451893" w:rsidP="00451893">
      <w:pPr>
        <w:pStyle w:val="Nivel4"/>
        <w:rPr>
          <w:spacing w:val="-2"/>
        </w:rPr>
      </w:pPr>
      <w:r w:rsidRPr="00751924">
        <w:rPr>
          <w:spacing w:val="-2"/>
        </w:rPr>
        <w:t xml:space="preserve">Siguiendo a </w:t>
      </w:r>
      <w:r w:rsidRPr="00751924">
        <w:rPr>
          <w:smallCaps/>
          <w:spacing w:val="-2"/>
        </w:rPr>
        <w:t>Milton Friedman</w:t>
      </w:r>
      <w:r w:rsidRPr="00751924">
        <w:rPr>
          <w:spacing w:val="-2"/>
        </w:rPr>
        <w:t xml:space="preserve"> (1970), el objetivo último de la empresa es la maximización del valor de </w:t>
      </w:r>
      <w:proofErr w:type="gramStart"/>
      <w:r w:rsidRPr="00751924">
        <w:rPr>
          <w:spacing w:val="-2"/>
        </w:rPr>
        <w:t>la misma</w:t>
      </w:r>
      <w:proofErr w:type="gramEnd"/>
      <w:r w:rsidRPr="00751924">
        <w:rPr>
          <w:spacing w:val="-2"/>
        </w:rPr>
        <w:t xml:space="preserve"> para sus accionistas, es decir, la maximización del valor de mercado de sus acciones</w:t>
      </w:r>
      <w:r w:rsidRPr="00751924">
        <w:rPr>
          <w:rStyle w:val="Refdenotaalpie"/>
          <w:spacing w:val="-2"/>
        </w:rPr>
        <w:footnoteReference w:id="2"/>
      </w:r>
      <w:r w:rsidRPr="00751924">
        <w:rPr>
          <w:spacing w:val="-2"/>
        </w:rPr>
        <w:t>.</w:t>
      </w:r>
    </w:p>
    <w:p w14:paraId="3B7AE4F7" w14:textId="77777777" w:rsidR="00BA08CD" w:rsidRDefault="00BA08CD" w:rsidP="00BA08CD">
      <w:pPr>
        <w:pStyle w:val="Nivel2"/>
        <w:keepNext/>
        <w:spacing w:after="0"/>
      </w:pPr>
      <w:r>
        <w:t xml:space="preserve">Para alcanzar este objetivo, la gestión de la empresa se concreta en la toma de decisiones de </w:t>
      </w:r>
      <w:r w:rsidRPr="00027376">
        <w:rPr>
          <w:b/>
          <w:bCs/>
          <w:i/>
          <w:iCs/>
          <w:u w:val="single"/>
        </w:rPr>
        <w:t>inversión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3.B.2</w:t>
      </w:r>
      <w:r w:rsidRPr="005F038C">
        <w:rPr>
          <w:rStyle w:val="TextonotapieCar"/>
          <w:color w:val="767171" w:themeColor="background2" w:themeShade="80"/>
          <w:sz w:val="19"/>
          <w:szCs w:val="19"/>
        </w:rPr>
        <w:t>]</w:t>
      </w:r>
      <w:r>
        <w:t xml:space="preserve">, </w:t>
      </w:r>
      <w:r w:rsidRPr="00027376">
        <w:rPr>
          <w:b/>
          <w:bCs/>
          <w:i/>
          <w:iCs/>
          <w:u w:val="single"/>
        </w:rPr>
        <w:t>financiación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3.B.3</w:t>
      </w:r>
      <w:r w:rsidRPr="005F038C">
        <w:rPr>
          <w:rStyle w:val="TextonotapieCar"/>
          <w:color w:val="767171" w:themeColor="background2" w:themeShade="80"/>
          <w:sz w:val="19"/>
          <w:szCs w:val="19"/>
        </w:rPr>
        <w:t>]</w:t>
      </w:r>
      <w:r w:rsidRPr="005F038C">
        <w:t xml:space="preserve"> </w:t>
      </w:r>
      <w:r>
        <w:t xml:space="preserve">y </w:t>
      </w:r>
      <w:r>
        <w:rPr>
          <w:b/>
          <w:bCs/>
          <w:i/>
          <w:iCs/>
          <w:u w:val="single"/>
        </w:rPr>
        <w:t>dimensión empresarial</w:t>
      </w:r>
      <w:r w:rsidRPr="005F038C">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3.B.4</w:t>
      </w:r>
      <w:r w:rsidRPr="005F038C">
        <w:rPr>
          <w:rStyle w:val="TextonotapieCar"/>
          <w:color w:val="767171" w:themeColor="background2" w:themeShade="80"/>
          <w:sz w:val="19"/>
          <w:szCs w:val="19"/>
        </w:rPr>
        <w:t>]</w:t>
      </w:r>
      <w:r>
        <w:t>.</w:t>
      </w:r>
    </w:p>
    <w:p w14:paraId="6E552E04" w14:textId="31B95856" w:rsidR="00D355AB" w:rsidRDefault="00D355AB" w:rsidP="00D355AB">
      <w:pPr>
        <w:pStyle w:val="Nivel3"/>
      </w:pPr>
      <w:r>
        <w:t xml:space="preserve">Así, la </w:t>
      </w:r>
      <w:r w:rsidRPr="00070E39">
        <w:rPr>
          <w:i/>
          <w:iCs/>
          <w:u w:val="single"/>
        </w:rPr>
        <w:t>inversión</w:t>
      </w:r>
      <w:r w:rsidRPr="00D32574">
        <w:t>,</w:t>
      </w:r>
      <w:r>
        <w:t xml:space="preserve"> entendida como un sacrificio en un momento temporal determinado para obt</w:t>
      </w:r>
      <w:r w:rsidRPr="004E0E25">
        <w:t>ene</w:t>
      </w:r>
      <w:r>
        <w:t>r un beneficio en otro, se concreta en el seno de la empresa en la organización de los recursos disponibles de tal manera que estos generen recursos adicionales que aumenten el patrimonio de los accionistas.</w:t>
      </w:r>
    </w:p>
    <w:p w14:paraId="54D340BE" w14:textId="77777777" w:rsidR="00D355AB" w:rsidRDefault="00D355AB" w:rsidP="00451893">
      <w:pPr>
        <w:pStyle w:val="Nivel3"/>
        <w:keepNext/>
      </w:pPr>
      <w:r>
        <w:t xml:space="preserve">La decisión de </w:t>
      </w:r>
      <w:r w:rsidRPr="00070E39">
        <w:rPr>
          <w:i/>
          <w:iCs/>
          <w:u w:val="single"/>
        </w:rPr>
        <w:t>financiación</w:t>
      </w:r>
      <w:r>
        <w:t xml:space="preserve"> implica decidir cómo y de qué fuentes obtener el capital necesario para llevar a cabo las inversiones previstas.</w:t>
      </w:r>
    </w:p>
    <w:p w14:paraId="6CBC9843" w14:textId="77777777" w:rsidR="00BA08CD" w:rsidRDefault="00BA08CD" w:rsidP="00451893">
      <w:pPr>
        <w:pStyle w:val="Nivel4"/>
      </w:pPr>
      <w:r w:rsidRPr="004E0E25">
        <w:t>Además d</w:t>
      </w:r>
      <w:r>
        <w:t>e la simple obtención de fondos, los gestores financieros deben también decidir cómo remunerar a los accionistas, por la condición discrecional del reparto de beneficios a estos proveedores de fondos.</w:t>
      </w:r>
    </w:p>
    <w:p w14:paraId="7D383091" w14:textId="15B8B809" w:rsidR="00AD0577" w:rsidRDefault="00AD0577" w:rsidP="006A5334">
      <w:pPr>
        <w:pStyle w:val="Nivel2"/>
        <w:keepNext/>
        <w:spacing w:after="0"/>
        <w:rPr>
          <w:rStyle w:val="Hipervnculo"/>
          <w:color w:val="auto"/>
          <w:u w:val="none"/>
        </w:rPr>
      </w:pPr>
      <w:r w:rsidRPr="00E7336A">
        <w:rPr>
          <w:rStyle w:val="Hipervnculo"/>
          <w:i/>
          <w:iCs/>
          <w:color w:val="auto"/>
        </w:rPr>
        <w:lastRenderedPageBreak/>
        <w:t>En esta exposición</w:t>
      </w:r>
      <w:r w:rsidRPr="00E7336A">
        <w:rPr>
          <w:rStyle w:val="Hipervnculo"/>
          <w:color w:val="auto"/>
          <w:u w:val="none"/>
        </w:rPr>
        <w:t xml:space="preserve">, vamos a estudiar las decisiones de </w:t>
      </w:r>
      <w:r w:rsidRPr="006540A3">
        <w:rPr>
          <w:rStyle w:val="Hipervnculo"/>
          <w:b/>
          <w:bCs/>
          <w:color w:val="auto"/>
          <w:u w:val="none"/>
        </w:rPr>
        <w:t>inversión</w:t>
      </w:r>
      <w:r w:rsidRPr="00E7336A">
        <w:rPr>
          <w:rStyle w:val="Hipervnculo"/>
          <w:color w:val="auto"/>
          <w:u w:val="none"/>
        </w:rPr>
        <w:t xml:space="preserve"> de la empresa (</w:t>
      </w:r>
      <w:r w:rsidRPr="006540A3">
        <w:rPr>
          <w:rStyle w:val="Hipervnculo"/>
          <w:b/>
          <w:bCs/>
          <w:color w:val="auto"/>
          <w:u w:val="none"/>
        </w:rPr>
        <w:t>sociedades no</w:t>
      </w:r>
      <w:r w:rsidR="00585853">
        <w:rPr>
          <w:rStyle w:val="Hipervnculo"/>
          <w:b/>
          <w:bCs/>
          <w:color w:val="auto"/>
          <w:u w:val="none"/>
        </w:rPr>
        <w:t> </w:t>
      </w:r>
      <w:r w:rsidRPr="006540A3">
        <w:rPr>
          <w:rStyle w:val="Hipervnculo"/>
          <w:b/>
          <w:bCs/>
          <w:color w:val="auto"/>
          <w:u w:val="none"/>
        </w:rPr>
        <w:t>financieras</w:t>
      </w:r>
      <w:r w:rsidRPr="00E7336A">
        <w:rPr>
          <w:rStyle w:val="Hipervnculo"/>
          <w:color w:val="auto"/>
          <w:u w:val="none"/>
        </w:rPr>
        <w:t xml:space="preserve">) </w:t>
      </w:r>
      <w:r>
        <w:rPr>
          <w:rStyle w:val="Hipervnculo"/>
          <w:color w:val="auto"/>
          <w:u w:val="none"/>
        </w:rPr>
        <w:t xml:space="preserve">desde un punto de vista de las </w:t>
      </w:r>
      <w:r w:rsidRPr="006540A3">
        <w:rPr>
          <w:rStyle w:val="Hipervnculo"/>
          <w:b/>
          <w:bCs/>
          <w:color w:val="auto"/>
          <w:u w:val="none"/>
        </w:rPr>
        <w:t>finanzas corporativas</w:t>
      </w:r>
      <w:r w:rsidRPr="00E7336A">
        <w:rPr>
          <w:rStyle w:val="Hipervnculo"/>
          <w:color w:val="auto"/>
          <w:u w:val="none"/>
        </w:rPr>
        <w:t>.</w:t>
      </w:r>
    </w:p>
    <w:p w14:paraId="28B0E11E" w14:textId="51FC4A63" w:rsidR="006E35C3" w:rsidRDefault="006E35C3" w:rsidP="006A5334">
      <w:pPr>
        <w:pStyle w:val="Nivel3"/>
        <w:keepNext/>
      </w:pPr>
      <w:r>
        <w:t xml:space="preserve">Una </w:t>
      </w:r>
      <w:r w:rsidRPr="006540A3">
        <w:rPr>
          <w:b/>
          <w:bCs/>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rsidR="0062550E">
        <w:rPr>
          <w:rStyle w:val="Refdenotaalpie"/>
        </w:rPr>
        <w:footnoteReference w:id="3"/>
      </w:r>
      <w:r w:rsidR="0062550E">
        <w:t>.</w:t>
      </w:r>
    </w:p>
    <w:p w14:paraId="24B911B1" w14:textId="77777777" w:rsidR="006E35C3" w:rsidRDefault="006E35C3" w:rsidP="006A5334">
      <w:pPr>
        <w:pStyle w:val="Nivel4"/>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6AE88C50" w14:textId="460EDBC4" w:rsidR="006E35C3" w:rsidRDefault="006E35C3" w:rsidP="006A5334">
      <w:pPr>
        <w:pStyle w:val="Nivel3"/>
        <w:keepNext/>
      </w:pPr>
      <w:r>
        <w:t xml:space="preserve">Distinguimos </w:t>
      </w:r>
      <w:r w:rsidR="006A5334">
        <w:t>2</w:t>
      </w:r>
      <w:r w:rsidR="0071310A">
        <w:t> </w:t>
      </w:r>
      <w:r>
        <w:t>tipos de inversiones según el tipo de activo</w:t>
      </w:r>
      <w:r w:rsidR="000015F9">
        <w:rPr>
          <w:rStyle w:val="Refdenotaalpie"/>
        </w:rPr>
        <w:footnoteReference w:id="4"/>
      </w:r>
      <w:r>
        <w:t>:</w:t>
      </w:r>
    </w:p>
    <w:p w14:paraId="765BD12B" w14:textId="487D7E5F" w:rsidR="006E35C3" w:rsidRDefault="006E35C3" w:rsidP="006A5334">
      <w:pPr>
        <w:pStyle w:val="Nivel4"/>
      </w:pPr>
      <w:r>
        <w:rPr>
          <w:i/>
          <w:iCs/>
          <w:u w:val="single"/>
        </w:rPr>
        <w:t>Activo</w:t>
      </w:r>
      <w:r w:rsidRPr="001C11F8">
        <w:rPr>
          <w:i/>
          <w:iCs/>
          <w:u w:val="single"/>
        </w:rPr>
        <w:t>s reales</w:t>
      </w:r>
      <w:r>
        <w:t xml:space="preserve">: </w:t>
      </w:r>
      <w:r w:rsidR="0071310A">
        <w:t>S</w:t>
      </w:r>
      <w:r>
        <w:t>on los que determinan en última instancia la riqueza material de una sociedad mediante su influencia en la capacidad productiva de la economía.</w:t>
      </w:r>
    </w:p>
    <w:p w14:paraId="7D83145B" w14:textId="3319809C" w:rsidR="006E35C3" w:rsidRDefault="006E35C3" w:rsidP="006A5334">
      <w:pPr>
        <w:pStyle w:val="Nivel4"/>
      </w:pPr>
      <w:r>
        <w:rPr>
          <w:i/>
          <w:iCs/>
          <w:u w:val="single"/>
        </w:rPr>
        <w:t>Activos financieros</w:t>
      </w:r>
      <w:r>
        <w:t>: No son más que trozos de papel o anotaciones informáticas que no contribuyen de manera directa a la capacidad productiva de la economía. En realidad, estos activos financieros son derechos sobre los activos reales o los ingresos generados por ellos.</w:t>
      </w:r>
    </w:p>
    <w:p w14:paraId="43B4BE7F" w14:textId="1DFBE401" w:rsidR="00C401C2" w:rsidRDefault="00C401C2" w:rsidP="00C401C2">
      <w:pPr>
        <w:pStyle w:val="Nivel5"/>
      </w:pPr>
      <w:r>
        <w:t xml:space="preserve">En esta exposición haremos especial énfasis en el tipo de inversión más común de las </w:t>
      </w:r>
      <w:r w:rsidRPr="006540A3">
        <w:rPr>
          <w:b/>
          <w:bCs/>
        </w:rPr>
        <w:t>sociedades no</w:t>
      </w:r>
      <w:r w:rsidR="00980B9F">
        <w:rPr>
          <w:b/>
          <w:bCs/>
        </w:rPr>
        <w:t> </w:t>
      </w:r>
      <w:r w:rsidRPr="006540A3">
        <w:rPr>
          <w:b/>
          <w:bCs/>
        </w:rPr>
        <w:t>financieras</w:t>
      </w:r>
      <w:r w:rsidR="00E863CA">
        <w:t xml:space="preserve">: </w:t>
      </w:r>
      <w:r>
        <w:t>la decisión de inversión en activos fijos no</w:t>
      </w:r>
      <w:r w:rsidR="0066333F">
        <w:t> </w:t>
      </w:r>
      <w:r>
        <w:t>financieros</w:t>
      </w:r>
      <w:r w:rsidR="00E863CA">
        <w:t xml:space="preserve"> (</w:t>
      </w:r>
      <w:r>
        <w:t>p.ej. bienes de equipo).</w:t>
      </w:r>
    </w:p>
    <w:p w14:paraId="7467AC1F" w14:textId="1C4FF0BB" w:rsidR="00C401C2" w:rsidRDefault="00C401C2" w:rsidP="00C401C2">
      <w:pPr>
        <w:pStyle w:val="Nivel6"/>
      </w:pPr>
      <w:r>
        <w:t xml:space="preserve">Por tanto, otros tipos de inversiones más típicas de otros agentes (p.ej. inversión en activos </w:t>
      </w:r>
      <w:r w:rsidR="00451893">
        <w:t>financieros</w:t>
      </w:r>
      <w:r>
        <w:t xml:space="preserve"> o inversión residencial) no será abordada o al menos será relegada a un segundo plano en esta exposición.</w:t>
      </w:r>
    </w:p>
    <w:p w14:paraId="1EF2EEF5" w14:textId="0D41892C" w:rsidR="006540A3" w:rsidRDefault="006540A3" w:rsidP="00451893">
      <w:pPr>
        <w:pStyle w:val="Nivel5"/>
        <w:keepNext/>
        <w:rPr>
          <w:rStyle w:val="Hipervnculo"/>
          <w:color w:val="auto"/>
          <w:u w:val="none"/>
        </w:rPr>
      </w:pPr>
      <w:r>
        <w:rPr>
          <w:rStyle w:val="Hipervnculo"/>
          <w:color w:val="auto"/>
          <w:u w:val="none"/>
        </w:rPr>
        <w:t xml:space="preserve">Además adoptaremos una perspectiva de </w:t>
      </w:r>
      <w:r>
        <w:rPr>
          <w:rStyle w:val="Hipervnculo"/>
          <w:b/>
          <w:bCs/>
          <w:color w:val="auto"/>
          <w:u w:val="none"/>
        </w:rPr>
        <w:t>finanzas corporativas</w:t>
      </w:r>
      <w:r>
        <w:rPr>
          <w:rStyle w:val="Hipervnculo"/>
          <w:color w:val="auto"/>
          <w:u w:val="none"/>
        </w:rPr>
        <w:t>, esto se ve reflejado en 3</w:t>
      </w:r>
      <w:r w:rsidR="0071310A">
        <w:rPr>
          <w:rStyle w:val="Hipervnculo"/>
          <w:color w:val="auto"/>
          <w:u w:val="none"/>
        </w:rPr>
        <w:t> </w:t>
      </w:r>
      <w:r>
        <w:rPr>
          <w:rStyle w:val="Hipervnculo"/>
          <w:color w:val="auto"/>
          <w:u w:val="none"/>
        </w:rPr>
        <w:t>hechos.</w:t>
      </w:r>
    </w:p>
    <w:p w14:paraId="0CE25450" w14:textId="45D3BD30" w:rsidR="006540A3" w:rsidRDefault="006540A3" w:rsidP="00451893">
      <w:pPr>
        <w:pStyle w:val="Prrafodelista"/>
        <w:numPr>
          <w:ilvl w:val="0"/>
          <w:numId w:val="14"/>
        </w:numPr>
        <w:spacing w:after="0"/>
        <w:ind w:left="2551" w:hanging="113"/>
        <w:rPr>
          <w:rStyle w:val="Hipervnculo"/>
          <w:color w:val="auto"/>
          <w:u w:val="none"/>
        </w:rPr>
      </w:pPr>
      <w:r>
        <w:rPr>
          <w:rStyle w:val="Hipervnculo"/>
          <w:i/>
          <w:iCs/>
          <w:color w:val="auto"/>
          <w:u w:val="none"/>
        </w:rPr>
        <w:t>Análisis microeconómico</w:t>
      </w:r>
      <w:r>
        <w:rPr>
          <w:rStyle w:val="Hipervnculo"/>
          <w:color w:val="auto"/>
          <w:u w:val="none"/>
        </w:rPr>
        <w:t>: No hablaremos de formación bruta de capital fijo sino de decisiones de inversión de una empresa individual (marco de análisis es el criterio de selección de proyectos de inversión).</w:t>
      </w:r>
    </w:p>
    <w:p w14:paraId="734A3970" w14:textId="24F5DE18" w:rsidR="006540A3" w:rsidRDefault="006540A3" w:rsidP="00451893">
      <w:pPr>
        <w:pStyle w:val="Prrafodelista"/>
        <w:numPr>
          <w:ilvl w:val="0"/>
          <w:numId w:val="14"/>
        </w:numPr>
        <w:spacing w:after="0"/>
        <w:ind w:left="2551" w:hanging="113"/>
        <w:rPr>
          <w:rStyle w:val="Hipervnculo"/>
          <w:color w:val="auto"/>
          <w:u w:val="none"/>
        </w:rPr>
      </w:pPr>
      <w:r>
        <w:rPr>
          <w:rStyle w:val="Hipervnculo"/>
          <w:color w:val="auto"/>
          <w:u w:val="none"/>
        </w:rPr>
        <w:t xml:space="preserve">La inversión es una decisión empresarial con la que </w:t>
      </w:r>
      <w:r w:rsidRPr="006540A3">
        <w:rPr>
          <w:rStyle w:val="Hipervnculo"/>
          <w:i/>
          <w:iCs/>
          <w:color w:val="auto"/>
          <w:u w:val="none"/>
        </w:rPr>
        <w:t>se espera aumentar la rentabilidad para los accionistas</w:t>
      </w:r>
      <w:r>
        <w:rPr>
          <w:rStyle w:val="Hipervnculo"/>
          <w:color w:val="auto"/>
          <w:u w:val="none"/>
        </w:rPr>
        <w:t>. Para ello se debe generar valor.</w:t>
      </w:r>
    </w:p>
    <w:p w14:paraId="07561377" w14:textId="1E1041F8" w:rsidR="006540A3" w:rsidRPr="006540A3" w:rsidRDefault="006540A3" w:rsidP="00451893">
      <w:pPr>
        <w:pStyle w:val="Prrafodelista"/>
        <w:numPr>
          <w:ilvl w:val="0"/>
          <w:numId w:val="14"/>
        </w:numPr>
        <w:spacing w:after="0"/>
        <w:ind w:left="2551" w:hanging="113"/>
        <w:rPr>
          <w:rStyle w:val="Hipervnculo"/>
          <w:color w:val="auto"/>
          <w:u w:val="none"/>
        </w:rPr>
      </w:pPr>
      <w:r>
        <w:rPr>
          <w:rStyle w:val="Hipervnculo"/>
          <w:color w:val="auto"/>
          <w:u w:val="none"/>
        </w:rPr>
        <w:t xml:space="preserve">Una inversión puede caracterizarse como una </w:t>
      </w:r>
      <w:r w:rsidRPr="006540A3">
        <w:rPr>
          <w:rStyle w:val="Hipervnculo"/>
          <w:i/>
          <w:iCs/>
          <w:color w:val="auto"/>
          <w:u w:val="none"/>
        </w:rPr>
        <w:t>secuencia de flujos de caja asociados a momentos temporales determinados descontados por la rentabilidad requerida por los financiadores de la empresa</w:t>
      </w:r>
      <w:r>
        <w:rPr>
          <w:rStyle w:val="Hipervnculo"/>
          <w:color w:val="auto"/>
          <w:u w:val="none"/>
        </w:rPr>
        <w:t>.</w:t>
      </w:r>
    </w:p>
    <w:p w14:paraId="100EB6CF" w14:textId="714239B5" w:rsidR="00BA08CD" w:rsidRPr="00372E66" w:rsidRDefault="00BA08CD" w:rsidP="00C401C2">
      <w:pPr>
        <w:pStyle w:val="Nivel3"/>
        <w:rPr>
          <w:rStyle w:val="Hipervnculo"/>
          <w:color w:val="auto"/>
          <w:spacing w:val="-5"/>
          <w:u w:val="none"/>
        </w:rPr>
      </w:pPr>
      <w:r w:rsidRPr="00372E66">
        <w:rPr>
          <w:rStyle w:val="Hipervnculo"/>
          <w:color w:val="auto"/>
          <w:spacing w:val="-5"/>
          <w:u w:val="none"/>
        </w:rPr>
        <w:t xml:space="preserve">Dada la conjunción de múltiples factores a la hora de determinar el resultado de una inversión, la toma de decisiones respecto a la inversión es un </w:t>
      </w:r>
      <w:r w:rsidRPr="00372E66">
        <w:rPr>
          <w:rStyle w:val="Hipervnculo"/>
          <w:i/>
          <w:iCs/>
          <w:color w:val="auto"/>
          <w:spacing w:val="-5"/>
          <w:u w:val="none"/>
        </w:rPr>
        <w:t>proceso complejo construido en torno a múltiples conceptos, entre los cuales destacan la rentabilidad, el riesgo o el coste de capital</w:t>
      </w:r>
      <w:r w:rsidRPr="00372E66">
        <w:rPr>
          <w:rStyle w:val="Hipervnculo"/>
          <w:color w:val="auto"/>
          <w:spacing w:val="-5"/>
          <w:u w:val="none"/>
        </w:rPr>
        <w:t>.</w:t>
      </w:r>
    </w:p>
    <w:p w14:paraId="0C84CFB8" w14:textId="5489C636" w:rsidR="00A22067" w:rsidRDefault="00A22067" w:rsidP="00A22067">
      <w:pPr>
        <w:pStyle w:val="Nivel1"/>
        <w:keepNext/>
        <w:spacing w:after="0"/>
      </w:pPr>
      <w:r w:rsidRPr="00A22067">
        <w:rPr>
          <w:b/>
          <w:bCs/>
          <w:i/>
          <w:iCs/>
        </w:rPr>
        <w:t>Relevancia</w:t>
      </w:r>
      <w:r>
        <w:t>:</w:t>
      </w:r>
    </w:p>
    <w:p w14:paraId="6A2464F2" w14:textId="77777777" w:rsidR="00451893" w:rsidRPr="00027D48" w:rsidRDefault="00451893" w:rsidP="00451893">
      <w:pPr>
        <w:pStyle w:val="Nivel2"/>
        <w:keepNext/>
        <w:spacing w:after="0"/>
        <w:rPr>
          <w:spacing w:val="-5"/>
        </w:rPr>
      </w:pPr>
      <w:r w:rsidRPr="00027D48">
        <w:rPr>
          <w:spacing w:val="-5"/>
        </w:rPr>
        <w:t>La relevancia de esta exposición es que aunque nos centremos en un análisis a nivel empresa (</w:t>
      </w:r>
      <w:r w:rsidRPr="00027D48">
        <w:rPr>
          <w:i/>
          <w:iCs/>
          <w:spacing w:val="-5"/>
        </w:rPr>
        <w:t>nivel microeconómico</w:t>
      </w:r>
      <w:r w:rsidRPr="00027D48">
        <w:rPr>
          <w:spacing w:val="-5"/>
        </w:rPr>
        <w:t>) se pueden extraer implicaciones a nivel agregado (</w:t>
      </w:r>
      <w:r w:rsidRPr="00027D48">
        <w:rPr>
          <w:i/>
          <w:iCs/>
          <w:spacing w:val="-5"/>
        </w:rPr>
        <w:t>nivel macroeconómico</w:t>
      </w:r>
      <w:r w:rsidRPr="00027D48">
        <w:rPr>
          <w:spacing w:val="-5"/>
        </w:rPr>
        <w:t>).</w:t>
      </w:r>
    </w:p>
    <w:p w14:paraId="11417A5F" w14:textId="77777777" w:rsidR="00451893" w:rsidRDefault="00451893" w:rsidP="00451893">
      <w:pPr>
        <w:pStyle w:val="Nivel3"/>
      </w:pPr>
      <w:r>
        <w:t>Eventualmente, nos interesa que el ahorro de las unidades superavitarias que van a financiar a la empresa se dirija a la inversión productiva, condición esencial para el crecimiento económico a largo plazo.</w:t>
      </w:r>
    </w:p>
    <w:p w14:paraId="027B1840" w14:textId="240152D7" w:rsidR="006E35C3" w:rsidRDefault="001969AA" w:rsidP="007B6506">
      <w:pPr>
        <w:pStyle w:val="Nivel3"/>
      </w:pPr>
      <w:r>
        <w:t>La capacidad de los managers para tomar decisiones correctas de inversión en el día a día de la empresa tiene consecuencias que van mucho más allá de la propia entidad</w:t>
      </w:r>
      <w:r w:rsidR="006E35C3">
        <w:t>.</w:t>
      </w:r>
      <w:r>
        <w:t xml:space="preserve"> Las economías modernas son el resultado de millones de decisiones de inversión. Cuando las empresas cuentan con mejores procesos de decisión, managers más formados y mayor información disponible para valorar lo apropiado de llevar a cabo </w:t>
      </w:r>
      <w:r>
        <w:lastRenderedPageBreak/>
        <w:t>una inversión, el crecimiento agregado de la economía, la competitividad exterior y por todo ello, el bienestar de los ciudadanos se ve positivamente afectado.</w:t>
      </w:r>
    </w:p>
    <w:p w14:paraId="7E3E6D67" w14:textId="468C3973" w:rsidR="00A51B24" w:rsidRDefault="0029255D" w:rsidP="00A22067">
      <w:pPr>
        <w:pStyle w:val="Nivel1"/>
        <w:keepNext/>
        <w:spacing w:after="0"/>
      </w:pPr>
      <w:r w:rsidRPr="00C325BE">
        <w:rPr>
          <w:b/>
          <w:bCs/>
          <w:i/>
          <w:iCs/>
        </w:rPr>
        <w:t>Contextualización</w:t>
      </w:r>
      <w:r w:rsidR="00A51B24">
        <w:t>:</w:t>
      </w:r>
    </w:p>
    <w:p w14:paraId="44E2382B" w14:textId="69481C7F" w:rsidR="00295F0E" w:rsidRPr="00BC0CA1" w:rsidRDefault="00295F0E" w:rsidP="002E7299">
      <w:pPr>
        <w:pStyle w:val="Nivel2"/>
        <w:rPr>
          <w:highlight w:val="yellow"/>
        </w:rPr>
      </w:pPr>
      <w:r w:rsidRPr="00BC0CA1">
        <w:rPr>
          <w:highlight w:val="yellow"/>
        </w:rPr>
        <w:t xml:space="preserve">La historia del estudio económico de las decisiones de inversión empresarial y la valoración de proyectos se remonta a los orígenes de la economía y la contabilidad. Los primeros economistas, como </w:t>
      </w:r>
      <w:r w:rsidRPr="00BC0CA1">
        <w:rPr>
          <w:smallCaps/>
          <w:highlight w:val="yellow"/>
        </w:rPr>
        <w:t>Adam Smith</w:t>
      </w:r>
      <w:r w:rsidRPr="00BC0CA1">
        <w:rPr>
          <w:highlight w:val="yellow"/>
        </w:rPr>
        <w:t xml:space="preserve"> y </w:t>
      </w:r>
      <w:r w:rsidRPr="00BC0CA1">
        <w:rPr>
          <w:iCs/>
          <w:smallCaps/>
          <w:highlight w:val="yellow"/>
        </w:rPr>
        <w:t>David Ricardo</w:t>
      </w:r>
      <w:r w:rsidRPr="00BC0CA1">
        <w:rPr>
          <w:highlight w:val="yellow"/>
        </w:rPr>
        <w:t xml:space="preserve">, se interesaron por la forma en que las empresas tomaban decisiones sobre la inversión de recursos y la distribución de los beneficios. Los primeros contadores, como </w:t>
      </w:r>
      <w:r w:rsidRPr="00BC0CA1">
        <w:rPr>
          <w:smallCaps/>
          <w:highlight w:val="yellow"/>
        </w:rPr>
        <w:t>Luca Pacioli</w:t>
      </w:r>
      <w:r w:rsidRPr="00BC0CA1">
        <w:rPr>
          <w:highlight w:val="yellow"/>
        </w:rPr>
        <w:t>, desarrollaron sistemas para registrar y analizar las transacciones financieras.</w:t>
      </w:r>
    </w:p>
    <w:p w14:paraId="2D5E6CE1" w14:textId="3D18FAE7" w:rsidR="00295F0E" w:rsidRPr="00BC0CA1" w:rsidRDefault="00295F0E" w:rsidP="002E7299">
      <w:pPr>
        <w:pStyle w:val="Nivel2"/>
        <w:rPr>
          <w:highlight w:val="yellow"/>
        </w:rPr>
      </w:pPr>
      <w:r w:rsidRPr="00BC0CA1">
        <w:rPr>
          <w:highlight w:val="yellow"/>
        </w:rPr>
        <w:t>En el siglo XX, el estudio de las decisiones de inversión empresarial y la valoración de proyectos se convirtió en una disciplina más formal. Los economistas desarrollaron una serie de métodos para evaluar la rentabilidad de las inversiones, como el flujo de caja descontado y el análisis de riesgo-rendimiento. Los contadores desarrollaron técnicas para medir el valor de las empresas, como el análisis del valor de mercado y el análisis del valor contable.</w:t>
      </w:r>
    </w:p>
    <w:p w14:paraId="3AF87D7B" w14:textId="4BCBEB73" w:rsidR="006540A3" w:rsidRPr="00BC0CA1" w:rsidRDefault="00295F0E" w:rsidP="002E7299">
      <w:pPr>
        <w:pStyle w:val="Nivel2"/>
        <w:rPr>
          <w:highlight w:val="yellow"/>
        </w:rPr>
      </w:pPr>
      <w:r w:rsidRPr="00BC0CA1">
        <w:rPr>
          <w:highlight w:val="yellow"/>
        </w:rPr>
        <w:t>En la actualidad, el estudio de las decisiones de inversión empresarial y la valoración de proyectos es un campo complejo y en constante evolución. Los economistas y contadores utilizan una variedad de métodos para evaluar la rentabilidad de las inversiones y el valor de las empresas. Estas técnicas son utilizadas por empresas, gobiernos e inversores para tomar decisiones sobre la inversión de recursos y la distribución de los beneficios.</w:t>
      </w:r>
    </w:p>
    <w:p w14:paraId="1DEDF4C9" w14:textId="77777777" w:rsidR="005D7E1C" w:rsidRDefault="00B77C0F" w:rsidP="00A22067">
      <w:pPr>
        <w:pStyle w:val="Nivel1"/>
        <w:keepNext/>
        <w:spacing w:after="0"/>
      </w:pPr>
      <w:r w:rsidRPr="00C325BE">
        <w:rPr>
          <w:b/>
          <w:bCs/>
          <w:i/>
          <w:iCs/>
        </w:rPr>
        <w:t>Problemática</w:t>
      </w:r>
      <w:r w:rsidRPr="000A3137">
        <w:t>:</w:t>
      </w:r>
    </w:p>
    <w:p w14:paraId="5D4ABD30" w14:textId="77777777" w:rsidR="00217123" w:rsidRDefault="00217123" w:rsidP="00D41F6D">
      <w:pPr>
        <w:pStyle w:val="Nivel2"/>
        <w:keepNext/>
        <w:spacing w:after="0"/>
      </w:pPr>
      <w:r>
        <w:t>¿Qué es la inversión?</w:t>
      </w:r>
    </w:p>
    <w:p w14:paraId="1748D074" w14:textId="77777777" w:rsidR="00217123" w:rsidRDefault="00217123" w:rsidP="00AA7950">
      <w:pPr>
        <w:pStyle w:val="Nivel3"/>
      </w:pPr>
      <w:r>
        <w:t>¿Por qué invierten las empresas?</w:t>
      </w:r>
    </w:p>
    <w:p w14:paraId="5F71A8D6" w14:textId="77777777" w:rsidR="00217123" w:rsidRDefault="00217123" w:rsidP="00D41F6D">
      <w:pPr>
        <w:pStyle w:val="Nivel3"/>
        <w:keepNext/>
      </w:pPr>
      <w:r>
        <w:t>¿Qué es la rentabilidad?</w:t>
      </w:r>
    </w:p>
    <w:p w14:paraId="26670A83" w14:textId="77777777" w:rsidR="00217123" w:rsidRDefault="00217123" w:rsidP="002130F0">
      <w:pPr>
        <w:pStyle w:val="Nivel4"/>
      </w:pPr>
      <w:r>
        <w:t xml:space="preserve">¿Qué </w:t>
      </w:r>
      <w:r w:rsidRPr="002130F0">
        <w:rPr>
          <w:rStyle w:val="Nivel5Car"/>
        </w:rPr>
        <w:t>es el riesgo</w:t>
      </w:r>
      <w:r>
        <w:t xml:space="preserve"> de una inversión?</w:t>
      </w:r>
    </w:p>
    <w:p w14:paraId="5A0B053A" w14:textId="14ACD02A" w:rsidR="00217123" w:rsidRDefault="00217123" w:rsidP="00AA7950">
      <w:pPr>
        <w:pStyle w:val="Nivel3"/>
      </w:pPr>
      <w:r>
        <w:t>¿Qué es el coste de capital?</w:t>
      </w:r>
    </w:p>
    <w:p w14:paraId="73D46067" w14:textId="5A388D3A" w:rsidR="00217123" w:rsidRDefault="00217123" w:rsidP="00D41F6D">
      <w:pPr>
        <w:pStyle w:val="Nivel2"/>
        <w:keepNext/>
        <w:spacing w:after="0"/>
      </w:pPr>
      <w:r>
        <w:t>¿Cómo invierten las empresas?</w:t>
      </w:r>
    </w:p>
    <w:p w14:paraId="468EDBBD" w14:textId="2A37ECFF" w:rsidR="00AA7950" w:rsidRDefault="00AA7950" w:rsidP="00AA7950">
      <w:pPr>
        <w:pStyle w:val="Nivel3"/>
      </w:pPr>
      <w:r>
        <w:t>¿Qué criterios se utilizan para decidir entre inversiones?</w:t>
      </w:r>
    </w:p>
    <w:p w14:paraId="74149B0E" w14:textId="77777777" w:rsidR="00217123" w:rsidRDefault="00217123" w:rsidP="00217123">
      <w:pPr>
        <w:pStyle w:val="Nivel2"/>
        <w:spacing w:after="0"/>
      </w:pPr>
      <w:r>
        <w:t>¿En qué invierten las empresas?</w:t>
      </w:r>
    </w:p>
    <w:p w14:paraId="0DE3F709" w14:textId="77777777" w:rsidR="004C0D84" w:rsidRDefault="0029255D" w:rsidP="00C67A7E">
      <w:pPr>
        <w:pStyle w:val="Nivel1"/>
        <w:keepNext/>
        <w:spacing w:after="0"/>
      </w:pPr>
      <w:r w:rsidRPr="00C325BE">
        <w:rPr>
          <w:b/>
          <w:bCs/>
          <w:i/>
          <w:iCs/>
        </w:rPr>
        <w:lastRenderedPageBreak/>
        <w:t>Estructura</w:t>
      </w:r>
      <w:r w:rsidR="00B77C0F" w:rsidRPr="000A3137">
        <w:t>:</w:t>
      </w:r>
    </w:p>
    <w:tbl>
      <w:tblPr>
        <w:tblStyle w:val="Tablaconcuadrcula"/>
        <w:tblW w:w="10488" w:type="dxa"/>
        <w:jc w:val="center"/>
        <w:tblLook w:val="04A0" w:firstRow="1" w:lastRow="0" w:firstColumn="1" w:lastColumn="0" w:noHBand="0" w:noVBand="1"/>
      </w:tblPr>
      <w:tblGrid>
        <w:gridCol w:w="10488"/>
      </w:tblGrid>
      <w:tr w:rsidR="00B152E3" w14:paraId="176B8483" w14:textId="77777777" w:rsidTr="00027D48">
        <w:trPr>
          <w:jc w:val="center"/>
          <w:hidden/>
        </w:trPr>
        <w:tc>
          <w:tcPr>
            <w:tcW w:w="10488"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63055FA" w14:textId="77777777" w:rsidR="0081544B" w:rsidRPr="00CA6BEA" w:rsidRDefault="0081544B" w:rsidP="00805E5F">
      <w:pPr>
        <w:rPr>
          <w:sz w:val="20"/>
          <w:highlight w:val="lightGray"/>
        </w:rPr>
      </w:pPr>
      <w:r>
        <w:rPr>
          <w:highlight w:val="lightGray"/>
        </w:rPr>
        <w:br w:type="page"/>
      </w:r>
    </w:p>
    <w:p w14:paraId="3112D259" w14:textId="44BA9507" w:rsidR="004F23BD" w:rsidRPr="00EF1A96" w:rsidRDefault="004F23BD" w:rsidP="008F677F">
      <w:pPr>
        <w:pStyle w:val="Ttulo1"/>
      </w:pPr>
      <w:bookmarkStart w:id="6" w:name="_Toc172232819"/>
      <w:r>
        <w:lastRenderedPageBreak/>
        <w:t>RENTABILIDAD, RIESGO Y COSTE DE CAPITAL</w:t>
      </w:r>
      <w:r w:rsidR="00C67A7E">
        <w:t xml:space="preserve"> – </w:t>
      </w:r>
      <w:r w:rsidR="00C67A7E" w:rsidRPr="00C67A7E">
        <w:rPr>
          <w:i/>
          <w:iCs/>
        </w:rPr>
        <w:t>¿QUÉ ES LA INVERSIÓN?</w:t>
      </w:r>
      <w:bookmarkEnd w:id="6"/>
    </w:p>
    <w:p w14:paraId="0B845FE3" w14:textId="188D8B33" w:rsidR="00C67A7E" w:rsidRDefault="00C67A7E" w:rsidP="00C67A7E">
      <w:pPr>
        <w:pStyle w:val="Ttulo2"/>
      </w:pPr>
      <w:bookmarkStart w:id="7" w:name="_Toc172232820"/>
      <w:r>
        <w:t>Rentabilidad</w:t>
      </w:r>
      <w:bookmarkEnd w:id="7"/>
    </w:p>
    <w:p w14:paraId="77729504" w14:textId="77777777" w:rsidR="00817CE5" w:rsidRDefault="00817CE5" w:rsidP="0071310A">
      <w:pPr>
        <w:pStyle w:val="Nivel1SM"/>
        <w:keepNext/>
        <w:spacing w:before="0" w:after="0"/>
      </w:pPr>
      <w:r>
        <w:t xml:space="preserve">La </w:t>
      </w:r>
      <w:r w:rsidRPr="00116DC0">
        <w:rPr>
          <w:i/>
          <w:iCs/>
          <w:u w:val="single"/>
        </w:rPr>
        <w:t>inversión</w:t>
      </w:r>
      <w:r>
        <w:t xml:space="preserve"> puede ser </w:t>
      </w:r>
      <w:r w:rsidRPr="00FA4DF2">
        <w:t xml:space="preserve">entendida como </w:t>
      </w:r>
      <w:r>
        <w:t xml:space="preserve">un </w:t>
      </w:r>
      <w:r w:rsidRPr="00116DC0">
        <w:rPr>
          <w:i/>
          <w:iCs/>
        </w:rPr>
        <w:t>sacrificio de dinero u otros recursos en un momento temporal determinado para obtener una ganancia en el futuro</w:t>
      </w:r>
      <w:r w:rsidRPr="00FE71AA">
        <w:t>.</w:t>
      </w:r>
    </w:p>
    <w:p w14:paraId="2E630818" w14:textId="71136297" w:rsidR="005C4327" w:rsidRDefault="005C4327" w:rsidP="00116DC0">
      <w:pPr>
        <w:pStyle w:val="Nivel2SM"/>
        <w:keepNext/>
        <w:spacing w:after="0"/>
      </w:pPr>
      <w:r>
        <w:t xml:space="preserve">Partiendo de esta definición de inversión, podemos definir la </w:t>
      </w:r>
      <w:r w:rsidRPr="00C67A7E">
        <w:rPr>
          <w:b/>
          <w:bCs/>
        </w:rPr>
        <w:t>rentabilidad</w:t>
      </w:r>
      <w:r>
        <w:t xml:space="preserve"> como la relación existente entre </w:t>
      </w:r>
      <w:r w:rsidR="00735A66">
        <w:t>las ganancia</w:t>
      </w:r>
      <w:r>
        <w:t>s generad</w:t>
      </w:r>
      <w:r w:rsidR="00735A66">
        <w:t>a</w:t>
      </w:r>
      <w:r>
        <w:t>s por la inversión y los sacrificios realizados. Por lo tanto, podría ser calculada de la siguiente manera:</w:t>
      </w:r>
    </w:p>
    <w:p w14:paraId="285F1E45" w14:textId="35444BD7" w:rsidR="005C4327" w:rsidRDefault="005C4327" w:rsidP="00116DC0">
      <w:pPr>
        <w:pStyle w:val="Nivel3SM"/>
        <w:keepNext/>
        <w:ind w:left="964"/>
      </w:pPr>
      <w:r>
        <w:rPr>
          <w:i/>
          <w:iCs/>
          <w:u w:val="single"/>
        </w:rPr>
        <w:t xml:space="preserve">Rentabilidad </w:t>
      </w:r>
      <w:proofErr w:type="spellStart"/>
      <w:r>
        <w:rPr>
          <w:i/>
          <w:iCs/>
          <w:u w:val="single"/>
        </w:rPr>
        <w:t>ex-post</w:t>
      </w:r>
      <w:proofErr w:type="spellEnd"/>
      <w:r>
        <w:t>:</w:t>
      </w:r>
      <w:r w:rsidR="00C67A7E">
        <w:t xml:space="preserve"> En ausencia de incertidumbre, podríamos conocer</w:t>
      </w:r>
      <w:r w:rsidR="00F06FD5">
        <w:t xml:space="preserve"> la rentabilidad de una inversión de acuerdo a la siguiente fórmula:</w:t>
      </w:r>
    </w:p>
    <w:p w14:paraId="010D1C61" w14:textId="7FC81C3F" w:rsidR="00F06FD5" w:rsidRPr="005D0697" w:rsidRDefault="00F06FD5" w:rsidP="005D0697">
      <w:pPr>
        <w:pStyle w:val="Nivel3SM"/>
        <w:numPr>
          <w:ilvl w:val="0"/>
          <w:numId w:val="0"/>
        </w:numPr>
        <w:ind w:left="963"/>
        <w:rPr>
          <w:i/>
        </w:rPr>
      </w:pPr>
      <m:oMathPara>
        <m:oMath>
          <m:r>
            <m:rPr>
              <m:nor/>
            </m:rPr>
            <w:rPr>
              <w:i/>
            </w:rPr>
            <m:t xml:space="preserve">Rentabilidad </m:t>
          </m:r>
          <w:proofErr w:type="spellStart"/>
          <m:r>
            <m:rPr>
              <m:nor/>
            </m:rPr>
            <w:rPr>
              <w:i/>
            </w:rPr>
            <m:t>ex-post</m:t>
          </m:r>
          <w:proofErr w:type="spellEnd"/>
          <m:r>
            <w:rPr>
              <w:rFonts w:ascii="Cambria Math" w:hAnsi="Cambria Math"/>
            </w:rPr>
            <m:t>=</m:t>
          </m:r>
          <m:f>
            <m:fPr>
              <m:ctrlPr>
                <w:rPr>
                  <w:rFonts w:ascii="Cambria Math" w:hAnsi="Cambria Math"/>
                  <w:i/>
                </w:rPr>
              </m:ctrlPr>
            </m:fPr>
            <m:num>
              <m:r>
                <m:rPr>
                  <m:nor/>
                </m:rPr>
                <w:rPr>
                  <w:i/>
                </w:rPr>
                <m:t>Ganancia obtenida</m:t>
              </m:r>
            </m:num>
            <m:den>
              <m:r>
                <m:rPr>
                  <m:nor/>
                </m:rPr>
                <w:rPr>
                  <w:i/>
                </w:rPr>
                <m:t>Sacrificio realizado</m:t>
              </m:r>
            </m:den>
          </m:f>
        </m:oMath>
      </m:oMathPara>
    </w:p>
    <w:p w14:paraId="67C4C59D" w14:textId="5AB4974D" w:rsidR="00D41F6D" w:rsidRDefault="00D41F6D" w:rsidP="005D0697">
      <w:pPr>
        <w:pStyle w:val="Nivel2"/>
        <w:keepNext/>
        <w:numPr>
          <w:ilvl w:val="0"/>
          <w:numId w:val="0"/>
        </w:numPr>
        <w:spacing w:after="0"/>
        <w:ind w:left="964"/>
      </w:pPr>
      <w:r>
        <w:t xml:space="preserve">Esta es una medida </w:t>
      </w:r>
      <w:proofErr w:type="spellStart"/>
      <w:r>
        <w:t>ex-post</w:t>
      </w:r>
      <w:proofErr w:type="spellEnd"/>
      <w:r>
        <w:t xml:space="preserve"> porque ambos valores se conocen </w:t>
      </w:r>
      <w:r w:rsidRPr="00D41F6D">
        <w:rPr>
          <w:i/>
          <w:iCs/>
        </w:rPr>
        <w:t>sin incertidumbre</w:t>
      </w:r>
      <w:r>
        <w:t xml:space="preserve"> alguna.</w:t>
      </w:r>
    </w:p>
    <w:p w14:paraId="69FCD369" w14:textId="7F0C8DE3" w:rsidR="00F06FD5" w:rsidRDefault="00F06FD5" w:rsidP="005D0697">
      <w:pPr>
        <w:pStyle w:val="Nivel4"/>
        <w:ind w:left="1474"/>
      </w:pPr>
      <w:r>
        <w:t xml:space="preserve">Sin embargo, </w:t>
      </w:r>
      <w:r w:rsidR="00D41F6D">
        <w:t>en la práctica</w:t>
      </w:r>
      <w:r>
        <w:t xml:space="preserve">, existen factores que crean incertidumbre, por lo que </w:t>
      </w:r>
      <w:r w:rsidR="004E0497">
        <w:t xml:space="preserve">hasta que no se conozcan los resultados de la operación, </w:t>
      </w:r>
      <w:r>
        <w:t>esta función no sería aplicable, ya que no conocemos con certeza cuáles serán l</w:t>
      </w:r>
      <w:r w:rsidR="00735A66">
        <w:t>a</w:t>
      </w:r>
      <w:r>
        <w:t xml:space="preserve">s </w:t>
      </w:r>
      <w:r w:rsidR="00735A66">
        <w:t>ganancias</w:t>
      </w:r>
      <w:r>
        <w:t xml:space="preserve"> obtenid</w:t>
      </w:r>
      <w:r w:rsidR="00735A66">
        <w:t>a</w:t>
      </w:r>
      <w:r>
        <w:t>s.</w:t>
      </w:r>
    </w:p>
    <w:p w14:paraId="2971328F" w14:textId="546BC272" w:rsidR="005C4327" w:rsidRPr="00C04CF8" w:rsidRDefault="005C4327" w:rsidP="00116DC0">
      <w:pPr>
        <w:pStyle w:val="Nivel3SM"/>
        <w:keepNext/>
        <w:ind w:left="964"/>
        <w:rPr>
          <w:spacing w:val="-1"/>
        </w:rPr>
      </w:pPr>
      <w:r w:rsidRPr="00C04CF8">
        <w:rPr>
          <w:i/>
          <w:iCs/>
          <w:spacing w:val="-1"/>
          <w:u w:val="single"/>
        </w:rPr>
        <w:t xml:space="preserve">Rentabilidad </w:t>
      </w:r>
      <w:proofErr w:type="spellStart"/>
      <w:r w:rsidRPr="00C04CF8">
        <w:rPr>
          <w:i/>
          <w:iCs/>
          <w:spacing w:val="-1"/>
          <w:u w:val="single"/>
        </w:rPr>
        <w:t>ex-ante</w:t>
      </w:r>
      <w:proofErr w:type="spellEnd"/>
      <w:r w:rsidRPr="00C04CF8">
        <w:rPr>
          <w:spacing w:val="-1"/>
        </w:rPr>
        <w:t>:</w:t>
      </w:r>
      <w:r w:rsidR="00F06FD5" w:rsidRPr="00C04CF8">
        <w:rPr>
          <w:spacing w:val="-1"/>
        </w:rPr>
        <w:t xml:space="preserve"> En la práctica, antes de realizar cualquier inversión esperamos obtener unos beneficios</w:t>
      </w:r>
      <w:r w:rsidR="004E0497" w:rsidRPr="00C04CF8">
        <w:rPr>
          <w:spacing w:val="-1"/>
        </w:rPr>
        <w:t xml:space="preserve">, por lo que podemos definir la rentabilidad esperada o rentabilidad </w:t>
      </w:r>
      <w:proofErr w:type="spellStart"/>
      <w:r w:rsidR="004E0497" w:rsidRPr="00C04CF8">
        <w:rPr>
          <w:spacing w:val="-1"/>
        </w:rPr>
        <w:t>ex-ante</w:t>
      </w:r>
      <w:proofErr w:type="spellEnd"/>
      <w:r w:rsidR="004E0497" w:rsidRPr="00C04CF8">
        <w:rPr>
          <w:spacing w:val="-1"/>
        </w:rPr>
        <w:t xml:space="preserve"> de forma que:</w:t>
      </w:r>
    </w:p>
    <w:p w14:paraId="2AD3CB4D" w14:textId="39F88200" w:rsidR="004E0497" w:rsidRPr="005D0697" w:rsidRDefault="004E0497" w:rsidP="005D0697">
      <w:pPr>
        <w:pStyle w:val="Nivel3SM"/>
        <w:numPr>
          <w:ilvl w:val="0"/>
          <w:numId w:val="0"/>
        </w:numPr>
        <w:ind w:left="963"/>
        <w:rPr>
          <w:i/>
          <w:iCs/>
        </w:rPr>
      </w:pPr>
      <m:oMathPara>
        <m:oMath>
          <m:r>
            <m:rPr>
              <m:nor/>
            </m:rPr>
            <w:rPr>
              <w:i/>
              <w:iCs/>
            </w:rPr>
            <m:t xml:space="preserve">Rentabilidad </m:t>
          </m:r>
          <w:proofErr w:type="spellStart"/>
          <m:r>
            <m:rPr>
              <m:nor/>
            </m:rPr>
            <w:rPr>
              <w:i/>
              <w:iCs/>
            </w:rPr>
            <m:t>ex-ante</m:t>
          </m:r>
          <w:proofErr w:type="spellEnd"/>
          <m:r>
            <w:rPr>
              <w:rFonts w:ascii="Cambria Math" w:hAnsi="Cambria Math"/>
            </w:rPr>
            <m:t>=</m:t>
          </m:r>
          <m:f>
            <m:fPr>
              <m:ctrlPr>
                <w:rPr>
                  <w:rFonts w:ascii="Cambria Math" w:hAnsi="Cambria Math"/>
                  <w:i/>
                  <w:iCs/>
                </w:rPr>
              </m:ctrlPr>
            </m:fPr>
            <m:num>
              <m:r>
                <m:rPr>
                  <m:nor/>
                </m:rPr>
                <w:rPr>
                  <w:i/>
                  <w:iCs/>
                </w:rPr>
                <m:t>Ganancias esperadas</m:t>
              </m:r>
            </m:num>
            <m:den>
              <m:r>
                <m:rPr>
                  <m:nor/>
                </m:rPr>
                <w:rPr>
                  <w:i/>
                  <w:iCs/>
                </w:rPr>
                <m:t>Sacrificio realizado</m:t>
              </m:r>
            </m:den>
          </m:f>
        </m:oMath>
      </m:oMathPara>
    </w:p>
    <w:p w14:paraId="450F7A7D" w14:textId="4FB6150B" w:rsidR="004E0497" w:rsidRDefault="004E0497" w:rsidP="005D0697">
      <w:pPr>
        <w:pStyle w:val="Nivel3SM"/>
        <w:keepNext/>
        <w:numPr>
          <w:ilvl w:val="0"/>
          <w:numId w:val="0"/>
        </w:numPr>
        <w:ind w:left="963"/>
      </w:pPr>
      <w:r>
        <w:t xml:space="preserve">Esta es una medida </w:t>
      </w:r>
      <w:proofErr w:type="spellStart"/>
      <w:r>
        <w:t>ex-ante</w:t>
      </w:r>
      <w:proofErr w:type="spellEnd"/>
      <w:r>
        <w:t xml:space="preserve"> que, si bien puede resultar más compleja, puede resultar útil </w:t>
      </w:r>
      <w:r w:rsidR="00735A66">
        <w:t>ante la presencia de incertidumbre.</w:t>
      </w:r>
    </w:p>
    <w:p w14:paraId="2A027561" w14:textId="77777777" w:rsidR="005D0697" w:rsidRDefault="00735A66" w:rsidP="005D0697">
      <w:pPr>
        <w:pStyle w:val="Nivel4"/>
        <w:keepNext/>
        <w:ind w:left="1474"/>
      </w:pPr>
      <w:r>
        <w:t xml:space="preserve">En cualquier caso, ambos conceptos se basan en los mismos principios, </w:t>
      </w:r>
      <w:r w:rsidRPr="005D0697">
        <w:rPr>
          <w:i/>
          <w:iCs/>
        </w:rPr>
        <w:t>relacionar sacrificios con ganancias y sintetizar la información en una variable que nos permita comparar entre distintos proyectos de inversión</w:t>
      </w:r>
      <w:r>
        <w:t>.</w:t>
      </w:r>
    </w:p>
    <w:p w14:paraId="7CD82094" w14:textId="27740C23" w:rsidR="004E0497" w:rsidRDefault="00735A66" w:rsidP="005D0697">
      <w:pPr>
        <w:pStyle w:val="Nivel5"/>
        <w:ind w:left="1871"/>
      </w:pPr>
      <w:r>
        <w:t>Cabe señalar además</w:t>
      </w:r>
      <w:r w:rsidR="00803827">
        <w:t xml:space="preserve"> que cuando los agentes se comportan de manera racional y aprovechan toda la información de la que disponen, en un mercado sin imperfecciones, el sacrificio presente requerido para llevar a cabo la inversión tenderá a ajustarse de tal manera que la rentabilidad </w:t>
      </w:r>
      <w:proofErr w:type="spellStart"/>
      <w:r w:rsidR="00803827">
        <w:t>ex-ante</w:t>
      </w:r>
      <w:proofErr w:type="spellEnd"/>
      <w:r w:rsidR="00803827">
        <w:t xml:space="preserve"> de una inversión sea igual a la de otras inversiones de características similares.</w:t>
      </w:r>
    </w:p>
    <w:p w14:paraId="24794CA2" w14:textId="58473C5B" w:rsidR="00803827" w:rsidRPr="005D0697" w:rsidRDefault="00803827" w:rsidP="00116DC0">
      <w:pPr>
        <w:pStyle w:val="Nivel1SM"/>
        <w:keepNext/>
        <w:spacing w:after="0"/>
        <w:rPr>
          <w:spacing w:val="-4"/>
        </w:rPr>
      </w:pPr>
      <w:r w:rsidRPr="005D0697">
        <w:rPr>
          <w:spacing w:val="-4"/>
        </w:rPr>
        <w:t xml:space="preserve">Así, cabe preguntarse: </w:t>
      </w:r>
      <w:r w:rsidRPr="005D0697">
        <w:rPr>
          <w:b/>
          <w:bCs/>
          <w:spacing w:val="-4"/>
        </w:rPr>
        <w:t>¿qué factores determinan la rentabilidad de una inversión?</w:t>
      </w:r>
      <w:r w:rsidR="00116DC0" w:rsidRPr="005D0697">
        <w:rPr>
          <w:spacing w:val="-4"/>
        </w:rPr>
        <w:t xml:space="preserve"> </w:t>
      </w:r>
      <w:r w:rsidRPr="005D0697">
        <w:rPr>
          <w:spacing w:val="-4"/>
        </w:rPr>
        <w:t>Los principales son:</w:t>
      </w:r>
    </w:p>
    <w:p w14:paraId="4431318C" w14:textId="11069579" w:rsidR="00803827" w:rsidRDefault="005625CE" w:rsidP="00116DC0">
      <w:pPr>
        <w:pStyle w:val="Nivel2SM"/>
      </w:pPr>
      <w:r w:rsidRPr="005625CE">
        <w:rPr>
          <w:i/>
          <w:iCs/>
          <w:u w:val="single"/>
        </w:rPr>
        <w:t>A</w:t>
      </w:r>
      <w:r w:rsidR="00947AA3" w:rsidRPr="00947AA3">
        <w:rPr>
          <w:i/>
          <w:iCs/>
          <w:u w:val="single"/>
        </w:rPr>
        <w:t>versión al riesgo</w:t>
      </w:r>
      <w:r w:rsidR="00947AA3" w:rsidRPr="005625CE">
        <w:rPr>
          <w:i/>
          <w:iCs/>
          <w:u w:val="single"/>
        </w:rPr>
        <w:t xml:space="preserve"> de los inversores</w:t>
      </w:r>
      <w:r w:rsidR="00947AA3">
        <w:t>:</w:t>
      </w:r>
      <w:r w:rsidR="00947AA3" w:rsidRPr="002704A1">
        <w:t xml:space="preserve"> </w:t>
      </w:r>
      <w:r>
        <w:t>R</w:t>
      </w:r>
      <w:r w:rsidR="00947AA3" w:rsidRPr="002704A1">
        <w:t>esulta de la preferencia por ganancias ciertas frente a ganancias inciertas en la mayoría de los agentes económicos. Así, los inversores aversos al riesgo demandan una prima por un mayor riesgo asumido que se traduce en mayores rentabilidades de la inversión. Este factor es el principal determinante de la rentabilidad</w:t>
      </w:r>
      <w:r w:rsidR="00947AA3">
        <w:t>;</w:t>
      </w:r>
    </w:p>
    <w:p w14:paraId="185E29E0" w14:textId="3624D631" w:rsidR="00947AA3" w:rsidRDefault="005625CE" w:rsidP="00116DC0">
      <w:pPr>
        <w:pStyle w:val="Nivel2SM"/>
      </w:pPr>
      <w:r>
        <w:rPr>
          <w:i/>
          <w:iCs/>
          <w:u w:val="single"/>
        </w:rPr>
        <w:t>P</w:t>
      </w:r>
      <w:r w:rsidR="00947AA3" w:rsidRPr="00947AA3">
        <w:rPr>
          <w:i/>
          <w:iCs/>
          <w:u w:val="single"/>
        </w:rPr>
        <w:t>referencia por la liquidez</w:t>
      </w:r>
      <w:r w:rsidR="00947AA3">
        <w:t>:</w:t>
      </w:r>
      <w:r w:rsidR="00947AA3" w:rsidRPr="002704A1">
        <w:t xml:space="preserve"> </w:t>
      </w:r>
      <w:r w:rsidR="00116DC0">
        <w:t>H</w:t>
      </w:r>
      <w:r w:rsidR="00947AA3" w:rsidRPr="002704A1">
        <w:t>ace referencia al hecho de que una inversión cuya ganancia se obtiene en un momento más distante en el futuro exige del inversor un grado de abstinencia adicional e impone un coste de oportunidad por no poder utilizar el capital invertido en otras inversiones potencialmente más rentables</w:t>
      </w:r>
      <w:r w:rsidR="00947AA3">
        <w:t>;</w:t>
      </w:r>
    </w:p>
    <w:p w14:paraId="1DEF39EC" w14:textId="2B603F44" w:rsidR="00947AA3" w:rsidRPr="0019408C" w:rsidRDefault="005625CE" w:rsidP="00116DC0">
      <w:pPr>
        <w:pStyle w:val="Nivel2SM"/>
        <w:rPr>
          <w:spacing w:val="-3"/>
        </w:rPr>
      </w:pPr>
      <w:r w:rsidRPr="0019408C">
        <w:rPr>
          <w:i/>
          <w:iCs/>
          <w:spacing w:val="-3"/>
          <w:u w:val="single"/>
        </w:rPr>
        <w:t>T</w:t>
      </w:r>
      <w:r w:rsidR="00947AA3" w:rsidRPr="0019408C">
        <w:rPr>
          <w:i/>
          <w:iCs/>
          <w:spacing w:val="-3"/>
          <w:u w:val="single"/>
        </w:rPr>
        <w:t>asa de inflación</w:t>
      </w:r>
      <w:r w:rsidR="00947AA3" w:rsidRPr="0019408C">
        <w:rPr>
          <w:spacing w:val="-3"/>
        </w:rPr>
        <w:t xml:space="preserve">: </w:t>
      </w:r>
      <w:r w:rsidR="00116DC0" w:rsidRPr="0019408C">
        <w:rPr>
          <w:spacing w:val="-3"/>
        </w:rPr>
        <w:t>R</w:t>
      </w:r>
      <w:r w:rsidR="00947AA3" w:rsidRPr="0019408C">
        <w:rPr>
          <w:spacing w:val="-3"/>
        </w:rPr>
        <w:t xml:space="preserve">educe el valor real de la ganancia cuando ésta toma forma de ganancia monetaria. Dado que afecta por igual a todas las inversiones cuya ganancia se obtiene en la misma moneda, no es generalmente </w:t>
      </w:r>
      <w:proofErr w:type="gramStart"/>
      <w:r w:rsidR="00947AA3" w:rsidRPr="0019408C">
        <w:rPr>
          <w:spacing w:val="-3"/>
        </w:rPr>
        <w:t>un factor a considerar</w:t>
      </w:r>
      <w:proofErr w:type="gramEnd"/>
      <w:r w:rsidR="00947AA3" w:rsidRPr="0019408C">
        <w:rPr>
          <w:spacing w:val="-3"/>
        </w:rPr>
        <w:t xml:space="preserve"> en la valoración de proyectos de inversión;</w:t>
      </w:r>
    </w:p>
    <w:p w14:paraId="1198B296" w14:textId="791FA10C" w:rsidR="00947AA3" w:rsidRDefault="005625CE" w:rsidP="00116DC0">
      <w:pPr>
        <w:pStyle w:val="Nivel2SM"/>
      </w:pPr>
      <w:r w:rsidRPr="005625CE">
        <w:rPr>
          <w:i/>
          <w:iCs/>
          <w:u w:val="single"/>
        </w:rPr>
        <w:t>I</w:t>
      </w:r>
      <w:r w:rsidR="00947AA3" w:rsidRPr="002704A1">
        <w:rPr>
          <w:i/>
          <w:iCs/>
          <w:u w:val="single"/>
        </w:rPr>
        <w:t>mpuestos que graven la rentabilidad o las ganancias</w:t>
      </w:r>
      <w:r w:rsidR="00947AA3">
        <w:t>; y</w:t>
      </w:r>
    </w:p>
    <w:p w14:paraId="160899DB" w14:textId="360E5EB7" w:rsidR="00947AA3" w:rsidRDefault="00947AA3" w:rsidP="00116DC0">
      <w:pPr>
        <w:pStyle w:val="Nivel2SM"/>
      </w:pPr>
      <w:r>
        <w:t xml:space="preserve">El </w:t>
      </w:r>
      <w:r w:rsidRPr="002704A1">
        <w:rPr>
          <w:i/>
          <w:iCs/>
          <w:u w:val="single"/>
        </w:rPr>
        <w:t>ruido estadístico</w:t>
      </w:r>
      <w:r>
        <w:t xml:space="preserve"> que generan en la práctica los </w:t>
      </w:r>
      <w:r w:rsidRPr="002704A1">
        <w:rPr>
          <w:i/>
          <w:iCs/>
        </w:rPr>
        <w:t>sesgos cognitivos</w:t>
      </w:r>
      <w:r>
        <w:t xml:space="preserve"> de los inversores y las </w:t>
      </w:r>
      <w:r w:rsidRPr="002704A1">
        <w:rPr>
          <w:i/>
          <w:iCs/>
        </w:rPr>
        <w:t>asimetrías de información</w:t>
      </w:r>
      <w:r>
        <w:t>.</w:t>
      </w:r>
    </w:p>
    <w:p w14:paraId="2EC3852F" w14:textId="28F69294" w:rsidR="00C67A7E" w:rsidRPr="003A361D" w:rsidRDefault="00C67A7E" w:rsidP="00C67A7E">
      <w:pPr>
        <w:pStyle w:val="Ttulo3"/>
      </w:pPr>
      <w:bookmarkStart w:id="8" w:name="_Toc172232821"/>
      <w:r w:rsidRPr="003A361D">
        <w:lastRenderedPageBreak/>
        <w:t>Rentabilidad económica</w:t>
      </w:r>
      <w:bookmarkEnd w:id="8"/>
    </w:p>
    <w:p w14:paraId="166204CB" w14:textId="010E9952" w:rsidR="003A361D" w:rsidRDefault="003A361D" w:rsidP="0071310A">
      <w:pPr>
        <w:pStyle w:val="Nivel1SM"/>
        <w:keepNext/>
        <w:spacing w:before="0" w:after="0"/>
      </w:pPr>
      <w:r w:rsidRPr="003A361D">
        <w:t xml:space="preserve">La </w:t>
      </w:r>
      <w:r w:rsidRPr="0036495E">
        <w:rPr>
          <w:i/>
          <w:iCs/>
        </w:rPr>
        <w:t>rentabilidad económica</w:t>
      </w:r>
      <w:r w:rsidRPr="003A361D">
        <w:t xml:space="preserve"> es la capacidad del activo para generar </w:t>
      </w:r>
      <w:r w:rsidRPr="0036495E">
        <w:rPr>
          <w:u w:val="single"/>
        </w:rPr>
        <w:t>ganancias económicas</w:t>
      </w:r>
      <w:r w:rsidRPr="003A361D">
        <w:t xml:space="preserve">. Es decir, generar mayores flujos de caja positivos que negativos que se trasladen en mayores ingresos que costes. En términos agregados, el concepto contable relevante es el </w:t>
      </w:r>
      <w:proofErr w:type="spellStart"/>
      <w:r w:rsidRPr="003A361D">
        <w:rPr>
          <w:i/>
          <w:iCs/>
        </w:rPr>
        <w:t>Return-On-Assets</w:t>
      </w:r>
      <w:proofErr w:type="spellEnd"/>
      <w:r w:rsidRPr="003A361D">
        <w:t xml:space="preserve"> (</w:t>
      </w:r>
      <w:r w:rsidRPr="003A361D">
        <w:rPr>
          <w:i/>
          <w:iCs/>
        </w:rPr>
        <w:t>ROA</w:t>
      </w:r>
      <w:r w:rsidRPr="003A361D">
        <w:t>)</w:t>
      </w:r>
      <w:r>
        <w:t>:</w:t>
      </w:r>
    </w:p>
    <w:p w14:paraId="72F1A95F" w14:textId="6BE8B750" w:rsidR="003A361D" w:rsidRPr="00126B5E" w:rsidRDefault="00116DC0" w:rsidP="005625CE">
      <w:pPr>
        <w:keepNext/>
        <w:spacing w:after="0"/>
        <w:rPr>
          <w:i/>
          <w:iCs/>
        </w:rPr>
      </w:pPr>
      <m:oMathPara>
        <m:oMath>
          <m:r>
            <m:rPr>
              <m:nor/>
            </m:rPr>
            <w:rPr>
              <w:rFonts w:ascii="Cambria Math"/>
            </w:rPr>
            <m:t xml:space="preserve"> </m:t>
          </m:r>
          <m:r>
            <m:rPr>
              <m:nor/>
            </m:rPr>
            <w:rPr>
              <w:i/>
              <w:iCs/>
            </w:rPr>
            <m:t>ROA</m:t>
          </m:r>
          <m:r>
            <w:rPr>
              <w:rFonts w:ascii="Cambria Math" w:hAnsi="Cambria Math"/>
            </w:rPr>
            <m:t>=</m:t>
          </m:r>
          <m:f>
            <m:fPr>
              <m:type m:val="lin"/>
              <m:ctrlPr>
                <w:rPr>
                  <w:rFonts w:ascii="Cambria Math" w:hAnsi="Cambria Math"/>
                  <w:i/>
                </w:rPr>
              </m:ctrlPr>
            </m:fPr>
            <m:num>
              <m:r>
                <m:rPr>
                  <m:nor/>
                </m:rPr>
                <w:rPr>
                  <w:i/>
                  <w:iCs/>
                </w:rPr>
                <m:t>EBIT</m:t>
              </m:r>
            </m:num>
            <m:den>
              <m:r>
                <m:rPr>
                  <m:nor/>
                </m:rPr>
                <w:rPr>
                  <w:i/>
                  <w:iCs/>
                </w:rPr>
                <m:t>Activos</m:t>
              </m:r>
            </m:den>
          </m:f>
          <m:r>
            <m:rPr>
              <m:sty m:val="p"/>
            </m:rPr>
            <w:br/>
          </m:r>
        </m:oMath>
      </m:oMathPara>
      <w:r w:rsidR="003A361D" w:rsidRPr="003A361D">
        <w:t xml:space="preserve">donde el </w:t>
      </w:r>
      <w:r w:rsidR="003A361D" w:rsidRPr="003A361D">
        <w:rPr>
          <w:i/>
          <w:iCs/>
        </w:rPr>
        <w:t>EBIT</w:t>
      </w:r>
      <w:r w:rsidR="003A361D" w:rsidRPr="003A361D">
        <w:t xml:space="preserve"> </w:t>
      </w:r>
      <w:r w:rsidR="003A361D" w:rsidRPr="003A361D">
        <w:rPr>
          <w:sz w:val="18"/>
          <w:szCs w:val="18"/>
        </w:rPr>
        <w:t>(</w:t>
      </w:r>
      <w:proofErr w:type="spellStart"/>
      <w:r w:rsidR="003A361D" w:rsidRPr="003A361D">
        <w:rPr>
          <w:i/>
          <w:iCs/>
          <w:sz w:val="18"/>
          <w:szCs w:val="18"/>
        </w:rPr>
        <w:t>Earnings</w:t>
      </w:r>
      <w:proofErr w:type="spellEnd"/>
      <w:r w:rsidR="003A361D" w:rsidRPr="003A361D">
        <w:rPr>
          <w:i/>
          <w:iCs/>
          <w:sz w:val="18"/>
          <w:szCs w:val="18"/>
        </w:rPr>
        <w:t xml:space="preserve"> </w:t>
      </w:r>
      <w:proofErr w:type="spellStart"/>
      <w:r w:rsidR="003A361D" w:rsidRPr="003A361D">
        <w:rPr>
          <w:i/>
          <w:iCs/>
          <w:sz w:val="18"/>
          <w:szCs w:val="18"/>
        </w:rPr>
        <w:t>Before</w:t>
      </w:r>
      <w:proofErr w:type="spellEnd"/>
      <w:r w:rsidR="003A361D" w:rsidRPr="003A361D">
        <w:rPr>
          <w:i/>
          <w:iCs/>
          <w:sz w:val="18"/>
          <w:szCs w:val="18"/>
        </w:rPr>
        <w:t xml:space="preserve"> </w:t>
      </w:r>
      <w:proofErr w:type="spellStart"/>
      <w:r w:rsidR="003A361D" w:rsidRPr="003A361D">
        <w:rPr>
          <w:i/>
          <w:iCs/>
          <w:sz w:val="18"/>
          <w:szCs w:val="18"/>
        </w:rPr>
        <w:t>Interests</w:t>
      </w:r>
      <w:proofErr w:type="spellEnd"/>
      <w:r w:rsidR="003A361D" w:rsidRPr="003A361D">
        <w:rPr>
          <w:i/>
          <w:iCs/>
          <w:sz w:val="18"/>
          <w:szCs w:val="18"/>
        </w:rPr>
        <w:t xml:space="preserve"> and </w:t>
      </w:r>
      <w:proofErr w:type="spellStart"/>
      <w:r w:rsidR="003A361D" w:rsidRPr="003A361D">
        <w:rPr>
          <w:i/>
          <w:iCs/>
          <w:sz w:val="18"/>
          <w:szCs w:val="18"/>
        </w:rPr>
        <w:t>Taxes</w:t>
      </w:r>
      <w:proofErr w:type="spellEnd"/>
      <w:r w:rsidR="003A361D" w:rsidRPr="003A361D">
        <w:rPr>
          <w:sz w:val="18"/>
          <w:szCs w:val="18"/>
        </w:rPr>
        <w:t>)</w:t>
      </w:r>
      <w:r w:rsidR="003A361D" w:rsidRPr="003A361D">
        <w:t xml:space="preserve"> es el beneficio operativ</w:t>
      </w:r>
      <w:r w:rsidR="00D34C9E">
        <w:t>o</w:t>
      </w:r>
      <w:r w:rsidR="003A361D" w:rsidRPr="003A361D">
        <w:t xml:space="preserve"> que genera la</w:t>
      </w:r>
      <w:r w:rsidR="003A361D">
        <w:t xml:space="preserve"> empresa por sus actividades.</w:t>
      </w:r>
    </w:p>
    <w:p w14:paraId="05863165" w14:textId="2801F98D" w:rsidR="00126B5E" w:rsidRDefault="00126B5E" w:rsidP="005625CE">
      <w:pPr>
        <w:pStyle w:val="Nivel2SM"/>
        <w:keepNext/>
        <w:spacing w:after="0"/>
      </w:pPr>
      <w:r>
        <w:t xml:space="preserve">De este modo, existen </w:t>
      </w:r>
      <w:r w:rsidR="00515C53">
        <w:t>2 </w:t>
      </w:r>
      <w:r>
        <w:t xml:space="preserve">maneras de </w:t>
      </w:r>
      <w:r w:rsidR="00EE4B01">
        <w:t>aumentar la rentabilidad económica:</w:t>
      </w:r>
    </w:p>
    <w:p w14:paraId="254582D0" w14:textId="4AF4D038" w:rsidR="00EE4B01" w:rsidRDefault="00EE4B01" w:rsidP="005625CE">
      <w:pPr>
        <w:pStyle w:val="Nivel3SM"/>
      </w:pPr>
      <w:r>
        <w:t>Aumentar el margen operativo (i.e. beneficio por venta).</w:t>
      </w:r>
    </w:p>
    <w:p w14:paraId="35D9C599" w14:textId="0408EAE5" w:rsidR="00EE4B01" w:rsidRDefault="00EE4B01" w:rsidP="005625CE">
      <w:pPr>
        <w:pStyle w:val="Nivel3SM"/>
      </w:pPr>
      <w:r>
        <w:t>Aumentar la rotación (i.e. ventas por unidad del activo empleado).</w:t>
      </w:r>
    </w:p>
    <w:p w14:paraId="482E6B6E" w14:textId="77777777" w:rsidR="0036495E" w:rsidRDefault="00EE4B01" w:rsidP="00515C53">
      <w:pPr>
        <w:pStyle w:val="Nivel2SM"/>
        <w:keepNext/>
        <w:spacing w:after="0"/>
      </w:pPr>
      <w:r>
        <w:t>Este indicador es de gran utilidad, pues permite de manera sencilla medir la generación de rentabilidad que se obtiene invirtiendo.</w:t>
      </w:r>
    </w:p>
    <w:p w14:paraId="1E7D26F6" w14:textId="1FB29665" w:rsidR="005625CE" w:rsidRDefault="00EE4B01" w:rsidP="00515C53">
      <w:pPr>
        <w:pStyle w:val="Nivel3SM"/>
      </w:pPr>
      <w:r>
        <w:t xml:space="preserve">Sin </w:t>
      </w:r>
      <w:r w:rsidRPr="005625CE">
        <w:t>embargo</w:t>
      </w:r>
      <w:r>
        <w:t xml:space="preserve">, el ROA es un indicador que se suele </w:t>
      </w:r>
      <w:r w:rsidR="00515C53">
        <w:t>calcula</w:t>
      </w:r>
      <w:r>
        <w:t>r a nivel agregado de la actividad de la empresa y no a nivel individual para la valoración de proyectos (lo cual es el objetivo de esta exposición).</w:t>
      </w:r>
    </w:p>
    <w:p w14:paraId="4F7EAE2A" w14:textId="34C94CB8" w:rsidR="0036495E" w:rsidRPr="005625CE" w:rsidRDefault="0036495E" w:rsidP="00CF7CA4">
      <w:pPr>
        <w:pStyle w:val="Nivel3SM"/>
      </w:pPr>
      <w:r>
        <w:t>Además, el ROA es un concepto contable y no un concepto financiero, por lo que</w:t>
      </w:r>
      <w:r w:rsidR="00CF7CA4">
        <w:t xml:space="preserve"> e</w:t>
      </w:r>
      <w:r>
        <w:t xml:space="preserve">s sensible a </w:t>
      </w:r>
      <w:r w:rsidRPr="005625CE">
        <w:t>convenciones contables (p.ej. a la decisión de cómo amortizar).</w:t>
      </w:r>
    </w:p>
    <w:p w14:paraId="21DA503A" w14:textId="7D948E99" w:rsidR="0036495E" w:rsidRPr="003A361D" w:rsidRDefault="0036495E" w:rsidP="00CF7CA4">
      <w:pPr>
        <w:pStyle w:val="Nivel3SM"/>
      </w:pPr>
      <w:r w:rsidRPr="005625CE">
        <w:t>No nos ofrece un</w:t>
      </w:r>
      <w:r>
        <w:t xml:space="preserve"> indicador de la generación de valor para los accionistas (para ello habría que incluir el coste de capital en el análisis).</w:t>
      </w:r>
    </w:p>
    <w:p w14:paraId="1DD932FE" w14:textId="77777777" w:rsidR="00C67A7E" w:rsidRPr="005C16F1" w:rsidRDefault="00C67A7E" w:rsidP="00C67A7E">
      <w:pPr>
        <w:pStyle w:val="Ttulo3"/>
      </w:pPr>
      <w:bookmarkStart w:id="9" w:name="_Toc172232822"/>
      <w:r w:rsidRPr="005C16F1">
        <w:t>Rentabilidad financiera</w:t>
      </w:r>
      <w:bookmarkEnd w:id="9"/>
    </w:p>
    <w:p w14:paraId="0355B990" w14:textId="523D31E8" w:rsidR="0036495E" w:rsidRDefault="0036495E" w:rsidP="0071310A">
      <w:pPr>
        <w:pStyle w:val="Nivel1SM"/>
        <w:keepNext/>
        <w:spacing w:before="0" w:after="0"/>
      </w:pPr>
      <w:r w:rsidRPr="0036495E">
        <w:t xml:space="preserve">La </w:t>
      </w:r>
      <w:r w:rsidRPr="0036495E">
        <w:rPr>
          <w:i/>
          <w:iCs/>
        </w:rPr>
        <w:t>rentabilidad financiera</w:t>
      </w:r>
      <w:r w:rsidRPr="0036495E">
        <w:t>, por s</w:t>
      </w:r>
      <w:r>
        <w:t xml:space="preserve">u parte, es la capacidad de la empresa para generar </w:t>
      </w:r>
      <w:r w:rsidRPr="0036495E">
        <w:rPr>
          <w:u w:val="single"/>
        </w:rPr>
        <w:t>beneficios netos</w:t>
      </w:r>
      <w:r>
        <w:t xml:space="preserve"> (i.e. beneficios corregidos por el pago de</w:t>
      </w:r>
      <w:r w:rsidR="00515C53">
        <w:t xml:space="preserve"> </w:t>
      </w:r>
      <w:r>
        <w:t>los recursos de la deuda). Por ello, es un indicador de rentabilidad propio (rentabilidad para accionistas).</w:t>
      </w:r>
    </w:p>
    <w:p w14:paraId="4D8CD490" w14:textId="2FEACAB1" w:rsidR="00C67A7E" w:rsidRDefault="005625CE" w:rsidP="005625CE">
      <w:pPr>
        <w:spacing w:after="0"/>
      </w:pPr>
      <m:oMathPara>
        <m:oMath>
          <m:r>
            <w:rPr>
              <w:rFonts w:ascii="Cambria Math" w:eastAsiaTheme="minorEastAsia" w:hAnsi="Cambria Math"/>
            </w:rPr>
            <m:t xml:space="preserve"> </m:t>
          </m:r>
          <m:r>
            <m:rPr>
              <m:nor/>
            </m:rPr>
            <w:rPr>
              <w:i/>
              <w:iCs/>
            </w:rPr>
            <m:t>ROE</m:t>
          </m:r>
          <m:r>
            <w:rPr>
              <w:rFonts w:ascii="Cambria Math" w:hAnsi="Cambria Math"/>
            </w:rPr>
            <m:t>=</m:t>
          </m:r>
          <m:f>
            <m:fPr>
              <m:type m:val="lin"/>
              <m:ctrlPr>
                <w:rPr>
                  <w:rFonts w:ascii="Cambria Math" w:hAnsi="Cambria Math"/>
                  <w:i/>
                </w:rPr>
              </m:ctrlPr>
            </m:fPr>
            <m:num>
              <m:r>
                <m:rPr>
                  <m:nor/>
                </m:rPr>
                <w:rPr>
                  <w:i/>
                  <w:iCs/>
                </w:rPr>
                <m:t>Beneficio neto</m:t>
              </m:r>
            </m:num>
            <m:den>
              <m:r>
                <m:rPr>
                  <m:nor/>
                </m:rPr>
                <w:rPr>
                  <w:i/>
                  <w:iCs/>
                </w:rPr>
                <m:t>Patrimonio Neto</m:t>
              </m:r>
            </m:den>
          </m:f>
        </m:oMath>
      </m:oMathPara>
    </w:p>
    <w:p w14:paraId="23EF4810" w14:textId="1E25D2AF" w:rsidR="00D34C9E" w:rsidRDefault="00D34C9E" w:rsidP="00515C53">
      <w:pPr>
        <w:keepNext/>
        <w:spacing w:after="0"/>
      </w:pPr>
      <w:r>
        <w:t>A diferencia del ROA, se tiene en cuenta el pago de intereses y se parte del beneficio neto. El ROE mide la eficiencia con la que se emplea el capital aportado por los accionistas, comparando el beneficio neto con el capital aportado.</w:t>
      </w:r>
    </w:p>
    <w:p w14:paraId="76488C44" w14:textId="4B2B6FE8" w:rsidR="00F65A6F" w:rsidRDefault="00F65A6F" w:rsidP="00515C53">
      <w:pPr>
        <w:pStyle w:val="Nivel2SM"/>
        <w:keepNext/>
        <w:spacing w:after="0"/>
      </w:pPr>
      <w:r>
        <w:t>Este indicador también es de gran utilidad, pues permite de manera sencilla medir la generación de rentabilidad financiera.</w:t>
      </w:r>
    </w:p>
    <w:p w14:paraId="45595F62" w14:textId="5AB0F296" w:rsidR="005625CE" w:rsidRDefault="00F65A6F" w:rsidP="00515C53">
      <w:pPr>
        <w:pStyle w:val="Nivel3SM"/>
      </w:pPr>
      <w:r>
        <w:t xml:space="preserve">Sin </w:t>
      </w:r>
      <w:r w:rsidRPr="005625CE">
        <w:t>embargo</w:t>
      </w:r>
      <w:r>
        <w:t xml:space="preserve">, el ROE es un indicador que se suele </w:t>
      </w:r>
      <w:r w:rsidR="00515C53">
        <w:t>calcular</w:t>
      </w:r>
      <w:r>
        <w:t xml:space="preserve"> a nivel agregado de la actividad de la empresa y no a nivel individual para la valoración de proyectos (lo cual es el objetivo de esta exposición).</w:t>
      </w:r>
    </w:p>
    <w:p w14:paraId="430E747C" w14:textId="74BB0708" w:rsidR="00F65A6F" w:rsidRDefault="00F65A6F" w:rsidP="00CF7CA4">
      <w:pPr>
        <w:pStyle w:val="Nivel3SM"/>
      </w:pPr>
      <w:r>
        <w:t>Además, el ROE es un concepto contable y no un concepto financiero, por lo que</w:t>
      </w:r>
      <w:r w:rsidR="00CF7CA4">
        <w:t xml:space="preserve"> </w:t>
      </w:r>
      <w:r w:rsidR="00CF7CA4" w:rsidRPr="00CF7CA4">
        <w:t>e</w:t>
      </w:r>
      <w:r w:rsidRPr="00CF7CA4">
        <w:t>s</w:t>
      </w:r>
      <w:r>
        <w:t xml:space="preserve"> sensible a convenciones contables (p.ej. se puede falsear aumentando el nivel de deuda, lo que podría causar un aumento del ROE, aunque realmente el aumento de la rentabilidad </w:t>
      </w:r>
      <w:r w:rsidRPr="005625CE">
        <w:t>vendría</w:t>
      </w:r>
      <w:r>
        <w:t xml:space="preserve"> dado por un aumento del riesgo no reflejado en los datos contables).</w:t>
      </w:r>
    </w:p>
    <w:p w14:paraId="1C13913E" w14:textId="77777777" w:rsidR="00B96E6E" w:rsidRDefault="00B96E6E" w:rsidP="00B96E6E">
      <w:pPr>
        <w:pStyle w:val="Nivel1SM"/>
        <w:keepNext/>
        <w:spacing w:after="0"/>
      </w:pPr>
      <w:r>
        <w:t>¿Cómo podemos medir la rentabilidad desde una perspectiva financiera?</w:t>
      </w:r>
    </w:p>
    <w:p w14:paraId="780ABFEA" w14:textId="77777777" w:rsidR="00B96E6E" w:rsidRDefault="00B96E6E" w:rsidP="00B96E6E">
      <w:pPr>
        <w:pStyle w:val="Nivel2SM"/>
      </w:pPr>
      <w:r>
        <w:t>En esta exposición, para valorar un proyecto no hablaremos de su ROA o de su ROE, sino del valor que crea para los accionistas.</w:t>
      </w:r>
    </w:p>
    <w:p w14:paraId="1A879C70" w14:textId="44F4091B" w:rsidR="00B96E6E" w:rsidRDefault="00B96E6E" w:rsidP="00B96E6E">
      <w:pPr>
        <w:pStyle w:val="Nivel2SM"/>
      </w:pPr>
      <w:r>
        <w:t>En concreto, para medir el valor debemos comparar la capacidad de una inversión de generar flujos de caja positivos que se trasladen a beneficios con el coste de capital.</w:t>
      </w:r>
    </w:p>
    <w:p w14:paraId="5C5CB896" w14:textId="3EAD544B" w:rsidR="00B96E6E" w:rsidRPr="0019408C" w:rsidRDefault="00B96E6E" w:rsidP="00B96E6E">
      <w:pPr>
        <w:pStyle w:val="Nivel2SM"/>
        <w:rPr>
          <w:spacing w:val="-5"/>
        </w:rPr>
      </w:pPr>
      <w:r w:rsidRPr="0019408C">
        <w:rPr>
          <w:spacing w:val="-5"/>
        </w:rPr>
        <w:t>Ello es precisamente lo que hacen los indicadores que veremos en la segunda parte de la exposición.</w:t>
      </w:r>
    </w:p>
    <w:p w14:paraId="36570730" w14:textId="46ACBCC8" w:rsidR="004F23BD" w:rsidRDefault="004F23BD" w:rsidP="004F23BD">
      <w:pPr>
        <w:pStyle w:val="Ttulo2"/>
      </w:pPr>
      <w:bookmarkStart w:id="10" w:name="_Toc172232823"/>
      <w:r>
        <w:lastRenderedPageBreak/>
        <w:t>Riesgo</w:t>
      </w:r>
      <w:bookmarkEnd w:id="10"/>
    </w:p>
    <w:p w14:paraId="21A01F34" w14:textId="73A143A3" w:rsidR="00E37A0C" w:rsidRDefault="007578B0" w:rsidP="0071310A">
      <w:pPr>
        <w:pStyle w:val="Nivel1SM"/>
        <w:keepNext/>
        <w:keepLines/>
        <w:spacing w:before="0" w:after="0"/>
      </w:pPr>
      <w:r>
        <w:t xml:space="preserve">Dado que el </w:t>
      </w:r>
      <w:r w:rsidRPr="00FE71AA">
        <w:rPr>
          <w:b/>
          <w:bCs/>
        </w:rPr>
        <w:t>riesgo</w:t>
      </w:r>
      <w:r>
        <w:t xml:space="preserve"> es el principal determinante de la rentabilidad, cabe examinarlo con más detalle. Como se ha dicho anteriormente, las ganancias a percibir en el futuro son raramente conocidas con certeza. En la práctica, las ganancias percibidas son realizaciones de </w:t>
      </w:r>
      <w:r w:rsidRPr="00017F40">
        <w:rPr>
          <w:i/>
          <w:iCs/>
        </w:rPr>
        <w:t>distribuciones de probabilidad</w:t>
      </w:r>
      <w:r w:rsidR="000F5CD1" w:rsidRPr="00BC0CA1">
        <w:rPr>
          <w:rStyle w:val="Refdenotaalpie"/>
        </w:rPr>
        <w:footnoteReference w:id="5"/>
      </w:r>
      <w:r>
        <w:t>, cuya forma concreta afecta a la preferencia de los inversores por unas inversiones u otras</w:t>
      </w:r>
      <w:r w:rsidR="00E37A0C">
        <w:t>. De esta manera cuentan con:</w:t>
      </w:r>
    </w:p>
    <w:p w14:paraId="3F59D117" w14:textId="038DD3E2" w:rsidR="00E37A0C" w:rsidRDefault="00E37A0C" w:rsidP="005625CE">
      <w:pPr>
        <w:pStyle w:val="Nivel2SM"/>
      </w:pPr>
      <w:r>
        <w:t xml:space="preserve">Una </w:t>
      </w:r>
      <w:r w:rsidRPr="00397CC0">
        <w:rPr>
          <w:i/>
          <w:iCs/>
        </w:rPr>
        <w:t>esperanza matemática</w:t>
      </w:r>
      <w:r w:rsidR="00397CC0" w:rsidRPr="00397CC0">
        <w:t>:</w:t>
      </w:r>
      <w:r w:rsidR="00397CC0">
        <w:t xml:space="preserve"> </w:t>
      </w:r>
      <w:r w:rsidR="00443A9B">
        <w:t>E</w:t>
      </w:r>
      <w:r w:rsidR="00397CC0">
        <w:t>s una medida de la rentabilidad esperada de una inversión.</w:t>
      </w:r>
    </w:p>
    <w:p w14:paraId="6BD33246" w14:textId="500E9EF0" w:rsidR="007578B0" w:rsidRPr="00CD7736" w:rsidRDefault="00397CC0" w:rsidP="005625CE">
      <w:pPr>
        <w:pStyle w:val="Nivel2SM"/>
        <w:keepNext/>
        <w:spacing w:after="0"/>
        <w:rPr>
          <w:spacing w:val="-2"/>
        </w:rPr>
      </w:pPr>
      <w:r w:rsidRPr="00CD7736">
        <w:rPr>
          <w:spacing w:val="-2"/>
        </w:rPr>
        <w:t>Una</w:t>
      </w:r>
      <w:r w:rsidR="007578B0" w:rsidRPr="00CD7736">
        <w:rPr>
          <w:spacing w:val="-2"/>
        </w:rPr>
        <w:t xml:space="preserve"> </w:t>
      </w:r>
      <w:r w:rsidR="007578B0" w:rsidRPr="00CD7736">
        <w:rPr>
          <w:i/>
          <w:iCs/>
          <w:spacing w:val="-2"/>
        </w:rPr>
        <w:t>varianza</w:t>
      </w:r>
      <w:r w:rsidR="00E37A0C" w:rsidRPr="00CD7736">
        <w:rPr>
          <w:spacing w:val="-2"/>
        </w:rPr>
        <w:t xml:space="preserve"> (</w:t>
      </w:r>
      <m:oMath>
        <m:sSup>
          <m:sSupPr>
            <m:ctrlPr>
              <w:rPr>
                <w:rFonts w:ascii="Cambria Math" w:hAnsi="Cambria Math"/>
                <w:i/>
                <w:spacing w:val="-2"/>
              </w:rPr>
            </m:ctrlPr>
          </m:sSupPr>
          <m:e>
            <m:r>
              <m:rPr>
                <m:nor/>
              </m:rPr>
              <w:rPr>
                <w:i/>
                <w:spacing w:val="-2"/>
              </w:rPr>
              <m:t>σ</m:t>
            </m:r>
          </m:e>
          <m:sup>
            <m:r>
              <m:rPr>
                <m:nor/>
              </m:rPr>
              <w:rPr>
                <w:i/>
                <w:spacing w:val="-2"/>
              </w:rPr>
              <m:t>2</m:t>
            </m:r>
          </m:sup>
        </m:sSup>
      </m:oMath>
      <w:r w:rsidR="00E37A0C" w:rsidRPr="00CD7736">
        <w:rPr>
          <w:spacing w:val="-2"/>
        </w:rPr>
        <w:t>)</w:t>
      </w:r>
      <w:r w:rsidRPr="00CD7736">
        <w:rPr>
          <w:spacing w:val="-2"/>
        </w:rPr>
        <w:t>:</w:t>
      </w:r>
      <w:r w:rsidR="007578B0" w:rsidRPr="00CD7736">
        <w:rPr>
          <w:spacing w:val="-2"/>
        </w:rPr>
        <w:t xml:space="preserve"> </w:t>
      </w:r>
      <w:r w:rsidR="00443A9B" w:rsidRPr="00CD7736">
        <w:rPr>
          <w:spacing w:val="-2"/>
        </w:rPr>
        <w:t>E</w:t>
      </w:r>
      <w:r w:rsidR="007578B0" w:rsidRPr="00CD7736">
        <w:rPr>
          <w:spacing w:val="-2"/>
        </w:rPr>
        <w:t>s una medida de la dispersión de las ganancias en las diferentes realizaciones posibles. Se calcula como la suma de las desviaciones respecto de la media al cuadrado:</w:t>
      </w:r>
    </w:p>
    <w:p w14:paraId="5A1CD997" w14:textId="5130A602" w:rsidR="007578B0" w:rsidRPr="00E37A0C" w:rsidRDefault="00000000" w:rsidP="0071310A">
      <w:pPr>
        <w:pStyle w:val="Nivel1"/>
        <w:keepNext/>
        <w:numPr>
          <w:ilvl w:val="0"/>
          <w:numId w:val="0"/>
        </w:numPr>
        <w:spacing w:before="0" w:after="0"/>
        <w:ind w:left="624"/>
        <w:rPr>
          <w:rFonts w:eastAsiaTheme="minorEastAsia"/>
          <w:i/>
        </w:rPr>
      </w:pPr>
      <m:oMathPara>
        <m:oMath>
          <m:sSup>
            <m:sSupPr>
              <m:ctrlPr>
                <w:rPr>
                  <w:rFonts w:ascii="Cambria Math" w:hAnsi="Cambria Math"/>
                  <w:i/>
                </w:rPr>
              </m:ctrlPr>
            </m:sSupPr>
            <m:e>
              <m:r>
                <m:rPr>
                  <m:nor/>
                </m:rPr>
                <w:rPr>
                  <w:i/>
                </w:rPr>
                <m:t>σ</m:t>
              </m:r>
            </m:e>
            <m:sup>
              <m:r>
                <m:rPr>
                  <m:nor/>
                </m:rPr>
                <w:rPr>
                  <w:i/>
                </w:rPr>
                <m:t>2</m:t>
              </m:r>
            </m:sup>
          </m:sSup>
          <m:r>
            <w:rPr>
              <w:rFonts w:ascii="Cambria Math" w:hAnsi="Cambria Math"/>
            </w:rPr>
            <m:t>=</m:t>
          </m:r>
          <m:nary>
            <m:naryPr>
              <m:chr m:val="∑"/>
              <m:limLoc m:val="undOvr"/>
              <m:ctrlPr>
                <w:rPr>
                  <w:rFonts w:ascii="Cambria Math" w:hAnsi="Cambria Math"/>
                  <w:i/>
                </w:rPr>
              </m:ctrlPr>
            </m:naryPr>
            <m:sub>
              <m:r>
                <m:rPr>
                  <m:nor/>
                </m:rPr>
                <w:rPr>
                  <w:i/>
                </w:rPr>
                <m:t>i</m:t>
              </m:r>
              <m:r>
                <w:rPr>
                  <w:rFonts w:ascii="Cambria Math" w:hAnsi="Cambria Math"/>
                </w:rPr>
                <m:t>=</m:t>
              </m:r>
              <m:r>
                <m:rPr>
                  <m:nor/>
                </m:rPr>
                <w:rPr>
                  <w:i/>
                </w:rPr>
                <m:t>1</m:t>
              </m:r>
            </m:sub>
            <m:sup>
              <m:r>
                <m:rPr>
                  <m:nor/>
                </m:rPr>
                <w:rPr>
                  <w:i/>
                </w:rPr>
                <m:t>N</m:t>
              </m:r>
            </m:sup>
            <m:e>
              <m:sSub>
                <m:sSubPr>
                  <m:ctrlPr>
                    <w:rPr>
                      <w:rFonts w:ascii="Cambria Math" w:hAnsi="Cambria Math"/>
                      <w:i/>
                    </w:rPr>
                  </m:ctrlPr>
                </m:sSubPr>
                <m:e>
                  <m:r>
                    <m:rPr>
                      <m:nor/>
                    </m:rPr>
                    <w:rPr>
                      <w:i/>
                    </w:rPr>
                    <m:t>p</m:t>
                  </m:r>
                </m:e>
                <m:sub>
                  <m:r>
                    <m:rPr>
                      <m:nor/>
                    </m:rPr>
                    <w:rPr>
                      <w:i/>
                    </w:rPr>
                    <m:t>i</m:t>
                  </m:r>
                </m:sub>
              </m:sSub>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nor/>
                            </m:rPr>
                            <w:rPr>
                              <w:i/>
                            </w:rPr>
                            <m:t>r</m:t>
                          </m:r>
                        </m:e>
                        <m:sub>
                          <m:r>
                            <m:rPr>
                              <m:nor/>
                            </m:rPr>
                            <w:rPr>
                              <w:i/>
                            </w:rPr>
                            <m:t>i</m:t>
                          </m:r>
                        </m:sub>
                      </m:sSub>
                      <m:r>
                        <w:rPr>
                          <w:rFonts w:ascii="Cambria Math" w:hAnsi="Cambria Math"/>
                        </w:rPr>
                        <m:t>-</m:t>
                      </m:r>
                      <m:acc>
                        <m:accPr>
                          <m:chr m:val="̅"/>
                          <m:ctrlPr>
                            <w:rPr>
                              <w:rFonts w:ascii="Cambria Math" w:hAnsi="Cambria Math"/>
                              <w:i/>
                            </w:rPr>
                          </m:ctrlPr>
                        </m:accPr>
                        <m:e>
                          <m:r>
                            <m:rPr>
                              <m:nor/>
                            </m:rPr>
                            <w:rPr>
                              <w:i/>
                            </w:rPr>
                            <m:t>r</m:t>
                          </m:r>
                        </m:e>
                      </m:acc>
                    </m:e>
                  </m:d>
                </m:e>
                <m:sup>
                  <m:r>
                    <m:rPr>
                      <m:nor/>
                    </m:rPr>
                    <w:rPr>
                      <w:i/>
                    </w:rPr>
                    <m:t>2</m:t>
                  </m:r>
                </m:sup>
              </m:sSup>
            </m:e>
          </m:nary>
        </m:oMath>
      </m:oMathPara>
    </w:p>
    <w:p w14:paraId="4A9413AA" w14:textId="67B319DC" w:rsidR="00E37A0C" w:rsidRDefault="00397CC0" w:rsidP="00BC2041">
      <w:pPr>
        <w:pStyle w:val="Nivel3SM"/>
      </w:pPr>
      <w:r>
        <w:t>Estas medidas</w:t>
      </w:r>
      <w:r w:rsidR="00E37A0C">
        <w:t xml:space="preserve"> forman la base del análisis de la rentabilidad de las inversiones desde un punto de vista financiero.</w:t>
      </w:r>
    </w:p>
    <w:p w14:paraId="7908C62F" w14:textId="0067FCD6" w:rsidR="00397CC0" w:rsidRDefault="00397CC0" w:rsidP="005625CE">
      <w:pPr>
        <w:pStyle w:val="Nivel1SM"/>
        <w:keepNext/>
        <w:spacing w:after="0"/>
      </w:pPr>
      <w:r>
        <w:t xml:space="preserve">Si el riesgo puede entenderse de forma abstracta como la posibilidad de obtener diferentes ganancias a partir de una misma inversión, en la práctica existen muy variadas </w:t>
      </w:r>
      <w:r w:rsidRPr="0035278A">
        <w:rPr>
          <w:b/>
          <w:bCs/>
        </w:rPr>
        <w:t>causas</w:t>
      </w:r>
      <w:r>
        <w:t xml:space="preserve"> de esta incertidumbre:</w:t>
      </w:r>
    </w:p>
    <w:p w14:paraId="4264C8AF" w14:textId="3DEF089F" w:rsidR="00397CC0" w:rsidRDefault="00397CC0" w:rsidP="005625CE">
      <w:pPr>
        <w:pStyle w:val="Nivel2SM"/>
      </w:pPr>
      <w:r>
        <w:t xml:space="preserve">El </w:t>
      </w:r>
      <w:r w:rsidRPr="00397CC0">
        <w:rPr>
          <w:i/>
          <w:iCs/>
          <w:u w:val="single"/>
        </w:rPr>
        <w:t>riesgo industrial</w:t>
      </w:r>
      <w:r>
        <w:t xml:space="preserve"> es una categoría muy amplia que agrupa todos aquellos riesgos relacionados con el ciclo operativo de la empresa que lleva a cabo una inversión.</w:t>
      </w:r>
    </w:p>
    <w:p w14:paraId="56BEAB62" w14:textId="77777777" w:rsidR="00397CC0" w:rsidRDefault="00397CC0" w:rsidP="005625CE">
      <w:pPr>
        <w:pStyle w:val="Nivel2SM"/>
      </w:pPr>
      <w:r>
        <w:t xml:space="preserve">El </w:t>
      </w:r>
      <w:r w:rsidRPr="00397CC0">
        <w:rPr>
          <w:i/>
          <w:iCs/>
          <w:u w:val="single"/>
        </w:rPr>
        <w:t>riesgo de liquidez</w:t>
      </w:r>
      <w:r>
        <w:t xml:space="preserve"> concierne la posibilidad de que el inversor no pueda liquidar su inversión de forma satisfactoria antes de lo esperado inicialmente.</w:t>
      </w:r>
    </w:p>
    <w:p w14:paraId="43743610" w14:textId="77777777" w:rsidR="00397CC0" w:rsidRDefault="00397CC0" w:rsidP="005625CE">
      <w:pPr>
        <w:pStyle w:val="Nivel2SM"/>
      </w:pPr>
      <w:r>
        <w:t xml:space="preserve">El </w:t>
      </w:r>
      <w:r w:rsidRPr="00397CC0">
        <w:rPr>
          <w:i/>
          <w:iCs/>
          <w:u w:val="single"/>
        </w:rPr>
        <w:t>riesgo de tipo de cambio</w:t>
      </w:r>
      <w:r>
        <w:t xml:space="preserve"> surge de la volatilidad de las ganancias cuando </w:t>
      </w:r>
      <w:proofErr w:type="spellStart"/>
      <w:r>
        <w:t>ﬂuctúa</w:t>
      </w:r>
      <w:proofErr w:type="spellEnd"/>
      <w:r>
        <w:t xml:space="preserve"> el precio de las divisas.</w:t>
      </w:r>
    </w:p>
    <w:p w14:paraId="7770BF12" w14:textId="00B539BA" w:rsidR="00397CC0" w:rsidRDefault="00397CC0" w:rsidP="005625CE">
      <w:pPr>
        <w:pStyle w:val="Nivel2SM"/>
      </w:pPr>
      <w:r>
        <w:t xml:space="preserve">El </w:t>
      </w:r>
      <w:r w:rsidRPr="00397CC0">
        <w:rPr>
          <w:i/>
          <w:iCs/>
          <w:u w:val="single"/>
        </w:rPr>
        <w:t>riesgo de interés</w:t>
      </w:r>
      <w:r>
        <w:t xml:space="preserve"> hace referencia a los cambios en la rentabilidad predominante para inversiones similares que pueden variar el atractivo de una inversión ya comprometida en términos relativos.</w:t>
      </w:r>
    </w:p>
    <w:p w14:paraId="7AAE6A96" w14:textId="7CDE5E8C" w:rsidR="00397CC0" w:rsidRDefault="00397CC0" w:rsidP="005625CE">
      <w:pPr>
        <w:pStyle w:val="Nivel2SM"/>
      </w:pPr>
      <w:r>
        <w:t xml:space="preserve">El </w:t>
      </w:r>
      <w:r w:rsidRPr="00397CC0">
        <w:rPr>
          <w:i/>
          <w:iCs/>
          <w:u w:val="single"/>
        </w:rPr>
        <w:t>riesgo de solvencia</w:t>
      </w:r>
      <w:r>
        <w:t xml:space="preserve"> se re</w:t>
      </w:r>
      <w:r w:rsidR="004D3399">
        <w:t>fi</w:t>
      </w:r>
      <w:r>
        <w:t>ere a la posibilidad de que alguna de las partes implicadas en la generación de la ganancia no pueda honrar sus compromisos y ello reduzca el bene</w:t>
      </w:r>
      <w:r w:rsidR="004D3399">
        <w:t>fi</w:t>
      </w:r>
      <w:r>
        <w:t>cio.</w:t>
      </w:r>
    </w:p>
    <w:p w14:paraId="79DE2913" w14:textId="133BAB31" w:rsidR="000F4E6D" w:rsidRDefault="000F4E6D" w:rsidP="005625CE">
      <w:pPr>
        <w:pStyle w:val="Nivel2SM"/>
      </w:pPr>
      <w:r>
        <w:t xml:space="preserve">El </w:t>
      </w:r>
      <w:r>
        <w:rPr>
          <w:i/>
          <w:iCs/>
          <w:u w:val="single"/>
        </w:rPr>
        <w:t>riesgo de inflación inesperada</w:t>
      </w:r>
      <w:r>
        <w:t>, que erosiona la rentabilidad real del proyecto.</w:t>
      </w:r>
    </w:p>
    <w:p w14:paraId="4982A4E1" w14:textId="6BA4AA15" w:rsidR="00397CC0" w:rsidRDefault="00397CC0" w:rsidP="005625CE">
      <w:pPr>
        <w:pStyle w:val="Nivel2SM"/>
      </w:pPr>
      <w:r>
        <w:t xml:space="preserve">Otros riesgos tales como los </w:t>
      </w:r>
      <w:r w:rsidRPr="00397CC0">
        <w:rPr>
          <w:i/>
          <w:iCs/>
          <w:u w:val="single"/>
        </w:rPr>
        <w:t>riesgos sistémicos</w:t>
      </w:r>
      <w:r>
        <w:t xml:space="preserve">, el </w:t>
      </w:r>
      <w:r w:rsidRPr="00397CC0">
        <w:rPr>
          <w:i/>
          <w:iCs/>
          <w:u w:val="single"/>
        </w:rPr>
        <w:t>riesgo político</w:t>
      </w:r>
      <w:r>
        <w:t xml:space="preserve"> o los </w:t>
      </w:r>
      <w:r w:rsidRPr="00397CC0">
        <w:rPr>
          <w:i/>
          <w:iCs/>
          <w:u w:val="single"/>
        </w:rPr>
        <w:t>riesgos de catástrofes naturales</w:t>
      </w:r>
      <w:r>
        <w:t xml:space="preserve"> </w:t>
      </w:r>
      <w:r w:rsidR="00C64266">
        <w:t xml:space="preserve">(COVID-19) </w:t>
      </w:r>
      <w:r>
        <w:t>son también muy relevantes a la hora de valorar la posible dispersión de las ganancias a obtener.</w:t>
      </w:r>
    </w:p>
    <w:p w14:paraId="54813460" w14:textId="4C4339BD" w:rsidR="00F244EF" w:rsidRDefault="00F244EF" w:rsidP="005625CE">
      <w:pPr>
        <w:pStyle w:val="Nivel1SM"/>
        <w:keepNext/>
        <w:spacing w:after="0"/>
      </w:pPr>
      <w:r>
        <w:t xml:space="preserve">Además podemos distinguir </w:t>
      </w:r>
      <w:r w:rsidRPr="005625CE">
        <w:rPr>
          <w:b/>
          <w:bCs/>
        </w:rPr>
        <w:t>riesgo sistemático</w:t>
      </w:r>
      <w:r>
        <w:t xml:space="preserve"> y </w:t>
      </w:r>
      <w:r w:rsidRPr="005625CE">
        <w:rPr>
          <w:b/>
          <w:bCs/>
        </w:rPr>
        <w:t>riesgo específico</w:t>
      </w:r>
      <w:r w:rsidR="00443A9B" w:rsidRPr="00443A9B">
        <w:t xml:space="preserve"> </w:t>
      </w:r>
      <w:r w:rsidR="00443A9B" w:rsidRPr="00443A9B">
        <w:rPr>
          <w:color w:val="767171" w:themeColor="background2" w:themeShade="80"/>
          <w:sz w:val="19"/>
          <w:szCs w:val="19"/>
        </w:rPr>
        <w:t>[</w:t>
      </w:r>
      <w:r w:rsidR="00443A9B">
        <w:rPr>
          <w:color w:val="767171" w:themeColor="background2" w:themeShade="80"/>
          <w:sz w:val="19"/>
          <w:szCs w:val="19"/>
        </w:rPr>
        <w:t>ver tema 3.B.2</w:t>
      </w:r>
      <w:r w:rsidR="003245D3">
        <w:rPr>
          <w:color w:val="767171" w:themeColor="background2" w:themeShade="80"/>
          <w:sz w:val="19"/>
          <w:szCs w:val="19"/>
        </w:rPr>
        <w:t>3</w:t>
      </w:r>
      <w:r w:rsidR="00443A9B" w:rsidRPr="00443A9B">
        <w:rPr>
          <w:color w:val="767171" w:themeColor="background2" w:themeShade="80"/>
          <w:sz w:val="19"/>
          <w:szCs w:val="19"/>
        </w:rPr>
        <w:t>]</w:t>
      </w:r>
      <w:r>
        <w:t>:</w:t>
      </w:r>
    </w:p>
    <w:p w14:paraId="2FCF2C88" w14:textId="2B533AC6" w:rsidR="00F244EF" w:rsidRDefault="00397CC0" w:rsidP="005625CE">
      <w:pPr>
        <w:pStyle w:val="Nivel2SM"/>
      </w:pPr>
      <w:r w:rsidRPr="00F244EF">
        <w:t>El</w:t>
      </w:r>
      <w:r>
        <w:t xml:space="preserve"> </w:t>
      </w:r>
      <w:r w:rsidRPr="00F244EF">
        <w:rPr>
          <w:i/>
          <w:iCs/>
        </w:rPr>
        <w:t>riesgo sistemático</w:t>
      </w:r>
      <w:r>
        <w:t xml:space="preserve"> es aquel que una inversión tiene en común con todos los demás inversiones en su misma categoría, mercado, región geográ</w:t>
      </w:r>
      <w:r w:rsidR="004D3399">
        <w:t>fi</w:t>
      </w:r>
      <w:r>
        <w:t>ca, etc.</w:t>
      </w:r>
    </w:p>
    <w:p w14:paraId="34B46D35" w14:textId="267544DA" w:rsidR="00F244EF" w:rsidRPr="0019408C" w:rsidRDefault="00397CC0" w:rsidP="005625CE">
      <w:pPr>
        <w:pStyle w:val="Nivel2SM"/>
        <w:rPr>
          <w:spacing w:val="-3"/>
        </w:rPr>
      </w:pPr>
      <w:r w:rsidRPr="0019408C">
        <w:rPr>
          <w:spacing w:val="-3"/>
        </w:rPr>
        <w:t xml:space="preserve">El </w:t>
      </w:r>
      <w:r w:rsidRPr="0019408C">
        <w:rPr>
          <w:i/>
          <w:iCs/>
          <w:spacing w:val="-3"/>
        </w:rPr>
        <w:t>riesgo especí</w:t>
      </w:r>
      <w:r w:rsidR="004D3399" w:rsidRPr="0019408C">
        <w:rPr>
          <w:i/>
          <w:iCs/>
          <w:spacing w:val="-3"/>
        </w:rPr>
        <w:t>fi</w:t>
      </w:r>
      <w:r w:rsidRPr="0019408C">
        <w:rPr>
          <w:i/>
          <w:iCs/>
          <w:spacing w:val="-3"/>
        </w:rPr>
        <w:t>co</w:t>
      </w:r>
      <w:r w:rsidRPr="0019408C">
        <w:rPr>
          <w:spacing w:val="-3"/>
        </w:rPr>
        <w:t xml:space="preserve"> es aquel exclusivo a</w:t>
      </w:r>
      <w:r w:rsidR="005E7667" w:rsidRPr="0019408C">
        <w:rPr>
          <w:spacing w:val="-3"/>
        </w:rPr>
        <w:t>l</w:t>
      </w:r>
      <w:r w:rsidRPr="0019408C">
        <w:rPr>
          <w:spacing w:val="-3"/>
        </w:rPr>
        <w:t xml:space="preserve"> </w:t>
      </w:r>
      <w:r w:rsidR="005E7667" w:rsidRPr="0019408C">
        <w:rPr>
          <w:spacing w:val="-3"/>
        </w:rPr>
        <w:t>proyecto de inversión</w:t>
      </w:r>
      <w:r w:rsidRPr="0019408C">
        <w:rPr>
          <w:spacing w:val="-3"/>
        </w:rPr>
        <w:t xml:space="preserve"> y que no está relacionado con otras inversiones. En la medida en que un capital sea invertido de forma su</w:t>
      </w:r>
      <w:r w:rsidR="004D3399" w:rsidRPr="0019408C">
        <w:rPr>
          <w:spacing w:val="-3"/>
        </w:rPr>
        <w:t>fi</w:t>
      </w:r>
      <w:r w:rsidRPr="0019408C">
        <w:rPr>
          <w:spacing w:val="-3"/>
        </w:rPr>
        <w:t>cientemente diversi</w:t>
      </w:r>
      <w:r w:rsidR="004D3399" w:rsidRPr="0019408C">
        <w:rPr>
          <w:spacing w:val="-3"/>
        </w:rPr>
        <w:t>fi</w:t>
      </w:r>
      <w:r w:rsidRPr="0019408C">
        <w:rPr>
          <w:spacing w:val="-3"/>
        </w:rPr>
        <w:t>cada, el peso del riesgo especí</w:t>
      </w:r>
      <w:r w:rsidR="004D3399" w:rsidRPr="0019408C">
        <w:rPr>
          <w:spacing w:val="-3"/>
        </w:rPr>
        <w:t>fi</w:t>
      </w:r>
      <w:r w:rsidRPr="0019408C">
        <w:rPr>
          <w:spacing w:val="-3"/>
        </w:rPr>
        <w:t>co en una cartera tenderá a desaparecer y por ello, cada inversión será relevante en la medida en que aumente o disminuya la sensibilidad a factores de riesgo comunes al conjunto de las inversiones.</w:t>
      </w:r>
      <w:r w:rsidR="00732660" w:rsidRPr="0019408C">
        <w:rPr>
          <w:spacing w:val="-3"/>
        </w:rPr>
        <w:t xml:space="preserve"> Es por ello </w:t>
      </w:r>
      <w:proofErr w:type="gramStart"/>
      <w:r w:rsidR="00732660" w:rsidRPr="0019408C">
        <w:rPr>
          <w:spacing w:val="-3"/>
        </w:rPr>
        <w:t>que</w:t>
      </w:r>
      <w:proofErr w:type="gramEnd"/>
      <w:r w:rsidR="00732660" w:rsidRPr="0019408C">
        <w:rPr>
          <w:spacing w:val="-3"/>
        </w:rPr>
        <w:t>, c</w:t>
      </w:r>
      <w:r w:rsidR="00F244EF" w:rsidRPr="0019408C">
        <w:rPr>
          <w:spacing w:val="-3"/>
        </w:rPr>
        <w:t xml:space="preserve">uando un inversor puede </w:t>
      </w:r>
      <w:r w:rsidR="00F244EF" w:rsidRPr="0019408C">
        <w:rPr>
          <w:i/>
          <w:iCs/>
          <w:spacing w:val="-3"/>
        </w:rPr>
        <w:t>diversificar</w:t>
      </w:r>
      <w:r w:rsidR="00F244EF" w:rsidRPr="0019408C">
        <w:rPr>
          <w:spacing w:val="-3"/>
        </w:rPr>
        <w:t xml:space="preserve"> su inversión tiene en cuenta el riesgo sistemático y obvia el riesgo específico.</w:t>
      </w:r>
    </w:p>
    <w:p w14:paraId="20F6D0EC" w14:textId="77777777" w:rsidR="004F23BD" w:rsidRPr="00FE71AA" w:rsidRDefault="004F23BD" w:rsidP="004F23BD">
      <w:pPr>
        <w:pStyle w:val="Ttulo3"/>
        <w:rPr>
          <w:highlight w:val="yellow"/>
        </w:rPr>
      </w:pPr>
      <w:bookmarkStart w:id="11" w:name="_Toc172232824"/>
      <w:r w:rsidRPr="00FE71AA">
        <w:rPr>
          <w:highlight w:val="yellow"/>
        </w:rPr>
        <w:t>Riesgo económico</w:t>
      </w:r>
      <w:bookmarkEnd w:id="11"/>
    </w:p>
    <w:p w14:paraId="479B040A" w14:textId="22123EA1" w:rsidR="004F23BD" w:rsidRPr="00FE71AA" w:rsidRDefault="004F23BD" w:rsidP="004F23BD">
      <w:pPr>
        <w:pStyle w:val="Ttulo3"/>
        <w:rPr>
          <w:highlight w:val="yellow"/>
        </w:rPr>
      </w:pPr>
      <w:bookmarkStart w:id="12" w:name="_Toc172232825"/>
      <w:r w:rsidRPr="00FE71AA">
        <w:rPr>
          <w:highlight w:val="yellow"/>
        </w:rPr>
        <w:t>Riesgo financiero</w:t>
      </w:r>
      <w:bookmarkEnd w:id="12"/>
    </w:p>
    <w:p w14:paraId="174C0286" w14:textId="6CE8BBE5" w:rsidR="0019408C" w:rsidRDefault="004F23BD" w:rsidP="0019408C">
      <w:pPr>
        <w:pStyle w:val="Notaalopositor"/>
        <w:keepNext w:val="0"/>
        <w:rPr>
          <w:lang w:val="fr-FR"/>
        </w:rPr>
      </w:pPr>
      <w:proofErr w:type="spellStart"/>
      <w:r w:rsidRPr="00AC3F00">
        <w:rPr>
          <w:smallCaps/>
          <w:lang w:val="fr-FR"/>
        </w:rPr>
        <w:t>Vernimmen</w:t>
      </w:r>
      <w:proofErr w:type="spellEnd"/>
      <w:r w:rsidRPr="00AC3F00">
        <w:rPr>
          <w:i/>
          <w:iCs/>
          <w:lang w:val="fr-FR"/>
        </w:rPr>
        <w:t xml:space="preserve"> </w:t>
      </w:r>
      <w:r w:rsidRPr="0071310A">
        <w:rPr>
          <w:lang w:val="fr-FR"/>
        </w:rPr>
        <w:t>et al.</w:t>
      </w:r>
      <w:r w:rsidRPr="00AC3F00">
        <w:rPr>
          <w:lang w:val="fr-FR"/>
        </w:rPr>
        <w:t xml:space="preserve"> </w:t>
      </w:r>
      <w:r>
        <w:rPr>
          <w:lang w:val="fr-FR"/>
        </w:rPr>
        <w:t>(</w:t>
      </w:r>
      <w:proofErr w:type="spellStart"/>
      <w:r>
        <w:rPr>
          <w:lang w:val="fr-FR"/>
        </w:rPr>
        <w:t>chapter</w:t>
      </w:r>
      <w:proofErr w:type="spellEnd"/>
      <w:r w:rsidR="0071310A">
        <w:rPr>
          <w:lang w:val="fr-FR"/>
        </w:rPr>
        <w:t> </w:t>
      </w:r>
      <w:r>
        <w:rPr>
          <w:lang w:val="fr-FR"/>
        </w:rPr>
        <w:t>30)</w:t>
      </w:r>
    </w:p>
    <w:p w14:paraId="732E252B" w14:textId="4B295E35" w:rsidR="004F23BD" w:rsidRDefault="004F23BD" w:rsidP="004F23BD">
      <w:pPr>
        <w:pStyle w:val="Ttulo2"/>
      </w:pPr>
      <w:bookmarkStart w:id="13" w:name="_Toc172232826"/>
      <w:r>
        <w:lastRenderedPageBreak/>
        <w:t>Coste de capital</w:t>
      </w:r>
      <w:bookmarkEnd w:id="13"/>
    </w:p>
    <w:p w14:paraId="6AB5AF38" w14:textId="77777777" w:rsidR="00092C14" w:rsidRDefault="00092C14" w:rsidP="00B478F4">
      <w:pPr>
        <w:pStyle w:val="Ttulo3"/>
        <w:spacing w:before="0"/>
      </w:pPr>
      <w:bookmarkStart w:id="14" w:name="_Toc172232827"/>
      <w:r w:rsidRPr="00CE7955">
        <w:t>Definición</w:t>
      </w:r>
      <w:r>
        <w:t xml:space="preserve"> del coste de capital</w:t>
      </w:r>
      <w:bookmarkEnd w:id="14"/>
    </w:p>
    <w:p w14:paraId="2AD4A5D0" w14:textId="77777777" w:rsidR="00CE7955" w:rsidRDefault="00780D41" w:rsidP="0071310A">
      <w:pPr>
        <w:pStyle w:val="Nivel1SM"/>
        <w:keepNext/>
        <w:spacing w:before="0" w:after="0"/>
      </w:pPr>
      <w:r>
        <w:t>Los ingresos económicos que genera una inversión deben ser no sólo suficientemente mayores que los costes económicos sino también deben cubrir los costes de financiación.</w:t>
      </w:r>
    </w:p>
    <w:p w14:paraId="4E72510B" w14:textId="77777777" w:rsidR="00CE7955" w:rsidRDefault="00780D41" w:rsidP="00CE7955">
      <w:pPr>
        <w:pStyle w:val="Nivel2SM"/>
      </w:pPr>
      <w:r>
        <w:t>En otras palabras, l</w:t>
      </w:r>
      <w:r w:rsidR="0019380B">
        <w:t xml:space="preserve">as decisiones de inversión no dependen únicamente de la rentabilidad, sino que dicha rentabilidad debe ser </w:t>
      </w:r>
      <w:r w:rsidR="0019380B" w:rsidRPr="0019380B">
        <w:t>comparada</w:t>
      </w:r>
      <w:r w:rsidR="0019380B">
        <w:t xml:space="preserve"> con el </w:t>
      </w:r>
      <w:r w:rsidR="0019380B" w:rsidRPr="00780D41">
        <w:rPr>
          <w:i/>
          <w:iCs/>
        </w:rPr>
        <w:t xml:space="preserve">coste de </w:t>
      </w:r>
      <w:r w:rsidRPr="00780D41">
        <w:rPr>
          <w:i/>
          <w:iCs/>
        </w:rPr>
        <w:t>financiación</w:t>
      </w:r>
      <w:r w:rsidR="0019380B" w:rsidRPr="0019380B">
        <w:t xml:space="preserve"> </w:t>
      </w:r>
      <w:r w:rsidR="0019380B">
        <w:t>necesario para acometer la inversión.</w:t>
      </w:r>
    </w:p>
    <w:p w14:paraId="1163C6AA" w14:textId="31166D78" w:rsidR="0019380B" w:rsidRDefault="00780D41" w:rsidP="00CE7955">
      <w:pPr>
        <w:pStyle w:val="Nivel2SM"/>
      </w:pPr>
      <w:r>
        <w:t xml:space="preserve">La financiación puede venir de </w:t>
      </w:r>
      <w:r w:rsidR="00376FEC">
        <w:t xml:space="preserve">dentro de la propia empresa (autofinanciación), </w:t>
      </w:r>
      <w:r>
        <w:t>acreedores</w:t>
      </w:r>
      <w:r w:rsidR="00376FEC">
        <w:t xml:space="preserve"> y</w:t>
      </w:r>
      <w:r>
        <w:t xml:space="preserve"> acc</w:t>
      </w:r>
      <w:r w:rsidR="00376FEC">
        <w:t>io</w:t>
      </w:r>
      <w:r>
        <w:t>nistas</w:t>
      </w:r>
      <w:r w:rsidR="00CE7955">
        <w:t xml:space="preserve"> </w:t>
      </w:r>
      <w:r w:rsidR="00CE7955" w:rsidRPr="00CE7955">
        <w:rPr>
          <w:color w:val="767171" w:themeColor="background2" w:themeShade="80"/>
          <w:sz w:val="19"/>
          <w:szCs w:val="19"/>
        </w:rPr>
        <w:t>[ver tema 3.B.3]</w:t>
      </w:r>
      <w:r w:rsidR="00376FEC">
        <w:t>.</w:t>
      </w:r>
    </w:p>
    <w:p w14:paraId="2D327BBD" w14:textId="367B455E" w:rsidR="009B1CC3" w:rsidRDefault="009B1CC3" w:rsidP="009B1CC3">
      <w:pPr>
        <w:pStyle w:val="Nivel2SM"/>
        <w:keepNext/>
        <w:spacing w:after="0"/>
      </w:pPr>
      <w:r>
        <w:t>Para llevar a cabo una inversión, esta debe cumplir 2 condiciones:</w:t>
      </w:r>
    </w:p>
    <w:p w14:paraId="38468F0A" w14:textId="2C95ED23" w:rsidR="009B1CC3" w:rsidRDefault="009B1CC3">
      <w:pPr>
        <w:pStyle w:val="Prrafodelista"/>
        <w:numPr>
          <w:ilvl w:val="0"/>
          <w:numId w:val="23"/>
        </w:numPr>
        <w:spacing w:after="100"/>
        <w:ind w:left="1134" w:hanging="113"/>
      </w:pPr>
      <w:r w:rsidRPr="009B1CC3">
        <w:rPr>
          <w:i/>
          <w:iCs/>
        </w:rPr>
        <w:t>Economicidad</w:t>
      </w:r>
      <w:r>
        <w:t>: La inversión debe generar una corriente de cobros mayor que la de pagos.</w:t>
      </w:r>
    </w:p>
    <w:p w14:paraId="33E50FD0" w14:textId="20131E63" w:rsidR="009B1CC3" w:rsidRPr="009B1CC3" w:rsidRDefault="009B1CC3">
      <w:pPr>
        <w:pStyle w:val="Prrafodelista"/>
        <w:numPr>
          <w:ilvl w:val="0"/>
          <w:numId w:val="23"/>
        </w:numPr>
        <w:spacing w:after="100"/>
        <w:ind w:left="1134" w:hanging="113"/>
      </w:pPr>
      <w:r>
        <w:rPr>
          <w:i/>
          <w:iCs/>
        </w:rPr>
        <w:t>Rentabilidad financiera</w:t>
      </w:r>
      <w:r>
        <w:t>: La rentabilidad de la inversión (diferencia entre cobros y pagos) ha de ser superior al coste de financiación</w:t>
      </w:r>
      <w:r w:rsidR="00850C65">
        <w:t>.</w:t>
      </w:r>
    </w:p>
    <w:p w14:paraId="7AD0AB70" w14:textId="610E294C" w:rsidR="00CE7955" w:rsidRDefault="00376FEC" w:rsidP="0071310A">
      <w:pPr>
        <w:pStyle w:val="Nivel1SM"/>
        <w:keepNext/>
        <w:spacing w:before="0" w:after="0"/>
      </w:pPr>
      <w:r w:rsidRPr="00E8392A">
        <w:rPr>
          <w:i/>
          <w:iCs/>
        </w:rPr>
        <w:t>¿Cuál es el coste de financiación relevante que la empresa debe tener en cuenta?</w:t>
      </w:r>
      <w:r w:rsidRPr="00E8392A">
        <w:t xml:space="preserve"> </w:t>
      </w:r>
      <w:r w:rsidR="004D3399" w:rsidRPr="00E8392A">
        <w:t xml:space="preserve">El </w:t>
      </w:r>
      <w:r w:rsidR="004D3399" w:rsidRPr="00E8392A">
        <w:rPr>
          <w:b/>
          <w:bCs/>
        </w:rPr>
        <w:t>coste de capital</w:t>
      </w:r>
      <w:r w:rsidR="008064E2" w:rsidRPr="00E8392A">
        <w:t>.</w:t>
      </w:r>
    </w:p>
    <w:p w14:paraId="1E9A93B5" w14:textId="0B80E77E" w:rsidR="00D36558" w:rsidRPr="00E8392A" w:rsidRDefault="008064E2" w:rsidP="00CE7955">
      <w:pPr>
        <w:pStyle w:val="Nivel2SM"/>
        <w:keepNext/>
        <w:spacing w:after="0"/>
      </w:pPr>
      <w:r w:rsidRPr="00E8392A">
        <w:t xml:space="preserve">El coste de capital </w:t>
      </w:r>
      <w:r w:rsidR="004D3399" w:rsidRPr="00E8392A">
        <w:t xml:space="preserve">es una </w:t>
      </w:r>
      <w:r w:rsidR="00CE7955" w:rsidRPr="00E8392A">
        <w:t>magnitud de carácter financiero –no contable</w:t>
      </w:r>
      <w:r w:rsidR="00366BB1" w:rsidRPr="00E8392A">
        <w:t>–</w:t>
      </w:r>
      <w:r w:rsidR="00CE7955" w:rsidRPr="00E8392A">
        <w:t xml:space="preserve"> que caracteriza el rendimiento que los inversores exigen </w:t>
      </w:r>
      <w:r w:rsidR="004D3399" w:rsidRPr="00E8392A">
        <w:t>por invertir en un activo determinado.</w:t>
      </w:r>
    </w:p>
    <w:p w14:paraId="35D23947" w14:textId="7753364D" w:rsidR="00D36558" w:rsidRDefault="00D36558" w:rsidP="00CE7955">
      <w:pPr>
        <w:pStyle w:val="Nivel3SM"/>
      </w:pPr>
      <w:r>
        <w:t xml:space="preserve">Por lo tanto, desde la óptica de la empresa, el </w:t>
      </w:r>
      <w:r w:rsidRPr="00D36558">
        <w:rPr>
          <w:i/>
          <w:iCs/>
        </w:rPr>
        <w:t>coste de capital</w:t>
      </w:r>
      <w:r>
        <w:t xml:space="preserve"> representa, valga la redundancia, un coste, porque la empresa deberá obtener una rentabilidad en su inversión que compense este coste de capital.</w:t>
      </w:r>
    </w:p>
    <w:p w14:paraId="3ED6A70D" w14:textId="4E57252D" w:rsidR="00CE7955" w:rsidRDefault="00D36558" w:rsidP="00A729D5">
      <w:pPr>
        <w:pStyle w:val="Nivel3SM"/>
        <w:keepNext/>
      </w:pPr>
      <w:r>
        <w:t>Si la rentabilidad de la inversión</w:t>
      </w:r>
      <w:r w:rsidR="00210C90">
        <w:rPr>
          <w:rStyle w:val="Refdenotaalpie"/>
        </w:rPr>
        <w:footnoteReference w:id="6"/>
      </w:r>
      <w:r>
        <w:t xml:space="preserve"> es mayor que el coste de capital la empresa deberá invertir y generará valor.</w:t>
      </w:r>
    </w:p>
    <w:p w14:paraId="48CBDD79" w14:textId="003A1D46" w:rsidR="00051BDE" w:rsidRDefault="004D3399" w:rsidP="00CE7955">
      <w:pPr>
        <w:pStyle w:val="Nivel4"/>
        <w:ind w:left="1474"/>
      </w:pPr>
      <w:r>
        <w:t>Cuando se evalúan proyectos de inversión, el coste de capital se utiliza como tasa de descuento, de tal manera que la cuantía de las ganancias y los desembolsos se corrige de acuerdo con la tasa de descuento y la distancia en el tiempo en la que se producirá los ingresos o los desembolsos.</w:t>
      </w:r>
    </w:p>
    <w:p w14:paraId="08DDBA2B" w14:textId="4B1EB99F" w:rsidR="00CE7955" w:rsidRPr="00CE7955" w:rsidRDefault="00CE7955" w:rsidP="00CE7955">
      <w:pPr>
        <w:pStyle w:val="Nivel2SM"/>
        <w:rPr>
          <w:spacing w:val="-2"/>
        </w:rPr>
      </w:pPr>
      <w:r w:rsidRPr="00CE7955">
        <w:rPr>
          <w:spacing w:val="-2"/>
        </w:rPr>
        <w:t>Hay que diferenciar el coste de capital del proyecto (depende del riesgo del proyecto en cuestión) del coste de capital de la empresa (depende del riesgo conjunto de las inversiones de la empresa). Ambos serán iguales sólo si el nivel de riesgo del proyecto es igual que el de la empresa.</w:t>
      </w:r>
    </w:p>
    <w:p w14:paraId="6545A2B5" w14:textId="60E022DB" w:rsidR="00D36558" w:rsidRDefault="00D36558" w:rsidP="00CE7955">
      <w:pPr>
        <w:pStyle w:val="Ttulo3"/>
      </w:pPr>
      <w:bookmarkStart w:id="15" w:name="_Toc172232828"/>
      <w:r>
        <w:t>Estimación del coste de capital</w:t>
      </w:r>
      <w:bookmarkEnd w:id="15"/>
    </w:p>
    <w:p w14:paraId="5E06BCCF" w14:textId="6721139D" w:rsidR="00C74256" w:rsidRDefault="00C74256" w:rsidP="0071310A">
      <w:pPr>
        <w:pStyle w:val="Nivel1SM"/>
        <w:keepNext/>
        <w:spacing w:before="0" w:after="0"/>
      </w:pPr>
      <w:bookmarkStart w:id="16" w:name="_Hlk94971533"/>
      <w:r>
        <w:t xml:space="preserve">Determinar el coste de capital no es una tarea sencilla. Siguiendo el manual de </w:t>
      </w:r>
      <w:proofErr w:type="spellStart"/>
      <w:r w:rsidRPr="00471030">
        <w:rPr>
          <w:smallCaps/>
        </w:rPr>
        <w:t>Vernimmen</w:t>
      </w:r>
      <w:proofErr w:type="spellEnd"/>
      <w:r w:rsidRPr="00A40F71">
        <w:t xml:space="preserve"> </w:t>
      </w:r>
      <w:r w:rsidR="00A40F71" w:rsidRPr="00A40F71">
        <w:t xml:space="preserve">et al. </w:t>
      </w:r>
      <w:r>
        <w:rPr>
          <w:smallCaps/>
        </w:rPr>
        <w:t>(2017)</w:t>
      </w:r>
      <w:r>
        <w:t>, l</w:t>
      </w:r>
      <w:r w:rsidRPr="00471030">
        <w:t>a</w:t>
      </w:r>
      <w:r>
        <w:t xml:space="preserve"> estimación del coste de capital asociado a una inversión se puede llevar a cabo de forma </w:t>
      </w:r>
      <w:r w:rsidRPr="00051BDE">
        <w:rPr>
          <w:i/>
          <w:iCs/>
        </w:rPr>
        <w:t>directa</w:t>
      </w:r>
      <w:r>
        <w:t xml:space="preserve">, </w:t>
      </w:r>
      <w:r w:rsidRPr="00051BDE">
        <w:rPr>
          <w:i/>
          <w:iCs/>
        </w:rPr>
        <w:t>indirecta</w:t>
      </w:r>
      <w:r>
        <w:t xml:space="preserve"> o </w:t>
      </w:r>
      <w:r>
        <w:rPr>
          <w:i/>
          <w:iCs/>
        </w:rPr>
        <w:t>implícita</w:t>
      </w:r>
      <w:r>
        <w:t>:</w:t>
      </w:r>
    </w:p>
    <w:p w14:paraId="007D32CE" w14:textId="20DE01A1" w:rsidR="007C7B3B" w:rsidRDefault="00C74256">
      <w:pPr>
        <w:pStyle w:val="Nmeroromano"/>
        <w:keepNext/>
        <w:numPr>
          <w:ilvl w:val="0"/>
          <w:numId w:val="11"/>
        </w:numPr>
        <w:spacing w:after="0"/>
        <w:ind w:left="567" w:hanging="113"/>
      </w:pPr>
      <w:bookmarkStart w:id="17" w:name="_Hlk125285495"/>
      <w:r>
        <w:t xml:space="preserve">De </w:t>
      </w:r>
      <w:r w:rsidRPr="00C41682">
        <w:rPr>
          <w:i/>
          <w:iCs/>
          <w:u w:val="single"/>
        </w:rPr>
        <w:t>forma directa</w:t>
      </w:r>
      <w:r>
        <w:t>, a partir de modelos de valoración de activos tales como el modelo</w:t>
      </w:r>
      <w:r w:rsidR="00A729D5">
        <w:t> </w:t>
      </w:r>
      <w:r>
        <w:t>CAPM o el modelo</w:t>
      </w:r>
      <w:r w:rsidR="00A729D5">
        <w:t> </w:t>
      </w:r>
      <w:r>
        <w:t xml:space="preserve">APT </w:t>
      </w:r>
      <w:r w:rsidRPr="000A0F94">
        <w:rPr>
          <w:color w:val="767171" w:themeColor="background2" w:themeShade="80"/>
          <w:sz w:val="19"/>
          <w:szCs w:val="19"/>
        </w:rPr>
        <w:t>[ver tema 3.B.2</w:t>
      </w:r>
      <w:r w:rsidR="003245D3">
        <w:rPr>
          <w:color w:val="767171" w:themeColor="background2" w:themeShade="80"/>
          <w:sz w:val="19"/>
          <w:szCs w:val="19"/>
        </w:rPr>
        <w:t>3</w:t>
      </w:r>
      <w:r w:rsidRPr="000A0F94">
        <w:rPr>
          <w:color w:val="767171" w:themeColor="background2" w:themeShade="80"/>
          <w:sz w:val="19"/>
          <w:szCs w:val="19"/>
        </w:rPr>
        <w:t>]</w:t>
      </w:r>
      <w:r>
        <w:t>.</w:t>
      </w:r>
    </w:p>
    <w:p w14:paraId="579FB872" w14:textId="77777777" w:rsidR="007C7B3B" w:rsidRDefault="007C7B3B" w:rsidP="007C7B3B">
      <w:pPr>
        <w:pStyle w:val="Nivel3SM"/>
        <w:keepNext/>
      </w:pPr>
      <w:r>
        <w:t>Si queremos calcular la tasa mínima de rendimiento que va a demandar un agente que financia a la empresa podemos partir de que el agente querrá que el título que adquiere para financiar a la empresa esté correctamente valorado.</w:t>
      </w:r>
    </w:p>
    <w:p w14:paraId="3E37BC09" w14:textId="37C9E695" w:rsidR="007C7B3B" w:rsidRDefault="007C7B3B" w:rsidP="007C7B3B">
      <w:pPr>
        <w:pStyle w:val="Nivel4"/>
        <w:ind w:left="1474"/>
      </w:pPr>
      <w:r>
        <w:t>Así, la tasa mínima de rendimiento que demandará el agente a la empresa será la esperada por el activo de la empresa dado su nivel de riesgo.</w:t>
      </w:r>
    </w:p>
    <w:p w14:paraId="589335B8" w14:textId="77777777" w:rsidR="007C7B3B" w:rsidRDefault="00C74256" w:rsidP="007C7B3B">
      <w:pPr>
        <w:pStyle w:val="Nivel3SM"/>
        <w:keepNext/>
      </w:pPr>
      <w:r>
        <w:t>La demanda de activos financieros va a depender tanto de la rentabilidad esperada como del riesgo. En último término, los activos financieros son promesas de pago inciertas.</w:t>
      </w:r>
    </w:p>
    <w:p w14:paraId="5A27D7CB" w14:textId="31E85F56" w:rsidR="007C7B3B" w:rsidRPr="0019408C" w:rsidRDefault="00C74256" w:rsidP="007C7B3B">
      <w:pPr>
        <w:pStyle w:val="Nivel4"/>
        <w:ind w:left="1474"/>
        <w:rPr>
          <w:spacing w:val="-3"/>
        </w:rPr>
      </w:pPr>
      <w:r w:rsidRPr="0019408C">
        <w:rPr>
          <w:spacing w:val="-3"/>
        </w:rPr>
        <w:t xml:space="preserve">Por tanto, el marco analítico que podemos utilizar para determinar el coste de capital </w:t>
      </w:r>
      <w:r w:rsidRPr="003245D3">
        <w:rPr>
          <w:spacing w:val="-4"/>
        </w:rPr>
        <w:t xml:space="preserve">sería la </w:t>
      </w:r>
      <w:r w:rsidRPr="003245D3">
        <w:rPr>
          <w:i/>
          <w:iCs/>
          <w:spacing w:val="-4"/>
        </w:rPr>
        <w:t>Teoría de la Utilidad Esperada</w:t>
      </w:r>
      <w:r w:rsidRPr="003245D3">
        <w:rPr>
          <w:spacing w:val="-4"/>
        </w:rPr>
        <w:t xml:space="preserve"> </w:t>
      </w:r>
      <w:r w:rsidRPr="003245D3">
        <w:rPr>
          <w:color w:val="767171" w:themeColor="background2" w:themeShade="80"/>
          <w:spacing w:val="-4"/>
          <w:sz w:val="19"/>
          <w:szCs w:val="19"/>
        </w:rPr>
        <w:t>[ver tema 3.A.</w:t>
      </w:r>
      <w:r w:rsidR="003245D3" w:rsidRPr="003245D3">
        <w:rPr>
          <w:color w:val="767171" w:themeColor="background2" w:themeShade="80"/>
          <w:spacing w:val="-4"/>
          <w:sz w:val="19"/>
          <w:szCs w:val="19"/>
        </w:rPr>
        <w:t>10</w:t>
      </w:r>
      <w:r w:rsidRPr="003245D3">
        <w:rPr>
          <w:color w:val="767171" w:themeColor="background2" w:themeShade="80"/>
          <w:spacing w:val="-4"/>
          <w:sz w:val="19"/>
          <w:szCs w:val="19"/>
        </w:rPr>
        <w:t>]</w:t>
      </w:r>
      <w:r w:rsidRPr="003245D3">
        <w:rPr>
          <w:spacing w:val="-4"/>
        </w:rPr>
        <w:t xml:space="preserve"> que es precisamente el marco analítico</w:t>
      </w:r>
      <w:r w:rsidRPr="0019408C">
        <w:rPr>
          <w:spacing w:val="-3"/>
        </w:rPr>
        <w:t xml:space="preserve"> que emplea </w:t>
      </w:r>
      <w:r w:rsidRPr="0019408C">
        <w:rPr>
          <w:smallCaps/>
          <w:spacing w:val="-3"/>
        </w:rPr>
        <w:t>Markowitz</w:t>
      </w:r>
      <w:r w:rsidRPr="0019408C">
        <w:rPr>
          <w:spacing w:val="-3"/>
        </w:rPr>
        <w:t xml:space="preserve"> en su análisis seminal de </w:t>
      </w:r>
      <w:r w:rsidRPr="0019408C">
        <w:rPr>
          <w:i/>
          <w:iCs/>
          <w:spacing w:val="-3"/>
        </w:rPr>
        <w:t>elección de carteras</w:t>
      </w:r>
      <w:r w:rsidRPr="0019408C">
        <w:rPr>
          <w:spacing w:val="-3"/>
        </w:rPr>
        <w:t xml:space="preserve"> </w:t>
      </w:r>
      <w:r w:rsidRPr="0019408C">
        <w:rPr>
          <w:color w:val="767171" w:themeColor="background2" w:themeShade="80"/>
          <w:spacing w:val="-3"/>
          <w:sz w:val="19"/>
          <w:szCs w:val="19"/>
        </w:rPr>
        <w:t>[ver tema 3.B.2</w:t>
      </w:r>
      <w:r w:rsidR="003245D3">
        <w:rPr>
          <w:color w:val="767171" w:themeColor="background2" w:themeShade="80"/>
          <w:spacing w:val="-3"/>
          <w:sz w:val="19"/>
          <w:szCs w:val="19"/>
        </w:rPr>
        <w:t>3</w:t>
      </w:r>
      <w:r w:rsidRPr="0019408C">
        <w:rPr>
          <w:color w:val="767171" w:themeColor="background2" w:themeShade="80"/>
          <w:spacing w:val="-3"/>
          <w:sz w:val="19"/>
          <w:szCs w:val="19"/>
        </w:rPr>
        <w:t>]</w:t>
      </w:r>
      <w:r w:rsidRPr="0019408C">
        <w:rPr>
          <w:spacing w:val="-3"/>
        </w:rPr>
        <w:t>.</w:t>
      </w:r>
    </w:p>
    <w:p w14:paraId="2F0D1CC6" w14:textId="13D73DCB" w:rsidR="007C7B3B" w:rsidRDefault="00C74256" w:rsidP="007C7B3B">
      <w:pPr>
        <w:pStyle w:val="Nivel4"/>
        <w:ind w:left="1474"/>
      </w:pPr>
      <w:r>
        <w:lastRenderedPageBreak/>
        <w:t>El único riesgo que importa al inversor es aquel que no se puede diversificar (i.e. riesgo sistemático del título vinculado a la evolución de la economía). El riesgo sistemático representa la volatilidad del título (i.e. c</w:t>
      </w:r>
      <w:r w:rsidR="002F62C9">
        <w:t>ó</w:t>
      </w:r>
      <w:r>
        <w:t>mo varía su rendimiento cuando varía el rendimiento del mercado).</w:t>
      </w:r>
    </w:p>
    <w:p w14:paraId="4386341B" w14:textId="0ED2261F" w:rsidR="00C74256" w:rsidRDefault="00C74256" w:rsidP="007C7B3B">
      <w:pPr>
        <w:pStyle w:val="Nivel3SM"/>
        <w:keepNext/>
      </w:pPr>
      <w:r>
        <w:t xml:space="preserve">Precisamente, los modelos de valoración de activos (CAPM, APT) predicen el valor de inversiones a partir de otras magnitudes, tales como la </w:t>
      </w:r>
      <m:oMath>
        <m:r>
          <m:rPr>
            <m:nor/>
          </m:rPr>
          <w:rPr>
            <w:i/>
            <w:iCs/>
          </w:rPr>
          <m:t>β</m:t>
        </m:r>
      </m:oMath>
      <w:r>
        <w:t xml:space="preserve"> del CAPM (i.e. sensibilidad del precio del activo respecto del mercado), y a partir de ese valor predicho se estima un coste de capital para la inversión en cuestión.</w:t>
      </w:r>
    </w:p>
    <w:p w14:paraId="0E89C0A9" w14:textId="77777777" w:rsidR="00C74256" w:rsidRDefault="00000000" w:rsidP="00F47C0B">
      <w:pPr>
        <w:pStyle w:val="Nmeroromano"/>
        <w:keepNext/>
        <w:numPr>
          <w:ilvl w:val="0"/>
          <w:numId w:val="0"/>
        </w:numPr>
        <w:spacing w:after="0" w:line="240" w:lineRule="auto"/>
        <w:ind w:left="963" w:hanging="198"/>
        <w:rPr>
          <w:sz w:val="18"/>
          <w:szCs w:val="18"/>
        </w:rPr>
      </w:pPr>
      <m:oMathPara>
        <m:oMath>
          <m:borderBox>
            <m:borderBoxPr>
              <m:ctrlPr>
                <w:rPr>
                  <w:rFonts w:ascii="Cambria Math" w:eastAsiaTheme="minorEastAsia" w:hAnsi="Cambria Math"/>
                  <w:i/>
                  <w:iCs/>
                </w:rPr>
              </m:ctrlPr>
            </m:borderBoxPr>
            <m:e>
              <m:r>
                <m:rPr>
                  <m:nor/>
                </m:rPr>
                <w:rPr>
                  <w:b/>
                  <w:bCs/>
                  <w:i/>
                  <w:iCs/>
                </w:rPr>
                <m:t>k</m:t>
              </m:r>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sSub>
                <m:sSubPr>
                  <m:ctrlPr>
                    <w:rPr>
                      <w:rFonts w:ascii="Cambria Math" w:hAnsi="Cambria Math"/>
                      <w:i/>
                      <w:iCs/>
                    </w:rPr>
                  </m:ctrlPr>
                </m:sSubPr>
                <m:e>
                  <m:r>
                    <m:rPr>
                      <m:nor/>
                    </m:rPr>
                    <w:rPr>
                      <w:i/>
                      <w:iCs/>
                    </w:rPr>
                    <m:t>β</m:t>
                  </m:r>
                </m:e>
                <m:sub>
                  <m:r>
                    <m:rPr>
                      <m:nor/>
                    </m:rPr>
                    <w:rPr>
                      <w:i/>
                      <w:iCs/>
                    </w:rPr>
                    <m:t>A</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e>
          </m:borderBox>
          <m:r>
            <m:rPr>
              <m:sty m:val="p"/>
            </m:rPr>
            <w:rPr>
              <w:rFonts w:eastAsiaTheme="minorEastAsia"/>
            </w:rPr>
            <w:br/>
          </m:r>
        </m:oMath>
      </m:oMathPara>
      <w:r w:rsidR="00C74256" w:rsidRPr="002A4419">
        <w:rPr>
          <w:sz w:val="18"/>
          <w:szCs w:val="18"/>
        </w:rPr>
        <w:t>donde</w:t>
      </w:r>
      <w:r w:rsidR="00C74256">
        <w:rPr>
          <w:sz w:val="18"/>
          <w:szCs w:val="18"/>
        </w:rPr>
        <w:t>:</w:t>
      </w:r>
    </w:p>
    <w:p w14:paraId="55B0C67F" w14:textId="77777777" w:rsidR="00C74256" w:rsidRPr="007C7B3B" w:rsidRDefault="00000000" w:rsidP="00F47C0B">
      <w:pPr>
        <w:pStyle w:val="Nivel4"/>
        <w:spacing w:line="240" w:lineRule="auto"/>
        <w:ind w:left="1474"/>
        <w:rPr>
          <w:sz w:val="19"/>
          <w:szCs w:val="19"/>
        </w:rPr>
      </w:pPr>
      <m:oMath>
        <m:sSub>
          <m:sSubPr>
            <m:ctrlPr>
              <w:rPr>
                <w:rFonts w:ascii="Cambria Math" w:hAnsi="Cambria Math"/>
                <w:i/>
                <w:sz w:val="19"/>
                <w:szCs w:val="19"/>
              </w:rPr>
            </m:ctrlPr>
          </m:sSubPr>
          <m:e>
            <m:r>
              <m:rPr>
                <m:nor/>
              </m:rPr>
              <w:rPr>
                <w:i/>
                <w:sz w:val="19"/>
                <w:szCs w:val="19"/>
              </w:rPr>
              <m:t>r</m:t>
            </m:r>
          </m:e>
          <m:sub>
            <m:r>
              <m:rPr>
                <m:nor/>
              </m:rPr>
              <w:rPr>
                <w:i/>
                <w:sz w:val="19"/>
                <w:szCs w:val="19"/>
              </w:rPr>
              <m:t>f</m:t>
            </m:r>
          </m:sub>
        </m:sSub>
      </m:oMath>
      <w:r w:rsidR="00C74256" w:rsidRPr="007C7B3B">
        <w:rPr>
          <w:sz w:val="19"/>
          <w:szCs w:val="19"/>
        </w:rPr>
        <w:t xml:space="preserve"> es el tipo de interés libre de riesgo,</w:t>
      </w:r>
    </w:p>
    <w:p w14:paraId="79BBCB54" w14:textId="77777777" w:rsidR="00C74256" w:rsidRPr="007C7B3B" w:rsidRDefault="00000000" w:rsidP="00F47C0B">
      <w:pPr>
        <w:pStyle w:val="Nivel4"/>
        <w:spacing w:line="240" w:lineRule="auto"/>
        <w:ind w:left="1474"/>
        <w:rPr>
          <w:sz w:val="19"/>
          <w:szCs w:val="19"/>
        </w:rPr>
      </w:pPr>
      <m:oMath>
        <m:sSub>
          <m:sSubPr>
            <m:ctrlPr>
              <w:rPr>
                <w:rFonts w:ascii="Cambria Math" w:hAnsi="Cambria Math"/>
                <w:i/>
                <w:sz w:val="19"/>
                <w:szCs w:val="19"/>
              </w:rPr>
            </m:ctrlPr>
          </m:sSubPr>
          <m:e>
            <m:r>
              <m:rPr>
                <m:nor/>
              </m:rPr>
              <w:rPr>
                <w:i/>
                <w:sz w:val="19"/>
                <w:szCs w:val="19"/>
              </w:rPr>
              <m:t>r</m:t>
            </m:r>
          </m:e>
          <m:sub>
            <m:r>
              <m:rPr>
                <m:nor/>
              </m:rPr>
              <w:rPr>
                <w:i/>
                <w:sz w:val="19"/>
                <w:szCs w:val="19"/>
              </w:rPr>
              <m:t>M</m:t>
            </m:r>
          </m:sub>
        </m:sSub>
      </m:oMath>
      <w:r w:rsidR="00C74256" w:rsidRPr="007C7B3B">
        <w:rPr>
          <w:sz w:val="19"/>
          <w:szCs w:val="19"/>
        </w:rPr>
        <w:t xml:space="preserve"> es la rentabilidad del mercado y</w:t>
      </w:r>
    </w:p>
    <w:p w14:paraId="34744383" w14:textId="77777777" w:rsidR="00C74256" w:rsidRPr="007C7B3B" w:rsidRDefault="00000000" w:rsidP="00F47C0B">
      <w:pPr>
        <w:pStyle w:val="Nivel4"/>
        <w:spacing w:line="240" w:lineRule="auto"/>
        <w:ind w:left="1474"/>
        <w:rPr>
          <w:sz w:val="19"/>
          <w:szCs w:val="19"/>
        </w:rPr>
      </w:pPr>
      <m:oMath>
        <m:sSub>
          <m:sSubPr>
            <m:ctrlPr>
              <w:rPr>
                <w:rFonts w:ascii="Cambria Math" w:hAnsi="Cambria Math"/>
                <w:i/>
                <w:sz w:val="19"/>
                <w:szCs w:val="19"/>
              </w:rPr>
            </m:ctrlPr>
          </m:sSubPr>
          <m:e>
            <m:r>
              <m:rPr>
                <m:nor/>
              </m:rPr>
              <w:rPr>
                <w:i/>
                <w:sz w:val="19"/>
                <w:szCs w:val="19"/>
              </w:rPr>
              <m:t>β</m:t>
            </m:r>
          </m:e>
          <m:sub>
            <m:r>
              <m:rPr>
                <m:nor/>
              </m:rPr>
              <w:rPr>
                <w:i/>
                <w:sz w:val="19"/>
                <w:szCs w:val="19"/>
              </w:rPr>
              <m:t>A</m:t>
            </m:r>
          </m:sub>
        </m:sSub>
      </m:oMath>
      <w:r w:rsidR="00C74256" w:rsidRPr="007C7B3B">
        <w:rPr>
          <w:sz w:val="19"/>
          <w:szCs w:val="19"/>
        </w:rPr>
        <w:t xml:space="preserve"> es la beta de los activos o beta </w:t>
      </w:r>
      <w:proofErr w:type="spellStart"/>
      <w:r w:rsidR="00C74256" w:rsidRPr="007C7B3B">
        <w:rPr>
          <w:sz w:val="19"/>
          <w:szCs w:val="19"/>
        </w:rPr>
        <w:t>desapalancada</w:t>
      </w:r>
      <w:proofErr w:type="spellEnd"/>
      <w:r w:rsidR="00C74256" w:rsidRPr="007C7B3B">
        <w:rPr>
          <w:sz w:val="19"/>
          <w:szCs w:val="19"/>
        </w:rPr>
        <w:t xml:space="preserve"> (</w:t>
      </w:r>
      <m:oMath>
        <m:r>
          <m:rPr>
            <m:nor/>
          </m:rPr>
          <w:rPr>
            <w:i/>
            <w:sz w:val="19"/>
            <w:szCs w:val="19"/>
          </w:rPr>
          <m:t>β</m:t>
        </m:r>
      </m:oMath>
      <w:r w:rsidR="00C74256" w:rsidRPr="007C7B3B">
        <w:rPr>
          <w:sz w:val="19"/>
          <w:szCs w:val="19"/>
        </w:rPr>
        <w:t xml:space="preserve"> de una empresa sin deuda)</w:t>
      </w:r>
      <w:r w:rsidR="00C74256" w:rsidRPr="007C7B3B">
        <w:rPr>
          <w:rStyle w:val="Refdenotaalpie"/>
          <w:rFonts w:eastAsiaTheme="minorEastAsia"/>
          <w:iCs/>
          <w:sz w:val="19"/>
          <w:szCs w:val="19"/>
        </w:rPr>
        <w:footnoteReference w:id="7"/>
      </w:r>
      <w:r w:rsidR="00C74256" w:rsidRPr="007C7B3B">
        <w:rPr>
          <w:sz w:val="19"/>
          <w:szCs w:val="19"/>
        </w:rPr>
        <w:t>.</w:t>
      </w:r>
    </w:p>
    <w:p w14:paraId="7D338643" w14:textId="4246B03E" w:rsidR="00BA5381" w:rsidRDefault="00BA5381" w:rsidP="007C7B3B">
      <w:pPr>
        <w:pStyle w:val="Nivel3SM"/>
        <w:keepNext/>
      </w:pPr>
      <w:bookmarkStart w:id="18" w:name="_Hlk125285886"/>
      <w:r>
        <w:t>Por tanto, el coste de financiación dependerá de las características propias del sector productivo sobre el que se basa la inversión:</w:t>
      </w:r>
    </w:p>
    <w:p w14:paraId="2CE41291" w14:textId="5DEBFD2C" w:rsidR="00BA5381" w:rsidRDefault="00BA5381" w:rsidP="00BA5381">
      <w:pPr>
        <w:pStyle w:val="Nivel4"/>
        <w:ind w:left="1474"/>
      </w:pPr>
      <w:r w:rsidRPr="00BA5381">
        <w:rPr>
          <w:i/>
          <w:iCs/>
        </w:rPr>
        <w:t>Estructura de costes</w:t>
      </w:r>
      <w:r>
        <w:t>: Cuantos más costes fijos mayor sensibilidad de la empresa al entorno económico y mayor coste de capital.</w:t>
      </w:r>
    </w:p>
    <w:p w14:paraId="388EDE2B" w14:textId="3AD4DB13" w:rsidR="00BA5381" w:rsidRDefault="00BA5381" w:rsidP="00BA5381">
      <w:pPr>
        <w:pStyle w:val="Nivel4"/>
        <w:ind w:left="1474"/>
      </w:pPr>
      <w:r w:rsidRPr="00BA5381">
        <w:rPr>
          <w:i/>
          <w:iCs/>
        </w:rPr>
        <w:t>Perfil cíclico de las actividades económicas</w:t>
      </w:r>
      <w:r>
        <w:t>: Aquellas actividades económicas más dependientes del ciclo económico muestran un mayor coste de capital.</w:t>
      </w:r>
    </w:p>
    <w:bookmarkEnd w:id="18"/>
    <w:p w14:paraId="6B4EC4F1" w14:textId="37601C89" w:rsidR="00C74256" w:rsidRDefault="00C74256" w:rsidP="007C7B3B">
      <w:pPr>
        <w:pStyle w:val="Nivel3SM"/>
        <w:keepNext/>
      </w:pPr>
      <w:r>
        <w:t>Estos métodos:</w:t>
      </w:r>
    </w:p>
    <w:p w14:paraId="7565EABE" w14:textId="77777777" w:rsidR="00636AC8" w:rsidRPr="00F97388" w:rsidRDefault="00636AC8" w:rsidP="00636AC8">
      <w:pPr>
        <w:pStyle w:val="Nivel4"/>
        <w:ind w:left="1474"/>
        <w:rPr>
          <w:spacing w:val="-1"/>
        </w:rPr>
      </w:pPr>
      <w:r w:rsidRPr="00F97388">
        <w:rPr>
          <w:spacing w:val="-1"/>
        </w:rPr>
        <w:t>Presentan la ventaja de que, a la hora de calcular el coste de capital de una empresa en su conjunto, permiten abstraerse de la estructura del capital, calculando directamente el coste de capital del conjunto de los activos de tal manera que cambios en la estructura del capital no introduzcan sesgos en la estimación del coste de capital.</w:t>
      </w:r>
    </w:p>
    <w:p w14:paraId="64A28712" w14:textId="638E5E4A" w:rsidR="00C74256" w:rsidRDefault="00C74256" w:rsidP="007C7B3B">
      <w:pPr>
        <w:pStyle w:val="Nivel4"/>
        <w:ind w:left="1474"/>
      </w:pPr>
      <w:r>
        <w:t xml:space="preserve">Sin embargo, requieren de supuestos muy fuertes y de difícil cumplimiento en la práctica. Además, el cálculo de las betas no es sino una estimación de muy difícil cálculo preciso </w:t>
      </w:r>
      <w:r w:rsidRPr="008247BD">
        <w:rPr>
          <w:color w:val="767171" w:themeColor="background2" w:themeShade="80"/>
          <w:sz w:val="19"/>
          <w:szCs w:val="19"/>
        </w:rPr>
        <w:t>[ver tema 3.B.2</w:t>
      </w:r>
      <w:r w:rsidR="003245D3">
        <w:rPr>
          <w:color w:val="767171" w:themeColor="background2" w:themeShade="80"/>
          <w:sz w:val="19"/>
          <w:szCs w:val="19"/>
        </w:rPr>
        <w:t>3</w:t>
      </w:r>
      <w:r w:rsidRPr="008247BD">
        <w:rPr>
          <w:color w:val="767171" w:themeColor="background2" w:themeShade="80"/>
          <w:sz w:val="19"/>
          <w:szCs w:val="19"/>
        </w:rPr>
        <w:t>]</w:t>
      </w:r>
      <w:r>
        <w:t>.</w:t>
      </w:r>
      <w:bookmarkEnd w:id="17"/>
    </w:p>
    <w:p w14:paraId="4A24A2FE" w14:textId="77777777" w:rsidR="00C74256" w:rsidRDefault="00C74256" w:rsidP="00D36F50">
      <w:pPr>
        <w:pStyle w:val="Nmeroromano"/>
        <w:keepNext/>
        <w:numPr>
          <w:ilvl w:val="0"/>
          <w:numId w:val="11"/>
        </w:numPr>
        <w:spacing w:after="0"/>
        <w:ind w:left="567" w:hanging="113"/>
      </w:pPr>
      <w:r>
        <w:t xml:space="preserve">Otra forma de estimar el coste de capital de una inversión es el llamado </w:t>
      </w:r>
      <w:r w:rsidRPr="00051BDE">
        <w:rPr>
          <w:i/>
          <w:iCs/>
          <w:u w:val="single"/>
        </w:rPr>
        <w:t>cálculo implícito</w:t>
      </w:r>
      <w:r>
        <w:t xml:space="preserve"> a partir del precio de mercado de la inversión y la secuencia de flujos de caja.</w:t>
      </w:r>
    </w:p>
    <w:p w14:paraId="7A8DC1DD" w14:textId="77777777" w:rsidR="00C74256" w:rsidRPr="00C41682" w:rsidRDefault="00000000" w:rsidP="00C74256">
      <w:pPr>
        <w:pStyle w:val="Nivel1"/>
        <w:numPr>
          <w:ilvl w:val="0"/>
          <w:numId w:val="0"/>
        </w:numPr>
        <w:spacing w:before="0" w:after="0"/>
        <w:ind w:left="567"/>
        <w:rPr>
          <w:rFonts w:eastAsiaTheme="minorEastAsia"/>
          <w:i/>
          <w:iCs/>
          <w:lang w:val="fr-FR"/>
        </w:rPr>
      </w:pPr>
      <m:oMathPara>
        <m:oMath>
          <m:borderBox>
            <m:borderBoxPr>
              <m:ctrlPr>
                <w:rPr>
                  <w:rFonts w:ascii="Cambria Math" w:hAnsi="Cambria Math"/>
                  <w:i/>
                  <w:iCs/>
                  <w:lang w:val="fr-FR"/>
                </w:rPr>
              </m:ctrlPr>
            </m:borderBoxPr>
            <m:e>
              <m:r>
                <m:rPr>
                  <m:nor/>
                </m:rPr>
                <w:rPr>
                  <w:i/>
                  <w:iCs/>
                  <w:lang w:val="fr-FR"/>
                </w:rPr>
                <m:t>V</m:t>
              </m:r>
              <m:r>
                <w:rPr>
                  <w:rFonts w:ascii="Cambria Math" w:hAnsi="Cambria Math"/>
                  <w:lang w:val="fr-FR"/>
                </w:rPr>
                <m:t>=</m:t>
              </m:r>
              <m:sSub>
                <m:sSubPr>
                  <m:ctrlPr>
                    <w:rPr>
                      <w:rFonts w:ascii="Cambria Math" w:hAnsi="Cambria Math"/>
                      <w:i/>
                      <w:iCs/>
                    </w:rPr>
                  </m:ctrlPr>
                </m:sSubPr>
                <m:e>
                  <m:r>
                    <m:rPr>
                      <m:nor/>
                    </m:rPr>
                    <w:rPr>
                      <w:i/>
                      <w:iCs/>
                      <w:lang w:val="fr-FR"/>
                    </w:rPr>
                    <m:t>V</m:t>
                  </m:r>
                </m:e>
                <m:sub>
                  <m:r>
                    <m:rPr>
                      <m:nor/>
                    </m:rPr>
                    <w:rPr>
                      <w:i/>
                      <w:iCs/>
                      <w:lang w:val="fr-FR"/>
                    </w:rPr>
                    <m:t>D</m:t>
                  </m:r>
                </m:sub>
              </m:sSub>
              <m:r>
                <w:rPr>
                  <w:rFonts w:ascii="Cambria Math" w:hAnsi="Cambria Math"/>
                  <w:lang w:val="fr-FR"/>
                </w:rPr>
                <m:t>+</m:t>
              </m:r>
              <m:sSub>
                <m:sSubPr>
                  <m:ctrlPr>
                    <w:rPr>
                      <w:rFonts w:ascii="Cambria Math" w:hAnsi="Cambria Math"/>
                      <w:i/>
                      <w:iCs/>
                    </w:rPr>
                  </m:ctrlPr>
                </m:sSubPr>
                <m:e>
                  <m:r>
                    <m:rPr>
                      <m:nor/>
                    </m:rPr>
                    <w:rPr>
                      <w:i/>
                      <w:iCs/>
                      <w:lang w:val="fr-FR"/>
                    </w:rPr>
                    <m:t>V</m:t>
                  </m:r>
                </m:e>
                <m:sub>
                  <m:r>
                    <m:rPr>
                      <m:nor/>
                    </m:rPr>
                    <w:rPr>
                      <w:i/>
                      <w:iCs/>
                      <w:lang w:val="fr-FR"/>
                    </w:rPr>
                    <m:t>E</m:t>
                  </m:r>
                </m:sub>
              </m:sSub>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f>
                    <m:fPr>
                      <m:ctrlPr>
                        <w:rPr>
                          <w:rFonts w:ascii="Cambria Math" w:hAnsi="Cambria Math"/>
                          <w:i/>
                          <w:iCs/>
                        </w:rPr>
                      </m:ctrlPr>
                    </m:fPr>
                    <m:num>
                      <m:sSub>
                        <m:sSubPr>
                          <m:ctrlPr>
                            <w:rPr>
                              <w:rFonts w:ascii="Cambria Math" w:hAnsi="Cambria Math"/>
                              <w:i/>
                              <w:iCs/>
                            </w:rPr>
                          </m:ctrlPr>
                        </m:sSubPr>
                        <m:e>
                          <m:r>
                            <m:rPr>
                              <m:nor/>
                            </m:rPr>
                            <w:rPr>
                              <w:i/>
                              <w:iCs/>
                              <w:lang w:val="fr-FR"/>
                            </w:rPr>
                            <m:t>FC</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b/>
                                  <w:bCs/>
                                  <w:i/>
                                  <w:iCs/>
                                  <w:lang w:val="fr-FR"/>
                                </w:rPr>
                                <m:t>k</m:t>
                              </m:r>
                            </m:e>
                          </m:d>
                        </m:e>
                        <m:sup>
                          <m:r>
                            <m:rPr>
                              <m:nor/>
                            </m:rPr>
                            <w:rPr>
                              <w:i/>
                              <w:iCs/>
                              <w:lang w:val="fr-FR"/>
                            </w:rPr>
                            <m:t>t</m:t>
                          </m:r>
                        </m:sup>
                      </m:sSup>
                    </m:den>
                  </m:f>
                </m:e>
              </m:nary>
            </m:e>
          </m:borderBox>
          <m:r>
            <w:rPr>
              <w:rFonts w:ascii="Cambria Math" w:hAnsi="Cambria Math"/>
              <w:lang w:val="fr-FR"/>
            </w:rPr>
            <m:t xml:space="preserve"> </m:t>
          </m:r>
        </m:oMath>
      </m:oMathPara>
    </w:p>
    <w:p w14:paraId="2B532217" w14:textId="77777777" w:rsidR="00C74256" w:rsidRPr="00C41682" w:rsidRDefault="00C74256" w:rsidP="00C74256">
      <w:pPr>
        <w:pStyle w:val="Nivel1"/>
        <w:numPr>
          <w:ilvl w:val="0"/>
          <w:numId w:val="0"/>
        </w:numPr>
        <w:spacing w:before="0" w:after="0"/>
        <w:ind w:left="567"/>
      </w:pPr>
      <w:r>
        <w:t xml:space="preserve">Para hallar el coste de capital es necesario resolver está ecuación para </w:t>
      </w:r>
      <m:oMath>
        <m:r>
          <m:rPr>
            <m:nor/>
          </m:rPr>
          <w:rPr>
            <w:i/>
            <w:iCs/>
          </w:rPr>
          <m:t>k</m:t>
        </m:r>
      </m:oMath>
      <w:r>
        <w:rPr>
          <w:rFonts w:eastAsiaTheme="minorEastAsia"/>
          <w:iCs/>
        </w:rPr>
        <w:t>.</w:t>
      </w:r>
    </w:p>
    <w:p w14:paraId="2F4F87ED" w14:textId="77777777" w:rsidR="00C74256" w:rsidRDefault="00C74256" w:rsidP="007C7B3B">
      <w:pPr>
        <w:pStyle w:val="Nivel3SM"/>
      </w:pPr>
      <w:r>
        <w:t>Aunque en teoría este método debería ser muy preciso y sencillo, en la práctica tiene poca utilidad para la mayoría de las inversiones porque es muy difícil o imposible conocer la secuencia de flujos de caja que los agentes participantes en la formación de precios estiman de forma consensuada.</w:t>
      </w:r>
    </w:p>
    <w:p w14:paraId="191E5216" w14:textId="77777777" w:rsidR="00C74256" w:rsidRDefault="00C74256" w:rsidP="00D36F50">
      <w:pPr>
        <w:pStyle w:val="Nmeroromano"/>
        <w:numPr>
          <w:ilvl w:val="0"/>
          <w:numId w:val="11"/>
        </w:numPr>
        <w:spacing w:after="0"/>
        <w:ind w:left="567" w:hanging="113"/>
      </w:pPr>
      <w:r>
        <w:t xml:space="preserve">El </w:t>
      </w:r>
      <w:r w:rsidRPr="00051BDE">
        <w:rPr>
          <w:i/>
          <w:iCs/>
          <w:u w:val="single"/>
        </w:rPr>
        <w:t>método de cálculo indirecto</w:t>
      </w:r>
      <w:r>
        <w:t xml:space="preserve"> de estimación del coste de capital utilizado por una empresa consiste en valorar por separado la deuda y el </w:t>
      </w:r>
      <w:proofErr w:type="spellStart"/>
      <w:r>
        <w:t>equity</w:t>
      </w:r>
      <w:proofErr w:type="spellEnd"/>
      <w:r>
        <w:t xml:space="preserve">, y calcular posteriormente una media ponderada de ambos denominada </w:t>
      </w:r>
      <w:bookmarkStart w:id="19" w:name="_Hlk94972493"/>
      <w:proofErr w:type="spellStart"/>
      <w:r w:rsidRPr="00051BDE">
        <w:rPr>
          <w:i/>
          <w:iCs/>
        </w:rPr>
        <w:t>Weighted</w:t>
      </w:r>
      <w:proofErr w:type="spellEnd"/>
      <w:r w:rsidRPr="00051BDE">
        <w:rPr>
          <w:i/>
          <w:iCs/>
        </w:rPr>
        <w:t xml:space="preserve"> </w:t>
      </w:r>
      <w:proofErr w:type="spellStart"/>
      <w:r w:rsidRPr="00051BDE">
        <w:rPr>
          <w:i/>
          <w:iCs/>
        </w:rPr>
        <w:t>Average</w:t>
      </w:r>
      <w:proofErr w:type="spellEnd"/>
      <w:r w:rsidRPr="00051BDE">
        <w:rPr>
          <w:i/>
          <w:iCs/>
        </w:rPr>
        <w:t xml:space="preserve"> </w:t>
      </w:r>
      <w:proofErr w:type="spellStart"/>
      <w:r w:rsidRPr="00051BDE">
        <w:rPr>
          <w:i/>
          <w:iCs/>
        </w:rPr>
        <w:t>Cost</w:t>
      </w:r>
      <w:proofErr w:type="spellEnd"/>
      <w:r w:rsidRPr="00051BDE">
        <w:rPr>
          <w:i/>
          <w:iCs/>
        </w:rPr>
        <w:t xml:space="preserve"> </w:t>
      </w:r>
      <w:proofErr w:type="spellStart"/>
      <w:r w:rsidRPr="00051BDE">
        <w:rPr>
          <w:i/>
          <w:iCs/>
        </w:rPr>
        <w:t>of</w:t>
      </w:r>
      <w:proofErr w:type="spellEnd"/>
      <w:r w:rsidRPr="00051BDE">
        <w:rPr>
          <w:i/>
          <w:iCs/>
        </w:rPr>
        <w:t xml:space="preserve"> Capital</w:t>
      </w:r>
      <w:r>
        <w:t xml:space="preserve"> </w:t>
      </w:r>
      <w:bookmarkEnd w:id="19"/>
      <w:r>
        <w:t>(WACC).</w:t>
      </w:r>
    </w:p>
    <w:p w14:paraId="3B3FD84E" w14:textId="2EA7132B" w:rsidR="00C74256" w:rsidRPr="00B50B2C" w:rsidRDefault="00C74256" w:rsidP="00C74256">
      <w:pPr>
        <w:keepNext/>
        <w:spacing w:after="0"/>
        <w:ind w:left="567"/>
        <w:rPr>
          <w:spacing w:val="-2"/>
        </w:rPr>
      </w:pPr>
      <w:r w:rsidRPr="00B50B2C">
        <w:rPr>
          <w:spacing w:val="-2"/>
        </w:rPr>
        <w:t xml:space="preserve">Es el método más utilizado para calcular el coste de capital, y su obtención consta de </w:t>
      </w:r>
      <w:r w:rsidR="00A729D5">
        <w:rPr>
          <w:spacing w:val="-2"/>
        </w:rPr>
        <w:t>3 </w:t>
      </w:r>
      <w:r w:rsidRPr="00B50B2C">
        <w:rPr>
          <w:spacing w:val="-2"/>
        </w:rPr>
        <w:t>pasos:</w:t>
      </w:r>
    </w:p>
    <w:p w14:paraId="1B59F8A9" w14:textId="0FDEAC1D" w:rsidR="00C74256" w:rsidRDefault="00C74256">
      <w:pPr>
        <w:pStyle w:val="Nmeroromano"/>
        <w:keepNext/>
        <w:numPr>
          <w:ilvl w:val="1"/>
          <w:numId w:val="7"/>
        </w:numPr>
        <w:tabs>
          <w:tab w:val="num" w:pos="643"/>
        </w:tabs>
        <w:spacing w:after="0"/>
        <w:ind w:left="964" w:hanging="196"/>
      </w:pPr>
      <w:r>
        <w:rPr>
          <w:i/>
          <w:iCs/>
          <w:u w:val="single"/>
          <w14:glow w14:rad="38100">
            <w14:srgbClr w14:val="00B0F0">
              <w14:alpha w14:val="75000"/>
            </w14:srgbClr>
          </w14:glow>
        </w:rPr>
        <w:t>C</w:t>
      </w:r>
      <w:r w:rsidRPr="00A103A5">
        <w:rPr>
          <w:i/>
          <w:iCs/>
          <w:u w:val="single"/>
          <w14:glow w14:rad="38100">
            <w14:srgbClr w14:val="00B0F0">
              <w14:alpha w14:val="75000"/>
            </w14:srgbClr>
          </w14:glow>
        </w:rPr>
        <w:t>oste de capital propio</w:t>
      </w:r>
      <w:r w:rsidRPr="00A103A5">
        <w:rPr>
          <w14:glow w14:rad="38100">
            <w14:srgbClr w14:val="00B0F0">
              <w14:alpha w14:val="75000"/>
            </w14:srgbClr>
          </w14:glow>
        </w:rPr>
        <w:t xml:space="preserve"> (</w:t>
      </w:r>
      <w:r>
        <w:rPr>
          <w14:glow w14:rad="38100">
            <w14:srgbClr w14:val="00B0F0">
              <w14:alpha w14:val="75000"/>
            </w14:srgbClr>
          </w14:glow>
        </w:rPr>
        <w:t xml:space="preserve">Tasa de rendimiento requerida sobre los recursos propios – </w:t>
      </w:r>
      <m:oMath>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oMath>
      <w:r w:rsidRPr="00A103A5">
        <w:rPr>
          <w14:glow w14:rad="38100">
            <w14:srgbClr w14:val="00B0F0">
              <w14:alpha w14:val="75000"/>
            </w14:srgbClr>
          </w14:glow>
        </w:rPr>
        <w:t>)</w:t>
      </w:r>
      <w:r w:rsidRPr="00A62A8C">
        <w:rPr>
          <w:spacing w:val="-1"/>
        </w:rPr>
        <w:t>:</w:t>
      </w:r>
      <w:r>
        <w:t xml:space="preserve"> El capital propio no tiene un coste explícito, sino un coste de oportunidad que viene determinado por las ganancias exigidas por los accionistas de la empresa en función del </w:t>
      </w:r>
      <w:r>
        <w:lastRenderedPageBreak/>
        <w:t>riesgo asociado y el rendimiento por unidad de riesgo del mercado financiero. Por lo tanto, es la tasa de descuento requerida por los accionistas para que la cotización no varíe:</w:t>
      </w:r>
    </w:p>
    <w:p w14:paraId="1CDB692C" w14:textId="77777777" w:rsidR="00F47C0B" w:rsidRPr="00F47C0B" w:rsidRDefault="00000000" w:rsidP="00F47C0B">
      <w:pPr>
        <w:pStyle w:val="Nmeroromano"/>
        <w:keepNext/>
        <w:numPr>
          <w:ilvl w:val="0"/>
          <w:numId w:val="0"/>
        </w:numPr>
        <w:spacing w:after="0"/>
        <w:ind w:left="964"/>
        <w:rPr>
          <w:rFonts w:eastAsiaTheme="minorEastAsia"/>
        </w:rPr>
      </w:pPr>
      <m:oMathPara>
        <m:oMath>
          <m:sSub>
            <m:sSubPr>
              <m:ctrlPr>
                <w:rPr>
                  <w:rFonts w:ascii="Cambria Math" w:hAnsi="Cambria Math"/>
                  <w:i/>
                  <w:iCs/>
                </w:rPr>
              </m:ctrlPr>
            </m:sSubPr>
            <m:e>
              <m:r>
                <m:rPr>
                  <m:nor/>
                </m:rPr>
                <w:rPr>
                  <w:i/>
                  <w:iCs/>
                </w:rPr>
                <m:t>P</m:t>
              </m:r>
            </m:e>
            <m:sub>
              <m:r>
                <m:rPr>
                  <m:nor/>
                </m:rPr>
                <w:rPr>
                  <w:i/>
                  <w:iCs/>
                </w:rPr>
                <m:t>0</m:t>
              </m:r>
            </m:sub>
          </m:sSub>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1</m:t>
              </m:r>
            </m:sub>
            <m:sup>
              <m:r>
                <w:rPr>
                  <w:rFonts w:ascii="Cambria Math" w:hAnsi="Cambria Math"/>
                </w:rPr>
                <m:t>+∞</m:t>
              </m:r>
            </m:sup>
            <m:e>
              <m:f>
                <m:fPr>
                  <m:ctrlPr>
                    <w:rPr>
                      <w:rFonts w:ascii="Cambria Math" w:hAnsi="Cambria Math"/>
                      <w:i/>
                      <w:iCs/>
                    </w:rPr>
                  </m:ctrlPr>
                </m:fPr>
                <m:num>
                  <m:sSub>
                    <m:sSubPr>
                      <m:ctrlPr>
                        <w:rPr>
                          <w:rFonts w:ascii="Cambria Math" w:hAnsi="Cambria Math"/>
                          <w:i/>
                          <w:iCs/>
                        </w:rPr>
                      </m:ctrlPr>
                    </m:sSubPr>
                    <m:e>
                      <m:r>
                        <m:rPr>
                          <m:nor/>
                        </m:rPr>
                        <w:rPr>
                          <w:i/>
                          <w:iCs/>
                        </w:rPr>
                        <m:t>D</m:t>
                      </m:r>
                    </m:e>
                    <m:sub>
                      <m:r>
                        <m:rPr>
                          <m:nor/>
                        </m:rPr>
                        <w:rPr>
                          <w:i/>
                          <w:iCs/>
                        </w:rPr>
                        <m:t>t</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b/>
                                  <w:bCs/>
                                  <w:i/>
                                  <w:iCs/>
                                  <w:lang w:val="en-US"/>
                                  <w14:glow w14:rad="38100">
                                    <w14:srgbClr w14:val="00B0F0">
                                      <w14:alpha w14:val="75000"/>
                                    </w14:srgbClr>
                                  </w14:glow>
                                </w:rPr>
                              </m:ctrlPr>
                            </m:sSubPr>
                            <m:e>
                              <m:r>
                                <m:rPr>
                                  <m:nor/>
                                </m:rPr>
                                <w:rPr>
                                  <w:b/>
                                  <w:bCs/>
                                  <w:i/>
                                  <w:iCs/>
                                  <w14:glow w14:rad="38100">
                                    <w14:srgbClr w14:val="00B0F0">
                                      <w14:alpha w14:val="75000"/>
                                    </w14:srgbClr>
                                  </w14:glow>
                                </w:rPr>
                                <m:t>r</m:t>
                              </m:r>
                            </m:e>
                            <m:sub>
                              <m:r>
                                <m:rPr>
                                  <m:nor/>
                                </m:rPr>
                                <w:rPr>
                                  <w:b/>
                                  <w:bCs/>
                                  <w:i/>
                                  <w:iCs/>
                                  <w14:glow w14:rad="38100">
                                    <w14:srgbClr w14:val="00B0F0">
                                      <w14:alpha w14:val="75000"/>
                                    </w14:srgbClr>
                                  </w14:glow>
                                </w:rPr>
                                <m:t>E</m:t>
                              </m:r>
                            </m:sub>
                          </m:sSub>
                        </m:e>
                      </m:d>
                    </m:e>
                    <m:sup>
                      <m:r>
                        <m:rPr>
                          <m:nor/>
                        </m:rPr>
                        <w:rPr>
                          <w:i/>
                          <w:iCs/>
                        </w:rPr>
                        <m:t>t</m:t>
                      </m:r>
                    </m:sup>
                  </m:sSup>
                </m:den>
              </m:f>
            </m:e>
          </m:nary>
        </m:oMath>
      </m:oMathPara>
    </w:p>
    <w:p w14:paraId="65A53A71" w14:textId="285E7C60" w:rsidR="00C74256" w:rsidRPr="00AE7F27" w:rsidRDefault="00C74256" w:rsidP="007C7B3B">
      <w:pPr>
        <w:pStyle w:val="Nmeroromano"/>
        <w:numPr>
          <w:ilvl w:val="0"/>
          <w:numId w:val="0"/>
        </w:numPr>
        <w:ind w:left="964"/>
        <w:rPr>
          <w:iCs/>
        </w:rPr>
      </w:pPr>
      <w:r w:rsidRPr="00AE7F27">
        <w:rPr>
          <w:rFonts w:eastAsiaTheme="minorEastAsia"/>
          <w:iCs/>
        </w:rPr>
        <w:t xml:space="preserve">donde </w:t>
      </w:r>
      <m:oMath>
        <m:sSub>
          <m:sSubPr>
            <m:ctrlPr>
              <w:rPr>
                <w:rFonts w:ascii="Cambria Math" w:hAnsi="Cambria Math"/>
                <w:i/>
                <w:iCs/>
              </w:rPr>
            </m:ctrlPr>
          </m:sSubPr>
          <m:e>
            <m:r>
              <m:rPr>
                <m:nor/>
              </m:rPr>
              <w:rPr>
                <w:i/>
                <w:iCs/>
              </w:rPr>
              <m:t>D</m:t>
            </m:r>
          </m:e>
          <m:sub>
            <m:r>
              <m:rPr>
                <m:nor/>
              </m:rPr>
              <w:rPr>
                <w:i/>
                <w:iCs/>
              </w:rPr>
              <m:t>t</m:t>
            </m:r>
          </m:sub>
        </m:sSub>
      </m:oMath>
      <w:r w:rsidRPr="00AE7F27">
        <w:rPr>
          <w:rFonts w:eastAsiaTheme="minorEastAsia"/>
          <w:iCs/>
        </w:rPr>
        <w:t xml:space="preserve"> son los dividendos pagados e</w:t>
      </w:r>
      <w:r>
        <w:rPr>
          <w:rFonts w:eastAsiaTheme="minorEastAsia"/>
          <w:iCs/>
        </w:rPr>
        <w:t>n el período</w:t>
      </w:r>
      <w:r w:rsidR="0071310A">
        <w:rPr>
          <w:rFonts w:eastAsiaTheme="minorEastAsia"/>
          <w:iCs/>
        </w:rPr>
        <w:t> </w:t>
      </w:r>
      <w:r>
        <w:rPr>
          <w:rFonts w:eastAsiaTheme="minorEastAsia"/>
          <w:i/>
        </w:rPr>
        <w:t>t</w:t>
      </w:r>
      <w:r>
        <w:rPr>
          <w:rFonts w:eastAsiaTheme="minorEastAsia"/>
          <w:iCs/>
        </w:rPr>
        <w:t>.</w:t>
      </w:r>
    </w:p>
    <w:p w14:paraId="0EBFF318" w14:textId="42997A60" w:rsidR="00C74256" w:rsidRDefault="00C74256">
      <w:pPr>
        <w:pStyle w:val="Nmeroromano"/>
        <w:keepNext/>
        <w:numPr>
          <w:ilvl w:val="1"/>
          <w:numId w:val="7"/>
        </w:numPr>
        <w:tabs>
          <w:tab w:val="num" w:pos="643"/>
        </w:tabs>
        <w:spacing w:after="0"/>
        <w:ind w:left="964" w:hanging="198"/>
      </w:pPr>
      <w:r>
        <w:rPr>
          <w:i/>
          <w:iCs/>
          <w:u w:val="single"/>
          <w14:glow w14:rad="38100">
            <w14:srgbClr w14:val="FFC000">
              <w14:alpha w14:val="75000"/>
            </w14:srgbClr>
          </w14:glow>
        </w:rPr>
        <w:t>C</w:t>
      </w:r>
      <w:r w:rsidRPr="00A103A5">
        <w:rPr>
          <w:i/>
          <w:iCs/>
          <w:u w:val="single"/>
          <w14:glow w14:rad="38100">
            <w14:srgbClr w14:val="FFC000">
              <w14:alpha w14:val="75000"/>
            </w14:srgbClr>
          </w14:glow>
        </w:rPr>
        <w:t>oste de capital ajeno</w:t>
      </w:r>
      <w:r w:rsidRPr="00A103A5">
        <w:rPr>
          <w14:glow w14:rad="38100">
            <w14:srgbClr w14:val="FFC000">
              <w14:alpha w14:val="75000"/>
            </w14:srgbClr>
          </w14:glow>
        </w:rPr>
        <w:t xml:space="preserve"> (</w:t>
      </w:r>
      <w:r>
        <w:rPr>
          <w14:glow w14:rad="38100">
            <w14:srgbClr w14:val="FFC000">
              <w14:alpha w14:val="75000"/>
            </w14:srgbClr>
          </w14:glow>
        </w:rPr>
        <w:t xml:space="preserve">Tasa de rendimiento requerida de la deuda neta – </w:t>
      </w:r>
      <m:oMath>
        <m:sSub>
          <m:sSubPr>
            <m:ctrlPr>
              <w:rPr>
                <w:rFonts w:ascii="Cambria Math" w:hAnsi="Cambria Math"/>
                <w:i/>
                <w:iCs/>
                <w:lang w:val="en-US"/>
                <w14:glow w14:rad="38100">
                  <w14:srgbClr w14:val="FFC000">
                    <w14:alpha w14:val="75000"/>
                  </w14:srgbClr>
                </w14:glow>
              </w:rPr>
            </m:ctrlPr>
          </m:sSubPr>
          <m:e>
            <m:r>
              <m:rPr>
                <m:nor/>
              </m:rPr>
              <w:rPr>
                <w:i/>
                <w:iCs/>
                <w14:glow w14:rad="38100">
                  <w14:srgbClr w14:val="FFC000">
                    <w14:alpha w14:val="75000"/>
                  </w14:srgbClr>
                </w14:glow>
              </w:rPr>
              <m:t>r</m:t>
            </m:r>
          </m:e>
          <m:sub>
            <m:r>
              <m:rPr>
                <m:nor/>
              </m:rPr>
              <w:rPr>
                <w:i/>
                <w:iCs/>
                <w14:glow w14:rad="38100">
                  <w14:srgbClr w14:val="FFC000">
                    <w14:alpha w14:val="75000"/>
                  </w14:srgbClr>
                </w14:glow>
              </w:rPr>
              <m:t>D</m:t>
            </m:r>
          </m:sub>
        </m:sSub>
      </m:oMath>
      <w:r w:rsidRPr="00A103A5">
        <w:rPr>
          <w14:glow w14:rad="38100">
            <w14:srgbClr w14:val="FFC000">
              <w14:alpha w14:val="75000"/>
            </w14:srgbClr>
          </w14:glow>
        </w:rPr>
        <w:t>)</w:t>
      </w:r>
      <w:r>
        <w:t>: El coste efectivo de una deuda viene determinado por la tasa de descuento que iguala el valor actual de los fondos recibidos por la empresa (</w:t>
      </w:r>
      <m:oMath>
        <m:sSub>
          <m:sSubPr>
            <m:ctrlPr>
              <w:rPr>
                <w:rFonts w:ascii="Cambria Math" w:hAnsi="Cambria Math"/>
                <w:i/>
                <w:iCs/>
              </w:rPr>
            </m:ctrlPr>
          </m:sSubPr>
          <m:e>
            <m:r>
              <m:rPr>
                <m:nor/>
              </m:rPr>
              <w:rPr>
                <w:i/>
                <w:iCs/>
              </w:rPr>
              <m:t>I</m:t>
            </m:r>
          </m:e>
          <m:sub>
            <m:r>
              <m:rPr>
                <m:nor/>
              </m:rPr>
              <w:rPr>
                <w:i/>
                <w:iCs/>
              </w:rPr>
              <m:t>0</m:t>
            </m:r>
          </m:sub>
        </m:sSub>
      </m:oMath>
      <w:r>
        <w:t>), netos de todo gasto, con el valor actual de las salidas de fondos previstas para atender al pago de intereses y la devolución del principal (</w:t>
      </w:r>
      <m:oMath>
        <m:sSub>
          <m:sSubPr>
            <m:ctrlPr>
              <w:rPr>
                <w:rFonts w:ascii="Cambria Math" w:hAnsi="Cambria Math"/>
                <w:i/>
                <w:iCs/>
              </w:rPr>
            </m:ctrlPr>
          </m:sSubPr>
          <m:e>
            <m:r>
              <m:rPr>
                <m:nor/>
              </m:rPr>
              <w:rPr>
                <w:i/>
                <w:iCs/>
              </w:rPr>
              <m:t>S</m:t>
            </m:r>
          </m:e>
          <m:sub>
            <m:r>
              <m:rPr>
                <m:nor/>
              </m:rPr>
              <w:rPr>
                <w:i/>
                <w:iCs/>
              </w:rPr>
              <m:t>t</m:t>
            </m:r>
          </m:sub>
        </m:sSub>
      </m:oMath>
      <w:r>
        <w:t>).</w:t>
      </w:r>
    </w:p>
    <w:p w14:paraId="74DDA4BA" w14:textId="77777777" w:rsidR="00C74256" w:rsidRDefault="00000000" w:rsidP="007C7B3B">
      <w:pPr>
        <w:pStyle w:val="Nmeroromano"/>
        <w:numPr>
          <w:ilvl w:val="0"/>
          <w:numId w:val="0"/>
        </w:numPr>
        <w:spacing w:after="0"/>
        <w:ind w:left="964"/>
      </w:pPr>
      <m:oMathPara>
        <m:oMath>
          <m:sSub>
            <m:sSubPr>
              <m:ctrlPr>
                <w:rPr>
                  <w:rFonts w:ascii="Cambria Math" w:hAnsi="Cambria Math"/>
                  <w:i/>
                  <w:iCs/>
                </w:rPr>
              </m:ctrlPr>
            </m:sSubPr>
            <m:e>
              <m:r>
                <m:rPr>
                  <m:nor/>
                </m:rPr>
                <w:rPr>
                  <w:i/>
                  <w:iCs/>
                  <w:lang w:val="fr-FR"/>
                </w:rPr>
                <m:t>I</m:t>
              </m:r>
            </m:e>
            <m:sub>
              <m:r>
                <m:rPr>
                  <m:nor/>
                </m:rPr>
                <w:rPr>
                  <w:i/>
                  <w:iCs/>
                  <w:lang w:val="fr-FR"/>
                </w:rPr>
                <m:t>0</m:t>
              </m:r>
            </m:sub>
          </m:sSub>
          <m:r>
            <w:rPr>
              <w:rFonts w:ascii="Cambria Math" w:hAnsi="Cambria Math"/>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w:rPr>
                  <w:rFonts w:ascii="Cambria Math" w:hAnsi="Cambria Math"/>
                  <w:lang w:val="fr-FR"/>
                </w:rPr>
                <m:t>+∞</m:t>
              </m:r>
            </m:sup>
            <m:e>
              <m:f>
                <m:fPr>
                  <m:ctrlPr>
                    <w:rPr>
                      <w:rFonts w:ascii="Cambria Math" w:hAnsi="Cambria Math"/>
                      <w:i/>
                      <w:iCs/>
                    </w:rPr>
                  </m:ctrlPr>
                </m:fPr>
                <m:num>
                  <m:sSub>
                    <m:sSubPr>
                      <m:ctrlPr>
                        <w:rPr>
                          <w:rFonts w:ascii="Cambria Math" w:hAnsi="Cambria Math"/>
                          <w:i/>
                          <w:iCs/>
                        </w:rPr>
                      </m:ctrlPr>
                    </m:sSubPr>
                    <m:e>
                      <m:r>
                        <m:rPr>
                          <m:nor/>
                        </m:rPr>
                        <w:rPr>
                          <w:i/>
                          <w:iCs/>
                          <w:lang w:val="fr-FR"/>
                        </w:rPr>
                        <m:t>S</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sSub>
                            <m:sSubPr>
                              <m:ctrlPr>
                                <w:rPr>
                                  <w:rFonts w:ascii="Cambria Math" w:hAnsi="Cambria Math"/>
                                  <w:b/>
                                  <w:bCs/>
                                  <w:i/>
                                  <w:iCs/>
                                  <w:lang w:val="en-US"/>
                                  <w14:glow w14:rad="38100">
                                    <w14:srgbClr w14:val="FFC000">
                                      <w14:alpha w14:val="75000"/>
                                    </w14:srgbClr>
                                  </w14:glow>
                                </w:rPr>
                              </m:ctrlPr>
                            </m:sSubPr>
                            <m:e>
                              <m:r>
                                <m:rPr>
                                  <m:nor/>
                                </m:rPr>
                                <w:rPr>
                                  <w:b/>
                                  <w:bCs/>
                                  <w:i/>
                                  <w:iCs/>
                                  <w14:glow w14:rad="38100">
                                    <w14:srgbClr w14:val="FFC000">
                                      <w14:alpha w14:val="75000"/>
                                    </w14:srgbClr>
                                  </w14:glow>
                                </w:rPr>
                                <m:t>r</m:t>
                              </m:r>
                            </m:e>
                            <m:sub>
                              <m:r>
                                <m:rPr>
                                  <m:nor/>
                                </m:rPr>
                                <w:rPr>
                                  <w:b/>
                                  <w:bCs/>
                                  <w:i/>
                                  <w:iCs/>
                                  <w14:glow w14:rad="38100">
                                    <w14:srgbClr w14:val="FFC000">
                                      <w14:alpha w14:val="75000"/>
                                    </w14:srgbClr>
                                  </w14:glow>
                                </w:rPr>
                                <m:t>D</m:t>
                              </m:r>
                            </m:sub>
                          </m:sSub>
                        </m:e>
                      </m:d>
                    </m:e>
                    <m:sup>
                      <m:r>
                        <m:rPr>
                          <m:nor/>
                        </m:rPr>
                        <w:rPr>
                          <w:i/>
                          <w:iCs/>
                          <w:lang w:val="fr-FR"/>
                        </w:rPr>
                        <m:t>t</m:t>
                      </m:r>
                    </m:sup>
                  </m:sSup>
                </m:den>
              </m:f>
            </m:e>
          </m:nary>
        </m:oMath>
      </m:oMathPara>
    </w:p>
    <w:p w14:paraId="76055892" w14:textId="77777777" w:rsidR="00C74256" w:rsidRPr="00645F6B" w:rsidRDefault="00C74256">
      <w:pPr>
        <w:pStyle w:val="Nmeroromano"/>
        <w:keepNext/>
        <w:numPr>
          <w:ilvl w:val="1"/>
          <w:numId w:val="7"/>
        </w:numPr>
        <w:tabs>
          <w:tab w:val="num" w:pos="643"/>
        </w:tabs>
        <w:spacing w:after="0"/>
        <w:ind w:left="964" w:hanging="196"/>
        <w:rPr>
          <w:lang w:val="en-US"/>
        </w:rPr>
      </w:pPr>
      <w:r w:rsidRPr="008247BD">
        <w:rPr>
          <w:i/>
          <w:iCs/>
          <w:u w:val="single"/>
          <w:lang w:val="en-US"/>
          <w14:glow w14:rad="38100">
            <w14:srgbClr w14:val="92D050">
              <w14:alpha w14:val="75000"/>
            </w14:srgbClr>
          </w14:glow>
        </w:rPr>
        <w:t xml:space="preserve">Coste medio </w:t>
      </w:r>
      <w:proofErr w:type="spellStart"/>
      <w:r w:rsidRPr="008247BD">
        <w:rPr>
          <w:i/>
          <w:iCs/>
          <w:u w:val="single"/>
          <w:lang w:val="en-US"/>
          <w14:glow w14:rad="38100">
            <w14:srgbClr w14:val="92D050">
              <w14:alpha w14:val="75000"/>
            </w14:srgbClr>
          </w14:glow>
        </w:rPr>
        <w:t>ponderado</w:t>
      </w:r>
      <w:proofErr w:type="spellEnd"/>
      <w:r w:rsidRPr="008247BD">
        <w:rPr>
          <w:lang w:val="en-US"/>
          <w14:glow w14:rad="38100">
            <w14:srgbClr w14:val="92D050">
              <w14:alpha w14:val="75000"/>
            </w14:srgbClr>
          </w14:glow>
        </w:rPr>
        <w:t xml:space="preserve"> (</w:t>
      </w:r>
      <w:r w:rsidRPr="008247BD">
        <w:rPr>
          <w:i/>
          <w:iCs/>
          <w:lang w:val="en-US"/>
          <w14:glow w14:rad="38100">
            <w14:srgbClr w14:val="92D050">
              <w14:alpha w14:val="75000"/>
            </w14:srgbClr>
          </w14:glow>
        </w:rPr>
        <w:t>Weighted Average Co</w:t>
      </w:r>
      <w:r>
        <w:rPr>
          <w:i/>
          <w:iCs/>
          <w:lang w:val="en-US"/>
          <w14:glow w14:rad="38100">
            <w14:srgbClr w14:val="92D050">
              <w14:alpha w14:val="75000"/>
            </w14:srgbClr>
          </w14:glow>
        </w:rPr>
        <w:t>st of Capital</w:t>
      </w:r>
      <w:r w:rsidRPr="008247BD">
        <w:rPr>
          <w:lang w:val="en-US"/>
          <w14:glow w14:rad="38100">
            <w14:srgbClr w14:val="92D050">
              <w14:alpha w14:val="75000"/>
            </w14:srgbClr>
          </w14:glow>
        </w:rPr>
        <w:t xml:space="preserve"> </w:t>
      </w:r>
      <w:r w:rsidRPr="008247BD">
        <w:rPr>
          <w:rFonts w:eastAsiaTheme="minorEastAsia"/>
          <w:lang w:val="en-US"/>
          <w14:glow w14:rad="38100">
            <w14:srgbClr w14:val="92D050">
              <w14:alpha w14:val="75000"/>
            </w14:srgbClr>
          </w14:glow>
        </w:rPr>
        <w:t xml:space="preserve">– </w:t>
      </w:r>
      <m:oMath>
        <m:r>
          <m:rPr>
            <m:nor/>
          </m:rPr>
          <w:rPr>
            <w:i/>
            <w:iCs/>
            <w:lang w:val="en-US"/>
            <w14:glow w14:rad="38100">
              <w14:srgbClr w14:val="92D050">
                <w14:alpha w14:val="75000"/>
              </w14:srgbClr>
            </w14:glow>
          </w:rPr>
          <m:t>WACC</m:t>
        </m:r>
      </m:oMath>
      <w:r w:rsidRPr="008247BD">
        <w:rPr>
          <w:lang w:val="en-US"/>
          <w14:glow w14:rad="38100">
            <w14:srgbClr w14:val="92D050">
              <w14:alpha w14:val="75000"/>
            </w14:srgbClr>
          </w14:glow>
        </w:rPr>
        <w:t>)</w:t>
      </w:r>
      <w:r w:rsidRPr="00645F6B">
        <w:rPr>
          <w:lang w:val="en-US"/>
        </w:rPr>
        <w:t>:</w:t>
      </w:r>
    </w:p>
    <w:p w14:paraId="4623D38C" w14:textId="77777777" w:rsidR="00C74256" w:rsidRPr="00645F6B" w:rsidRDefault="00000000" w:rsidP="007C7B3B">
      <w:pPr>
        <w:pStyle w:val="Nmeroromano"/>
        <w:keepNext/>
        <w:numPr>
          <w:ilvl w:val="0"/>
          <w:numId w:val="0"/>
        </w:numPr>
        <w:spacing w:after="0"/>
        <w:ind w:left="964"/>
        <w:rPr>
          <w:rFonts w:eastAsiaTheme="minorEastAsia"/>
          <w:iCs/>
        </w:rPr>
      </w:pPr>
      <m:oMathPara>
        <m:oMath>
          <m:borderBox>
            <m:borderBoxPr>
              <m:ctrlPr>
                <w:rPr>
                  <w:rFonts w:ascii="Cambria Math" w:hAnsi="Cambria Math"/>
                  <w:i/>
                  <w:iCs/>
                </w:rPr>
              </m:ctrlPr>
            </m:borderBoxPr>
            <m:e>
              <m:r>
                <m:rPr>
                  <m:nor/>
                </m:rPr>
                <w:rPr>
                  <w:b/>
                  <w:bCs/>
                  <w:i/>
                  <w:iCs/>
                  <w14:glow w14:rad="38100">
                    <w14:srgbClr w14:val="92D050">
                      <w14:alpha w14:val="75000"/>
                    </w14:srgbClr>
                  </w14:glow>
                </w:rPr>
                <m:t>WACC</m:t>
              </m:r>
              <m:r>
                <m:rPr>
                  <m:sty m:val="bi"/>
                </m:rPr>
                <w:rPr>
                  <w:rFonts w:ascii="Cambria Math"/>
                </w:rPr>
                <m:t>=</m:t>
              </m:r>
              <m:r>
                <m:rPr>
                  <m:nor/>
                </m:rPr>
                <w:rPr>
                  <w:b/>
                  <w:bCs/>
                  <w:i/>
                  <w:iCs/>
                </w:rPr>
                <m:t>k</m:t>
              </m:r>
              <m:r>
                <w:rPr>
                  <w:rFonts w:ascii="Cambria Math" w:hAnsi="Cambria Math"/>
                </w:rPr>
                <m:t>=</m:t>
              </m:r>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lang w:val="en-US"/>
                      <w14:glow w14:rad="38100">
                        <w14:srgbClr w14:val="FFC000">
                          <w14:alpha w14:val="75000"/>
                        </w14:srgbClr>
                      </w14:glow>
                    </w:rPr>
                  </m:ctrlPr>
                </m:sSubPr>
                <m:e>
                  <m:r>
                    <m:rPr>
                      <m:nor/>
                    </m:rPr>
                    <w:rPr>
                      <w:i/>
                      <w:iCs/>
                      <w14:glow w14:rad="38100">
                        <w14:srgbClr w14:val="FFC000">
                          <w14:alpha w14:val="75000"/>
                        </w14:srgbClr>
                      </w14:glow>
                    </w:rPr>
                    <m:t>r</m:t>
                  </m:r>
                </m:e>
                <m:sub>
                  <m:r>
                    <m:rPr>
                      <m:nor/>
                    </m:rPr>
                    <w:rPr>
                      <w:i/>
                      <w:iCs/>
                      <w14:glow w14:rad="38100">
                        <w14:srgbClr w14:val="FFC000">
                          <w14:alpha w14:val="75000"/>
                        </w14:srgbClr>
                      </w14:glow>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e>
          </m:borderBox>
        </m:oMath>
      </m:oMathPara>
    </w:p>
    <w:p w14:paraId="67777B19" w14:textId="77777777" w:rsidR="00C74256" w:rsidRDefault="00C74256" w:rsidP="00C74256">
      <w:pPr>
        <w:pStyle w:val="Nivel4"/>
        <w:ind w:left="1474"/>
      </w:pPr>
      <w:r>
        <w:t>El WACC se ve influido por el grado de endeudamiento (</w:t>
      </w:r>
      <m:oMath>
        <m:r>
          <m:rPr>
            <m:nor/>
          </m:rPr>
          <w:rPr>
            <w:rFonts w:eastAsiaTheme="minorEastAsia"/>
            <w:i/>
            <w:iCs/>
          </w:rPr>
          <m:t>L</m:t>
        </m:r>
      </m:oMath>
      <w:r>
        <w:t>), que denota la estructura financiera de la empresa.</w:t>
      </w:r>
    </w:p>
    <w:p w14:paraId="6DBA54BB" w14:textId="5081A573" w:rsidR="00C74256" w:rsidRPr="00AE7F27" w:rsidRDefault="00C74256" w:rsidP="00C74256">
      <w:pPr>
        <w:pStyle w:val="Nivel4"/>
        <w:keepNext/>
        <w:ind w:left="1474"/>
        <w:rPr>
          <w:spacing w:val="-2"/>
        </w:rPr>
      </w:pPr>
      <w:r w:rsidRPr="00AE7F27">
        <w:rPr>
          <w:spacing w:val="-2"/>
        </w:rPr>
        <w:t>Por tanto, para minimizar el coste de capital y maximizar el valor de la empresa, es necesario determinar el grado de endeudamiento óptimo (</w:t>
      </w:r>
      <m:oMath>
        <m:r>
          <m:rPr>
            <m:nor/>
          </m:rPr>
          <w:rPr>
            <w:rFonts w:eastAsiaTheme="minorEastAsia"/>
            <w:i/>
            <w:iCs/>
            <w:spacing w:val="-2"/>
          </w:rPr>
          <m:t>L*</m:t>
        </m:r>
      </m:oMath>
      <w:r w:rsidRPr="00AE7F27">
        <w:rPr>
          <w:spacing w:val="-2"/>
        </w:rPr>
        <w:t>) que minimiza el WACC. Además, es importante tener en cuenta, que los cambios en la estructura financiera de la empresa (</w:t>
      </w:r>
      <m:oMath>
        <m:r>
          <m:rPr>
            <m:nor/>
          </m:rPr>
          <w:rPr>
            <w:rFonts w:eastAsiaTheme="minorEastAsia"/>
            <w:i/>
            <w:iCs/>
            <w:spacing w:val="-2"/>
          </w:rPr>
          <m:t>L</m:t>
        </m:r>
      </m:oMath>
      <w:r w:rsidRPr="00AE7F27">
        <w:rPr>
          <w:spacing w:val="-2"/>
        </w:rPr>
        <w:t>) pueden afectar al coste de capital propio (</w:t>
      </w:r>
      <m:oMath>
        <m:sSub>
          <m:sSubPr>
            <m:ctrlPr>
              <w:rPr>
                <w:rFonts w:ascii="Cambria Math" w:hAnsi="Cambria Math"/>
                <w:i/>
                <w:iCs/>
                <w:spacing w:val="-2"/>
                <w:lang w:val="en-US"/>
              </w:rPr>
            </m:ctrlPr>
          </m:sSubPr>
          <m:e>
            <m:r>
              <m:rPr>
                <m:nor/>
              </m:rPr>
              <w:rPr>
                <w:i/>
                <w:iCs/>
                <w:spacing w:val="-2"/>
              </w:rPr>
              <m:t>r</m:t>
            </m:r>
          </m:e>
          <m:sub>
            <m:r>
              <m:rPr>
                <m:nor/>
              </m:rPr>
              <w:rPr>
                <w:i/>
                <w:iCs/>
                <w:spacing w:val="-2"/>
              </w:rPr>
              <m:t>E</m:t>
            </m:r>
          </m:sub>
        </m:sSub>
      </m:oMath>
      <w:r w:rsidRPr="00AE7F27">
        <w:rPr>
          <w:spacing w:val="-2"/>
        </w:rPr>
        <w:t>) y al coste de capital ajeno (</w:t>
      </w:r>
      <m:oMath>
        <m:sSub>
          <m:sSubPr>
            <m:ctrlPr>
              <w:rPr>
                <w:rFonts w:ascii="Cambria Math" w:hAnsi="Cambria Math"/>
                <w:i/>
                <w:iCs/>
                <w:spacing w:val="-2"/>
                <w:lang w:val="en-US"/>
              </w:rPr>
            </m:ctrlPr>
          </m:sSubPr>
          <m:e>
            <m:r>
              <m:rPr>
                <m:nor/>
              </m:rPr>
              <w:rPr>
                <w:i/>
                <w:iCs/>
                <w:spacing w:val="-2"/>
              </w:rPr>
              <m:t>r</m:t>
            </m:r>
          </m:e>
          <m:sub>
            <m:r>
              <m:rPr>
                <m:nor/>
              </m:rPr>
              <w:rPr>
                <w:i/>
                <w:iCs/>
                <w:spacing w:val="-2"/>
              </w:rPr>
              <m:t>D</m:t>
            </m:r>
          </m:sub>
        </m:sSub>
      </m:oMath>
      <w:r w:rsidRPr="00AE7F27">
        <w:rPr>
          <w:spacing w:val="-2"/>
        </w:rPr>
        <w:t xml:space="preserve">), de forma que estas últimas pueden ser consideradas funciones de </w:t>
      </w:r>
      <m:oMath>
        <m:r>
          <m:rPr>
            <m:nor/>
          </m:rPr>
          <w:rPr>
            <w:rFonts w:eastAsiaTheme="minorEastAsia"/>
            <w:i/>
            <w:iCs/>
            <w:spacing w:val="-2"/>
          </w:rPr>
          <m:t>L</m:t>
        </m:r>
      </m:oMath>
      <w:r w:rsidRPr="00AE7F27">
        <w:rPr>
          <w:rStyle w:val="Refdenotaalpie"/>
          <w:rFonts w:eastAsiaTheme="minorEastAsia"/>
          <w:iCs/>
          <w:spacing w:val="-2"/>
        </w:rPr>
        <w:footnoteReference w:id="8"/>
      </w:r>
      <w:r w:rsidRPr="00AE7F27">
        <w:rPr>
          <w:rFonts w:eastAsiaTheme="minorEastAsia"/>
          <w:iCs/>
          <w:spacing w:val="-2"/>
        </w:rPr>
        <w:t>.</w:t>
      </w:r>
    </w:p>
    <w:p w14:paraId="2051844B" w14:textId="77777777" w:rsidR="00C74256" w:rsidRPr="00F244EF" w:rsidRDefault="00C74256" w:rsidP="00C74256">
      <w:pPr>
        <w:pStyle w:val="Nivel5"/>
        <w:ind w:left="1871"/>
      </w:pPr>
      <w:r>
        <w:t>Omitir esta consideración en nuestro análisis podría ser un error grave, ya que puede hacer parecer fácil reducir el coste de financiación mediante un aumento del endeudamiento (</w:t>
      </w:r>
      <m:oMath>
        <m:r>
          <m:rPr>
            <m:nor/>
          </m:rPr>
          <w:rPr>
            <w:i/>
          </w:rPr>
          <m:t>L</m:t>
        </m:r>
      </m:oMath>
      <w:r>
        <w:t>), ya que la financiación ajena siempre es más barata que la financiación interna (</w:t>
      </w:r>
      <m:oMath>
        <m:sSub>
          <m:sSubPr>
            <m:ctrlPr>
              <w:rPr>
                <w:rFonts w:ascii="Cambria Math" w:hAnsi="Cambria Math"/>
                <w:i/>
                <w:iCs/>
                <w:lang w:val="en-US"/>
              </w:rPr>
            </m:ctrlPr>
          </m:sSubPr>
          <m:e>
            <m:r>
              <m:rPr>
                <m:nor/>
              </m:rPr>
              <w:rPr>
                <w:i/>
                <w:iCs/>
              </w:rPr>
              <m:t>r</m:t>
            </m:r>
          </m:e>
          <m:sub>
            <m:r>
              <m:rPr>
                <m:nor/>
              </m:rPr>
              <w:rPr>
                <w:i/>
                <w:iCs/>
              </w:rPr>
              <m:t>D</m:t>
            </m:r>
          </m:sub>
        </m:sSub>
        <m:r>
          <w:rPr>
            <w:rFonts w:ascii="Cambria Math" w:eastAsiaTheme="minorEastAsia" w:hAnsi="Cambria Math"/>
          </w:rPr>
          <m:t>&lt;</m:t>
        </m:r>
        <m:sSub>
          <m:sSubPr>
            <m:ctrlPr>
              <w:rPr>
                <w:rFonts w:ascii="Cambria Math" w:hAnsi="Cambria Math"/>
                <w:i/>
                <w:iCs/>
                <w:lang w:val="en-US"/>
              </w:rPr>
            </m:ctrlPr>
          </m:sSubPr>
          <m:e>
            <m:r>
              <m:rPr>
                <m:nor/>
              </m:rPr>
              <w:rPr>
                <w:i/>
                <w:iCs/>
              </w:rPr>
              <m:t>r</m:t>
            </m:r>
          </m:e>
          <m:sub>
            <m:r>
              <m:rPr>
                <m:nor/>
              </m:rPr>
              <w:rPr>
                <w:i/>
                <w:iCs/>
              </w:rPr>
              <m:t>E</m:t>
            </m:r>
          </m:sub>
        </m:sSub>
      </m:oMath>
      <w:r>
        <w:t>). Sin embargo, a mayor endeudamiento (</w:t>
      </w:r>
      <m:oMath>
        <m:r>
          <m:rPr>
            <m:nor/>
          </m:rPr>
          <w:rPr>
            <w:i/>
          </w:rPr>
          <m:t>L</m:t>
        </m:r>
      </m:oMath>
      <w:r>
        <w:t>) mayor es el coste de la financiación, tanto interna como externa.</w:t>
      </w:r>
    </w:p>
    <w:p w14:paraId="0AEAC5FE" w14:textId="77777777" w:rsidR="00C74256" w:rsidRDefault="00185589" w:rsidP="00C74256">
      <w:pPr>
        <w:pStyle w:val="Nivel1SM"/>
        <w:keepNext/>
        <w:spacing w:after="0"/>
      </w:pPr>
      <w:r w:rsidRPr="00051BDE">
        <w:rPr>
          <w:smallCaps/>
        </w:rPr>
        <w:t>Modigliani</w:t>
      </w:r>
      <w:r>
        <w:t xml:space="preserve"> y </w:t>
      </w:r>
      <w:r w:rsidRPr="00051BDE">
        <w:rPr>
          <w:smallCaps/>
        </w:rPr>
        <w:t>Miller</w:t>
      </w:r>
      <w:r>
        <w:t xml:space="preserve"> (1958)</w:t>
      </w:r>
      <w:r w:rsidR="003F44C7">
        <w:rPr>
          <w:rStyle w:val="Refdenotaalpie"/>
        </w:rPr>
        <w:footnoteReference w:id="9"/>
      </w:r>
      <w:r>
        <w:t xml:space="preserve"> demostraron que en condiciones de </w:t>
      </w:r>
      <w:r w:rsidR="00C74256">
        <w:t xml:space="preserve">mercados financieros perfectos y </w:t>
      </w:r>
      <w:r>
        <w:t xml:space="preserve">ausencia de fricciones </w:t>
      </w:r>
      <w:r w:rsidR="00C74256">
        <w:t>(p.ej.</w:t>
      </w:r>
      <w:r>
        <w:t xml:space="preserve"> costes de insolvencia o transacción</w:t>
      </w:r>
      <w:r w:rsidR="00C74256">
        <w:t>)</w:t>
      </w:r>
      <w:r>
        <w:t>, el WACC no depende de la estructura financiera de la empresa</w:t>
      </w:r>
      <w:r w:rsidR="003F44C7" w:rsidRPr="003F44C7">
        <w:t xml:space="preserve"> </w:t>
      </w:r>
      <w:r w:rsidRPr="00185589">
        <w:rPr>
          <w:color w:val="767171" w:themeColor="background2" w:themeShade="80"/>
          <w:sz w:val="19"/>
          <w:szCs w:val="19"/>
        </w:rPr>
        <w:t>[ver tema 3.B.</w:t>
      </w:r>
      <w:r>
        <w:rPr>
          <w:color w:val="767171" w:themeColor="background2" w:themeShade="80"/>
          <w:sz w:val="19"/>
          <w:szCs w:val="19"/>
        </w:rPr>
        <w:t>3</w:t>
      </w:r>
      <w:r w:rsidRPr="00185589">
        <w:rPr>
          <w:color w:val="767171" w:themeColor="background2" w:themeShade="80"/>
          <w:sz w:val="19"/>
          <w:szCs w:val="19"/>
        </w:rPr>
        <w:t>]</w:t>
      </w:r>
      <w:r w:rsidR="003F114F">
        <w:rPr>
          <w:rStyle w:val="Refdenotaalpie"/>
        </w:rPr>
        <w:footnoteReference w:id="10"/>
      </w:r>
      <w:r w:rsidR="003F44C7">
        <w:t>.</w:t>
      </w:r>
    </w:p>
    <w:p w14:paraId="3DAE7152" w14:textId="1283E8DD" w:rsidR="00185589" w:rsidRDefault="003F44C7" w:rsidP="00C74256">
      <w:pPr>
        <w:pStyle w:val="Nivel2SM"/>
      </w:pPr>
      <w:r>
        <w:t>De este modo, el valor de la empresa vendría determinado por sus activos y los flujos de caja que aquéllos generan (decisión de inversión), y por tanto, no dependería de la estructura de sus pasivos y fondos propios (decisión de financiación).</w:t>
      </w:r>
      <w:r w:rsidR="00C74256">
        <w:t xml:space="preserve"> Esto es lo que se conoce como </w:t>
      </w:r>
      <w:r w:rsidR="00C74256">
        <w:rPr>
          <w:b/>
          <w:bCs/>
        </w:rPr>
        <w:t>proposición de irrelevancia</w:t>
      </w:r>
      <w:bookmarkStart w:id="20" w:name="_Hlk141872603"/>
      <w:r w:rsidR="000C5CBD" w:rsidRPr="00662302">
        <w:rPr>
          <w:rStyle w:val="Refdenotaalpie"/>
        </w:rPr>
        <w:footnoteReference w:id="11"/>
      </w:r>
      <w:bookmarkEnd w:id="20"/>
      <w:r w:rsidR="00F47C0B" w:rsidRPr="00F47C0B">
        <w:rPr>
          <w:vertAlign w:val="superscript"/>
        </w:rPr>
        <w:t>,</w:t>
      </w:r>
      <w:bookmarkStart w:id="21" w:name="_Hlk141872620"/>
      <w:r w:rsidR="00F47C0B">
        <w:rPr>
          <w:rStyle w:val="Refdenotaalpie"/>
        </w:rPr>
        <w:footnoteReference w:id="12"/>
      </w:r>
      <w:bookmarkEnd w:id="21"/>
      <w:r w:rsidR="00C74256">
        <w:t>.</w:t>
      </w:r>
    </w:p>
    <w:p w14:paraId="287703A2" w14:textId="6502B66D" w:rsidR="00BA5381" w:rsidRDefault="00BA5381" w:rsidP="00BA5381">
      <w:pPr>
        <w:pStyle w:val="Nivel1SM"/>
        <w:keepNext/>
        <w:spacing w:after="0"/>
      </w:pPr>
      <w:bookmarkStart w:id="22" w:name="_Hlk101365434"/>
      <w:r w:rsidRPr="00BA5381">
        <w:rPr>
          <w:iCs/>
        </w:rPr>
        <w:lastRenderedPageBreak/>
        <w:t>Po</w:t>
      </w:r>
      <w:r w:rsidRPr="00BA5381">
        <w:t>r otra parte,</w:t>
      </w:r>
      <w:r>
        <w:rPr>
          <w:smallCaps/>
        </w:rPr>
        <w:t xml:space="preserve"> </w:t>
      </w:r>
      <w:proofErr w:type="spellStart"/>
      <w:r>
        <w:rPr>
          <w:smallCaps/>
        </w:rPr>
        <w:t>Holmström</w:t>
      </w:r>
      <w:proofErr w:type="spellEnd"/>
      <w:r w:rsidRPr="00A84110">
        <w:rPr>
          <w:smallCaps/>
        </w:rPr>
        <w:t xml:space="preserve"> </w:t>
      </w:r>
      <w:r>
        <w:t>y</w:t>
      </w:r>
      <w:r>
        <w:rPr>
          <w:smallCaps/>
        </w:rPr>
        <w:t xml:space="preserve"> </w:t>
      </w:r>
      <w:proofErr w:type="spellStart"/>
      <w:r>
        <w:rPr>
          <w:smallCaps/>
        </w:rPr>
        <w:t>Tirole</w:t>
      </w:r>
      <w:proofErr w:type="spellEnd"/>
      <w:r>
        <w:t xml:space="preserve"> (2013)</w:t>
      </w:r>
      <w:r>
        <w:rPr>
          <w:rStyle w:val="Refdenotaalpie"/>
          <w:smallCaps/>
        </w:rPr>
        <w:footnoteReference w:id="13"/>
      </w:r>
      <w:r>
        <w:t xml:space="preserve">, en su publicación </w:t>
      </w:r>
      <w:proofErr w:type="spellStart"/>
      <w:r>
        <w:rPr>
          <w:i/>
          <w:iCs/>
        </w:rPr>
        <w:t>Inside</w:t>
      </w:r>
      <w:proofErr w:type="spellEnd"/>
      <w:r>
        <w:rPr>
          <w:i/>
          <w:iCs/>
        </w:rPr>
        <w:t xml:space="preserve"> and </w:t>
      </w:r>
      <w:proofErr w:type="spellStart"/>
      <w:r>
        <w:rPr>
          <w:i/>
          <w:iCs/>
        </w:rPr>
        <w:t>Outside</w:t>
      </w:r>
      <w:proofErr w:type="spellEnd"/>
      <w:r>
        <w:rPr>
          <w:i/>
          <w:iCs/>
        </w:rPr>
        <w:t xml:space="preserve"> </w:t>
      </w:r>
      <w:proofErr w:type="spellStart"/>
      <w:r>
        <w:rPr>
          <w:i/>
          <w:iCs/>
        </w:rPr>
        <w:t>Liquidity</w:t>
      </w:r>
      <w:proofErr w:type="spellEnd"/>
      <w:r>
        <w:t xml:space="preserve"> comienzan su investigación con una pregunta fundamental </w:t>
      </w:r>
      <w:r w:rsidRPr="004D215A">
        <w:rPr>
          <w:i/>
          <w:iCs/>
        </w:rPr>
        <w:t>¿por qué mantienen las empresas amplios colchones de liquidez?</w:t>
      </w:r>
    </w:p>
    <w:p w14:paraId="636CF0A4" w14:textId="69D9BBFF" w:rsidR="00186B1E" w:rsidRPr="00186B1E" w:rsidRDefault="00031196" w:rsidP="00031196">
      <w:pPr>
        <w:pStyle w:val="Nivel2SM"/>
        <w:keepNext/>
        <w:spacing w:after="0"/>
        <w:rPr>
          <w:spacing w:val="-2"/>
        </w:rPr>
      </w:pPr>
      <w:r w:rsidRPr="00031196">
        <w:rPr>
          <w:spacing w:val="-2"/>
        </w:rPr>
        <w:t>Estos colchones de liquidez aparecen tanto en sus activos como en sus pasivos</w:t>
      </w:r>
      <w:r w:rsidR="00186B1E">
        <w:rPr>
          <w:spacing w:val="-2"/>
        </w:rPr>
        <w:t>.</w:t>
      </w:r>
    </w:p>
    <w:p w14:paraId="78D3299A" w14:textId="341D4F03" w:rsidR="00BA5381" w:rsidRPr="004D215A" w:rsidRDefault="00BA5381" w:rsidP="00031196">
      <w:pPr>
        <w:pStyle w:val="Nivel3SM"/>
        <w:keepNext/>
      </w:pPr>
      <w:r w:rsidRPr="004D215A">
        <w:rPr>
          <w:i/>
          <w:iCs/>
        </w:rPr>
        <w:t>Desde el lado de los activos</w:t>
      </w:r>
      <w:r w:rsidRPr="004D215A">
        <w:t>, las empresas retienen mucha liquidez en forma de efectivo, depósitos a la vista y de activos financieros de muy corta vida (para simplificar la exposición voy a llamar a estos tres componentes “efectivo”, aunque no sean literalmente monedas y billetes).</w:t>
      </w:r>
    </w:p>
    <w:p w14:paraId="57EFEB49" w14:textId="7F23D325" w:rsidR="00BA5381" w:rsidRDefault="00BA5381" w:rsidP="00186B1E">
      <w:pPr>
        <w:pStyle w:val="Nivel4"/>
        <w:ind w:left="1474"/>
      </w:pPr>
      <w:r>
        <w:t>Para hacernos una idea de que estamos hablando de cantidades más que considerables un dato es suficiente: las empresas del S&amp;P500 en EEUU se sientan estos días en una cifra cercana a 1,45</w:t>
      </w:r>
      <w:r w:rsidR="00325E1E">
        <w:t> </w:t>
      </w:r>
      <w:r>
        <w:t>billones de dólares (</w:t>
      </w:r>
      <w:proofErr w:type="spellStart"/>
      <w:r w:rsidRPr="00C63D60">
        <w:rPr>
          <w:i/>
          <w:iCs/>
        </w:rPr>
        <w:t>trillions</w:t>
      </w:r>
      <w:proofErr w:type="spellEnd"/>
      <w:r>
        <w:t>) en efectivo</w:t>
      </w:r>
      <w:r>
        <w:rPr>
          <w:rStyle w:val="Refdenotaalpie"/>
        </w:rPr>
        <w:footnoteReference w:id="14"/>
      </w:r>
      <w:r>
        <w:t xml:space="preserve">. </w:t>
      </w:r>
      <w:r w:rsidRPr="00C63D60">
        <w:rPr>
          <w:spacing w:val="-2"/>
        </w:rPr>
        <w:t>1,45</w:t>
      </w:r>
      <w:r w:rsidR="00325E1E">
        <w:rPr>
          <w:spacing w:val="-2"/>
        </w:rPr>
        <w:t> </w:t>
      </w:r>
      <w:r w:rsidRPr="00C63D60">
        <w:rPr>
          <w:spacing w:val="-2"/>
        </w:rPr>
        <w:t>billones de dólares viene a ser aproximadamente el valor del PIB de España y Portugal juntos.</w:t>
      </w:r>
      <w:r>
        <w:rPr>
          <w:spacing w:val="-2"/>
        </w:rPr>
        <w:t xml:space="preserve"> </w:t>
      </w:r>
      <w:r w:rsidRPr="001D16F0">
        <w:t>Y este total no incluye activos de madurez más alta pero que se pueden vender fácilmente, como acciones.</w:t>
      </w:r>
    </w:p>
    <w:p w14:paraId="2A22308E" w14:textId="77777777" w:rsidR="00BA5381" w:rsidRDefault="00BA5381" w:rsidP="00186B1E">
      <w:pPr>
        <w:pStyle w:val="Nivel3SM"/>
      </w:pPr>
      <w:r w:rsidRPr="004D215A">
        <w:rPr>
          <w:i/>
          <w:iCs/>
        </w:rPr>
        <w:t>Desde el lado del pasivo</w:t>
      </w:r>
      <w:r w:rsidRPr="001D16F0">
        <w:t>, las empresas contratan líneas de crédito y otras facilidades, a menudo a un coste no trivial, para ser capaces de tomar prestadas elevadas cantidades de manera casi instantánea.</w:t>
      </w:r>
    </w:p>
    <w:p w14:paraId="7CAD73AD" w14:textId="77777777" w:rsidR="00BA5381" w:rsidRDefault="00BA5381" w:rsidP="00186B1E">
      <w:pPr>
        <w:pStyle w:val="Nivel2SM"/>
        <w:keepNext/>
        <w:spacing w:after="0"/>
      </w:pPr>
      <w:r>
        <w:lastRenderedPageBreak/>
        <w:t>Estas grandes masas de liquidez son difíciles de encajar con la idea de que los mercados financieros funcionan correctamente.</w:t>
      </w:r>
    </w:p>
    <w:p w14:paraId="253BA79D" w14:textId="77777777" w:rsidR="00BA5381" w:rsidRDefault="00BA5381" w:rsidP="00186B1E">
      <w:pPr>
        <w:pStyle w:val="Nivel3SM"/>
        <w:keepNext/>
      </w:pPr>
      <w:r>
        <w:t>Pensemos por un momento en un mercado sin fricciones.</w:t>
      </w:r>
    </w:p>
    <w:p w14:paraId="7C99FDEF" w14:textId="77777777" w:rsidR="00BA5381" w:rsidRDefault="00BA5381" w:rsidP="00186B1E">
      <w:pPr>
        <w:pStyle w:val="Nivel4"/>
        <w:ind w:left="1474"/>
      </w:pPr>
      <w:r>
        <w:t>En ese mundo sin fricciones, una empresa no necesita mantener más que una cantidad trivial de efectivo para sus pagos a diario, pues si en algún momento precisa de cantidades mayores puede acudir al mercado y emitir acciones o deuda para financiar sus necesidades adicionales.</w:t>
      </w:r>
    </w:p>
    <w:p w14:paraId="3AAFBA1A" w14:textId="44AD7AD6" w:rsidR="00BA5381" w:rsidRDefault="00BA5381" w:rsidP="00186B1E">
      <w:pPr>
        <w:pStyle w:val="Nivel4"/>
        <w:ind w:left="1474"/>
      </w:pPr>
      <w:r>
        <w:t>El efectivo por encima de esa cantidad mínima de caja puede ser invertido en proyectos que tengan un valor presente más alto que el coste de oportunidad de los fondos (adecuadamente ajustado por riesgo), empleado para liquidar deuda (muchas de estas empresas tienen deuda viva por la que pagan intereses más altos que los que obtienen por su efectivo) o devuelto a los accionistas en forma de dividendos o de recompra de acciones.</w:t>
      </w:r>
    </w:p>
    <w:p w14:paraId="02835017" w14:textId="0B62F7FC" w:rsidR="00BA5381" w:rsidRDefault="00BA5381" w:rsidP="00186B1E">
      <w:pPr>
        <w:pStyle w:val="Nivel2SM"/>
        <w:keepNext/>
        <w:spacing w:after="0"/>
      </w:pPr>
      <w:r>
        <w:t>¿Qué falla en los mercados financieros? ¿Cómo explicamos este comportamiento aparentemente contradictorio con lo que esperaríamos de los mercados financieros?</w:t>
      </w:r>
      <w:bookmarkStart w:id="23" w:name="_Hlk125286850"/>
      <w:r w:rsidR="00186B1E">
        <w:rPr>
          <w:rStyle w:val="Refdenotaalpie"/>
        </w:rPr>
        <w:footnoteReference w:id="15"/>
      </w:r>
      <w:bookmarkEnd w:id="23"/>
    </w:p>
    <w:p w14:paraId="02A43144" w14:textId="77777777" w:rsidR="00BA5381" w:rsidRDefault="00BA5381" w:rsidP="00186B1E">
      <w:pPr>
        <w:pStyle w:val="Nivel3SM"/>
        <w:keepNext/>
      </w:pPr>
      <w:proofErr w:type="spellStart"/>
      <w:r w:rsidRPr="001512BB">
        <w:rPr>
          <w:smallCaps/>
        </w:rPr>
        <w:t>Holmström</w:t>
      </w:r>
      <w:proofErr w:type="spellEnd"/>
      <w:r>
        <w:t xml:space="preserve"> y </w:t>
      </w:r>
      <w:proofErr w:type="spellStart"/>
      <w:r w:rsidRPr="001512BB">
        <w:rPr>
          <w:smallCaps/>
        </w:rPr>
        <w:t>Tirole</w:t>
      </w:r>
      <w:proofErr w:type="spellEnd"/>
      <w:r>
        <w:t xml:space="preserve"> parten de la observación de que los mercados financieros están plagados de información asimétrica</w:t>
      </w:r>
      <w:r w:rsidRPr="001512BB">
        <w:rPr>
          <w:color w:val="767171" w:themeColor="background2" w:themeShade="80"/>
          <w:sz w:val="19"/>
          <w:szCs w:val="19"/>
        </w:rPr>
        <w:t xml:space="preserve"> [</w:t>
      </w:r>
      <w:r>
        <w:rPr>
          <w:color w:val="767171" w:themeColor="background2" w:themeShade="80"/>
          <w:sz w:val="19"/>
          <w:szCs w:val="19"/>
        </w:rPr>
        <w:t>ver tema 3.A.13</w:t>
      </w:r>
      <w:r w:rsidRPr="001512BB">
        <w:rPr>
          <w:color w:val="767171" w:themeColor="background2" w:themeShade="80"/>
          <w:sz w:val="19"/>
          <w:szCs w:val="19"/>
        </w:rPr>
        <w:t>]</w:t>
      </w:r>
      <w:r>
        <w:t>.</w:t>
      </w:r>
    </w:p>
    <w:p w14:paraId="7002A5F0" w14:textId="77777777" w:rsidR="00BA5381" w:rsidRDefault="00BA5381" w:rsidP="00186B1E">
      <w:pPr>
        <w:pStyle w:val="Nivel4"/>
        <w:ind w:left="1474"/>
      </w:pPr>
      <w:r>
        <w:t>Los directivos tienen más información sobre la generación de flujos de caja futuros que los financiadores de la empresa. La verificación de la rentabilidad de futuras inversiones de la empresa es costosa e incierta.</w:t>
      </w:r>
    </w:p>
    <w:p w14:paraId="30A4EDC8" w14:textId="77777777" w:rsidR="00BA5381" w:rsidRDefault="00BA5381" w:rsidP="00186B1E">
      <w:pPr>
        <w:pStyle w:val="Nivel4"/>
        <w:ind w:left="1474"/>
      </w:pPr>
      <w:r>
        <w:t>El problema es que sin verificación no hay financiación suficiente y se pierden beneficios potenciales. Ante estas dificultades, una empresa puede decidir mantener suficiente efectivo sin necesidad de ir al mercado.</w:t>
      </w:r>
    </w:p>
    <w:p w14:paraId="4242DEC2" w14:textId="661DC23C" w:rsidR="00BA5381" w:rsidRDefault="00BA5381" w:rsidP="00186B1E">
      <w:pPr>
        <w:pStyle w:val="Nivel2SM"/>
        <w:keepNext/>
        <w:spacing w:after="0"/>
      </w:pPr>
      <w:r>
        <w:t xml:space="preserve">Por lo tanto, del estudio de </w:t>
      </w:r>
      <w:proofErr w:type="spellStart"/>
      <w:r w:rsidRPr="006C009F">
        <w:rPr>
          <w:smallCaps/>
        </w:rPr>
        <w:t>Holmström</w:t>
      </w:r>
      <w:proofErr w:type="spellEnd"/>
      <w:r>
        <w:t xml:space="preserve"> y </w:t>
      </w:r>
      <w:proofErr w:type="spellStart"/>
      <w:r>
        <w:rPr>
          <w:smallCaps/>
        </w:rPr>
        <w:t>Tirole</w:t>
      </w:r>
      <w:proofErr w:type="spellEnd"/>
      <w:r>
        <w:t xml:space="preserve"> podemos rescatar </w:t>
      </w:r>
      <w:r w:rsidRPr="00114141">
        <w:rPr>
          <w:b/>
          <w:bCs/>
        </w:rPr>
        <w:t>3</w:t>
      </w:r>
      <w:r w:rsidR="00325E1E">
        <w:rPr>
          <w:b/>
          <w:bCs/>
        </w:rPr>
        <w:t> </w:t>
      </w:r>
      <w:r w:rsidRPr="00114141">
        <w:rPr>
          <w:b/>
          <w:bCs/>
        </w:rPr>
        <w:t>corolarios</w:t>
      </w:r>
      <w:r>
        <w:t xml:space="preserve"> principales:</w:t>
      </w:r>
    </w:p>
    <w:p w14:paraId="1A688ECC" w14:textId="77777777" w:rsidR="00BA5381" w:rsidRDefault="00BA5381">
      <w:pPr>
        <w:pStyle w:val="Prrafodelista"/>
        <w:numPr>
          <w:ilvl w:val="7"/>
          <w:numId w:val="7"/>
        </w:numPr>
        <w:spacing w:after="100"/>
        <w:ind w:left="1135" w:hanging="284"/>
      </w:pPr>
      <w:r>
        <w:t xml:space="preserve">Este estudio nos da un motivo por el que no se cumple el teorema de </w:t>
      </w:r>
      <w:r w:rsidRPr="00C63D60">
        <w:rPr>
          <w:smallCaps/>
        </w:rPr>
        <w:t>Modigliani</w:t>
      </w:r>
      <w:r>
        <w:t xml:space="preserve"> y </w:t>
      </w:r>
      <w:r w:rsidRPr="00C63D60">
        <w:rPr>
          <w:smallCaps/>
        </w:rPr>
        <w:t>Miller</w:t>
      </w:r>
      <w:r>
        <w:t>, es decir, la estructura del pasivo de la empresa importa en su valoración. En particular, si las oportunidades de inversión llegan de manera aleatoria, la empresa precisa de tener liquidez de manera inmediata, por ejemplo en términos de efectivo.</w:t>
      </w:r>
    </w:p>
    <w:p w14:paraId="383AE52D" w14:textId="77777777" w:rsidR="00BA5381" w:rsidRPr="00244789" w:rsidRDefault="00BA5381">
      <w:pPr>
        <w:pStyle w:val="Prrafodelista"/>
        <w:numPr>
          <w:ilvl w:val="7"/>
          <w:numId w:val="7"/>
        </w:numPr>
        <w:spacing w:after="100"/>
        <w:ind w:left="1135" w:hanging="284"/>
        <w:rPr>
          <w:spacing w:val="-6"/>
        </w:rPr>
      </w:pPr>
      <w:r w:rsidRPr="00244789">
        <w:rPr>
          <w:spacing w:val="-6"/>
        </w:rPr>
        <w:lastRenderedPageBreak/>
        <w:t>Este estudio nos da un motivo por el que el rendimiento de los fondos propios está por encima del rendimiento de los fondos ajenos (los mismos capturan las rentas informacionales).</w:t>
      </w:r>
    </w:p>
    <w:p w14:paraId="4676CA9C" w14:textId="1EB156A9" w:rsidR="00BA5381" w:rsidRPr="00325E1E" w:rsidRDefault="00BA5381">
      <w:pPr>
        <w:pStyle w:val="Prrafodelista"/>
        <w:numPr>
          <w:ilvl w:val="7"/>
          <w:numId w:val="7"/>
        </w:numPr>
        <w:spacing w:after="100"/>
        <w:ind w:left="1135" w:hanging="284"/>
        <w:rPr>
          <w:spacing w:val="-1"/>
        </w:rPr>
      </w:pPr>
      <w:r w:rsidRPr="00325E1E">
        <w:rPr>
          <w:spacing w:val="-1"/>
        </w:rPr>
        <w:t xml:space="preserve">Este estudio nos da un motivo para las diferencias en las estructuras de financiación de las empresas entre sectores. En un sector donde el porcentaje de verificación es muy alto (por ejemplo, en un sector maduro donde todos los participantes conocen bien cómo funciona el proceso de producción y el mercado de recursos), las empresas necesitan menos fondos propios </w:t>
      </w:r>
      <w:r w:rsidR="00F913A7" w:rsidRPr="00325E1E">
        <w:rPr>
          <w:spacing w:val="-1"/>
        </w:rPr>
        <w:t xml:space="preserve">y </w:t>
      </w:r>
      <w:r w:rsidRPr="00325E1E">
        <w:rPr>
          <w:spacing w:val="-1"/>
        </w:rPr>
        <w:t>se podrán financiar en gran medida mediante deuda. En cambio</w:t>
      </w:r>
      <w:r w:rsidR="00325E1E" w:rsidRPr="00325E1E">
        <w:rPr>
          <w:spacing w:val="-1"/>
        </w:rPr>
        <w:t>,</w:t>
      </w:r>
      <w:r w:rsidRPr="00325E1E">
        <w:rPr>
          <w:spacing w:val="-1"/>
        </w:rPr>
        <w:t xml:space="preserve"> en un sector donde el porcentaje de verificación de los proyectos de inversión es bajo (p.ej. el sector de las tecnológicas), las empresas necesitarán muchos recursos propios.</w:t>
      </w:r>
    </w:p>
    <w:p w14:paraId="1348C5FF" w14:textId="3FD14EF8" w:rsidR="00466206" w:rsidRDefault="00466206" w:rsidP="00466206">
      <w:pPr>
        <w:pStyle w:val="Ttulo3"/>
      </w:pPr>
      <w:bookmarkStart w:id="24" w:name="_Toc172232829"/>
      <w:r>
        <w:t>Determinantes del coste de capital</w:t>
      </w:r>
      <w:bookmarkEnd w:id="24"/>
    </w:p>
    <w:p w14:paraId="02406ED2" w14:textId="4B41D4B0" w:rsidR="00466206" w:rsidRDefault="00466206" w:rsidP="0071310A">
      <w:pPr>
        <w:pStyle w:val="Nivel1SM"/>
        <w:keepNext/>
        <w:spacing w:before="0" w:after="0"/>
      </w:pPr>
      <w:r>
        <w:t>Por lo tanto, los determinantes del coste de capital son:</w:t>
      </w:r>
    </w:p>
    <w:p w14:paraId="74DBCCAD" w14:textId="77777777" w:rsidR="00B56B89" w:rsidRDefault="00466206" w:rsidP="00F913A7">
      <w:pPr>
        <w:pStyle w:val="Prrafodelista"/>
        <w:keepNext/>
        <w:numPr>
          <w:ilvl w:val="2"/>
          <w:numId w:val="15"/>
        </w:numPr>
        <w:spacing w:after="0"/>
        <w:ind w:left="567" w:hanging="113"/>
      </w:pPr>
      <w:r>
        <w:rPr>
          <w:i/>
          <w:iCs/>
          <w:u w:val="single"/>
        </w:rPr>
        <w:t>Riesgo</w:t>
      </w:r>
      <w:r>
        <w:t>:</w:t>
      </w:r>
    </w:p>
    <w:p w14:paraId="25767414" w14:textId="77777777" w:rsidR="00B56B89" w:rsidRDefault="00466206" w:rsidP="00B56B89">
      <w:pPr>
        <w:pStyle w:val="Nivel3SM"/>
        <w:keepNext/>
      </w:pPr>
      <w:r>
        <w:t>En particular</w:t>
      </w:r>
      <w:r w:rsidR="00B56B89">
        <w:t>,</w:t>
      </w:r>
      <w:r>
        <w:t xml:space="preserve"> el riesgo sistemático (no diversificable).</w:t>
      </w:r>
    </w:p>
    <w:p w14:paraId="62D610C6" w14:textId="657A720E" w:rsidR="00466206" w:rsidRDefault="00466206" w:rsidP="00B56B89">
      <w:pPr>
        <w:pStyle w:val="Nivel4"/>
        <w:ind w:left="1474"/>
      </w:pPr>
      <w:r>
        <w:t>En cambio, el riesgo específico (diversificable, p.ej. riesgo de impago de una empresa) no impacta al coste de capital (se supone que los inversores diversifican).</w:t>
      </w:r>
    </w:p>
    <w:p w14:paraId="3A5B5C48" w14:textId="3A70F024" w:rsidR="00B56B89" w:rsidRDefault="00B56B89" w:rsidP="00F913A7">
      <w:pPr>
        <w:pStyle w:val="Prrafodelista"/>
        <w:keepNext/>
        <w:numPr>
          <w:ilvl w:val="2"/>
          <w:numId w:val="15"/>
        </w:numPr>
        <w:spacing w:after="0"/>
        <w:ind w:left="567" w:hanging="113"/>
      </w:pPr>
      <w:r>
        <w:rPr>
          <w:i/>
          <w:iCs/>
          <w:u w:val="single"/>
        </w:rPr>
        <w:t>Aversión al riesgo</w:t>
      </w:r>
      <w:r>
        <w:t>:</w:t>
      </w:r>
    </w:p>
    <w:p w14:paraId="4DB35D31" w14:textId="18B50E43" w:rsidR="00466206" w:rsidRDefault="00B56B89" w:rsidP="00466206">
      <w:pPr>
        <w:pStyle w:val="Nivel3SM"/>
      </w:pPr>
      <w:r>
        <w:t>El g</w:t>
      </w:r>
      <w:r w:rsidR="00466206">
        <w:t>rado de aversión al riesgo en función de las preferencias de los agentes</w:t>
      </w:r>
      <w:r>
        <w:t xml:space="preserve"> es un determinante del coste de capital</w:t>
      </w:r>
      <w:r w:rsidR="00466206">
        <w:t>. A mayor aversión al riesgo, mayor rentabilidad demandada y mayor coste de capital.</w:t>
      </w:r>
    </w:p>
    <w:p w14:paraId="37895142" w14:textId="59F17CF2" w:rsidR="00466206" w:rsidRDefault="00466206" w:rsidP="00466206">
      <w:pPr>
        <w:pStyle w:val="Nivel3SM"/>
      </w:pPr>
      <w:r>
        <w:t>Cada agente toma un coste de capital. El coste de capital del mercado es la agregación de la suma de los costes de capital individuales.</w:t>
      </w:r>
    </w:p>
    <w:p w14:paraId="236A0959" w14:textId="77777777" w:rsidR="00B56B89" w:rsidRDefault="00466206" w:rsidP="00F913A7">
      <w:pPr>
        <w:pStyle w:val="Prrafodelista"/>
        <w:keepNext/>
        <w:numPr>
          <w:ilvl w:val="2"/>
          <w:numId w:val="15"/>
        </w:numPr>
        <w:spacing w:after="0"/>
        <w:ind w:left="567" w:hanging="113"/>
      </w:pPr>
      <w:r>
        <w:rPr>
          <w:i/>
          <w:iCs/>
          <w:u w:val="single"/>
        </w:rPr>
        <w:t>Preferencia por la liquidez</w:t>
      </w:r>
      <w:r>
        <w:t>:</w:t>
      </w:r>
    </w:p>
    <w:p w14:paraId="5184F2B4" w14:textId="5D2E2DC4" w:rsidR="00466206" w:rsidRDefault="00B56B89" w:rsidP="00D81010">
      <w:pPr>
        <w:pStyle w:val="Nivel3SM"/>
      </w:pPr>
      <w:r>
        <w:t>Hace referencia al hecho de que los financiadores de la empresa, al aportar recursos a la empresa están incurriendo en un coste de oportunidad por no poder utilizar el capital invir</w:t>
      </w:r>
      <w:r w:rsidR="00F32E8F">
        <w:t>tie</w:t>
      </w:r>
      <w:r>
        <w:t>n</w:t>
      </w:r>
      <w:r w:rsidR="00F32E8F">
        <w:t>d</w:t>
      </w:r>
      <w:r>
        <w:t>o en otros proyectos potencialmente más rentables.</w:t>
      </w:r>
      <w:r w:rsidR="00B1354B">
        <w:t xml:space="preserve"> </w:t>
      </w:r>
      <w:r>
        <w:t>De esta manera, los financiadores exigen una rentabilidad mayor cu</w:t>
      </w:r>
      <w:r w:rsidR="0071310A">
        <w:t>a</w:t>
      </w:r>
      <w:r>
        <w:t>nto mayor sea el plazo donde se renuncia a la liquidez por estar invirtiendo.</w:t>
      </w:r>
    </w:p>
    <w:p w14:paraId="5718D24A" w14:textId="77777777" w:rsidR="00930CD3" w:rsidRDefault="00466206" w:rsidP="00F913A7">
      <w:pPr>
        <w:pStyle w:val="Prrafodelista"/>
        <w:keepNext/>
        <w:numPr>
          <w:ilvl w:val="2"/>
          <w:numId w:val="15"/>
        </w:numPr>
        <w:spacing w:after="0"/>
        <w:ind w:left="567" w:hanging="113"/>
      </w:pPr>
      <w:r>
        <w:rPr>
          <w:i/>
          <w:iCs/>
          <w:u w:val="single"/>
        </w:rPr>
        <w:t>Impuestos</w:t>
      </w:r>
      <w:r>
        <w:t>:</w:t>
      </w:r>
    </w:p>
    <w:p w14:paraId="75EC4CE6" w14:textId="76BBDA7E" w:rsidR="00466206" w:rsidRDefault="00930CD3" w:rsidP="00930CD3">
      <w:pPr>
        <w:pStyle w:val="Nivel3SM"/>
      </w:pPr>
      <w:r>
        <w:t>A mayor nivel de impuesto mayor rentabilidad exigida por los accionistas ya que los impuestos erosionan el valor neto del rendimiento obtenido.</w:t>
      </w:r>
    </w:p>
    <w:p w14:paraId="14DE1006" w14:textId="2C6D3E31" w:rsidR="00466206" w:rsidRDefault="00466206" w:rsidP="00F913A7">
      <w:pPr>
        <w:pStyle w:val="Prrafodelista"/>
        <w:keepNext/>
        <w:numPr>
          <w:ilvl w:val="2"/>
          <w:numId w:val="15"/>
        </w:numPr>
        <w:spacing w:after="0"/>
        <w:ind w:left="567" w:hanging="113"/>
      </w:pPr>
      <w:r>
        <w:rPr>
          <w:i/>
          <w:iCs/>
          <w:u w:val="single"/>
        </w:rPr>
        <w:t>Inflación</w:t>
      </w:r>
      <w:r w:rsidR="00930CD3">
        <w:rPr>
          <w:i/>
          <w:iCs/>
          <w:u w:val="single"/>
        </w:rPr>
        <w:t xml:space="preserve"> esperada</w:t>
      </w:r>
      <w:r>
        <w:t>:</w:t>
      </w:r>
    </w:p>
    <w:p w14:paraId="443C449F" w14:textId="437A070E" w:rsidR="00930CD3" w:rsidRDefault="00930CD3" w:rsidP="00930CD3">
      <w:pPr>
        <w:pStyle w:val="Nivel3SM"/>
      </w:pPr>
      <w:r>
        <w:t xml:space="preserve">Una inflación esperada más elevada supone la exigencia de una rentabilidad más elevada, ya que erosiona el valor </w:t>
      </w:r>
      <w:r w:rsidR="00EE34EF">
        <w:t>nominal</w:t>
      </w:r>
      <w:r>
        <w:t xml:space="preserve"> del rendimiento obtenido.</w:t>
      </w:r>
    </w:p>
    <w:bookmarkEnd w:id="16"/>
    <w:bookmarkEnd w:id="22"/>
    <w:p w14:paraId="4801A308" w14:textId="77777777" w:rsidR="009341D2" w:rsidRDefault="004F23BD" w:rsidP="002E4C88">
      <w:pPr>
        <w:pStyle w:val="Notaalopositor"/>
      </w:pPr>
      <w:proofErr w:type="spellStart"/>
      <w:r w:rsidRPr="0071310A">
        <w:rPr>
          <w:smallCaps/>
        </w:rPr>
        <w:t>Vernimmen</w:t>
      </w:r>
      <w:proofErr w:type="spellEnd"/>
      <w:r w:rsidRPr="0071310A">
        <w:rPr>
          <w:iCs/>
        </w:rPr>
        <w:t xml:space="preserve"> et al.</w:t>
      </w:r>
      <w:r w:rsidRPr="001512BB">
        <w:t xml:space="preserve"> </w:t>
      </w:r>
      <w:r w:rsidRPr="00053DD5">
        <w:t>(</w:t>
      </w:r>
      <w:proofErr w:type="spellStart"/>
      <w:r w:rsidRPr="00053DD5">
        <w:t>chapter</w:t>
      </w:r>
      <w:proofErr w:type="spellEnd"/>
      <w:r w:rsidR="0071310A">
        <w:t> </w:t>
      </w:r>
      <w:r w:rsidRPr="00053DD5">
        <w:t>29)</w:t>
      </w:r>
    </w:p>
    <w:p w14:paraId="71E5DEB2" w14:textId="0FCD7EBB" w:rsidR="00B1354B" w:rsidRDefault="00B1354B" w:rsidP="00A50172">
      <w:pPr>
        <w:pStyle w:val="Nivel1SM"/>
        <w:keepNext/>
        <w:spacing w:after="0"/>
      </w:pPr>
      <w:r>
        <w:t>Por lo tanto, las decisiones de inversión dependen tanto de la rentabilidad</w:t>
      </w:r>
      <w:r w:rsidR="00A50172">
        <w:t xml:space="preserve"> </w:t>
      </w:r>
      <w:r w:rsidR="00A50172" w:rsidRPr="00A50172">
        <w:rPr>
          <w:sz w:val="19"/>
          <w:szCs w:val="19"/>
        </w:rPr>
        <w:t>(</w:t>
      </w:r>
      <w:r w:rsidRPr="00A50172">
        <w:rPr>
          <w:sz w:val="19"/>
          <w:szCs w:val="19"/>
        </w:rPr>
        <w:t>que dependerá del proyecto</w:t>
      </w:r>
      <w:r w:rsidR="00A50172" w:rsidRPr="00A50172">
        <w:rPr>
          <w:sz w:val="19"/>
          <w:szCs w:val="19"/>
        </w:rPr>
        <w:t>)</w:t>
      </w:r>
      <w:r>
        <w:t xml:space="preserve"> como de la capacidad de la empresa para obtener financiación y el coste al que se obtenga (coste de capital) </w:t>
      </w:r>
      <w:r w:rsidR="00A50172" w:rsidRPr="00A50172">
        <w:rPr>
          <w:sz w:val="19"/>
          <w:szCs w:val="19"/>
        </w:rPr>
        <w:t>(</w:t>
      </w:r>
      <w:r w:rsidRPr="00A50172">
        <w:rPr>
          <w:sz w:val="19"/>
          <w:szCs w:val="19"/>
        </w:rPr>
        <w:t>que dependerá fundamentalmente del riesgo sistemático</w:t>
      </w:r>
      <w:r w:rsidR="00A50172" w:rsidRPr="00A50172">
        <w:rPr>
          <w:sz w:val="19"/>
          <w:szCs w:val="19"/>
        </w:rPr>
        <w:t>)</w:t>
      </w:r>
      <w:r>
        <w:t>.</w:t>
      </w:r>
    </w:p>
    <w:p w14:paraId="18E79630" w14:textId="3489B0B5" w:rsidR="00B1354B" w:rsidRDefault="00B1354B" w:rsidP="00B1354B">
      <w:pPr>
        <w:pStyle w:val="Nivel2SM"/>
      </w:pPr>
      <w:r>
        <w:t>A continuación vamos a estudiar los criterios de valoración de proyectos de inversión en activos reales, utiliza</w:t>
      </w:r>
      <w:r w:rsidR="00EE50FD">
        <w:t>nd</w:t>
      </w:r>
      <w:r>
        <w:t>o estos 3</w:t>
      </w:r>
      <w:r w:rsidR="0071310A">
        <w:t> </w:t>
      </w:r>
      <w:r>
        <w:t>elementos importantes: rentabilidad, riesgo y coste de capital.</w:t>
      </w:r>
    </w:p>
    <w:p w14:paraId="69839A8A" w14:textId="19DAE78B" w:rsidR="00B1354B" w:rsidRDefault="00B1354B" w:rsidP="00B1354B">
      <w:pPr>
        <w:pStyle w:val="Nivel2SM"/>
      </w:pPr>
      <w:r>
        <w:t xml:space="preserve">Nuevamente hay que aclarar que la rentabilidad económica </w:t>
      </w:r>
      <w:r w:rsidR="00EE50FD">
        <w:t xml:space="preserve">y el </w:t>
      </w:r>
      <w:r>
        <w:t>coste de capital de un determinado proyecto que no tiene</w:t>
      </w:r>
      <w:r w:rsidR="00EE50FD">
        <w:t>n</w:t>
      </w:r>
      <w:r>
        <w:t xml:space="preserve"> por</w:t>
      </w:r>
      <w:r w:rsidR="0071310A">
        <w:t xml:space="preserve"> </w:t>
      </w:r>
      <w:r>
        <w:t>qu</w:t>
      </w:r>
      <w:r w:rsidR="0071310A">
        <w:t>é</w:t>
      </w:r>
      <w:r>
        <w:t xml:space="preserve"> ser </w:t>
      </w:r>
      <w:r w:rsidR="00EE50FD">
        <w:t>los</w:t>
      </w:r>
      <w:r>
        <w:t xml:space="preserve"> de la empresa en general (a menos que el nivel de riesgo del proyecto se alinee perfectamente con el nivel de riesgo de la empresa).</w:t>
      </w:r>
    </w:p>
    <w:p w14:paraId="1CF62642" w14:textId="4E825283" w:rsidR="0061144A" w:rsidRPr="00053DD5" w:rsidRDefault="0061144A" w:rsidP="00031196">
      <w:pPr>
        <w:pStyle w:val="Nivel1SM"/>
      </w:pPr>
      <w:r>
        <w:t>Los conceptos de rentabilidad, riesgo y coste de capital son el punto de partida en la decisión de inversión en el seno de las empresas.</w:t>
      </w:r>
    </w:p>
    <w:p w14:paraId="075F0049" w14:textId="28416D37" w:rsidR="00B52052" w:rsidRPr="0019408C" w:rsidRDefault="00B22C86" w:rsidP="00C67A7E">
      <w:pPr>
        <w:pStyle w:val="Ttulo1"/>
      </w:pPr>
      <w:bookmarkStart w:id="25" w:name="_Toc172232830"/>
      <w:r>
        <w:lastRenderedPageBreak/>
        <w:t>MÉTODOS GENERALES DE VALORACIÓN Y SELECCIÓN DE INVERSIONES</w:t>
      </w:r>
      <w:r w:rsidR="00D41F2A">
        <w:t xml:space="preserve"> </w:t>
      </w:r>
      <w:r w:rsidR="00C67A7E">
        <w:t>–</w:t>
      </w:r>
      <w:r w:rsidR="00C67A7E">
        <w:br/>
      </w:r>
      <w:r w:rsidR="00C67A7E" w:rsidRPr="00C67A7E">
        <w:rPr>
          <w:i/>
          <w:iCs/>
        </w:rPr>
        <w:t>¿</w:t>
      </w:r>
      <w:r w:rsidR="00C67A7E">
        <w:rPr>
          <w:i/>
          <w:iCs/>
        </w:rPr>
        <w:t>CÓMO INVIERTEN LAS EMPRESAS</w:t>
      </w:r>
      <w:r w:rsidR="00C67A7E" w:rsidRPr="00C67A7E">
        <w:rPr>
          <w:i/>
          <w:iCs/>
        </w:rPr>
        <w:t>?</w:t>
      </w:r>
      <w:bookmarkEnd w:id="25"/>
    </w:p>
    <w:p w14:paraId="2EEBCED4" w14:textId="7438CFB9" w:rsidR="00051BDE" w:rsidRDefault="002E036A" w:rsidP="00244789">
      <w:pPr>
        <w:pStyle w:val="Nivel1SM"/>
        <w:keepNext/>
        <w:spacing w:before="0"/>
      </w:pPr>
      <w:r w:rsidRPr="002E036A">
        <w:t>Los inversores y</w:t>
      </w:r>
      <w:r>
        <w:t>,</w:t>
      </w:r>
      <w:r w:rsidRPr="002E036A">
        <w:t xml:space="preserve"> por ende, los gestores de las </w:t>
      </w:r>
      <w:r w:rsidR="00780D41" w:rsidRPr="002E036A">
        <w:t>empresas</w:t>
      </w:r>
      <w:r w:rsidRPr="002E036A">
        <w:t xml:space="preserve"> tienen por objetivo fundamental crear valor a partir de</w:t>
      </w:r>
      <w:r>
        <w:t xml:space="preserve"> </w:t>
      </w:r>
      <w:r w:rsidRPr="002E036A">
        <w:t>sus decisiones de inversión y para ello, aplican diferentes métodos de valoración de proyectos.</w:t>
      </w:r>
    </w:p>
    <w:p w14:paraId="27412484" w14:textId="36ECEA7B" w:rsidR="00A50172" w:rsidRPr="00A50172" w:rsidRDefault="00A50172" w:rsidP="00A50172">
      <w:pPr>
        <w:pStyle w:val="Nivel1SM"/>
        <w:keepNext/>
        <w:spacing w:after="0"/>
      </w:pPr>
      <w:r>
        <w:t xml:space="preserve">En este apartado, procederemos en </w:t>
      </w:r>
      <w:r w:rsidRPr="00A50172">
        <w:rPr>
          <w:b/>
          <w:bCs/>
        </w:rPr>
        <w:t>4</w:t>
      </w:r>
      <w:r w:rsidR="0071310A">
        <w:rPr>
          <w:b/>
          <w:bCs/>
        </w:rPr>
        <w:t> </w:t>
      </w:r>
      <w:r w:rsidRPr="00A50172">
        <w:rPr>
          <w:b/>
          <w:bCs/>
        </w:rPr>
        <w:t>pasos</w:t>
      </w:r>
      <w:r>
        <w:t>:</w:t>
      </w:r>
    </w:p>
    <w:p w14:paraId="4DEDDA22" w14:textId="0DDE6700" w:rsidR="00DB4060" w:rsidRDefault="00DB4060" w:rsidP="00AD11C3">
      <w:pPr>
        <w:pStyle w:val="Prrafodelista"/>
        <w:keepNext/>
        <w:numPr>
          <w:ilvl w:val="4"/>
          <w:numId w:val="15"/>
        </w:numPr>
        <w:spacing w:after="100"/>
        <w:ind w:left="568" w:hanging="284"/>
      </w:pPr>
      <w:r>
        <w:t xml:space="preserve">En </w:t>
      </w:r>
      <w:r w:rsidR="00AD11C3">
        <w:t>primer</w:t>
      </w:r>
      <w:r>
        <w:t xml:space="preserve"> lugar, </w:t>
      </w:r>
      <w:r w:rsidR="00AD11C3">
        <w:t xml:space="preserve">definiremos un proyecto de inversión mediante el </w:t>
      </w:r>
      <w:r>
        <w:t>estudi</w:t>
      </w:r>
      <w:r w:rsidR="00AD11C3">
        <w:t>o</w:t>
      </w:r>
      <w:r w:rsidR="00E7378F">
        <w:t xml:space="preserve"> </w:t>
      </w:r>
      <w:r w:rsidR="00AD11C3">
        <w:t xml:space="preserve">de </w:t>
      </w:r>
      <w:r w:rsidR="00E7378F">
        <w:t xml:space="preserve">las </w:t>
      </w:r>
      <w:r w:rsidR="00E7378F" w:rsidRPr="00A50172">
        <w:rPr>
          <w:i/>
          <w:iCs/>
          <w:u w:val="single"/>
        </w:rPr>
        <w:t>variables integrantes de una inversión</w:t>
      </w:r>
      <w:r>
        <w:t>.</w:t>
      </w:r>
    </w:p>
    <w:p w14:paraId="151B8277" w14:textId="77777777" w:rsidR="00AD11C3" w:rsidRDefault="00AD11C3" w:rsidP="00AD11C3">
      <w:pPr>
        <w:pStyle w:val="Prrafodelista"/>
        <w:keepNext/>
        <w:numPr>
          <w:ilvl w:val="4"/>
          <w:numId w:val="15"/>
        </w:numPr>
        <w:spacing w:after="100"/>
        <w:ind w:left="568" w:hanging="284"/>
      </w:pPr>
      <w:r>
        <w:t xml:space="preserve">En segundo lugar, abordaremos los </w:t>
      </w:r>
      <w:r w:rsidRPr="00A50172">
        <w:rPr>
          <w:i/>
          <w:iCs/>
          <w:u w:val="single"/>
        </w:rPr>
        <w:t>principios básicos</w:t>
      </w:r>
      <w:r>
        <w:t xml:space="preserve"> a los cuales se ha de </w:t>
      </w:r>
      <w:proofErr w:type="spellStart"/>
      <w:r>
        <w:t>atener</w:t>
      </w:r>
      <w:proofErr w:type="spellEnd"/>
      <w:r>
        <w:t xml:space="preserve"> una decisión de inversión.</w:t>
      </w:r>
    </w:p>
    <w:p w14:paraId="64DA098A" w14:textId="48EF82A1" w:rsidR="00A50172" w:rsidRDefault="00E7378F" w:rsidP="00AD11C3">
      <w:pPr>
        <w:pStyle w:val="Prrafodelista"/>
        <w:keepNext/>
        <w:numPr>
          <w:ilvl w:val="4"/>
          <w:numId w:val="15"/>
        </w:numPr>
        <w:spacing w:after="100"/>
        <w:ind w:left="568" w:hanging="284"/>
      </w:pPr>
      <w:r>
        <w:t>En tercer lugar</w:t>
      </w:r>
      <w:r w:rsidR="00A50172">
        <w:t xml:space="preserve">, analizaremos los distintos </w:t>
      </w:r>
      <w:r w:rsidR="00A50172" w:rsidRPr="00A50172">
        <w:rPr>
          <w:i/>
          <w:iCs/>
          <w:u w:val="single"/>
        </w:rPr>
        <w:t>métodos de valoración</w:t>
      </w:r>
      <w:r w:rsidR="00A50172">
        <w:t xml:space="preserve"> que existen.</w:t>
      </w:r>
    </w:p>
    <w:p w14:paraId="15191B26" w14:textId="2E6A233D" w:rsidR="00E7378F" w:rsidRDefault="00E7378F" w:rsidP="00E7378F">
      <w:pPr>
        <w:pStyle w:val="Prrafodelista"/>
        <w:numPr>
          <w:ilvl w:val="4"/>
          <w:numId w:val="15"/>
        </w:numPr>
        <w:spacing w:after="100"/>
        <w:ind w:left="568" w:hanging="284"/>
      </w:pPr>
      <w:r>
        <w:t xml:space="preserve">Finalmente, veremos </w:t>
      </w:r>
      <w:r w:rsidRPr="00E7378F">
        <w:rPr>
          <w:i/>
          <w:iCs/>
          <w:u w:val="single"/>
        </w:rPr>
        <w:t>qué métodos de valoración se utilizan en la práctica</w:t>
      </w:r>
      <w:r>
        <w:t>.</w:t>
      </w:r>
    </w:p>
    <w:p w14:paraId="7487DB09" w14:textId="21CE77AC" w:rsidR="004F23BD" w:rsidRPr="003245D3" w:rsidRDefault="004F23BD" w:rsidP="002E4C88">
      <w:pPr>
        <w:pStyle w:val="Notaalopositor"/>
      </w:pPr>
      <w:proofErr w:type="spellStart"/>
      <w:r w:rsidRPr="003245D3">
        <w:rPr>
          <w:smallCaps/>
        </w:rPr>
        <w:t>Vernimmen</w:t>
      </w:r>
      <w:proofErr w:type="spellEnd"/>
      <w:r w:rsidRPr="003245D3">
        <w:rPr>
          <w:i/>
          <w:iCs/>
        </w:rPr>
        <w:t xml:space="preserve"> </w:t>
      </w:r>
      <w:r w:rsidRPr="003245D3">
        <w:t>et al. (</w:t>
      </w:r>
      <w:proofErr w:type="spellStart"/>
      <w:r w:rsidRPr="003245D3">
        <w:t>chapter</w:t>
      </w:r>
      <w:proofErr w:type="spellEnd"/>
      <w:r w:rsidR="00BF7D69" w:rsidRPr="003245D3">
        <w:t> </w:t>
      </w:r>
      <w:r w:rsidRPr="003245D3">
        <w:t>28)</w:t>
      </w:r>
    </w:p>
    <w:p w14:paraId="092AADA9" w14:textId="77777777" w:rsidR="005E5285" w:rsidRDefault="005E5285" w:rsidP="005E5285">
      <w:pPr>
        <w:pStyle w:val="Ttulo2"/>
      </w:pPr>
      <w:bookmarkStart w:id="26" w:name="_Toc172232831"/>
      <w:r>
        <w:t>Variables integrantes de una inversión</w:t>
      </w:r>
      <w:bookmarkEnd w:id="26"/>
    </w:p>
    <w:p w14:paraId="25C4BD48" w14:textId="7B6DB5DE" w:rsidR="005E5285" w:rsidRDefault="005E5285" w:rsidP="0071310A">
      <w:pPr>
        <w:pStyle w:val="Nivel1SM"/>
        <w:keepNext/>
        <w:spacing w:before="0" w:after="0"/>
      </w:pPr>
      <w:r>
        <w:t xml:space="preserve">Toda inversión se </w:t>
      </w:r>
      <w:r w:rsidRPr="005E5285">
        <w:t>puede definir por la corriente de flujos de caja que origina. Por lo tanto, podemos representar cualquier inversión de acuerdo al siguiente esquema de pagos</w:t>
      </w:r>
      <w:r w:rsidR="00FB340B">
        <w:rPr>
          <w:rStyle w:val="Refdenotaalpie"/>
        </w:rPr>
        <w:footnoteReference w:id="16"/>
      </w:r>
      <w:r w:rsidRPr="005E5285">
        <w:t>:</w:t>
      </w:r>
    </w:p>
    <w:p w14:paraId="4B7C84CB" w14:textId="5D1629F5" w:rsidR="001354A7" w:rsidRPr="001354A7" w:rsidRDefault="001354A7" w:rsidP="001354A7">
      <w:pPr>
        <w:pStyle w:val="Ttuloimagen"/>
        <w:rPr>
          <w:smallCaps w:val="0"/>
        </w:rPr>
      </w:pPr>
      <w:bookmarkStart w:id="27" w:name="_Ref132888633"/>
      <w:r>
        <w:t>Imagen</w:t>
      </w:r>
      <w:r w:rsidR="0071310A">
        <w:t> </w:t>
      </w:r>
      <w:r>
        <w:fldChar w:fldCharType="begin"/>
      </w:r>
      <w:r>
        <w:instrText xml:space="preserve"> SEQ Ilustración \* ARABIC </w:instrText>
      </w:r>
      <w:r>
        <w:fldChar w:fldCharType="separate"/>
      </w:r>
      <w:r w:rsidR="000E7C0D">
        <w:t>1</w:t>
      </w:r>
      <w:r>
        <w:fldChar w:fldCharType="end"/>
      </w:r>
      <w:bookmarkEnd w:id="27"/>
      <w:r>
        <w:rPr>
          <w:smallCaps w:val="0"/>
        </w:rPr>
        <w:t xml:space="preserve">.– </w:t>
      </w:r>
      <w:r>
        <w:rPr>
          <w:i/>
          <w:iCs/>
          <w:smallCaps w:val="0"/>
        </w:rPr>
        <w:t>Esquema de pagos de un proyecto de inversión</w:t>
      </w:r>
    </w:p>
    <w:p w14:paraId="77EAA09B" w14:textId="54974D47" w:rsidR="005E5285" w:rsidRDefault="00071564" w:rsidP="00071564">
      <w:pPr>
        <w:pStyle w:val="Imagen"/>
      </w:pPr>
      <w:r>
        <w:drawing>
          <wp:inline distT="0" distB="0" distL="0" distR="0" wp14:anchorId="1F1AF34B" wp14:editId="5392DAA3">
            <wp:extent cx="5368636" cy="905026"/>
            <wp:effectExtent l="0" t="0" r="3810" b="9525"/>
            <wp:docPr id="11" name="Imagen 11"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con confianza baja"/>
                    <pic:cNvPicPr/>
                  </pic:nvPicPr>
                  <pic:blipFill rotWithShape="1">
                    <a:blip r:embed="rId9"/>
                    <a:srcRect t="24861" b="45168"/>
                    <a:stretch/>
                  </pic:blipFill>
                  <pic:spPr bwMode="auto">
                    <a:xfrm>
                      <a:off x="0" y="0"/>
                      <a:ext cx="5397708" cy="909927"/>
                    </a:xfrm>
                    <a:prstGeom prst="rect">
                      <a:avLst/>
                    </a:prstGeom>
                    <a:ln>
                      <a:noFill/>
                    </a:ln>
                    <a:extLst>
                      <a:ext uri="{53640926-AAD7-44D8-BBD7-CCE9431645EC}">
                        <a14:shadowObscured xmlns:a14="http://schemas.microsoft.com/office/drawing/2010/main"/>
                      </a:ext>
                    </a:extLst>
                  </pic:spPr>
                </pic:pic>
              </a:graphicData>
            </a:graphic>
          </wp:inline>
        </w:drawing>
      </w:r>
    </w:p>
    <w:p w14:paraId="0C7F5BD7" w14:textId="66AB1FDC" w:rsidR="00071564" w:rsidRPr="00071564" w:rsidRDefault="00071564" w:rsidP="00071564">
      <w:pPr>
        <w:pStyle w:val="PiedeImagen"/>
        <w:rPr>
          <w:i w:val="0"/>
          <w:iCs/>
        </w:rPr>
      </w:pPr>
      <w:r>
        <w:t>Fuente</w:t>
      </w:r>
      <w:r>
        <w:rPr>
          <w:i w:val="0"/>
          <w:iCs/>
        </w:rPr>
        <w:t>: Elaboración propia</w:t>
      </w:r>
    </w:p>
    <w:p w14:paraId="4554DDFF" w14:textId="7AF1610F" w:rsidR="005E5285" w:rsidRDefault="00071564" w:rsidP="005E5285">
      <w:pPr>
        <w:pStyle w:val="Nivel1SM"/>
        <w:keepNext/>
        <w:spacing w:after="0"/>
      </w:pPr>
      <w:r>
        <w:t>En esta representación se aprecia que p</w:t>
      </w:r>
      <w:r w:rsidR="005E5285">
        <w:t>ara cualquier proyecto de inversión hay que tener en cuenta 5</w:t>
      </w:r>
      <w:r w:rsidR="0071310A">
        <w:t> </w:t>
      </w:r>
      <w:r w:rsidR="005E5285">
        <w:t>variables fundamentales:</w:t>
      </w:r>
    </w:p>
    <w:p w14:paraId="0C409EB3" w14:textId="2758FFAE" w:rsidR="005E5285" w:rsidRDefault="005E5285">
      <w:pPr>
        <w:pStyle w:val="Prrafodelista"/>
        <w:keepNext/>
        <w:numPr>
          <w:ilvl w:val="0"/>
          <w:numId w:val="17"/>
        </w:numPr>
        <w:spacing w:after="0"/>
        <w:ind w:left="568" w:hanging="284"/>
      </w:pPr>
      <w:r w:rsidRPr="00187037">
        <w:rPr>
          <w:i/>
          <w:iCs/>
          <w:color w:val="C00000"/>
          <w:u w:val="single"/>
        </w:rPr>
        <w:t>Desembolso inicial</w:t>
      </w:r>
      <w:r>
        <w:rPr>
          <w:color w:val="C00000"/>
        </w:rPr>
        <w:t xml:space="preserve"> (</w:t>
      </w:r>
      <m:oMath>
        <m:r>
          <m:rPr>
            <m:nor/>
          </m:rPr>
          <w:rPr>
            <w:i/>
            <w:iCs/>
            <w:color w:val="C00000"/>
            <w:lang w:val="fr-FR"/>
          </w:rPr>
          <m:t>A</m:t>
        </m:r>
      </m:oMath>
      <w:r>
        <w:rPr>
          <w:color w:val="C00000"/>
        </w:rPr>
        <w:t>)</w:t>
      </w:r>
      <w:r>
        <w:t>:</w:t>
      </w:r>
    </w:p>
    <w:p w14:paraId="2614FDE3" w14:textId="77777777" w:rsidR="005E5285" w:rsidRPr="0019408C" w:rsidRDefault="005E5285" w:rsidP="005E5285">
      <w:pPr>
        <w:pStyle w:val="Nivel3SM"/>
        <w:rPr>
          <w:spacing w:val="-2"/>
        </w:rPr>
      </w:pPr>
      <w:r w:rsidRPr="0019408C">
        <w:rPr>
          <w:spacing w:val="-2"/>
        </w:rPr>
        <w:t>Cantidad de recursos que debe pagar la empresa para llevar a cabo el proyecto inicialmente. Comprende el precio de compra más todos los desembolsos necesarios para la puesta en funcionamiento de la inversión, es decir, el coste de instalación, transporte, formación, etc.</w:t>
      </w:r>
    </w:p>
    <w:p w14:paraId="0E5CC489" w14:textId="77777777" w:rsidR="005E5285" w:rsidRDefault="005E5285" w:rsidP="005E5285">
      <w:pPr>
        <w:pStyle w:val="Nivel3SM"/>
      </w:pPr>
      <w:r>
        <w:t>Asumimos que este desembolso va ligado unívocamente al proyecto (i.e. no se trata de un coste hundido).</w:t>
      </w:r>
    </w:p>
    <w:p w14:paraId="17EC71CC" w14:textId="4B5AEF14" w:rsidR="005E5285" w:rsidRDefault="005E5285">
      <w:pPr>
        <w:pStyle w:val="Prrafodelista"/>
        <w:keepNext/>
        <w:numPr>
          <w:ilvl w:val="0"/>
          <w:numId w:val="17"/>
        </w:numPr>
        <w:spacing w:after="0"/>
        <w:ind w:left="568" w:hanging="284"/>
      </w:pPr>
      <w:r w:rsidRPr="00DF5ECD">
        <w:rPr>
          <w:i/>
          <w:iCs/>
          <w:color w:val="CC00CC"/>
          <w:u w:val="single"/>
        </w:rPr>
        <w:t>Corriente de flujos de caja</w:t>
      </w:r>
      <w:r w:rsidRPr="00DF5ECD">
        <w:rPr>
          <w:color w:val="CC00CC"/>
        </w:rPr>
        <w:t xml:space="preserve"> (</w:t>
      </w:r>
      <m:oMath>
        <m:sSub>
          <m:sSubPr>
            <m:ctrlPr>
              <w:rPr>
                <w:rFonts w:ascii="Cambria Math" w:hAnsi="Cambria Math"/>
                <w:i/>
                <w:iCs/>
                <w:color w:val="CC00CC"/>
              </w:rPr>
            </m:ctrlPr>
          </m:sSubPr>
          <m:e>
            <m:r>
              <m:rPr>
                <m:nor/>
              </m:rPr>
              <w:rPr>
                <w:i/>
                <w:iCs/>
                <w:color w:val="CC00CC"/>
              </w:rPr>
              <m:t>Q</m:t>
            </m:r>
          </m:e>
          <m:sub>
            <m:r>
              <m:rPr>
                <m:nor/>
              </m:rPr>
              <w:rPr>
                <w:i/>
                <w:iCs/>
                <w:color w:val="CC00CC"/>
              </w:rPr>
              <m:t>t</m:t>
            </m:r>
          </m:sub>
        </m:sSub>
      </m:oMath>
      <w:r w:rsidRPr="00DF5ECD">
        <w:rPr>
          <w:color w:val="CC00CC"/>
        </w:rPr>
        <w:t>)</w:t>
      </w:r>
      <w:r w:rsidRPr="00B44034">
        <w:t>:</w:t>
      </w:r>
    </w:p>
    <w:p w14:paraId="64D65129" w14:textId="77777777" w:rsidR="005E5285" w:rsidRDefault="005E5285" w:rsidP="005E5285">
      <w:pPr>
        <w:pStyle w:val="Nivel3SM"/>
        <w:keepNext/>
      </w:pPr>
      <w:r>
        <w:t>Esto es la secuencia de fondos absorbidos o generados por el proyecto, y lo podríamos definir como la diferencia entre los cobros y los pagos.</w:t>
      </w:r>
    </w:p>
    <w:p w14:paraId="0CF478A0" w14:textId="77777777" w:rsidR="005E5285" w:rsidRDefault="005E5285" w:rsidP="005E5285">
      <w:pPr>
        <w:pStyle w:val="Nivel4"/>
        <w:ind w:left="1474"/>
      </w:pPr>
      <w:r>
        <w:rPr>
          <w:i/>
          <w:iCs/>
        </w:rPr>
        <w:t>Cobros</w:t>
      </w:r>
      <w:r>
        <w:t>: Representa las entradas de tesorería generadas por el proyecto.</w:t>
      </w:r>
    </w:p>
    <w:p w14:paraId="19C446BA" w14:textId="77777777" w:rsidR="005E5285" w:rsidRDefault="005E5285" w:rsidP="005E5285">
      <w:pPr>
        <w:pStyle w:val="Nivel4"/>
        <w:ind w:left="1474"/>
      </w:pPr>
      <w:r>
        <w:rPr>
          <w:i/>
          <w:iCs/>
        </w:rPr>
        <w:t>Pagos</w:t>
      </w:r>
      <w:r w:rsidRPr="0051032F">
        <w:t>:</w:t>
      </w:r>
      <w:r>
        <w:t xml:space="preserve"> Salidas de tesorería generadas por el proyecto.</w:t>
      </w:r>
    </w:p>
    <w:p w14:paraId="19DA14AE" w14:textId="77777777" w:rsidR="005E5285" w:rsidRDefault="005E5285" w:rsidP="005E5285">
      <w:pPr>
        <w:pStyle w:val="Nivel3SM"/>
      </w:pPr>
      <w:r>
        <w:t xml:space="preserve">Se suele periodificar los flujos tomando como período el año, ya que suele ser la duración de un ejercicio económico de las empresas </w:t>
      </w:r>
      <w:r w:rsidRPr="0051032F">
        <w:rPr>
          <w:color w:val="767171" w:themeColor="background2" w:themeShade="80"/>
          <w:sz w:val="19"/>
          <w:szCs w:val="19"/>
        </w:rPr>
        <w:t>[</w:t>
      </w:r>
      <w:r>
        <w:rPr>
          <w:color w:val="767171" w:themeColor="background2" w:themeShade="80"/>
          <w:sz w:val="19"/>
          <w:szCs w:val="19"/>
        </w:rPr>
        <w:t>ver tema 3.B.1</w:t>
      </w:r>
      <w:r w:rsidRPr="0051032F">
        <w:rPr>
          <w:color w:val="767171" w:themeColor="background2" w:themeShade="80"/>
          <w:sz w:val="19"/>
          <w:szCs w:val="19"/>
        </w:rPr>
        <w:t>]</w:t>
      </w:r>
      <w:r>
        <w:t>.</w:t>
      </w:r>
    </w:p>
    <w:p w14:paraId="5E581925" w14:textId="77777777" w:rsidR="005E5285" w:rsidRDefault="005E5285" w:rsidP="005E5285">
      <w:pPr>
        <w:pStyle w:val="Nivel3SM"/>
        <w:keepNext/>
      </w:pPr>
      <w:r>
        <w:t>En función de la estructura de la corriente de cobros y pagos distinguimos:</w:t>
      </w:r>
    </w:p>
    <w:p w14:paraId="74C99AA6" w14:textId="77777777" w:rsidR="005E5285" w:rsidRDefault="005E5285" w:rsidP="005E5285">
      <w:pPr>
        <w:pStyle w:val="Nivel4"/>
        <w:ind w:left="1474"/>
      </w:pPr>
      <w:r>
        <w:rPr>
          <w:i/>
          <w:iCs/>
        </w:rPr>
        <w:t>Inversiones simples</w:t>
      </w:r>
      <w:r>
        <w:t>: El desembolso inicial es negativo y todos los flujos de caja netos son positivos.</w:t>
      </w:r>
    </w:p>
    <w:p w14:paraId="753EB5F5" w14:textId="23A79A48" w:rsidR="005E5285" w:rsidRDefault="005E5285" w:rsidP="005E5285">
      <w:pPr>
        <w:pStyle w:val="Nivel4"/>
        <w:keepNext/>
        <w:ind w:left="1474"/>
      </w:pPr>
      <w:r>
        <w:rPr>
          <w:i/>
          <w:iCs/>
        </w:rPr>
        <w:lastRenderedPageBreak/>
        <w:t>Inversiones no</w:t>
      </w:r>
      <w:r w:rsidR="00244789">
        <w:rPr>
          <w:i/>
          <w:iCs/>
        </w:rPr>
        <w:t> </w:t>
      </w:r>
      <w:r>
        <w:rPr>
          <w:i/>
          <w:iCs/>
        </w:rPr>
        <w:t>simples</w:t>
      </w:r>
      <w:r>
        <w:t>: El desembolso inicial es negativo y los flujos de caja netos pueden ser tanto positivos como negativos.</w:t>
      </w:r>
    </w:p>
    <w:p w14:paraId="01D76853" w14:textId="77777777" w:rsidR="005E5285" w:rsidRPr="005C68E4" w:rsidRDefault="005E5285" w:rsidP="005E5285">
      <w:pPr>
        <w:pStyle w:val="Nivel5"/>
        <w:ind w:left="1871"/>
      </w:pPr>
      <w:r>
        <w:rPr>
          <w:i/>
          <w:iCs/>
        </w:rPr>
        <w:t>Inversiones puras</w:t>
      </w:r>
      <w:r>
        <w:t>:</w:t>
      </w:r>
      <w:r w:rsidRPr="005C68E4">
        <w:t xml:space="preserve"> </w:t>
      </w:r>
      <w:r>
        <w:t>S</w:t>
      </w:r>
      <w:r w:rsidRPr="005C68E4">
        <w:t xml:space="preserve">ólo existe un cambio de signo en la secuencia de </w:t>
      </w:r>
      <w:r>
        <w:t>los flujos de caja</w:t>
      </w:r>
      <w:r w:rsidRPr="005C68E4">
        <w:t>.</w:t>
      </w:r>
      <w:r>
        <w:t xml:space="preserve"> Un ejemplo típico de este tipo de inversiones en el que t</w:t>
      </w:r>
      <w:r w:rsidRPr="005C68E4">
        <w:t>odos los flujos de caja son negativos excepto el último.</w:t>
      </w:r>
    </w:p>
    <w:p w14:paraId="3FC9F66B" w14:textId="77777777" w:rsidR="005E5285" w:rsidRDefault="005E5285" w:rsidP="005E5285">
      <w:pPr>
        <w:pStyle w:val="Nivel5"/>
        <w:ind w:left="1871"/>
      </w:pPr>
      <w:r>
        <w:rPr>
          <w:i/>
          <w:iCs/>
        </w:rPr>
        <w:t>Inversiones mixtas</w:t>
      </w:r>
      <w:r>
        <w:t>:</w:t>
      </w:r>
      <w:r w:rsidRPr="005C68E4">
        <w:t xml:space="preserve"> Los flujos de caja intermedios pueden ser tanto positivos como negativos</w:t>
      </w:r>
      <w:r>
        <w:t xml:space="preserve"> y se produce más de un cambio de signo en la secuencia de los flujos de caja</w:t>
      </w:r>
      <w:r w:rsidRPr="005C68E4">
        <w:t>.</w:t>
      </w:r>
    </w:p>
    <w:p w14:paraId="41FF3E8A" w14:textId="77777777" w:rsidR="005E5285" w:rsidRPr="003D2E56" w:rsidRDefault="005E5285" w:rsidP="005E5285">
      <w:pPr>
        <w:pStyle w:val="Nivel5"/>
        <w:numPr>
          <w:ilvl w:val="0"/>
          <w:numId w:val="0"/>
        </w:numPr>
        <w:ind w:left="1871"/>
        <w:jc w:val="center"/>
      </w:pPr>
      <w:r>
        <w:rPr>
          <w:noProof/>
        </w:rPr>
        <w:drawing>
          <wp:inline distT="0" distB="0" distL="0" distR="0" wp14:anchorId="01F94F49" wp14:editId="54634503">
            <wp:extent cx="3003550" cy="831772"/>
            <wp:effectExtent l="0" t="0" r="6350" b="698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Descripción generada automáticamente"/>
                    <pic:cNvPicPr/>
                  </pic:nvPicPr>
                  <pic:blipFill rotWithShape="1">
                    <a:blip r:embed="rId10">
                      <a:extLst>
                        <a:ext uri="{BEBA8EAE-BF5A-486C-A8C5-ECC9F3942E4B}">
                          <a14:imgProps xmlns:a14="http://schemas.microsoft.com/office/drawing/2010/main">
                            <a14:imgLayer r:embed="rId11">
                              <a14:imgEffect>
                                <a14:brightnessContrast bright="40000"/>
                              </a14:imgEffect>
                            </a14:imgLayer>
                          </a14:imgProps>
                        </a:ext>
                      </a:extLst>
                    </a:blip>
                    <a:srcRect l="3592" t="8203" b="18656"/>
                    <a:stretch/>
                  </pic:blipFill>
                  <pic:spPr bwMode="auto">
                    <a:xfrm>
                      <a:off x="0" y="0"/>
                      <a:ext cx="3037372" cy="841138"/>
                    </a:xfrm>
                    <a:prstGeom prst="rect">
                      <a:avLst/>
                    </a:prstGeom>
                    <a:ln>
                      <a:noFill/>
                    </a:ln>
                    <a:effectLst>
                      <a:softEdge rad="31750"/>
                    </a:effectLst>
                    <a:extLst>
                      <a:ext uri="{53640926-AAD7-44D8-BBD7-CCE9431645EC}">
                        <a14:shadowObscured xmlns:a14="http://schemas.microsoft.com/office/drawing/2010/main"/>
                      </a:ext>
                    </a:extLst>
                  </pic:spPr>
                </pic:pic>
              </a:graphicData>
            </a:graphic>
          </wp:inline>
        </w:drawing>
      </w:r>
    </w:p>
    <w:p w14:paraId="780F128A" w14:textId="77777777" w:rsidR="005E5285" w:rsidRDefault="005E5285">
      <w:pPr>
        <w:pStyle w:val="Prrafodelista"/>
        <w:keepNext/>
        <w:numPr>
          <w:ilvl w:val="0"/>
          <w:numId w:val="17"/>
        </w:numPr>
        <w:spacing w:after="0"/>
        <w:ind w:left="568" w:hanging="284"/>
      </w:pPr>
      <w:r w:rsidRPr="00187037">
        <w:rPr>
          <w:i/>
          <w:iCs/>
          <w:color w:val="3366FF"/>
          <w:u w:val="single"/>
        </w:rPr>
        <w:t>Horizonte temporal o duración del proyecto</w:t>
      </w:r>
      <w:r w:rsidRPr="00187037">
        <w:rPr>
          <w:color w:val="3366FF"/>
        </w:rPr>
        <w:t xml:space="preserve"> (</w:t>
      </w:r>
      <m:oMath>
        <m:r>
          <m:rPr>
            <m:nor/>
          </m:rPr>
          <w:rPr>
            <w:i/>
            <w:iCs/>
            <w:color w:val="3366FF"/>
          </w:rPr>
          <m:t>n</m:t>
        </m:r>
      </m:oMath>
      <w:r w:rsidRPr="00187037">
        <w:rPr>
          <w:color w:val="3366FF"/>
        </w:rPr>
        <w:t>)</w:t>
      </w:r>
      <w:r w:rsidRPr="00B44034">
        <w:t>:</w:t>
      </w:r>
    </w:p>
    <w:p w14:paraId="7547333D" w14:textId="77777777" w:rsidR="005E5285" w:rsidRDefault="005E5285" w:rsidP="005E5285">
      <w:pPr>
        <w:pStyle w:val="Nivel3SM"/>
        <w:keepNext/>
      </w:pPr>
      <w:r>
        <w:t>Es la estimación de la vida que tendrá el proyecto, esto es, el tiempo en el que generará flujos de cobros y de pagos. Esta duración no se conocerá con certeza hasta que no finalice el proyecto, por lo cual se basará en estimaciones apoyadas en 3 características:</w:t>
      </w:r>
    </w:p>
    <w:p w14:paraId="478595C8" w14:textId="77777777" w:rsidR="005E5285" w:rsidRDefault="005E5285" w:rsidP="005E5285">
      <w:pPr>
        <w:pStyle w:val="Nivel4"/>
        <w:ind w:left="1474"/>
      </w:pPr>
      <w:r>
        <w:rPr>
          <w:i/>
          <w:iCs/>
        </w:rPr>
        <w:t>Vida útil</w:t>
      </w:r>
      <w:r>
        <w:t>: Tiempo en que los activos básicos del proyecto operan normalmente.</w:t>
      </w:r>
    </w:p>
    <w:p w14:paraId="6AD005C7" w14:textId="77777777" w:rsidR="005E5285" w:rsidRDefault="005E5285" w:rsidP="005E5285">
      <w:pPr>
        <w:pStyle w:val="Nivel4"/>
        <w:ind w:left="1474"/>
      </w:pPr>
      <w:r>
        <w:rPr>
          <w:i/>
          <w:iCs/>
        </w:rPr>
        <w:t>Vida tecnológica</w:t>
      </w:r>
      <w:r w:rsidRPr="00B87140">
        <w:t>:</w:t>
      </w:r>
      <w:r>
        <w:t xml:space="preserve"> Período de tiempo que transcurre hasta que los activos dejan de ser competitivos haciéndose obsoletos porque aparecen nuevas técnicas, procesos y equipos que desarrollan la misma actividad más competitiva.</w:t>
      </w:r>
    </w:p>
    <w:p w14:paraId="497A8141" w14:textId="2AA7FF64" w:rsidR="005E5285" w:rsidRDefault="005E5285" w:rsidP="005E5285">
      <w:pPr>
        <w:pStyle w:val="Nivel4"/>
        <w:ind w:left="1474"/>
      </w:pPr>
      <w:r>
        <w:rPr>
          <w:i/>
          <w:iCs/>
        </w:rPr>
        <w:t>Vida óptima</w:t>
      </w:r>
      <w:r w:rsidR="00CD3173">
        <w:rPr>
          <w:i/>
          <w:iCs/>
        </w:rPr>
        <w:t xml:space="preserve"> o vida económica</w:t>
      </w:r>
      <w:r w:rsidRPr="00B87140">
        <w:t>:</w:t>
      </w:r>
      <w:r>
        <w:t xml:space="preserve"> Período de utilización que maximiza el valor actual neto.</w:t>
      </w:r>
    </w:p>
    <w:p w14:paraId="7BBD6C0F" w14:textId="77777777" w:rsidR="005E5285" w:rsidRDefault="005E5285">
      <w:pPr>
        <w:pStyle w:val="Prrafodelista"/>
        <w:keepNext/>
        <w:numPr>
          <w:ilvl w:val="0"/>
          <w:numId w:val="17"/>
        </w:numPr>
        <w:spacing w:after="0"/>
        <w:ind w:left="568" w:hanging="284"/>
      </w:pPr>
      <w:r w:rsidRPr="00DF5ECD">
        <w:rPr>
          <w:i/>
          <w:iCs/>
          <w:color w:val="FF9900"/>
          <w:u w:val="single"/>
        </w:rPr>
        <w:t>Valor residual</w:t>
      </w:r>
      <w:r w:rsidRPr="00DF5ECD">
        <w:rPr>
          <w:color w:val="FF9900"/>
        </w:rPr>
        <w:t xml:space="preserve"> (</w:t>
      </w:r>
      <m:oMath>
        <m:r>
          <m:rPr>
            <m:nor/>
          </m:rPr>
          <w:rPr>
            <w:i/>
            <w:iCs/>
            <w:color w:val="FF9900"/>
            <w:lang w:val="fr-FR"/>
          </w:rPr>
          <m:t>VR</m:t>
        </m:r>
      </m:oMath>
      <w:r w:rsidRPr="00DF5ECD">
        <w:rPr>
          <w:color w:val="FF9900"/>
        </w:rPr>
        <w:t>)</w:t>
      </w:r>
      <w:r w:rsidRPr="00DB4060">
        <w:t>:</w:t>
      </w:r>
    </w:p>
    <w:p w14:paraId="2CE7664C" w14:textId="77777777" w:rsidR="005E5285" w:rsidRDefault="005E5285" w:rsidP="005E5285">
      <w:pPr>
        <w:pStyle w:val="Nivel3SM"/>
      </w:pPr>
      <w:r>
        <w:t xml:space="preserve">Una forma de tratar la incertidumbre en la duración de los flujos de caja es tratar de predecir todos los flujos de caja dentro de un </w:t>
      </w:r>
      <w:proofErr w:type="gramStart"/>
      <w:r>
        <w:t>lapso de tiempo</w:t>
      </w:r>
      <w:proofErr w:type="gramEnd"/>
      <w:r>
        <w:t xml:space="preserve"> y a partir de entonces añadir el valor residual.</w:t>
      </w:r>
    </w:p>
    <w:p w14:paraId="444C4C59" w14:textId="77777777" w:rsidR="005E5285" w:rsidRPr="00DB4060" w:rsidRDefault="005E5285" w:rsidP="005E5285">
      <w:pPr>
        <w:pStyle w:val="Nivel3SM"/>
      </w:pPr>
      <w:r>
        <w:t>El valor residual sería el importe estimado que la empresa podría obtener en ese momento por la venta del activo.</w:t>
      </w:r>
    </w:p>
    <w:p w14:paraId="3E19CAE6" w14:textId="77777777" w:rsidR="005E5285" w:rsidRDefault="005E5285">
      <w:pPr>
        <w:pStyle w:val="Prrafodelista"/>
        <w:keepNext/>
        <w:numPr>
          <w:ilvl w:val="0"/>
          <w:numId w:val="17"/>
        </w:numPr>
        <w:spacing w:after="0"/>
        <w:ind w:left="568" w:hanging="284"/>
      </w:pPr>
      <w:r w:rsidRPr="00DF5ECD">
        <w:rPr>
          <w:i/>
          <w:iCs/>
          <w:color w:val="92D050"/>
          <w:u w:val="single"/>
        </w:rPr>
        <w:t>Coste de capital</w:t>
      </w:r>
      <w:r w:rsidRPr="00DF5ECD">
        <w:rPr>
          <w:color w:val="92D050"/>
        </w:rPr>
        <w:t xml:space="preserve"> (</w:t>
      </w:r>
      <m:oMath>
        <m:r>
          <m:rPr>
            <m:nor/>
          </m:rPr>
          <w:rPr>
            <w:i/>
            <w:iCs/>
            <w:color w:val="92D050"/>
            <w:lang w:val="fr-FR"/>
          </w:rPr>
          <m:t>WACC</m:t>
        </m:r>
      </m:oMath>
      <w:r w:rsidRPr="00DF5ECD">
        <w:rPr>
          <w:color w:val="92D050"/>
        </w:rPr>
        <w:t>)</w:t>
      </w:r>
      <w:r w:rsidRPr="00B44034">
        <w:t>:</w:t>
      </w:r>
    </w:p>
    <w:p w14:paraId="7E89A7DA" w14:textId="77777777" w:rsidR="005E5285" w:rsidRPr="00B44034" w:rsidRDefault="005E5285" w:rsidP="005E5285">
      <w:pPr>
        <w:pStyle w:val="Nivel3SM"/>
      </w:pPr>
      <w:r>
        <w:t>Ya lo hemos estudiado en el primer apartado.</w:t>
      </w:r>
    </w:p>
    <w:p w14:paraId="3DC266D5" w14:textId="77777777" w:rsidR="005E5285" w:rsidRDefault="005E5285" w:rsidP="005E5285">
      <w:pPr>
        <w:pStyle w:val="Ttulo2"/>
      </w:pPr>
      <w:bookmarkStart w:id="28" w:name="_Toc172232832"/>
      <w:r>
        <w:t>Principios fundamentales de valoración</w:t>
      </w:r>
      <w:bookmarkEnd w:id="28"/>
    </w:p>
    <w:p w14:paraId="65EFBEC3" w14:textId="77777777" w:rsidR="005E5285" w:rsidRPr="00AD72A9" w:rsidRDefault="005E5285" w:rsidP="005E5285">
      <w:pPr>
        <w:pStyle w:val="Notaalopositor"/>
        <w:rPr>
          <w:lang w:val="fr-FR"/>
        </w:rPr>
      </w:pPr>
      <w:proofErr w:type="spellStart"/>
      <w:r w:rsidRPr="00AC3F00">
        <w:rPr>
          <w:smallCaps/>
          <w:lang w:val="fr-FR"/>
        </w:rPr>
        <w:t>Vernimmen</w:t>
      </w:r>
      <w:proofErr w:type="spellEnd"/>
      <w:r w:rsidRPr="0071310A">
        <w:rPr>
          <w:lang w:val="fr-FR"/>
        </w:rPr>
        <w:t xml:space="preserve"> et al.</w:t>
      </w:r>
      <w:r w:rsidRPr="00AC3F00">
        <w:rPr>
          <w:lang w:val="fr-FR"/>
        </w:rPr>
        <w:t xml:space="preserve"> </w:t>
      </w:r>
      <w:r w:rsidRPr="00AD72A9">
        <w:rPr>
          <w:lang w:val="fr-FR"/>
        </w:rPr>
        <w:t>(</w:t>
      </w:r>
      <w:proofErr w:type="spellStart"/>
      <w:r w:rsidRPr="00AD72A9">
        <w:rPr>
          <w:lang w:val="fr-FR"/>
        </w:rPr>
        <w:t>págs</w:t>
      </w:r>
      <w:proofErr w:type="spellEnd"/>
      <w:r w:rsidRPr="00AD72A9">
        <w:rPr>
          <w:lang w:val="fr-FR"/>
        </w:rPr>
        <w:t xml:space="preserve"> 509 y </w:t>
      </w:r>
      <w:proofErr w:type="spellStart"/>
      <w:r w:rsidRPr="00AD72A9">
        <w:rPr>
          <w:lang w:val="fr-FR"/>
        </w:rPr>
        <w:t>ss</w:t>
      </w:r>
      <w:proofErr w:type="spellEnd"/>
      <w:r w:rsidRPr="00AD72A9">
        <w:rPr>
          <w:lang w:val="fr-FR"/>
        </w:rPr>
        <w:t>.)</w:t>
      </w:r>
      <w:r>
        <w:rPr>
          <w:lang w:val="fr-FR"/>
        </w:rPr>
        <w:t xml:space="preserve"> – </w:t>
      </w:r>
      <w:proofErr w:type="spellStart"/>
      <w:r>
        <w:rPr>
          <w:lang w:val="fr-FR"/>
        </w:rPr>
        <w:t>Chapter</w:t>
      </w:r>
      <w:proofErr w:type="spellEnd"/>
      <w:r>
        <w:rPr>
          <w:lang w:val="fr-FR"/>
        </w:rPr>
        <w:t xml:space="preserve"> 28.2</w:t>
      </w:r>
    </w:p>
    <w:p w14:paraId="03C2CFB2" w14:textId="77777777" w:rsidR="005E5285" w:rsidRDefault="005E5285" w:rsidP="0071310A">
      <w:pPr>
        <w:pStyle w:val="Nivel1SM"/>
        <w:keepNext/>
        <w:spacing w:before="0" w:after="0"/>
      </w:pPr>
      <w:r>
        <w:t xml:space="preserve">Algunos </w:t>
      </w:r>
      <w:r w:rsidRPr="003E3D92">
        <w:rPr>
          <w:b/>
          <w:bCs/>
        </w:rPr>
        <w:t>principios fundamentales de valoración</w:t>
      </w:r>
      <w:r>
        <w:t xml:space="preserve"> son aplicables a todos los proyectos de inversión (</w:t>
      </w:r>
      <w:proofErr w:type="spellStart"/>
      <w:r>
        <w:rPr>
          <w:smallCaps/>
        </w:rPr>
        <w:t>Vernimmen</w:t>
      </w:r>
      <w:proofErr w:type="spellEnd"/>
      <w:r w:rsidRPr="0071310A">
        <w:t xml:space="preserve"> et al.</w:t>
      </w:r>
      <w:r>
        <w:t>, 2017):</w:t>
      </w:r>
    </w:p>
    <w:p w14:paraId="63A69456" w14:textId="77777777" w:rsidR="005E5285" w:rsidRDefault="005E5285" w:rsidP="005E5285">
      <w:pPr>
        <w:pStyle w:val="Nmero"/>
        <w:keepNext/>
        <w:spacing w:after="0"/>
        <w:ind w:left="567"/>
      </w:pPr>
      <w:r w:rsidRPr="00F20221">
        <w:rPr>
          <w:i/>
          <w:iCs/>
          <w:u w:val="single"/>
        </w:rPr>
        <w:t xml:space="preserve">Razonar en términos de </w:t>
      </w:r>
      <w:r>
        <w:rPr>
          <w:i/>
          <w:iCs/>
          <w:u w:val="single"/>
        </w:rPr>
        <w:t>flujos de caja</w:t>
      </w:r>
      <w:r>
        <w:t>:</w:t>
      </w:r>
    </w:p>
    <w:p w14:paraId="08959BAF" w14:textId="77777777" w:rsidR="005E5285" w:rsidRDefault="005E5285" w:rsidP="005E5285">
      <w:pPr>
        <w:pStyle w:val="Nivel3SM"/>
        <w:keepNext/>
      </w:pPr>
      <w:r>
        <w:t xml:space="preserve">Se deben tener en cuenta los </w:t>
      </w:r>
      <w:proofErr w:type="spellStart"/>
      <w:r>
        <w:t>ﬂujos</w:t>
      </w:r>
      <w:proofErr w:type="spellEnd"/>
      <w:r>
        <w:t xml:space="preserve"> de caja </w:t>
      </w:r>
      <w:proofErr w:type="spellStart"/>
      <w:r>
        <w:t>ﬁnancieros</w:t>
      </w:r>
      <w:proofErr w:type="spellEnd"/>
      <w:r>
        <w:t xml:space="preserve"> y </w:t>
      </w:r>
      <w:r w:rsidRPr="00F818BD">
        <w:rPr>
          <w:i/>
          <w:iCs/>
        </w:rPr>
        <w:t>no los ingresos o gastos contables</w:t>
      </w:r>
      <w:r>
        <w:t>, pues estos últimos no tienen en cuenta la importancia del capital circulante o las necesidades operativas de fondos e introducen aspectos no relevantes a la valoración como correcciones por amortización o depreciación.</w:t>
      </w:r>
    </w:p>
    <w:p w14:paraId="6E824663" w14:textId="29A6DD63" w:rsidR="005E5285" w:rsidRDefault="005E5285" w:rsidP="005E5285">
      <w:pPr>
        <w:pStyle w:val="Nivel4"/>
        <w:ind w:left="1474"/>
      </w:pPr>
      <w:r>
        <w:t>La depreciación, por ejemplo, es una medida contable útil para ver cómo impacta la inversión a la cuenta de resultados, pe</w:t>
      </w:r>
      <w:r w:rsidR="00930973">
        <w:t>r</w:t>
      </w:r>
      <w:r>
        <w:t>o no nos interesa tener en cuenta la depreciación para tomar una decisión sobre inversión.</w:t>
      </w:r>
    </w:p>
    <w:p w14:paraId="16D33E8D" w14:textId="77777777" w:rsidR="005E5285" w:rsidRDefault="005E5285" w:rsidP="005E5285">
      <w:pPr>
        <w:pStyle w:val="Nivel3SM"/>
      </w:pPr>
      <w:r>
        <w:t>Hay que analizar flujos de caja positivos y negativos.</w:t>
      </w:r>
    </w:p>
    <w:p w14:paraId="411360FE" w14:textId="77777777" w:rsidR="005E5285" w:rsidRDefault="005E5285" w:rsidP="005E5285">
      <w:pPr>
        <w:pStyle w:val="Nmero"/>
        <w:keepNext/>
        <w:spacing w:after="0"/>
        <w:ind w:left="567"/>
      </w:pPr>
      <w:bookmarkStart w:id="29" w:name="_Hlk146645018"/>
      <w:r w:rsidRPr="00F20221">
        <w:rPr>
          <w:i/>
          <w:iCs/>
          <w:u w:val="single"/>
        </w:rPr>
        <w:lastRenderedPageBreak/>
        <w:t xml:space="preserve">Razonar en términos de </w:t>
      </w:r>
      <w:r>
        <w:rPr>
          <w:i/>
          <w:iCs/>
          <w:u w:val="single"/>
        </w:rPr>
        <w:t>flujos incrementales</w:t>
      </w:r>
      <w:r>
        <w:t>:</w:t>
      </w:r>
    </w:p>
    <w:p w14:paraId="1F7CCBD7" w14:textId="77777777" w:rsidR="005E5285" w:rsidRDefault="005E5285" w:rsidP="005E5285">
      <w:pPr>
        <w:pStyle w:val="Nivel3SM"/>
        <w:keepNext/>
      </w:pPr>
      <w:r>
        <w:t xml:space="preserve">Los </w:t>
      </w:r>
      <w:proofErr w:type="spellStart"/>
      <w:r>
        <w:t>ﬂujos</w:t>
      </w:r>
      <w:proofErr w:type="spellEnd"/>
      <w:r>
        <w:t xml:space="preserve"> considerados en la valoración de proyectos deben ser aquellos cuya realización depende de la decisión de inversión, de tal manera que </w:t>
      </w:r>
      <w:r w:rsidRPr="00F818BD">
        <w:rPr>
          <w:i/>
          <w:iCs/>
        </w:rPr>
        <w:t>los costes hundidos no son relevantes</w:t>
      </w:r>
      <w:r>
        <w:rPr>
          <w:rStyle w:val="Refdenotaalpie"/>
        </w:rPr>
        <w:footnoteReference w:id="17"/>
      </w:r>
      <w:r>
        <w:t xml:space="preserve">. </w:t>
      </w:r>
    </w:p>
    <w:p w14:paraId="11A4A93C" w14:textId="77777777" w:rsidR="005E5285" w:rsidRDefault="005E5285" w:rsidP="005E5285">
      <w:pPr>
        <w:pStyle w:val="Nivel4"/>
        <w:ind w:left="1474"/>
      </w:pPr>
      <w:r>
        <w:t>Los costes hundidos son pagos ya incurridos se implemente o no el proyecto. Por ello, no deben afectar al criterio de invertir o no.</w:t>
      </w:r>
    </w:p>
    <w:p w14:paraId="74FD2A20" w14:textId="77777777" w:rsidR="005E5285" w:rsidRDefault="005E5285" w:rsidP="005E5285">
      <w:pPr>
        <w:pStyle w:val="Nivel3SM"/>
      </w:pPr>
      <w:r>
        <w:t>Se debe por tanto razonar en términos de flujos de caja futuros incrementales derivados de la inversión. El objetivo es calcular la contribución marginal de un proyecto de inversión a la rentabilidad de la empresa.</w:t>
      </w:r>
    </w:p>
    <w:bookmarkEnd w:id="29"/>
    <w:p w14:paraId="2F460AD5" w14:textId="77777777" w:rsidR="005E5285" w:rsidRDefault="005E5285" w:rsidP="005E5285">
      <w:pPr>
        <w:pStyle w:val="Nmero"/>
        <w:keepNext/>
        <w:spacing w:after="0"/>
        <w:ind w:left="567"/>
      </w:pPr>
      <w:r w:rsidRPr="00F20221">
        <w:rPr>
          <w:i/>
          <w:iCs/>
          <w:u w:val="single"/>
        </w:rPr>
        <w:t>Razonar en términos de oportunidad</w:t>
      </w:r>
      <w:r>
        <w:t>:</w:t>
      </w:r>
    </w:p>
    <w:p w14:paraId="2D1A54F0" w14:textId="77777777" w:rsidR="005E5285" w:rsidRPr="001D6853" w:rsidRDefault="005E5285" w:rsidP="005E5285">
      <w:pPr>
        <w:pStyle w:val="Nivel3SM"/>
        <w:keepNext/>
        <w:rPr>
          <w:spacing w:val="-1"/>
        </w:rPr>
      </w:pPr>
      <w:r w:rsidRPr="001D6853">
        <w:rPr>
          <w:spacing w:val="-1"/>
        </w:rPr>
        <w:t>Debe razonarse en todo momento en términos de oportunidad, considerando lo que aporta una decisión en relación a las otras alternativas posibles y no como inversión por separado.</w:t>
      </w:r>
    </w:p>
    <w:p w14:paraId="66394092" w14:textId="77777777" w:rsidR="005E5285" w:rsidRDefault="005E5285" w:rsidP="005E5285">
      <w:pPr>
        <w:pStyle w:val="Nivel4"/>
        <w:ind w:left="1474"/>
      </w:pPr>
      <w:r>
        <w:t>Así, por ejemplo, si posee la propiedad de un terreno y se está valorando construir un hotel, debe compararse con la posibilidad de construir un garaje, alquilar o vender el terreno, o no tomar acción alguna en previsión de un aumento del valor y una venta posterior.</w:t>
      </w:r>
    </w:p>
    <w:p w14:paraId="3D6F0285" w14:textId="77777777" w:rsidR="005E5285" w:rsidRDefault="005E5285" w:rsidP="005E5285">
      <w:pPr>
        <w:pStyle w:val="Nmero"/>
        <w:keepNext/>
        <w:spacing w:after="0"/>
        <w:ind w:left="567"/>
      </w:pPr>
      <w:r>
        <w:rPr>
          <w:i/>
          <w:iCs/>
          <w:u w:val="single"/>
        </w:rPr>
        <w:t>Obviar el tipo de financiación</w:t>
      </w:r>
      <w:r>
        <w:t>:</w:t>
      </w:r>
    </w:p>
    <w:p w14:paraId="66C08E38" w14:textId="77777777" w:rsidR="005E5285" w:rsidRPr="00F667C5" w:rsidRDefault="005E5285" w:rsidP="005E5285">
      <w:pPr>
        <w:pStyle w:val="Nivel3SM"/>
        <w:keepNext/>
        <w:rPr>
          <w:spacing w:val="-3"/>
        </w:rPr>
      </w:pPr>
      <w:r w:rsidRPr="005450CF">
        <w:rPr>
          <w:spacing w:val="-2"/>
        </w:rPr>
        <w:t>Los costes de financiar un proyecto deben valorarse por separado a los desembolsos propios a la inversión. Es decir, para calcular los flujos de caja hay que tener solo en cuenta el efectivo</w:t>
      </w:r>
      <w:r w:rsidRPr="00F667C5">
        <w:rPr>
          <w:spacing w:val="-3"/>
        </w:rPr>
        <w:t xml:space="preserve"> generado por las actividades derivadas de la inversión (cobros y pagos) independientemente </w:t>
      </w:r>
      <w:r w:rsidRPr="005450CF">
        <w:t>de las operaciones de financiación (p.ej. pagos en intereses o dividendos).</w:t>
      </w:r>
    </w:p>
    <w:p w14:paraId="041CD563" w14:textId="77777777" w:rsidR="005E5285" w:rsidRPr="00976A1A" w:rsidRDefault="005E5285" w:rsidP="005E5285">
      <w:pPr>
        <w:pStyle w:val="Nivel4"/>
        <w:ind w:left="1474"/>
      </w:pPr>
      <w:r>
        <w:t>Estos últimos no se deben incluir dentro de los flujos de caja del proyecto, ya que se entiende que el coste de financiación relevante del proyecto de inversión (WACC) viene determinado por la tasa de rendimiento requerida por los financiadores de la empresa (los costes de financiación ya vienen incluidos implícitamente en el WACC).</w:t>
      </w:r>
    </w:p>
    <w:p w14:paraId="6132DEAD" w14:textId="77777777" w:rsidR="005E5285" w:rsidRDefault="005E5285" w:rsidP="005E5285">
      <w:pPr>
        <w:pStyle w:val="Nmero"/>
        <w:keepNext/>
        <w:spacing w:after="0"/>
        <w:ind w:left="567"/>
      </w:pPr>
      <w:r>
        <w:rPr>
          <w:i/>
          <w:iCs/>
          <w:u w:val="single"/>
        </w:rPr>
        <w:t>Tener en cuenta el tratamiento fiscal</w:t>
      </w:r>
      <w:r>
        <w:t>:</w:t>
      </w:r>
    </w:p>
    <w:p w14:paraId="77957706" w14:textId="77777777" w:rsidR="005E5285" w:rsidRPr="00F20221" w:rsidRDefault="005E5285" w:rsidP="005E5285">
      <w:pPr>
        <w:pStyle w:val="Nivel3SM"/>
      </w:pPr>
      <w:r>
        <w:t>Es necesario tener en cuenta el tratamiento fiscal de las ganancias y la rentabilidad.</w:t>
      </w:r>
    </w:p>
    <w:p w14:paraId="3C041BC3" w14:textId="77777777" w:rsidR="005E5285" w:rsidRDefault="005E5285" w:rsidP="005E5285">
      <w:pPr>
        <w:pStyle w:val="Nmero"/>
        <w:keepNext/>
        <w:spacing w:after="0"/>
        <w:ind w:left="567"/>
      </w:pPr>
      <w:r w:rsidRPr="00F20221">
        <w:rPr>
          <w:i/>
          <w:iCs/>
          <w:u w:val="single"/>
        </w:rPr>
        <w:t>Consistencia</w:t>
      </w:r>
      <w:r>
        <w:t>:</w:t>
      </w:r>
    </w:p>
    <w:p w14:paraId="04A9E7FA" w14:textId="77777777" w:rsidR="005E5285" w:rsidRPr="005450CF" w:rsidRDefault="005E5285" w:rsidP="005E5285">
      <w:pPr>
        <w:pStyle w:val="Nivel3SM"/>
        <w:rPr>
          <w:spacing w:val="-1"/>
        </w:rPr>
      </w:pPr>
      <w:r w:rsidRPr="005450CF">
        <w:rPr>
          <w:spacing w:val="-1"/>
        </w:rPr>
        <w:t xml:space="preserve">Por último, es importante ser constante en todo momento en cuanto a los criterios utilizados para cuantificar los </w:t>
      </w:r>
      <w:proofErr w:type="spellStart"/>
      <w:r w:rsidRPr="005450CF">
        <w:rPr>
          <w:spacing w:val="-1"/>
        </w:rPr>
        <w:t>ﬂujos</w:t>
      </w:r>
      <w:proofErr w:type="spellEnd"/>
      <w:r w:rsidRPr="005450CF">
        <w:rPr>
          <w:spacing w:val="-1"/>
        </w:rPr>
        <w:t>, como por ejemplo la divisa utilizada o los supuestos aplicados.</w:t>
      </w:r>
    </w:p>
    <w:p w14:paraId="0D57B917" w14:textId="78D04A3A" w:rsidR="004C53F3" w:rsidRDefault="004C53F3" w:rsidP="00B52052">
      <w:pPr>
        <w:pStyle w:val="Ttulo2"/>
      </w:pPr>
      <w:bookmarkStart w:id="30" w:name="_Toc172232833"/>
      <w:r>
        <w:t>Métodos de valoración</w:t>
      </w:r>
      <w:bookmarkEnd w:id="30"/>
    </w:p>
    <w:p w14:paraId="368BF902" w14:textId="38D567CD" w:rsidR="004324D5" w:rsidRDefault="004324D5" w:rsidP="001D0C82">
      <w:pPr>
        <w:pStyle w:val="Nivel1SM"/>
        <w:keepNext/>
        <w:spacing w:before="0" w:after="0"/>
      </w:pPr>
      <w:r>
        <w:t xml:space="preserve">Habiendo visto los principios fundamentales de valoración de inversiones, pasamos a ver cuáles son los </w:t>
      </w:r>
      <w:r w:rsidRPr="001D0C82">
        <w:rPr>
          <w:b/>
          <w:bCs/>
        </w:rPr>
        <w:t>métodos</w:t>
      </w:r>
      <w:r>
        <w:t xml:space="preserve"> utilizados para valorar las distintas opciones de inversión y que nos permitirán elegir aquellas inversiones que sean más rentables y consigan maximizar el valor de la empresa.</w:t>
      </w:r>
    </w:p>
    <w:p w14:paraId="649AC7F1" w14:textId="77777777" w:rsidR="001D0C82" w:rsidRDefault="005C68E4" w:rsidP="001D0C82">
      <w:pPr>
        <w:pStyle w:val="Nivel2SM"/>
      </w:pPr>
      <w:r w:rsidRPr="00B82339">
        <w:t>Un problema de toda inversión consiste en determinar la rentabilidad del proyecto de inversión para determinar si conviene o no llevar a cabo el proyecto. En caso de que se disponga de varias alternativas de inversión, se ordenarán de mayor a menor rentabilidad.</w:t>
      </w:r>
    </w:p>
    <w:p w14:paraId="0A9D309E" w14:textId="46A28A27" w:rsidR="005C68E4" w:rsidRPr="00B82339" w:rsidRDefault="005C68E4" w:rsidP="001D0C82">
      <w:pPr>
        <w:pStyle w:val="Nivel2SM"/>
      </w:pPr>
      <w:r w:rsidRPr="00B82339">
        <w:t>Vamos a estudiar aquellos criterios de decisión de inversiones que contribuyan a la maximización del valor de la empresa.</w:t>
      </w:r>
    </w:p>
    <w:p w14:paraId="4D90806D" w14:textId="50D0C0FE" w:rsidR="00B22C86" w:rsidRDefault="00B22C86" w:rsidP="004C53F3">
      <w:pPr>
        <w:pStyle w:val="Ttulo3"/>
      </w:pPr>
      <w:bookmarkStart w:id="31" w:name="_Toc172232834"/>
      <w:r>
        <w:t>Métodos aproximados</w:t>
      </w:r>
      <w:r w:rsidR="009B1474">
        <w:t xml:space="preserve"> o estáticos</w:t>
      </w:r>
      <w:bookmarkEnd w:id="31"/>
    </w:p>
    <w:p w14:paraId="4D325D3C" w14:textId="5E116F95" w:rsidR="00BE10B5" w:rsidRPr="004F23BD" w:rsidRDefault="007872E9" w:rsidP="00930973">
      <w:pPr>
        <w:pStyle w:val="Nivel1SM"/>
        <w:spacing w:before="0"/>
      </w:pPr>
      <w:r>
        <w:t>Comencemos por l</w:t>
      </w:r>
      <w:r w:rsidR="00BE10B5">
        <w:t xml:space="preserve">os </w:t>
      </w:r>
      <w:r w:rsidR="00BE10B5" w:rsidRPr="007872E9">
        <w:rPr>
          <w:b/>
          <w:bCs/>
        </w:rPr>
        <w:t>métodos estáticos</w:t>
      </w:r>
      <w:r>
        <w:t xml:space="preserve">, que </w:t>
      </w:r>
      <w:r w:rsidR="00BE10B5">
        <w:t xml:space="preserve">son los que no consideran la cronología de los flujos de caja, es decir, analizan las inversiones suponiendo que las </w:t>
      </w:r>
      <w:r w:rsidR="00C860A7">
        <w:t>cantidades</w:t>
      </w:r>
      <w:r w:rsidR="00BE10B5">
        <w:t xml:space="preserve"> de dinero son percibidas en un mismo período.</w:t>
      </w:r>
    </w:p>
    <w:p w14:paraId="2C5B10AF" w14:textId="4116A15F" w:rsidR="00B22C86" w:rsidRDefault="00B22C86" w:rsidP="004C53F3">
      <w:pPr>
        <w:pStyle w:val="Ttulo6"/>
      </w:pPr>
      <w:bookmarkStart w:id="32" w:name="_Toc172232835"/>
      <w:r>
        <w:lastRenderedPageBreak/>
        <w:t>Criterio del flujo neto de caja por unidad monetaria comprometida</w:t>
      </w:r>
      <w:r w:rsidR="00B82339">
        <w:t xml:space="preserve"> </w:t>
      </w:r>
      <w:r w:rsidR="00A21CF0">
        <w:t>(</w:t>
      </w:r>
      <w:r w:rsidR="00B82339">
        <w:t>o ratio coste-beneficio</w:t>
      </w:r>
      <w:r w:rsidR="00A21CF0">
        <w:t>)</w:t>
      </w:r>
      <w:bookmarkEnd w:id="32"/>
    </w:p>
    <w:p w14:paraId="1B006314" w14:textId="1A9F568C" w:rsidR="004C49D3" w:rsidRDefault="004C49D3" w:rsidP="00930973">
      <w:pPr>
        <w:pStyle w:val="Nivel1SM"/>
        <w:keepNext/>
        <w:spacing w:before="0" w:after="0"/>
      </w:pPr>
      <w:r>
        <w:t>Se calcula de la siguiente manera:</w:t>
      </w:r>
    </w:p>
    <w:p w14:paraId="2A32CB16" w14:textId="48FF6902" w:rsidR="00B82339" w:rsidRPr="00977BEE" w:rsidRDefault="008F3476" w:rsidP="005E5285">
      <w:pPr>
        <w:keepNext/>
        <w:spacing w:after="0"/>
        <w:rPr>
          <w:rFonts w:eastAsiaTheme="minorEastAsia"/>
          <w:i/>
          <w:iCs/>
          <w:lang w:val="fr-FR"/>
        </w:rPr>
      </w:pPr>
      <m:oMathPara>
        <m:oMath>
          <m:r>
            <m:rPr>
              <m:nor/>
            </m:rPr>
            <w:rPr>
              <w:rFonts w:ascii="Cambria Math"/>
            </w:rPr>
            <m:t xml:space="preserve"> </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R</m:t>
          </m:r>
          <m:r>
            <w:rPr>
              <w:rFonts w:ascii="Cambria Math" w:hAnsi="Cambria Math"/>
              <w:lang w:val="fr-FR"/>
            </w:rPr>
            <m:t>=</m:t>
          </m:r>
          <m:f>
            <m:fPr>
              <m:ctrlPr>
                <w:rPr>
                  <w:rFonts w:ascii="Cambria Math" w:hAnsi="Cambria Math"/>
                  <w:i/>
                  <w:iCs/>
                </w:rPr>
              </m:ctrlPr>
            </m:fPr>
            <m:num>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color w:val="3366FF"/>
                      <w:lang w:val="fr-FR"/>
                    </w:rPr>
                    <m:t>n</m:t>
                  </m:r>
                </m:sup>
                <m:e>
                  <m:sSub>
                    <m:sSubPr>
                      <m:ctrlPr>
                        <w:rPr>
                          <w:rFonts w:ascii="Cambria Math" w:hAnsi="Cambria Math"/>
                          <w:i/>
                          <w:iCs/>
                          <w:color w:val="CC00CC"/>
                        </w:rPr>
                      </m:ctrlPr>
                    </m:sSubPr>
                    <m:e>
                      <m:r>
                        <m:rPr>
                          <m:nor/>
                        </m:rPr>
                        <w:rPr>
                          <w:i/>
                          <w:iCs/>
                          <w:color w:val="CC00CC"/>
                          <w:lang w:val="fr-FR"/>
                        </w:rPr>
                        <m:t>Q</m:t>
                      </m:r>
                    </m:e>
                    <m:sub>
                      <m:r>
                        <m:rPr>
                          <m:nor/>
                        </m:rPr>
                        <w:rPr>
                          <w:i/>
                          <w:iCs/>
                          <w:color w:val="CC00CC"/>
                          <w:lang w:val="fr-FR"/>
                        </w:rPr>
                        <m:t>t</m:t>
                      </m:r>
                    </m:sub>
                  </m:sSub>
                </m:e>
              </m:nary>
            </m:num>
            <m:den>
              <m:r>
                <m:rPr>
                  <m:nor/>
                </m:rPr>
                <w:rPr>
                  <w:i/>
                  <w:iCs/>
                  <w:color w:val="C00000"/>
                  <w:lang w:val="fr-FR"/>
                </w:rPr>
                <m:t>A</m:t>
              </m:r>
            </m:den>
          </m:f>
        </m:oMath>
      </m:oMathPara>
    </w:p>
    <w:p w14:paraId="38BBBF73" w14:textId="451866EE" w:rsidR="00B5476C" w:rsidRPr="00B5476C" w:rsidRDefault="008F3476" w:rsidP="005E5285">
      <w:pPr>
        <w:pStyle w:val="Nivel2SM"/>
      </w:pPr>
      <w:r>
        <w:t xml:space="preserve">Una inversión podría interesar siempre que </w:t>
      </w:r>
      <m:oMath>
        <m:r>
          <m:rPr>
            <m:nor/>
          </m:rPr>
          <w:rPr>
            <w:i/>
          </w:rPr>
          <m:t>R</m:t>
        </m:r>
        <m:r>
          <w:rPr>
            <w:rFonts w:ascii="Cambria Math"/>
          </w:rPr>
          <m:t>&gt;</m:t>
        </m:r>
        <m:r>
          <m:rPr>
            <m:nor/>
          </m:rPr>
          <w:rPr>
            <w:i/>
          </w:rPr>
          <m:t>1</m:t>
        </m:r>
      </m:oMath>
      <w:r>
        <w:t xml:space="preserve"> (ya que permite recuperar la inversión inicial). </w:t>
      </w:r>
      <w:r w:rsidR="004C49D3" w:rsidRPr="004C49D3">
        <w:t>Sólo la parte del cociente que excede a la unidad es rentabilidad en sentido estricto, la otra parte es recuperación del capital invertido.</w:t>
      </w:r>
    </w:p>
    <w:p w14:paraId="411A71C7" w14:textId="33060D66" w:rsidR="00B22C86" w:rsidRDefault="00B22C86" w:rsidP="004C53F3">
      <w:pPr>
        <w:pStyle w:val="Ttulo6"/>
      </w:pPr>
      <w:bookmarkStart w:id="33" w:name="_Toc172232836"/>
      <w:r>
        <w:t xml:space="preserve">Criterio del plazo de recuperación (o </w:t>
      </w:r>
      <w:proofErr w:type="spellStart"/>
      <w:r w:rsidRPr="00C63E06">
        <w:rPr>
          <w:i/>
          <w:iCs/>
        </w:rPr>
        <w:t>payback</w:t>
      </w:r>
      <w:proofErr w:type="spellEnd"/>
      <w:r>
        <w:t>)</w:t>
      </w:r>
      <w:bookmarkEnd w:id="33"/>
    </w:p>
    <w:p w14:paraId="0A3CC4D2" w14:textId="25E70F2C" w:rsidR="008F3476" w:rsidRDefault="008F3476" w:rsidP="00930973">
      <w:pPr>
        <w:pStyle w:val="Nivel1SM"/>
        <w:keepNext/>
        <w:spacing w:before="0" w:after="0"/>
      </w:pPr>
      <w:r>
        <w:t>Se entiende por plazo de recuperación de una inversión el tiempo que tarda en recuperarse (amortizarse</w:t>
      </w:r>
      <w:r w:rsidR="00A21CF0">
        <w:t xml:space="preserve">) el desembolso inicial. Suponiendo que los </w:t>
      </w:r>
      <w:r w:rsidR="00A21CF0" w:rsidRPr="00C87863">
        <w:rPr>
          <w:i/>
          <w:iCs/>
        </w:rPr>
        <w:t>flujos netos de caja son constantes</w:t>
      </w:r>
      <w:r w:rsidR="00C87863">
        <w:t xml:space="preserve"> (</w:t>
      </w:r>
      <m:oMath>
        <m:sSub>
          <m:sSubPr>
            <m:ctrlPr>
              <w:rPr>
                <w:rFonts w:ascii="Cambria Math" w:hAnsi="Cambria Math"/>
                <w:i/>
                <w:iCs/>
              </w:rPr>
            </m:ctrlPr>
          </m:sSubPr>
          <m:e>
            <m:r>
              <m:rPr>
                <m:nor/>
              </m:rPr>
              <w:rPr>
                <w:i/>
                <w:iCs/>
              </w:rPr>
              <m:t>Q</m:t>
            </m:r>
          </m:e>
          <m:sub>
            <m:r>
              <m:rPr>
                <m:nor/>
              </m:rPr>
              <w:rPr>
                <w:i/>
                <w:iCs/>
              </w:rPr>
              <m:t>t</m:t>
            </m:r>
          </m:sub>
        </m:sSub>
        <m:r>
          <w:rPr>
            <w:rFonts w:ascii="Cambria Math" w:hAnsi="Cambria Math"/>
          </w:rPr>
          <m:t>=</m:t>
        </m:r>
        <m:r>
          <m:rPr>
            <m:nor/>
          </m:rPr>
          <w:rPr>
            <w:i/>
            <w:iCs/>
          </w:rPr>
          <m:t>Q</m:t>
        </m:r>
        <m:r>
          <m:rPr>
            <m:nor/>
          </m:rPr>
          <w:rPr>
            <w:rFonts w:ascii="Cambria Math"/>
            <w:i/>
            <w:iCs/>
          </w:rPr>
          <m:t xml:space="preserve"> </m:t>
        </m:r>
        <m:r>
          <w:rPr>
            <w:rFonts w:ascii="Cambria Math" w:hAnsi="Cambria Math"/>
          </w:rPr>
          <m:t>∀</m:t>
        </m:r>
        <m:r>
          <m:rPr>
            <m:nor/>
          </m:rPr>
          <w:rPr>
            <w:i/>
            <w:iCs/>
          </w:rPr>
          <m:t>t</m:t>
        </m:r>
      </m:oMath>
      <w:r w:rsidR="00C87863">
        <w:t>)</w:t>
      </w:r>
      <w:r w:rsidR="00A21CF0">
        <w:t xml:space="preserve">, el </w:t>
      </w:r>
      <w:proofErr w:type="spellStart"/>
      <w:r w:rsidR="00A21CF0">
        <w:rPr>
          <w:i/>
          <w:iCs/>
        </w:rPr>
        <w:t>payback</w:t>
      </w:r>
      <w:proofErr w:type="spellEnd"/>
      <w:r w:rsidR="00A21CF0">
        <w:t xml:space="preserve"> se calcula de la siguiente manera:</w:t>
      </w:r>
    </w:p>
    <w:p w14:paraId="706E60C9" w14:textId="6AEB4D51" w:rsidR="00A21CF0" w:rsidRPr="00977BEE" w:rsidRDefault="00977BEE" w:rsidP="00930973">
      <w:pPr>
        <w:spacing w:after="100"/>
        <w:rPr>
          <w:lang w:val="en-US"/>
        </w:rPr>
      </w:pPr>
      <m:oMathPara>
        <m:oMath>
          <m:r>
            <m:rPr>
              <m:nor/>
            </m:rPr>
            <w:rPr>
              <w:i/>
              <w:iCs/>
              <w:color w:val="E2EFD9" w:themeColor="accent6" w:themeTint="33"/>
              <w:lang w:val="en-US"/>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Payback</m:t>
          </m:r>
          <m:r>
            <w:rPr>
              <w:rFonts w:ascii="Cambria Math" w:hAnsi="Cambria Math"/>
              <w:lang w:val="en-US"/>
            </w:rPr>
            <m:t>=</m:t>
          </m:r>
          <m:f>
            <m:fPr>
              <m:ctrlPr>
                <w:rPr>
                  <w:rFonts w:ascii="Cambria Math" w:hAnsi="Cambria Math"/>
                  <w:i/>
                  <w:iCs/>
                </w:rPr>
              </m:ctrlPr>
            </m:fPr>
            <m:num>
              <m:r>
                <m:rPr>
                  <m:nor/>
                </m:rPr>
                <w:rPr>
                  <w:i/>
                  <w:iCs/>
                  <w:color w:val="C00000"/>
                  <w:lang w:val="en-US"/>
                </w:rPr>
                <m:t>A</m:t>
              </m:r>
            </m:num>
            <m:den>
              <m:r>
                <m:rPr>
                  <m:nor/>
                </m:rPr>
                <w:rPr>
                  <w:i/>
                  <w:iCs/>
                  <w:color w:val="CC00CC"/>
                  <w:lang w:val="en-US"/>
                </w:rPr>
                <m:t>Q</m:t>
              </m:r>
            </m:den>
          </m:f>
        </m:oMath>
      </m:oMathPara>
    </w:p>
    <w:p w14:paraId="0A573878" w14:textId="5BAFEB81" w:rsidR="005E5285" w:rsidRDefault="005E5285" w:rsidP="005E5285">
      <w:pPr>
        <w:pStyle w:val="Nivel1SM"/>
        <w:keepNext/>
        <w:spacing w:after="0"/>
      </w:pPr>
      <w:r>
        <w:t xml:space="preserve">Los </w:t>
      </w:r>
      <w:r w:rsidRPr="005E5285">
        <w:rPr>
          <w:b/>
          <w:bCs/>
        </w:rPr>
        <w:t>métodos estáticos</w:t>
      </w:r>
      <w:r>
        <w:t xml:space="preserve"> presentan ventajas e inconvenientes:</w:t>
      </w:r>
    </w:p>
    <w:p w14:paraId="1BD01DE9" w14:textId="7EAE9356" w:rsidR="00B5476C" w:rsidRDefault="00B5476C" w:rsidP="005E5285">
      <w:pPr>
        <w:pStyle w:val="Nivel2SM"/>
      </w:pPr>
      <w:r>
        <w:t xml:space="preserve">La principal </w:t>
      </w:r>
      <w:r>
        <w:rPr>
          <w:i/>
        </w:rPr>
        <w:t>ventaja</w:t>
      </w:r>
      <w:r>
        <w:t xml:space="preserve"> de estos métodos reside en su sencillez.</w:t>
      </w:r>
    </w:p>
    <w:p w14:paraId="34E41A66" w14:textId="77777777" w:rsidR="00B5476C" w:rsidRDefault="00B5476C" w:rsidP="005E5285">
      <w:pPr>
        <w:pStyle w:val="Nivel2SM"/>
        <w:keepNext/>
        <w:spacing w:after="0"/>
      </w:pPr>
      <w:r>
        <w:t xml:space="preserve">No obstante, este criterio presenta una serie de </w:t>
      </w:r>
      <w:r w:rsidRPr="00B5476C">
        <w:rPr>
          <w:i/>
        </w:rPr>
        <w:t>limitaciones</w:t>
      </w:r>
      <w:r>
        <w:t>:</w:t>
      </w:r>
    </w:p>
    <w:p w14:paraId="2DD585FC" w14:textId="0E9C11E4" w:rsidR="00B5476C" w:rsidRDefault="00B5476C" w:rsidP="005E5285">
      <w:pPr>
        <w:pStyle w:val="Nivel3SM"/>
      </w:pPr>
      <w:r>
        <w:t>Agrega cantidades heterogéneas, ya que no considera la variable tiempo.</w:t>
      </w:r>
      <w:r w:rsidR="004C49D3">
        <w:t xml:space="preserve"> </w:t>
      </w:r>
      <w:r w:rsidR="007872E9">
        <w:t>Sin embargo,</w:t>
      </w:r>
      <w:r w:rsidR="004C49D3">
        <w:t xml:space="preserve"> lo cierto es que una cantidad hoy es más valiosa que la misma cantidad en el futuro por varios motivos: </w:t>
      </w:r>
      <w:r w:rsidR="004C49D3">
        <w:rPr>
          <w:i/>
          <w:iCs/>
        </w:rPr>
        <w:t>i)</w:t>
      </w:r>
      <w:r w:rsidR="00930973">
        <w:t> </w:t>
      </w:r>
      <w:r w:rsidR="004C49D3">
        <w:t xml:space="preserve">impaciencia; </w:t>
      </w:r>
      <w:proofErr w:type="spellStart"/>
      <w:r w:rsidR="004C49D3">
        <w:rPr>
          <w:i/>
          <w:iCs/>
        </w:rPr>
        <w:t>ii</w:t>
      </w:r>
      <w:proofErr w:type="spellEnd"/>
      <w:r w:rsidR="004C49D3">
        <w:rPr>
          <w:i/>
          <w:iCs/>
        </w:rPr>
        <w:t>)</w:t>
      </w:r>
      <w:r w:rsidR="00930973">
        <w:t> </w:t>
      </w:r>
      <w:r w:rsidR="004C49D3">
        <w:t xml:space="preserve">evitar riesgos; y </w:t>
      </w:r>
      <w:proofErr w:type="spellStart"/>
      <w:r w:rsidR="004C49D3">
        <w:rPr>
          <w:i/>
          <w:iCs/>
        </w:rPr>
        <w:t>iii</w:t>
      </w:r>
      <w:proofErr w:type="spellEnd"/>
      <w:r w:rsidR="004C49D3">
        <w:rPr>
          <w:i/>
          <w:iCs/>
        </w:rPr>
        <w:t>)</w:t>
      </w:r>
      <w:r w:rsidR="00930973">
        <w:t> </w:t>
      </w:r>
      <w:r w:rsidR="004C49D3">
        <w:t>la cantidad puede ser reinvertida.</w:t>
      </w:r>
    </w:p>
    <w:p w14:paraId="62362705" w14:textId="5A9782F5" w:rsidR="002211E0" w:rsidRDefault="002211E0" w:rsidP="005E5285">
      <w:pPr>
        <w:pStyle w:val="Nivel3SM"/>
      </w:pPr>
      <w:r>
        <w:t>No tiene en cuenta el coste de capital.</w:t>
      </w:r>
    </w:p>
    <w:p w14:paraId="4BAC87D7" w14:textId="1CF42C05" w:rsidR="00B5476C" w:rsidRDefault="00B5476C" w:rsidP="005E5285">
      <w:pPr>
        <w:pStyle w:val="Nivel3SM"/>
      </w:pPr>
      <w:r>
        <w:t>La rentabilidad se suele expresar en base anual, no referida a toda la vida de la inversión.</w:t>
      </w:r>
    </w:p>
    <w:p w14:paraId="66617985" w14:textId="1C39A3D7" w:rsidR="00B22C86" w:rsidRDefault="00B22C86" w:rsidP="004C53F3">
      <w:pPr>
        <w:pStyle w:val="Ttulo3"/>
      </w:pPr>
      <w:bookmarkStart w:id="34" w:name="_Toc172232837"/>
      <w:r>
        <w:t>Métodos dinámicos</w:t>
      </w:r>
      <w:bookmarkEnd w:id="34"/>
    </w:p>
    <w:p w14:paraId="6A4F268D" w14:textId="7B76DB51" w:rsidR="00A21CF0" w:rsidRPr="00A21CF0" w:rsidRDefault="007872E9" w:rsidP="00930973">
      <w:pPr>
        <w:pStyle w:val="Nivel1SM"/>
        <w:spacing w:before="0"/>
      </w:pPr>
      <w:r>
        <w:t xml:space="preserve">Para suplir estas limitaciones surgen los </w:t>
      </w:r>
      <w:r w:rsidRPr="007872E9">
        <w:rPr>
          <w:b/>
          <w:bCs/>
        </w:rPr>
        <w:t>métodos dinámicos</w:t>
      </w:r>
      <w:r>
        <w:t xml:space="preserve">. </w:t>
      </w:r>
      <w:r w:rsidR="00A21CF0">
        <w:t xml:space="preserve">Estos criterios tienen en cuenta la cronología de los flujos utilizando el procedimiento de </w:t>
      </w:r>
      <w:r w:rsidR="00A21CF0" w:rsidRPr="00910870">
        <w:rPr>
          <w:i/>
          <w:iCs/>
        </w:rPr>
        <w:t>actualización o descuento</w:t>
      </w:r>
      <w:r w:rsidR="00A21CF0">
        <w:t xml:space="preserve"> (al coste de capital) para </w:t>
      </w:r>
      <w:r w:rsidR="00A21CF0" w:rsidRPr="00BD3030">
        <w:rPr>
          <w:i/>
          <w:iCs/>
        </w:rPr>
        <w:t>homogeneizar</w:t>
      </w:r>
      <w:r w:rsidR="00A21CF0">
        <w:t xml:space="preserve"> las cantidades de dinero percibidas en distintos momentos del tiempo. Cabe destacar el criterio de </w:t>
      </w:r>
      <w:r w:rsidR="00BD3030">
        <w:t>V</w:t>
      </w:r>
      <w:r w:rsidR="00A21CF0">
        <w:t xml:space="preserve">alor </w:t>
      </w:r>
      <w:r w:rsidR="00BD3030">
        <w:t>A</w:t>
      </w:r>
      <w:r w:rsidR="00A21CF0">
        <w:t xml:space="preserve">ctual </w:t>
      </w:r>
      <w:r w:rsidR="00BD3030">
        <w:t>N</w:t>
      </w:r>
      <w:r w:rsidR="00A21CF0">
        <w:t xml:space="preserve">eto (VAN) y la </w:t>
      </w:r>
      <w:r w:rsidR="00BD3030">
        <w:t>T</w:t>
      </w:r>
      <w:r w:rsidR="00A21CF0">
        <w:t xml:space="preserve">asa </w:t>
      </w:r>
      <w:r w:rsidR="00BD3030">
        <w:t xml:space="preserve">Interna </w:t>
      </w:r>
      <w:r w:rsidR="00A21CF0">
        <w:t xml:space="preserve">de </w:t>
      </w:r>
      <w:r w:rsidR="00BD3030">
        <w:t>R</w:t>
      </w:r>
      <w:r w:rsidR="00A21CF0">
        <w:t>etorno (TIR)</w:t>
      </w:r>
    </w:p>
    <w:p w14:paraId="674947CF" w14:textId="2C0A67F6" w:rsidR="00B22C86" w:rsidRDefault="00B22C86" w:rsidP="0009771D">
      <w:pPr>
        <w:pStyle w:val="Ttulo6"/>
        <w:spacing w:after="0"/>
      </w:pPr>
      <w:bookmarkStart w:id="35" w:name="_Ref125301639"/>
      <w:bookmarkStart w:id="36" w:name="_Ref125301644"/>
      <w:bookmarkStart w:id="37" w:name="_Ref125301650"/>
      <w:bookmarkStart w:id="38" w:name="_Ref125301679"/>
      <w:bookmarkStart w:id="39" w:name="_Toc172232838"/>
      <w:r>
        <w:t>Valor Actual Neto (VAN)</w:t>
      </w:r>
      <w:bookmarkEnd w:id="35"/>
      <w:bookmarkEnd w:id="36"/>
      <w:bookmarkEnd w:id="37"/>
      <w:bookmarkEnd w:id="38"/>
      <w:bookmarkEnd w:id="39"/>
    </w:p>
    <w:p w14:paraId="2643036A" w14:textId="3268C4A1" w:rsidR="00823B92" w:rsidRPr="00823B92" w:rsidRDefault="00823B92" w:rsidP="00930973">
      <w:pPr>
        <w:pStyle w:val="Ttulo7"/>
        <w:spacing w:before="0"/>
      </w:pPr>
      <w:r>
        <w:t>Definición</w:t>
      </w:r>
    </w:p>
    <w:p w14:paraId="495FF727" w14:textId="547EE846" w:rsidR="00BD3030" w:rsidRDefault="00BD3030" w:rsidP="00930973">
      <w:pPr>
        <w:pStyle w:val="Nivel1SM"/>
        <w:keepNext/>
        <w:spacing w:before="0" w:after="0"/>
      </w:pPr>
      <w:r>
        <w:t>Es el valor actualizado de todos los rendimientos esperados:</w:t>
      </w:r>
    </w:p>
    <w:p w14:paraId="33F98196" w14:textId="16D84FAB" w:rsidR="00BD3030" w:rsidRDefault="00BD3030" w:rsidP="00823B92">
      <w:pPr>
        <w:keepLines/>
        <w:spacing w:after="100"/>
        <w:rPr>
          <w:rFonts w:eastAsiaTheme="minorEastAsia"/>
          <w:iCs/>
        </w:rPr>
      </w:pPr>
      <m:oMathPara>
        <m:oMath>
          <m:r>
            <w:rPr>
              <w:rFonts w:ascii="Cambria Math" w:eastAsiaTheme="minorEastAsia" w:hAnsi="Cambria Math"/>
            </w:rPr>
            <m:t xml:space="preserve"> </m:t>
          </m:r>
          <m:r>
            <m:rPr>
              <m:nor/>
            </m:rPr>
            <w:rPr>
              <w:i/>
              <w:iCs/>
              <w:color w:val="E2EFD9" w:themeColor="accent6" w:themeTint="33"/>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VAN</m:t>
          </m:r>
          <m:r>
            <w:rPr>
              <w:rFonts w:ascii="Cambria Math" w:hAnsi="Cambria Math"/>
            </w:rPr>
            <m:t>=-</m:t>
          </m:r>
          <m:r>
            <m:rPr>
              <m:nor/>
            </m:rPr>
            <w:rPr>
              <w:i/>
              <w:iCs/>
              <w:color w:val="C00000"/>
            </w:rPr>
            <m:t>A</m:t>
          </m:r>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1</m:t>
              </m:r>
            </m:sub>
            <m:sup>
              <m:r>
                <m:rPr>
                  <m:nor/>
                </m:rPr>
                <w:rPr>
                  <w:i/>
                  <w:iCs/>
                  <w:color w:val="3366FF"/>
                </w:rPr>
                <m:t>n</m:t>
              </m:r>
            </m:sup>
            <m:e>
              <m:f>
                <m:fPr>
                  <m:ctrlPr>
                    <w:rPr>
                      <w:rFonts w:ascii="Cambria Math" w:hAnsi="Cambria Math"/>
                      <w:i/>
                      <w:iCs/>
                    </w:rPr>
                  </m:ctrlPr>
                </m:fPr>
                <m:num>
                  <m:sSub>
                    <m:sSubPr>
                      <m:ctrlPr>
                        <w:rPr>
                          <w:rFonts w:ascii="Cambria Math" w:hAnsi="Cambria Math"/>
                          <w:i/>
                          <w:iCs/>
                          <w:color w:val="CC00CC"/>
                        </w:rPr>
                      </m:ctrlPr>
                    </m:sSubPr>
                    <m:e>
                      <m:r>
                        <m:rPr>
                          <m:nor/>
                        </m:rPr>
                        <w:rPr>
                          <w:i/>
                          <w:iCs/>
                          <w:color w:val="CC00CC"/>
                        </w:rPr>
                        <m:t>Q</m:t>
                      </m:r>
                    </m:e>
                    <m:sub>
                      <m:r>
                        <m:rPr>
                          <m:nor/>
                        </m:rPr>
                        <w:rPr>
                          <w:i/>
                          <w:iCs/>
                          <w:color w:val="CC00CC"/>
                        </w:rPr>
                        <m:t>t</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r>
                            <m:rPr>
                              <m:nor/>
                            </m:rPr>
                            <w:rPr>
                              <w:i/>
                              <w:iCs/>
                              <w:color w:val="92D050"/>
                            </w:rPr>
                            <m:t>WACC</m:t>
                          </m:r>
                        </m:e>
                      </m:d>
                    </m:e>
                    <m:sup>
                      <m:r>
                        <m:rPr>
                          <m:nor/>
                        </m:rPr>
                        <w:rPr>
                          <w:i/>
                          <w:iCs/>
                        </w:rPr>
                        <m:t>t</m:t>
                      </m:r>
                    </m:sup>
                  </m:sSup>
                </m:den>
              </m:f>
            </m:e>
          </m:nary>
          <m:r>
            <w:rPr>
              <w:rFonts w:ascii="Cambria Math" w:hAnsi="Cambria Math"/>
            </w:rPr>
            <m:t>+</m:t>
          </m:r>
          <m:f>
            <m:fPr>
              <m:ctrlPr>
                <w:rPr>
                  <w:rFonts w:ascii="Cambria Math" w:hAnsi="Cambria Math"/>
                  <w:i/>
                  <w:iCs/>
                </w:rPr>
              </m:ctrlPr>
            </m:fPr>
            <m:num>
              <m:r>
                <m:rPr>
                  <m:nor/>
                </m:rPr>
                <w:rPr>
                  <w:i/>
                  <w:iCs/>
                  <w:color w:val="FF9900"/>
                </w:rPr>
                <m:t>VR</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r>
                        <m:rPr>
                          <m:nor/>
                        </m:rPr>
                        <w:rPr>
                          <w:i/>
                          <w:iCs/>
                          <w:color w:val="92D050"/>
                        </w:rPr>
                        <m:t>WACC</m:t>
                      </m:r>
                    </m:e>
                  </m:d>
                </m:e>
                <m:sup>
                  <m:r>
                    <m:rPr>
                      <m:nor/>
                    </m:rPr>
                    <w:rPr>
                      <w:i/>
                      <w:iCs/>
                      <w:color w:val="3366FF"/>
                    </w:rPr>
                    <m:t>n</m:t>
                  </m:r>
                </m:sup>
              </m:sSup>
            </m:den>
          </m:f>
          <m:r>
            <m:rPr>
              <m:sty m:val="p"/>
            </m:rPr>
            <w:rPr>
              <w:rFonts w:eastAsiaTheme="minorEastAsia"/>
            </w:rPr>
            <w:br/>
          </m:r>
        </m:oMath>
      </m:oMathPara>
      <w:r w:rsidR="000B2971">
        <w:rPr>
          <w:rFonts w:eastAsiaTheme="minorEastAsia"/>
        </w:rPr>
        <w:t>d</w:t>
      </w:r>
      <w:r>
        <w:rPr>
          <w:rFonts w:eastAsiaTheme="minorEastAsia"/>
        </w:rPr>
        <w:t xml:space="preserve">onde </w:t>
      </w:r>
      <m:oMath>
        <m:r>
          <m:rPr>
            <m:nor/>
          </m:rPr>
          <w:rPr>
            <w:i/>
            <w:iCs/>
          </w:rPr>
          <m:t>WACC</m:t>
        </m:r>
      </m:oMath>
      <w:r w:rsidRPr="00BD3030">
        <w:rPr>
          <w:rFonts w:eastAsiaTheme="minorEastAsia"/>
          <w:iCs/>
        </w:rPr>
        <w:t xml:space="preserve"> es la t</w:t>
      </w:r>
      <w:r>
        <w:rPr>
          <w:rFonts w:eastAsiaTheme="minorEastAsia"/>
          <w:iCs/>
        </w:rPr>
        <w:t>asa de descuento (para la que se utiliza el coste de capital).</w:t>
      </w:r>
    </w:p>
    <w:p w14:paraId="03752253" w14:textId="414EF30D" w:rsidR="00823B92" w:rsidRPr="00BD3030" w:rsidRDefault="00823B92" w:rsidP="00823B92">
      <w:pPr>
        <w:pStyle w:val="Ttulo7"/>
        <w:rPr>
          <w:rFonts w:eastAsiaTheme="minorEastAsia"/>
        </w:rPr>
      </w:pPr>
      <w:r>
        <w:rPr>
          <w:rFonts w:eastAsiaTheme="minorEastAsia"/>
        </w:rPr>
        <w:t>Decisión de efectuación y jerarquización</w:t>
      </w:r>
    </w:p>
    <w:p w14:paraId="180A97C7" w14:textId="51AC3743" w:rsidR="0083184E" w:rsidRDefault="0083184E" w:rsidP="00C860A7">
      <w:pPr>
        <w:pStyle w:val="Nivel2SM"/>
      </w:pPr>
      <w:r w:rsidRPr="0083184E">
        <w:rPr>
          <w:i/>
          <w:iCs/>
          <w:u w:val="single"/>
        </w:rPr>
        <w:t>¿En qué proyectos invertir y en cuáles no?</w:t>
      </w:r>
      <w:r>
        <w:t xml:space="preserve">: </w:t>
      </w:r>
      <w:r w:rsidR="000B2971">
        <w:t xml:space="preserve">Sólo se </w:t>
      </w:r>
      <w:r w:rsidR="0009771D">
        <w:t>deben llevar a cabo inversiones con VAN positivo, ya que son las que aumentan el valor de la empresa</w:t>
      </w:r>
      <w:r>
        <w:t xml:space="preserve"> (la tasa de rentabilidad es mayor que el coste de capital)</w:t>
      </w:r>
      <w:r w:rsidR="0009771D">
        <w:t>.</w:t>
      </w:r>
    </w:p>
    <w:p w14:paraId="521AFC66" w14:textId="7B11D0A7" w:rsidR="0083184E" w:rsidRDefault="0083184E" w:rsidP="00C860A7">
      <w:pPr>
        <w:pStyle w:val="Nivel2SM"/>
      </w:pPr>
      <w:r w:rsidRPr="0083184E">
        <w:rPr>
          <w:i/>
          <w:iCs/>
          <w:u w:val="single"/>
        </w:rPr>
        <w:t>¿Si debemos elegir entre varias inversiones rentables, cuál debemos elegir?</w:t>
      </w:r>
      <w:r>
        <w:t>: Deberíamos dar prioridad a las inversiones que tengan mayor VAN.</w:t>
      </w:r>
    </w:p>
    <w:p w14:paraId="159C8D1B" w14:textId="3CD30B7C" w:rsidR="00823B92" w:rsidRPr="00823B92" w:rsidRDefault="00823B92" w:rsidP="00823B92">
      <w:pPr>
        <w:pStyle w:val="Ttulo7"/>
      </w:pPr>
      <w:r>
        <w:t>Valoración</w:t>
      </w:r>
    </w:p>
    <w:p w14:paraId="5BF6C793" w14:textId="77777777" w:rsidR="00C860A7" w:rsidRDefault="00C860A7" w:rsidP="00930973">
      <w:pPr>
        <w:pStyle w:val="Nivel1SM"/>
        <w:keepNext/>
        <w:spacing w:before="0" w:after="0"/>
      </w:pPr>
      <w:r>
        <w:t>Este método presenta ventajas e inconvenientes:</w:t>
      </w:r>
    </w:p>
    <w:p w14:paraId="36BF8824" w14:textId="4ADEAF45" w:rsidR="00BD3030" w:rsidRDefault="0009771D" w:rsidP="00C860A7">
      <w:pPr>
        <w:pStyle w:val="Nivel2SM"/>
      </w:pPr>
      <w:r>
        <w:t xml:space="preserve">La principal </w:t>
      </w:r>
      <w:r w:rsidRPr="00B5476C">
        <w:rPr>
          <w:i/>
          <w:iCs/>
        </w:rPr>
        <w:t>ventaja</w:t>
      </w:r>
      <w:r>
        <w:t xml:space="preserve"> de este método es que tiene en cuenta los vencimientos de los flujos de caja. Para poder comparar flujos de caja disponibles en distintas épocas, hay que homogeneizarlos</w:t>
      </w:r>
      <w:r w:rsidR="00092823">
        <w:t xml:space="preserve"> refiriéndolos a una misma fecha.</w:t>
      </w:r>
    </w:p>
    <w:p w14:paraId="5368A091" w14:textId="7F656E32" w:rsidR="0097417F" w:rsidRPr="001313EC" w:rsidRDefault="00CC4B69" w:rsidP="00C860A7">
      <w:pPr>
        <w:pStyle w:val="Nivel2SM"/>
      </w:pPr>
      <w:r>
        <w:t>Sin embargo, cuenta con el</w:t>
      </w:r>
      <w:r w:rsidR="00092823">
        <w:t xml:space="preserve"> </w:t>
      </w:r>
      <w:r w:rsidR="00092823" w:rsidRPr="00B5476C">
        <w:rPr>
          <w:i/>
          <w:iCs/>
        </w:rPr>
        <w:t>inconveniente</w:t>
      </w:r>
      <w:r w:rsidR="00092823">
        <w:t xml:space="preserve"> </w:t>
      </w:r>
      <w:r>
        <w:t>de l</w:t>
      </w:r>
      <w:r w:rsidR="0097417F">
        <w:t>a hipótesis de reinversión de los flujos netos de caja</w:t>
      </w:r>
      <w:r>
        <w:t>.</w:t>
      </w:r>
      <w:r w:rsidR="0097417F">
        <w:t xml:space="preserve"> Así, este método supone que los flujos de caja positivos son reinvertidos inmediatamente a una tasa de rendimiento </w:t>
      </w:r>
      <m:oMath>
        <m:r>
          <m:rPr>
            <m:nor/>
          </m:rPr>
          <w:rPr>
            <w:i/>
            <w:iCs/>
          </w:rPr>
          <m:t>k</m:t>
        </m:r>
      </m:oMath>
      <w:r w:rsidR="0097417F">
        <w:rPr>
          <w:rFonts w:eastAsiaTheme="minorEastAsia"/>
          <w:iCs/>
        </w:rPr>
        <w:t xml:space="preserve"> (que coincide con el tipo de descuento), y que los flujos de caja </w:t>
      </w:r>
      <w:r w:rsidR="0097417F">
        <w:rPr>
          <w:rFonts w:eastAsiaTheme="minorEastAsia"/>
          <w:iCs/>
        </w:rPr>
        <w:lastRenderedPageBreak/>
        <w:t xml:space="preserve">negativos son financiados con recursos cuyo coste es </w:t>
      </w:r>
      <m:oMath>
        <m:r>
          <m:rPr>
            <m:nor/>
          </m:rPr>
          <w:rPr>
            <w:i/>
            <w:iCs/>
          </w:rPr>
          <m:t>k</m:t>
        </m:r>
      </m:oMath>
      <w:r w:rsidR="0097417F">
        <w:rPr>
          <w:rFonts w:eastAsiaTheme="minorEastAsia"/>
          <w:iCs/>
        </w:rPr>
        <w:t xml:space="preserve">. Si el tipo de reinversión o financiación fuera diferente de </w:t>
      </w:r>
      <m:oMath>
        <m:r>
          <m:rPr>
            <m:nor/>
          </m:rPr>
          <w:rPr>
            <w:i/>
            <w:iCs/>
          </w:rPr>
          <m:t>k</m:t>
        </m:r>
      </m:oMath>
      <w:r w:rsidR="0097417F">
        <w:rPr>
          <w:rFonts w:eastAsiaTheme="minorEastAsia"/>
          <w:iCs/>
        </w:rPr>
        <w:t>, ya no se daría la identidad.</w:t>
      </w:r>
    </w:p>
    <w:p w14:paraId="06D87CAD" w14:textId="3C305EFB" w:rsidR="00B22C86" w:rsidRDefault="00B22C86" w:rsidP="003060C2">
      <w:pPr>
        <w:pStyle w:val="Ttulo6"/>
        <w:spacing w:after="0"/>
      </w:pPr>
      <w:bookmarkStart w:id="40" w:name="_Toc172232839"/>
      <w:r>
        <w:t>Criterio de la Tasa Interna de Retorno (TIR)</w:t>
      </w:r>
      <w:bookmarkEnd w:id="40"/>
    </w:p>
    <w:p w14:paraId="26B8A4D1" w14:textId="615BB915" w:rsidR="00823B92" w:rsidRPr="00823B92" w:rsidRDefault="00823B92" w:rsidP="00930973">
      <w:pPr>
        <w:pStyle w:val="Ttulo7"/>
        <w:spacing w:before="0"/>
      </w:pPr>
      <w:r>
        <w:t>Definición</w:t>
      </w:r>
    </w:p>
    <w:p w14:paraId="7BED1AC8" w14:textId="3FF25E3D" w:rsidR="0083184E" w:rsidRDefault="0083184E" w:rsidP="00930973">
      <w:pPr>
        <w:pStyle w:val="Nivel1SM"/>
        <w:keepNext/>
        <w:spacing w:before="0" w:after="0"/>
      </w:pPr>
      <w:r>
        <w:t xml:space="preserve">Es el tipo de descuento que anula el VAN (lo que </w:t>
      </w:r>
      <w:r>
        <w:rPr>
          <w:smallCaps/>
        </w:rPr>
        <w:t>Keynes</w:t>
      </w:r>
      <w:r>
        <w:t xml:space="preserve"> llamaba </w:t>
      </w:r>
      <w:r>
        <w:rPr>
          <w:i/>
          <w:iCs/>
        </w:rPr>
        <w:t>eficiencia marginal del capital</w:t>
      </w:r>
      <w:r>
        <w:t>)</w:t>
      </w:r>
      <w:r w:rsidR="001B5145">
        <w:rPr>
          <w:rStyle w:val="Refdenotaalpie"/>
        </w:rPr>
        <w:footnoteReference w:id="18"/>
      </w:r>
      <w:r>
        <w:t>:</w:t>
      </w:r>
    </w:p>
    <w:p w14:paraId="234D62A6" w14:textId="0E24A870" w:rsidR="0083184E" w:rsidRPr="00823B92" w:rsidRDefault="00B5476C" w:rsidP="00823B92">
      <w:pPr>
        <w:spacing w:after="100"/>
        <w:rPr>
          <w:rFonts w:eastAsiaTheme="minorEastAsia"/>
          <w:iCs/>
          <w:lang w:val="fr-FR"/>
        </w:rPr>
      </w:pPr>
      <m:oMathPara>
        <m:oMath>
          <m:r>
            <w:rPr>
              <w:rFonts w:ascii="Cambria Math" w:eastAsiaTheme="minorEastAsia" w:hAnsi="Cambria Math"/>
              <w:lang w:val="fr-FR"/>
            </w:rPr>
            <m:t xml:space="preserve"> </m:t>
          </m:r>
          <m:r>
            <w:rPr>
              <w:rFonts w:ascii="Cambria Math" w:hAnsi="Cambria Math"/>
              <w:lang w:val="fr-FR"/>
            </w:rPr>
            <m:t>-</m:t>
          </m:r>
          <m:r>
            <m:rPr>
              <m:nor/>
            </m:rPr>
            <w:rPr>
              <w:i/>
              <w:iCs/>
              <w:color w:val="C00000"/>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color w:val="3366FF"/>
                  <w:lang w:val="fr-FR"/>
                </w:rPr>
                <m:t>n</m:t>
              </m:r>
            </m:sup>
            <m:e>
              <m:f>
                <m:fPr>
                  <m:ctrlPr>
                    <w:rPr>
                      <w:rFonts w:ascii="Cambria Math" w:hAnsi="Cambria Math"/>
                      <w:i/>
                      <w:iCs/>
                    </w:rPr>
                  </m:ctrlPr>
                </m:fPr>
                <m:num>
                  <m:sSub>
                    <m:sSubPr>
                      <m:ctrlPr>
                        <w:rPr>
                          <w:rFonts w:ascii="Cambria Math" w:hAnsi="Cambria Math"/>
                          <w:i/>
                          <w:iCs/>
                          <w:color w:val="CC00CC"/>
                        </w:rPr>
                      </m:ctrlPr>
                    </m:sSubPr>
                    <m:e>
                      <m:r>
                        <m:rPr>
                          <m:nor/>
                        </m:rPr>
                        <w:rPr>
                          <w:i/>
                          <w:iCs/>
                          <w:color w:val="CC00CC"/>
                          <w:lang w:val="fr-FR"/>
                        </w:rPr>
                        <m:t>Q</m:t>
                      </m:r>
                    </m:e>
                    <m:sub>
                      <m:r>
                        <m:rPr>
                          <m:nor/>
                        </m:rPr>
                        <w:rPr>
                          <w:i/>
                          <w:iCs/>
                          <w:color w:val="CC00CC"/>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TIR</m:t>
                          </m:r>
                        </m:e>
                      </m:d>
                    </m:e>
                    <m:sup>
                      <m:r>
                        <m:rPr>
                          <m:nor/>
                        </m:rPr>
                        <w:rPr>
                          <w:i/>
                          <w:iCs/>
                          <w:lang w:val="fr-FR"/>
                        </w:rPr>
                        <m:t>t</m:t>
                      </m:r>
                    </m:sup>
                  </m:sSup>
                </m:den>
              </m:f>
            </m:e>
          </m:nary>
          <m:r>
            <w:rPr>
              <w:rFonts w:ascii="Cambria Math" w:hAnsi="Cambria Math"/>
              <w:lang w:val="fr-FR"/>
            </w:rPr>
            <m:t>+</m:t>
          </m:r>
          <m:f>
            <m:fPr>
              <m:ctrlPr>
                <w:rPr>
                  <w:rFonts w:ascii="Cambria Math" w:hAnsi="Cambria Math"/>
                  <w:i/>
                  <w:iCs/>
                </w:rPr>
              </m:ctrlPr>
            </m:fPr>
            <m:num>
              <m:r>
                <m:rPr>
                  <m:nor/>
                </m:rPr>
                <w:rPr>
                  <w:i/>
                  <w:iCs/>
                  <w:color w:val="FF9900"/>
                  <w:lang w:val="fr-FR"/>
                </w:rPr>
                <m:t>VR</m:t>
              </m:r>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TIR</m:t>
                      </m:r>
                    </m:e>
                  </m:d>
                </m:e>
                <m:sup>
                  <m:r>
                    <m:rPr>
                      <m:nor/>
                    </m:rPr>
                    <w:rPr>
                      <w:i/>
                      <w:iCs/>
                      <w:color w:val="3366FF"/>
                      <w:lang w:val="fr-FR"/>
                    </w:rPr>
                    <m:t>n</m:t>
                  </m:r>
                </m:sup>
              </m:sSup>
            </m:den>
          </m:f>
          <m:r>
            <w:rPr>
              <w:rFonts w:ascii="Cambria Math" w:hAnsi="Cambria Math"/>
              <w:lang w:val="fr-FR"/>
            </w:rPr>
            <m:t>=</m:t>
          </m:r>
          <m:r>
            <m:rPr>
              <m:nor/>
            </m:rPr>
            <w:rPr>
              <w:i/>
              <w:iCs/>
              <w:lang w:val="fr-FR"/>
            </w:rPr>
            <m:t>0</m:t>
          </m:r>
        </m:oMath>
      </m:oMathPara>
    </w:p>
    <w:p w14:paraId="2F5E9074" w14:textId="705580D9" w:rsidR="00823B92" w:rsidRPr="00823B92" w:rsidRDefault="00823B92" w:rsidP="00823B92">
      <w:pPr>
        <w:pStyle w:val="Ttulo7"/>
        <w:rPr>
          <w:rFonts w:eastAsiaTheme="minorEastAsia"/>
        </w:rPr>
      </w:pPr>
      <w:r w:rsidRPr="00823B92">
        <w:rPr>
          <w:rFonts w:eastAsiaTheme="minorEastAsia"/>
        </w:rPr>
        <w:t>Decisión de efectuación y d</w:t>
      </w:r>
      <w:r>
        <w:rPr>
          <w:rFonts w:eastAsiaTheme="minorEastAsia"/>
        </w:rPr>
        <w:t>e jerarquización</w:t>
      </w:r>
    </w:p>
    <w:p w14:paraId="3ADAE913" w14:textId="210639D8" w:rsidR="00B5476C" w:rsidRPr="006D67EB" w:rsidRDefault="00B5476C" w:rsidP="00AE2817">
      <w:pPr>
        <w:pStyle w:val="Nivel2SM"/>
        <w:keepNext/>
        <w:rPr>
          <w:spacing w:val="-1"/>
        </w:rPr>
      </w:pPr>
      <w:r w:rsidRPr="006D67EB">
        <w:rPr>
          <w:i/>
          <w:iCs/>
          <w:spacing w:val="-1"/>
          <w:u w:val="single"/>
        </w:rPr>
        <w:t>¿En qué proyectos invertir y en cuáles no?</w:t>
      </w:r>
      <w:r w:rsidRPr="006D67EB">
        <w:rPr>
          <w:spacing w:val="-1"/>
        </w:rPr>
        <w:t xml:space="preserve">: Sólo se deben llevar a cabo inversiones con TIR </w:t>
      </w:r>
      <w:r w:rsidR="004C49D3" w:rsidRPr="006D67EB">
        <w:rPr>
          <w:spacing w:val="-1"/>
        </w:rPr>
        <w:t>mayor al coste de capital</w:t>
      </w:r>
      <w:r w:rsidR="0062174E" w:rsidRPr="006D67EB">
        <w:rPr>
          <w:spacing w:val="-1"/>
        </w:rPr>
        <w:t xml:space="preserve"> (WACC)</w:t>
      </w:r>
      <w:r w:rsidRPr="006D67EB">
        <w:rPr>
          <w:spacing w:val="-1"/>
        </w:rPr>
        <w:t>, ya que son las que aumentan el valor de la empresa.</w:t>
      </w:r>
      <w:r w:rsidR="00145C9F" w:rsidRPr="006D67EB">
        <w:rPr>
          <w:spacing w:val="-1"/>
        </w:rPr>
        <w:t xml:space="preserve"> De este modo, podemos entender la TIR como el coste de capital máximo al cual la empresa se podrá financiar.</w:t>
      </w:r>
    </w:p>
    <w:p w14:paraId="7B2C4C93" w14:textId="006E6104" w:rsidR="00B5476C" w:rsidRDefault="00B5476C" w:rsidP="00C860A7">
      <w:pPr>
        <w:pStyle w:val="Nivel2SM"/>
      </w:pPr>
      <w:r w:rsidRPr="00C860A7">
        <w:rPr>
          <w:i/>
          <w:iCs/>
          <w:u w:val="single"/>
        </w:rPr>
        <w:t>¿Si debemos elegir entre varias inversiones rentables, cuál debemos elegir?</w:t>
      </w:r>
      <w:r>
        <w:t>: Deberíamos dar prioridad a las inversiones que tengan mayor TIR.</w:t>
      </w:r>
    </w:p>
    <w:p w14:paraId="258C9505" w14:textId="0B3F1393" w:rsidR="00823B92" w:rsidRDefault="00823B92" w:rsidP="00823B92">
      <w:pPr>
        <w:pStyle w:val="Ttulo7"/>
      </w:pPr>
      <w:r>
        <w:t>Valoración</w:t>
      </w:r>
    </w:p>
    <w:p w14:paraId="2CE4C4C2" w14:textId="77777777" w:rsidR="00C860A7" w:rsidRDefault="004C49D3" w:rsidP="00930973">
      <w:pPr>
        <w:pStyle w:val="Nivel1SM"/>
        <w:keepNext/>
        <w:spacing w:before="0" w:after="0"/>
      </w:pPr>
      <w:r>
        <w:t xml:space="preserve">Este método </w:t>
      </w:r>
      <w:r w:rsidR="00C860A7">
        <w:t>también presenta ventajas e inconvenientes:</w:t>
      </w:r>
    </w:p>
    <w:p w14:paraId="0A20D58F" w14:textId="47988D5C" w:rsidR="004C49D3" w:rsidRDefault="00C860A7" w:rsidP="00C860A7">
      <w:pPr>
        <w:pStyle w:val="Nivel2SM"/>
      </w:pPr>
      <w:r>
        <w:t>T</w:t>
      </w:r>
      <w:r w:rsidR="004C49D3">
        <w:t xml:space="preserve">iene como </w:t>
      </w:r>
      <w:r w:rsidR="004C49D3" w:rsidRPr="00C860A7">
        <w:rPr>
          <w:i/>
          <w:iCs/>
        </w:rPr>
        <w:t>ventaja</w:t>
      </w:r>
      <w:r w:rsidR="004C49D3">
        <w:t xml:space="preserve"> que no es necesario especificar un tipo de descuento (</w:t>
      </w:r>
      <m:oMath>
        <m:r>
          <m:rPr>
            <m:nor/>
          </m:rPr>
          <w:rPr>
            <w:i/>
            <w:iCs/>
          </w:rPr>
          <m:t>k</m:t>
        </m:r>
      </m:oMath>
      <w:r w:rsidR="004C49D3">
        <w:t xml:space="preserve">), permitiéndonos comparar entre inversiones, sin embargo para tomar la decisión </w:t>
      </w:r>
      <w:r w:rsidR="007D159A">
        <w:t>de e</w:t>
      </w:r>
      <w:r w:rsidR="007D159A" w:rsidRPr="007D159A">
        <w:t>n qué proyectos invertir y en cuáles no</w:t>
      </w:r>
      <w:r w:rsidR="007D159A">
        <w:t xml:space="preserve"> sí que es necesario tener en cuenta el coste de capital.</w:t>
      </w:r>
    </w:p>
    <w:p w14:paraId="47219643" w14:textId="274E83BE" w:rsidR="004C49D3" w:rsidRDefault="004C49D3" w:rsidP="00C860A7">
      <w:pPr>
        <w:pStyle w:val="Nivel2SM"/>
        <w:keepNext/>
        <w:spacing w:after="0"/>
      </w:pPr>
      <w:r>
        <w:t xml:space="preserve">Entre sus </w:t>
      </w:r>
      <w:r w:rsidRPr="00B5476C">
        <w:rPr>
          <w:i/>
          <w:iCs/>
        </w:rPr>
        <w:t>inconvenientes</w:t>
      </w:r>
      <w:r>
        <w:t>, destacan:</w:t>
      </w:r>
    </w:p>
    <w:p w14:paraId="5CE32AA2" w14:textId="556CE806" w:rsidR="0083184E" w:rsidRPr="007D159A" w:rsidRDefault="004C49D3" w:rsidP="0083184E">
      <w:pPr>
        <w:pStyle w:val="Nivel3SM"/>
      </w:pPr>
      <w:r>
        <w:t>La hipótesis de reinversión de los flujos netos de caja</w:t>
      </w:r>
      <w:r w:rsidR="003D13EC">
        <w:t>.</w:t>
      </w:r>
      <w:r w:rsidR="004F2A81">
        <w:t xml:space="preserve"> E</w:t>
      </w:r>
      <w:r>
        <w:t>ste método supone que los flujos de caja son reinvertidos inmediatamente a</w:t>
      </w:r>
      <w:r w:rsidR="003D13EC">
        <w:t xml:space="preserve"> </w:t>
      </w:r>
      <w:r w:rsidR="007D159A">
        <w:t>l</w:t>
      </w:r>
      <w:r w:rsidR="003D13EC">
        <w:t>a</w:t>
      </w:r>
      <w:r w:rsidR="007D159A">
        <w:t xml:space="preserve"> TIR</w:t>
      </w:r>
      <w:r w:rsidR="007D159A">
        <w:rPr>
          <w:rFonts w:eastAsiaTheme="minorEastAsia"/>
          <w:iCs/>
        </w:rPr>
        <w:t>.</w:t>
      </w:r>
    </w:p>
    <w:p w14:paraId="6F22E5AC" w14:textId="0E0CB00F" w:rsidR="007D159A" w:rsidRPr="00B5476C" w:rsidRDefault="007D159A" w:rsidP="007D159A">
      <w:pPr>
        <w:pStyle w:val="Nivel3SM"/>
      </w:pPr>
      <w:r>
        <w:rPr>
          <w:rFonts w:eastAsiaTheme="minorEastAsia"/>
          <w:iCs/>
        </w:rPr>
        <w:t xml:space="preserve">En el caso de las inversiones no simples mixtas (tienen </w:t>
      </w:r>
      <w:proofErr w:type="spellStart"/>
      <w:r>
        <w:rPr>
          <w:rFonts w:eastAsiaTheme="minorEastAsia"/>
          <w:iCs/>
        </w:rPr>
        <w:t>cuasirrentas</w:t>
      </w:r>
      <w:proofErr w:type="spellEnd"/>
      <w:r>
        <w:rPr>
          <w:rFonts w:eastAsiaTheme="minorEastAsia"/>
          <w:iCs/>
        </w:rPr>
        <w:t xml:space="preserve"> positivas y negativas con más de un cambio de signo a lo largo de la vida de la inversión) las inversiones pueden no tener ninguna TIR, tener varias, tenerla negativa o tenerla imaginaria</w:t>
      </w:r>
      <w:r w:rsidR="007C3668">
        <w:rPr>
          <w:rStyle w:val="Refdenotaalpie"/>
          <w:rFonts w:eastAsiaTheme="minorEastAsia"/>
          <w:iCs/>
        </w:rPr>
        <w:footnoteReference w:id="19"/>
      </w:r>
      <w:r>
        <w:rPr>
          <w:rFonts w:eastAsiaTheme="minorEastAsia"/>
          <w:iCs/>
        </w:rPr>
        <w:t>.</w:t>
      </w:r>
    </w:p>
    <w:p w14:paraId="5FAC1C92" w14:textId="7795489C" w:rsidR="00B22C86" w:rsidRDefault="00B22C86" w:rsidP="00823B92">
      <w:pPr>
        <w:pStyle w:val="Ttulo6"/>
      </w:pPr>
      <w:bookmarkStart w:id="41" w:name="_Toc172232840"/>
      <w:r>
        <w:t>Comparación de los métodos VAN y TIR</w:t>
      </w:r>
      <w:bookmarkEnd w:id="41"/>
    </w:p>
    <w:p w14:paraId="75BB4C15" w14:textId="55D8AA21" w:rsidR="00535BDC" w:rsidRPr="00535BDC" w:rsidRDefault="007C3668" w:rsidP="00930973">
      <w:pPr>
        <w:pStyle w:val="Nivel1SM"/>
        <w:keepNext/>
        <w:spacing w:before="0" w:after="0"/>
      </w:pPr>
      <w:r>
        <w:t>E</w:t>
      </w:r>
      <w:r w:rsidR="00C860A7">
        <w:t>l</w:t>
      </w:r>
      <w:r>
        <w:t xml:space="preserve"> criterio del VAN mide la rentabilidad de la inversión en términos absolutos, mientras que el criterio de la tasa de retorno mide la rentabilidad en términos relativos (la TIR expresa la rentabilidad por euro invertido)</w:t>
      </w:r>
      <w:r w:rsidR="003D2E56">
        <w:t>. Debemos distinguir entre inversiones puras e inversiones mixtas</w:t>
      </w:r>
      <w:r w:rsidR="00144F8A">
        <w:t>:</w:t>
      </w:r>
    </w:p>
    <w:p w14:paraId="1CB15991" w14:textId="77777777" w:rsidR="00AC5EDF" w:rsidRPr="00AC5EDF" w:rsidRDefault="00B22C86" w:rsidP="00AC5EDF">
      <w:pPr>
        <w:pStyle w:val="Nivel2SM"/>
        <w:keepNext/>
        <w:spacing w:after="0"/>
        <w:rPr>
          <w:u w:val="single"/>
        </w:rPr>
      </w:pPr>
      <w:r w:rsidRPr="004C53F3">
        <w:rPr>
          <w:i/>
          <w:iCs/>
          <w:u w:val="single"/>
        </w:rPr>
        <w:t xml:space="preserve">Inversiones </w:t>
      </w:r>
      <w:r w:rsidR="003D2E56">
        <w:rPr>
          <w:i/>
          <w:iCs/>
          <w:u w:val="single"/>
        </w:rPr>
        <w:t>puras</w:t>
      </w:r>
      <w:r w:rsidR="00144F8A">
        <w:t>:</w:t>
      </w:r>
    </w:p>
    <w:p w14:paraId="6AFF2C16" w14:textId="3BC55742" w:rsidR="00B22C86" w:rsidRPr="00A22C27" w:rsidRDefault="00144F8A" w:rsidP="00AC5EDF">
      <w:pPr>
        <w:pStyle w:val="Nivel3SM"/>
        <w:rPr>
          <w:u w:val="single"/>
        </w:rPr>
      </w:pPr>
      <w:r>
        <w:t xml:space="preserve">En el caso de las inversiones puras, los criterios del VAN y el TIR son </w:t>
      </w:r>
      <w:r w:rsidRPr="00AC5EDF">
        <w:rPr>
          <w:i/>
          <w:iCs/>
        </w:rPr>
        <w:t>equivalentes en cuanto a las</w:t>
      </w:r>
      <w:r>
        <w:t xml:space="preserve"> </w:t>
      </w:r>
      <w:r w:rsidRPr="00AC5EDF">
        <w:rPr>
          <w:i/>
          <w:iCs/>
        </w:rPr>
        <w:t>decisiones de aceptación o rechazo</w:t>
      </w:r>
      <w:r>
        <w:t xml:space="preserve"> de una inversión; es decir, si el VAN es positivo, el TIR</w:t>
      </w:r>
      <w:r w:rsidR="00A22C27">
        <w:t xml:space="preserve"> será mayor al coste de capital y viceversa.</w:t>
      </w:r>
    </w:p>
    <w:p w14:paraId="6A9824E2" w14:textId="57EC226D" w:rsidR="00A22C27" w:rsidRDefault="00A22C27" w:rsidP="00AC5EDF">
      <w:pPr>
        <w:pStyle w:val="Nivel3SM"/>
        <w:keepNext/>
      </w:pPr>
      <w:r w:rsidRPr="00A22C27">
        <w:lastRenderedPageBreak/>
        <w:t xml:space="preserve">Sin </w:t>
      </w:r>
      <w:r>
        <w:t xml:space="preserve">embargo, </w:t>
      </w:r>
      <w:r w:rsidRPr="00AC5EDF">
        <w:rPr>
          <w:i/>
          <w:iCs/>
        </w:rPr>
        <w:t>pueden no ser equivalentes en la jerarquización de una lista de oportunidades de inversión</w:t>
      </w:r>
      <w:r>
        <w:t>. Esto se produce cuando existe un</w:t>
      </w:r>
      <w:r w:rsidR="001C5C67">
        <w:t xml:space="preserve"> </w:t>
      </w:r>
      <w:r>
        <w:t>punto de Fisher</w:t>
      </w:r>
      <w:r w:rsidR="001C5C67">
        <w:t>, es decir, cuando</w:t>
      </w:r>
      <w:r>
        <w:t xml:space="preserve"> </w:t>
      </w:r>
      <w:r w:rsidR="001C5C67">
        <w:t xml:space="preserve">existe una </w:t>
      </w:r>
      <w:r>
        <w:t xml:space="preserve">tasa de descuento </w:t>
      </w:r>
      <w:r w:rsidR="001C5C67">
        <w:t xml:space="preserve">(coste de capital) </w:t>
      </w:r>
      <w:r>
        <w:t>que iguala el VAN de ambas inversiones.</w:t>
      </w:r>
    </w:p>
    <w:p w14:paraId="18F18B03" w14:textId="7F1836CD" w:rsidR="001C5C67" w:rsidRDefault="001C5C67" w:rsidP="00AC5EDF">
      <w:pPr>
        <w:pStyle w:val="Nivel4"/>
        <w:keepNext/>
        <w:ind w:left="1474"/>
      </w:pPr>
      <w:r>
        <w:t>Representando en el plano tasa de descuento VAN, se producirá cuando las curvas del VAN de dos proyectos se cortan</w:t>
      </w:r>
      <w:r w:rsidR="0069469E">
        <w:rPr>
          <w:rStyle w:val="Refdenotaalpie"/>
        </w:rPr>
        <w:footnoteReference w:id="20"/>
      </w:r>
      <w:r w:rsidR="0069469E">
        <w:t>:</w:t>
      </w:r>
    </w:p>
    <w:p w14:paraId="1D776240" w14:textId="04B795DE" w:rsidR="006105B1" w:rsidRPr="006105B1" w:rsidRDefault="006105B1" w:rsidP="006105B1">
      <w:pPr>
        <w:pStyle w:val="Ttuloimagen"/>
        <w:rPr>
          <w:smallCaps w:val="0"/>
        </w:rPr>
      </w:pPr>
      <w:r>
        <w:t>Imagen</w:t>
      </w:r>
      <w:r w:rsidR="00930973">
        <w:t> </w:t>
      </w:r>
      <w:r>
        <w:fldChar w:fldCharType="begin"/>
      </w:r>
      <w:r>
        <w:instrText xml:space="preserve"> SEQ Ilustración \* ARABIC </w:instrText>
      </w:r>
      <w:r>
        <w:fldChar w:fldCharType="separate"/>
      </w:r>
      <w:r w:rsidR="000E7C0D">
        <w:t>2</w:t>
      </w:r>
      <w:r>
        <w:fldChar w:fldCharType="end"/>
      </w:r>
      <w:r>
        <w:rPr>
          <w:smallCaps w:val="0"/>
        </w:rPr>
        <w:t xml:space="preserve">.– </w:t>
      </w:r>
      <w:r>
        <w:rPr>
          <w:i/>
          <w:iCs/>
          <w:smallCaps w:val="0"/>
        </w:rPr>
        <w:t xml:space="preserve">Valor </w:t>
      </w:r>
      <w:r w:rsidR="001148B2">
        <w:rPr>
          <w:i/>
          <w:iCs/>
          <w:smallCaps w:val="0"/>
        </w:rPr>
        <w:t>A</w:t>
      </w:r>
      <w:r>
        <w:rPr>
          <w:i/>
          <w:iCs/>
          <w:smallCaps w:val="0"/>
        </w:rPr>
        <w:t xml:space="preserve">ctual </w:t>
      </w:r>
      <w:r w:rsidR="001148B2">
        <w:rPr>
          <w:i/>
          <w:iCs/>
          <w:smallCaps w:val="0"/>
        </w:rPr>
        <w:t>N</w:t>
      </w:r>
      <w:r>
        <w:rPr>
          <w:i/>
          <w:iCs/>
          <w:smallCaps w:val="0"/>
        </w:rPr>
        <w:t>eto</w:t>
      </w:r>
      <w:r w:rsidR="00DB5A3E">
        <w:rPr>
          <w:i/>
          <w:iCs/>
          <w:smallCaps w:val="0"/>
        </w:rPr>
        <w:t xml:space="preserve">, </w:t>
      </w:r>
      <w:r w:rsidR="001148B2">
        <w:rPr>
          <w:i/>
          <w:iCs/>
          <w:smallCaps w:val="0"/>
        </w:rPr>
        <w:t>T</w:t>
      </w:r>
      <w:r w:rsidR="00DB5A3E">
        <w:rPr>
          <w:i/>
          <w:iCs/>
          <w:smallCaps w:val="0"/>
        </w:rPr>
        <w:t xml:space="preserve">asa </w:t>
      </w:r>
      <w:r w:rsidR="001148B2">
        <w:rPr>
          <w:i/>
          <w:iCs/>
          <w:smallCaps w:val="0"/>
        </w:rPr>
        <w:t>I</w:t>
      </w:r>
      <w:r w:rsidR="00DB5A3E">
        <w:rPr>
          <w:i/>
          <w:iCs/>
          <w:smallCaps w:val="0"/>
        </w:rPr>
        <w:t xml:space="preserve">nterna de </w:t>
      </w:r>
      <w:r w:rsidR="001148B2">
        <w:rPr>
          <w:i/>
          <w:iCs/>
          <w:smallCaps w:val="0"/>
        </w:rPr>
        <w:t>R</w:t>
      </w:r>
      <w:r w:rsidR="00DB5A3E">
        <w:rPr>
          <w:i/>
          <w:iCs/>
          <w:smallCaps w:val="0"/>
        </w:rPr>
        <w:t>etorno</w:t>
      </w:r>
      <w:r>
        <w:rPr>
          <w:i/>
          <w:iCs/>
          <w:smallCaps w:val="0"/>
        </w:rPr>
        <w:t xml:space="preserve"> y punto de Fisher</w:t>
      </w:r>
    </w:p>
    <w:p w14:paraId="1D198CB1" w14:textId="07EF4BE1" w:rsidR="0069469E" w:rsidRDefault="0069469E" w:rsidP="006105B1">
      <w:pPr>
        <w:pStyle w:val="Imagen"/>
      </w:pPr>
      <w:r>
        <w:drawing>
          <wp:inline distT="0" distB="0" distL="0" distR="0" wp14:anchorId="2161B31B" wp14:editId="22CE39E0">
            <wp:extent cx="2798553" cy="1800000"/>
            <wp:effectExtent l="0" t="0" r="1905" b="0"/>
            <wp:docPr id="5" name="Grá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áfico 5"/>
                    <pic:cNvPicPr/>
                  </pic:nvPicPr>
                  <pic:blipFill rotWithShape="1">
                    <a:blip r:embed="rId12" cstate="print">
                      <a:extLst>
                        <a:ext uri="{28A0092B-C50C-407E-A947-70E740481C1C}">
                          <a14:useLocalDpi xmlns:a14="http://schemas.microsoft.com/office/drawing/2010/main" val="0"/>
                        </a:ext>
                      </a:extLst>
                    </a:blip>
                    <a:srcRect l="4171" r="8374"/>
                    <a:stretch/>
                  </pic:blipFill>
                  <pic:spPr bwMode="auto">
                    <a:xfrm>
                      <a:off x="0" y="0"/>
                      <a:ext cx="2798553" cy="1800000"/>
                    </a:xfrm>
                    <a:prstGeom prst="rect">
                      <a:avLst/>
                    </a:prstGeom>
                    <a:ln>
                      <a:noFill/>
                    </a:ln>
                    <a:extLst>
                      <a:ext uri="{53640926-AAD7-44D8-BBD7-CCE9431645EC}">
                        <a14:shadowObscured xmlns:a14="http://schemas.microsoft.com/office/drawing/2010/main"/>
                      </a:ext>
                    </a:extLst>
                  </pic:spPr>
                </pic:pic>
              </a:graphicData>
            </a:graphic>
          </wp:inline>
        </w:drawing>
      </w:r>
    </w:p>
    <w:p w14:paraId="023EAB58" w14:textId="3D02D796" w:rsidR="006105B1" w:rsidRPr="006105B1" w:rsidRDefault="006105B1" w:rsidP="00AE2817">
      <w:pPr>
        <w:pStyle w:val="PiedeImagen"/>
        <w:rPr>
          <w:i w:val="0"/>
          <w:iCs/>
        </w:rPr>
      </w:pPr>
      <w:r>
        <w:t>Fuente</w:t>
      </w:r>
      <w:r>
        <w:rPr>
          <w:i w:val="0"/>
          <w:iCs/>
        </w:rPr>
        <w:t>: Elaboración propia</w:t>
      </w:r>
    </w:p>
    <w:p w14:paraId="59280D06" w14:textId="05E1860C" w:rsidR="0069469E" w:rsidRDefault="00A07064" w:rsidP="00A07064">
      <w:pPr>
        <w:pStyle w:val="Nivel1"/>
        <w:keepNext/>
        <w:numPr>
          <w:ilvl w:val="0"/>
          <w:numId w:val="0"/>
        </w:numPr>
        <w:spacing w:after="0"/>
        <w:ind w:left="624"/>
      </w:pPr>
      <w:r>
        <w:t>En este caso:</w:t>
      </w:r>
    </w:p>
    <w:tbl>
      <w:tblPr>
        <w:tblStyle w:val="Tablaconcuadrcula"/>
        <w:tblW w:w="0" w:type="auto"/>
        <w:jc w:val="center"/>
        <w:tblLook w:val="04A0" w:firstRow="1" w:lastRow="0" w:firstColumn="1" w:lastColumn="0" w:noHBand="0" w:noVBand="1"/>
      </w:tblPr>
      <w:tblGrid>
        <w:gridCol w:w="1787"/>
        <w:gridCol w:w="2166"/>
        <w:gridCol w:w="2166"/>
        <w:gridCol w:w="2166"/>
      </w:tblGrid>
      <w:tr w:rsidR="00293D77" w14:paraId="5BA318FA" w14:textId="77777777" w:rsidTr="00E05E84">
        <w:trPr>
          <w:tblHeader/>
          <w:jc w:val="center"/>
        </w:trPr>
        <w:tc>
          <w:tcPr>
            <w:tcW w:w="1787" w:type="dxa"/>
            <w:tcBorders>
              <w:top w:val="nil"/>
              <w:left w:val="nil"/>
              <w:right w:val="nil"/>
            </w:tcBorders>
          </w:tcPr>
          <w:p w14:paraId="3DFABFFE" w14:textId="77777777" w:rsidR="00293D77" w:rsidRDefault="00293D77" w:rsidP="00E05E84">
            <w:pPr>
              <w:pStyle w:val="Nivel1"/>
              <w:keepNext/>
              <w:numPr>
                <w:ilvl w:val="0"/>
                <w:numId w:val="0"/>
              </w:numPr>
              <w:spacing w:before="20" w:after="20"/>
            </w:pPr>
          </w:p>
        </w:tc>
        <w:tc>
          <w:tcPr>
            <w:tcW w:w="2166" w:type="dxa"/>
            <w:tcBorders>
              <w:top w:val="single" w:sz="12" w:space="0" w:color="auto"/>
              <w:left w:val="nil"/>
              <w:bottom w:val="single" w:sz="4" w:space="0" w:color="auto"/>
            </w:tcBorders>
          </w:tcPr>
          <w:p w14:paraId="57A43A61" w14:textId="1274BC08" w:rsidR="00293D77" w:rsidRDefault="00B57D34" w:rsidP="00E05E84">
            <w:pPr>
              <w:pStyle w:val="Nivel1"/>
              <w:keepNext/>
              <w:numPr>
                <w:ilvl w:val="0"/>
                <w:numId w:val="0"/>
              </w:numPr>
              <w:spacing w:before="20" w:after="20"/>
            </w:pPr>
            <m:oMathPara>
              <m:oMath>
                <m:r>
                  <m:rPr>
                    <m:nor/>
                  </m:rPr>
                  <w:rPr>
                    <w:i/>
                  </w:rPr>
                  <m:t>WACC</m:t>
                </m:r>
                <m:r>
                  <w:rPr>
                    <w:rFonts w:ascii="Cambria Math" w:hAnsi="Cambria Math"/>
                  </w:rPr>
                  <m:t>&lt;</m:t>
                </m:r>
                <m:r>
                  <m:rPr>
                    <m:nor/>
                  </m:rPr>
                  <w:rPr>
                    <w:i/>
                  </w:rPr>
                  <m:t>k</m:t>
                </m:r>
                <m:r>
                  <m:rPr>
                    <m:nor/>
                  </m:rPr>
                  <w:rPr>
                    <w:rFonts w:ascii="Cambria Math" w:hAnsi="Cambria Math"/>
                    <w:iCs/>
                  </w:rPr>
                  <m:t>*</m:t>
                </m:r>
              </m:oMath>
            </m:oMathPara>
          </w:p>
        </w:tc>
        <w:tc>
          <w:tcPr>
            <w:tcW w:w="2166" w:type="dxa"/>
            <w:tcBorders>
              <w:top w:val="single" w:sz="12" w:space="0" w:color="auto"/>
              <w:bottom w:val="single" w:sz="4" w:space="0" w:color="auto"/>
            </w:tcBorders>
          </w:tcPr>
          <w:p w14:paraId="081C3448" w14:textId="6484D5E6" w:rsidR="00293D77" w:rsidRPr="00BD3030" w:rsidRDefault="00B57D34" w:rsidP="00E05E84">
            <w:pPr>
              <w:pStyle w:val="Nivel1"/>
              <w:keepNext/>
              <w:numPr>
                <w:ilvl w:val="0"/>
                <w:numId w:val="0"/>
              </w:numPr>
              <w:spacing w:before="20" w:after="20"/>
              <w:rPr>
                <w:rFonts w:eastAsia="Times New Roman" w:cs="Times New Roman"/>
                <w:i/>
              </w:rPr>
            </w:pPr>
            <m:oMathPara>
              <m:oMath>
                <m:r>
                  <m:rPr>
                    <m:nor/>
                  </m:rPr>
                  <w:rPr>
                    <w:i/>
                  </w:rPr>
                  <m:t>WACC</m:t>
                </m:r>
                <m:r>
                  <w:rPr>
                    <w:rFonts w:ascii="Cambria Math" w:hAnsi="Cambria Math"/>
                  </w:rPr>
                  <m:t>=</m:t>
                </m:r>
                <m:r>
                  <m:rPr>
                    <m:nor/>
                  </m:rPr>
                  <w:rPr>
                    <w:i/>
                  </w:rPr>
                  <m:t>k</m:t>
                </m:r>
                <m:r>
                  <m:rPr>
                    <m:nor/>
                  </m:rPr>
                  <w:rPr>
                    <w:rFonts w:ascii="Cambria Math" w:hAnsi="Cambria Math"/>
                    <w:iCs/>
                  </w:rPr>
                  <m:t>*</m:t>
                </m:r>
              </m:oMath>
            </m:oMathPara>
          </w:p>
        </w:tc>
        <w:tc>
          <w:tcPr>
            <w:tcW w:w="2166" w:type="dxa"/>
            <w:tcBorders>
              <w:top w:val="single" w:sz="12" w:space="0" w:color="auto"/>
              <w:bottom w:val="single" w:sz="4" w:space="0" w:color="auto"/>
              <w:right w:val="nil"/>
            </w:tcBorders>
          </w:tcPr>
          <w:p w14:paraId="67D44F9C" w14:textId="4C3BC9AB" w:rsidR="00293D77" w:rsidRDefault="00B57D34" w:rsidP="00E05E84">
            <w:pPr>
              <w:pStyle w:val="Nivel1"/>
              <w:keepNext/>
              <w:numPr>
                <w:ilvl w:val="0"/>
                <w:numId w:val="0"/>
              </w:numPr>
              <w:spacing w:before="20" w:after="20"/>
            </w:pPr>
            <m:oMathPara>
              <m:oMath>
                <m:r>
                  <m:rPr>
                    <m:nor/>
                  </m:rPr>
                  <w:rPr>
                    <w:i/>
                  </w:rPr>
                  <m:t>WACC</m:t>
                </m:r>
                <m:r>
                  <w:rPr>
                    <w:rFonts w:ascii="Cambria Math" w:hAnsi="Cambria Math"/>
                  </w:rPr>
                  <m:t>&gt;</m:t>
                </m:r>
                <m:r>
                  <m:rPr>
                    <m:nor/>
                  </m:rPr>
                  <w:rPr>
                    <w:i/>
                  </w:rPr>
                  <m:t>k</m:t>
                </m:r>
                <m:r>
                  <m:rPr>
                    <m:nor/>
                  </m:rPr>
                  <w:rPr>
                    <w:rFonts w:ascii="Cambria Math" w:hAnsi="Cambria Math"/>
                    <w:iCs/>
                  </w:rPr>
                  <m:t>*</m:t>
                </m:r>
              </m:oMath>
            </m:oMathPara>
          </w:p>
        </w:tc>
      </w:tr>
      <w:tr w:rsidR="00293D77" w14:paraId="33537977" w14:textId="77777777" w:rsidTr="00E25415">
        <w:trPr>
          <w:trHeight w:val="606"/>
          <w:jc w:val="center"/>
        </w:trPr>
        <w:tc>
          <w:tcPr>
            <w:tcW w:w="1787" w:type="dxa"/>
            <w:tcBorders>
              <w:left w:val="nil"/>
              <w:right w:val="nil"/>
            </w:tcBorders>
            <w:vAlign w:val="center"/>
          </w:tcPr>
          <w:p w14:paraId="1B02127A" w14:textId="2405F862" w:rsidR="00293D77" w:rsidRPr="00E25415" w:rsidRDefault="00293D77" w:rsidP="00E05E84">
            <w:pPr>
              <w:pStyle w:val="Nivel1"/>
              <w:keepNext/>
              <w:numPr>
                <w:ilvl w:val="0"/>
                <w:numId w:val="0"/>
              </w:numPr>
              <w:spacing w:before="20" w:after="20"/>
              <w:jc w:val="right"/>
              <w:rPr>
                <w:i/>
                <w:iCs/>
              </w:rPr>
            </w:pPr>
            <w:r w:rsidRPr="00E25415">
              <w:rPr>
                <w:i/>
                <w:iCs/>
              </w:rPr>
              <w:t>Método VAN</w:t>
            </w:r>
          </w:p>
        </w:tc>
        <w:tc>
          <w:tcPr>
            <w:tcW w:w="2166" w:type="dxa"/>
            <w:tcBorders>
              <w:left w:val="nil"/>
              <w:bottom w:val="nil"/>
              <w:right w:val="nil"/>
            </w:tcBorders>
            <w:shd w:val="clear" w:color="auto" w:fill="FFC000"/>
          </w:tcPr>
          <w:p w14:paraId="3F969CE3" w14:textId="542DF3FE" w:rsidR="00293D77" w:rsidRDefault="00000000" w:rsidP="00E05E84">
            <w:pPr>
              <w:pStyle w:val="Nivel1"/>
              <w:keepNext/>
              <w:numPr>
                <w:ilvl w:val="0"/>
                <w:numId w:val="0"/>
              </w:numPr>
              <w:spacing w:before="20" w:after="20"/>
            </w:pPr>
            <m:oMathPara>
              <m:oMath>
                <m:sSub>
                  <m:sSubPr>
                    <m:ctrlPr>
                      <w:rPr>
                        <w:rFonts w:ascii="Cambria Math" w:hAnsi="Cambria Math"/>
                        <w:i/>
                      </w:rPr>
                    </m:ctrlPr>
                  </m:sSubPr>
                  <m:e>
                    <m:r>
                      <m:rPr>
                        <m:nor/>
                      </m:rPr>
                      <w:rPr>
                        <w:i/>
                      </w:rPr>
                      <m:t>VAN</m:t>
                    </m:r>
                  </m:e>
                  <m:sub>
                    <m:r>
                      <m:rPr>
                        <m:nor/>
                      </m:rPr>
                      <w:rPr>
                        <w:i/>
                      </w:rPr>
                      <m:t>A</m:t>
                    </m:r>
                  </m:sub>
                </m:sSub>
                <m:r>
                  <w:rPr>
                    <w:rFonts w:ascii="Cambria Math" w:hAnsi="Cambria Math"/>
                  </w:rPr>
                  <m:t>&gt;</m:t>
                </m:r>
                <m:sSub>
                  <m:sSubPr>
                    <m:ctrlPr>
                      <w:rPr>
                        <w:rFonts w:ascii="Cambria Math" w:hAnsi="Cambria Math"/>
                        <w:i/>
                      </w:rPr>
                    </m:ctrlPr>
                  </m:sSubPr>
                  <m:e>
                    <m:r>
                      <m:rPr>
                        <m:nor/>
                      </m:rPr>
                      <w:rPr>
                        <w:i/>
                      </w:rPr>
                      <m:t>VAN</m:t>
                    </m:r>
                  </m:e>
                  <m:sub>
                    <m:r>
                      <m:rPr>
                        <m:nor/>
                      </m:rPr>
                      <w:rPr>
                        <w:i/>
                      </w:rPr>
                      <m:t>B</m:t>
                    </m:r>
                  </m:sub>
                </m:sSub>
              </m:oMath>
            </m:oMathPara>
          </w:p>
          <w:p w14:paraId="398B9C20" w14:textId="5CEF3565" w:rsidR="00293D77" w:rsidRDefault="00000000" w:rsidP="00E05E84">
            <w:pPr>
              <w:pStyle w:val="Nivel1"/>
              <w:keepNext/>
              <w:numPr>
                <w:ilvl w:val="0"/>
                <w:numId w:val="0"/>
              </w:numPr>
              <w:spacing w:before="20" w:after="20"/>
            </w:pPr>
            <m:oMathPara>
              <m:oMath>
                <m:sSub>
                  <m:sSubPr>
                    <m:ctrlPr>
                      <w:rPr>
                        <w:rFonts w:ascii="Cambria Math" w:hAnsi="Cambria Math"/>
                        <w:i/>
                      </w:rPr>
                    </m:ctrlPr>
                  </m:sSubPr>
                  <m:e>
                    <m:r>
                      <m:rPr>
                        <m:nor/>
                      </m:rPr>
                      <w:rPr>
                        <w:i/>
                      </w:rPr>
                      <m:t>I</m:t>
                    </m:r>
                  </m:e>
                  <m:sub>
                    <m:r>
                      <m:rPr>
                        <m:nor/>
                      </m:rPr>
                      <w:rPr>
                        <w:i/>
                      </w:rPr>
                      <m:t>A</m:t>
                    </m:r>
                  </m:sub>
                </m:sSub>
                <m:r>
                  <w:rPr>
                    <w:rFonts w:ascii="Cambria Math" w:hAnsi="Cambria Math"/>
                  </w:rPr>
                  <m:t>≻</m:t>
                </m:r>
                <m:sSub>
                  <m:sSubPr>
                    <m:ctrlPr>
                      <w:rPr>
                        <w:rFonts w:ascii="Cambria Math" w:hAnsi="Cambria Math"/>
                        <w:i/>
                      </w:rPr>
                    </m:ctrlPr>
                  </m:sSubPr>
                  <m:e>
                    <m:r>
                      <m:rPr>
                        <m:nor/>
                      </m:rPr>
                      <w:rPr>
                        <w:i/>
                      </w:rPr>
                      <m:t>I</m:t>
                    </m:r>
                  </m:e>
                  <m:sub>
                    <m:r>
                      <m:rPr>
                        <m:nor/>
                      </m:rPr>
                      <w:rPr>
                        <w:i/>
                      </w:rPr>
                      <m:t>B</m:t>
                    </m:r>
                  </m:sub>
                </m:sSub>
              </m:oMath>
            </m:oMathPara>
          </w:p>
        </w:tc>
        <w:tc>
          <w:tcPr>
            <w:tcW w:w="2166" w:type="dxa"/>
            <w:tcBorders>
              <w:left w:val="nil"/>
              <w:bottom w:val="nil"/>
              <w:right w:val="nil"/>
            </w:tcBorders>
          </w:tcPr>
          <w:p w14:paraId="1703079F" w14:textId="3B6E5302" w:rsidR="00293D77" w:rsidRDefault="00000000" w:rsidP="00E05E84">
            <w:pPr>
              <w:pStyle w:val="Nivel1"/>
              <w:keepNext/>
              <w:numPr>
                <w:ilvl w:val="0"/>
                <w:numId w:val="0"/>
              </w:numPr>
              <w:spacing w:before="20" w:after="20"/>
            </w:pPr>
            <m:oMathPara>
              <m:oMath>
                <m:sSub>
                  <m:sSubPr>
                    <m:ctrlPr>
                      <w:rPr>
                        <w:rFonts w:ascii="Cambria Math" w:hAnsi="Cambria Math"/>
                        <w:i/>
                      </w:rPr>
                    </m:ctrlPr>
                  </m:sSubPr>
                  <m:e>
                    <m:r>
                      <m:rPr>
                        <m:nor/>
                      </m:rPr>
                      <w:rPr>
                        <w:i/>
                      </w:rPr>
                      <m:t>VAN</m:t>
                    </m:r>
                  </m:e>
                  <m:sub>
                    <m:r>
                      <m:rPr>
                        <m:nor/>
                      </m:rPr>
                      <w:rPr>
                        <w:i/>
                      </w:rPr>
                      <m:t>A</m:t>
                    </m:r>
                  </m:sub>
                </m:sSub>
                <m:r>
                  <w:rPr>
                    <w:rFonts w:ascii="Cambria Math" w:hAnsi="Cambria Math"/>
                  </w:rPr>
                  <m:t>=</m:t>
                </m:r>
                <m:sSub>
                  <m:sSubPr>
                    <m:ctrlPr>
                      <w:rPr>
                        <w:rFonts w:ascii="Cambria Math" w:hAnsi="Cambria Math"/>
                        <w:i/>
                      </w:rPr>
                    </m:ctrlPr>
                  </m:sSubPr>
                  <m:e>
                    <m:r>
                      <m:rPr>
                        <m:nor/>
                      </m:rPr>
                      <w:rPr>
                        <w:i/>
                      </w:rPr>
                      <m:t>VAN</m:t>
                    </m:r>
                  </m:e>
                  <m:sub>
                    <m:r>
                      <m:rPr>
                        <m:nor/>
                      </m:rPr>
                      <w:rPr>
                        <w:i/>
                      </w:rPr>
                      <m:t>B</m:t>
                    </m:r>
                  </m:sub>
                </m:sSub>
              </m:oMath>
            </m:oMathPara>
          </w:p>
          <w:p w14:paraId="6AE9DF5A" w14:textId="6D175DF9" w:rsidR="00293D77" w:rsidRDefault="00000000" w:rsidP="00E05E84">
            <w:pPr>
              <w:pStyle w:val="Nivel1"/>
              <w:keepNext/>
              <w:numPr>
                <w:ilvl w:val="0"/>
                <w:numId w:val="0"/>
              </w:numPr>
              <w:spacing w:before="20" w:after="20"/>
            </w:pPr>
            <m:oMathPara>
              <m:oMath>
                <m:sSub>
                  <m:sSubPr>
                    <m:ctrlPr>
                      <w:rPr>
                        <w:rFonts w:ascii="Cambria Math" w:hAnsi="Cambria Math"/>
                        <w:i/>
                      </w:rPr>
                    </m:ctrlPr>
                  </m:sSubPr>
                  <m:e>
                    <m:r>
                      <m:rPr>
                        <m:nor/>
                      </m:rPr>
                      <w:rPr>
                        <w:i/>
                      </w:rPr>
                      <m:t>I</m:t>
                    </m:r>
                  </m:e>
                  <m:sub>
                    <m:r>
                      <m:rPr>
                        <m:nor/>
                      </m:rPr>
                      <w:rPr>
                        <w:i/>
                      </w:rPr>
                      <m:t>A</m:t>
                    </m:r>
                  </m:sub>
                </m:sSub>
                <m:r>
                  <w:rPr>
                    <w:rFonts w:ascii="Cambria Math" w:hAnsi="Cambria Math"/>
                  </w:rPr>
                  <m:t>∼</m:t>
                </m:r>
                <m:sSub>
                  <m:sSubPr>
                    <m:ctrlPr>
                      <w:rPr>
                        <w:rFonts w:ascii="Cambria Math" w:hAnsi="Cambria Math"/>
                        <w:i/>
                      </w:rPr>
                    </m:ctrlPr>
                  </m:sSubPr>
                  <m:e>
                    <m:r>
                      <m:rPr>
                        <m:nor/>
                      </m:rPr>
                      <w:rPr>
                        <w:i/>
                      </w:rPr>
                      <m:t>I</m:t>
                    </m:r>
                  </m:e>
                  <m:sub>
                    <m:r>
                      <m:rPr>
                        <m:nor/>
                      </m:rPr>
                      <w:rPr>
                        <w:i/>
                      </w:rPr>
                      <m:t>B</m:t>
                    </m:r>
                  </m:sub>
                </m:sSub>
              </m:oMath>
            </m:oMathPara>
          </w:p>
        </w:tc>
        <w:tc>
          <w:tcPr>
            <w:tcW w:w="2166" w:type="dxa"/>
            <w:tcBorders>
              <w:left w:val="nil"/>
              <w:right w:val="nil"/>
            </w:tcBorders>
            <w:shd w:val="clear" w:color="auto" w:fill="0070C0"/>
          </w:tcPr>
          <w:p w14:paraId="15AC5350" w14:textId="3D87E324" w:rsidR="00293D77" w:rsidRPr="00E25415" w:rsidRDefault="00000000" w:rsidP="00E05E84">
            <w:pPr>
              <w:pStyle w:val="Nivel1"/>
              <w:keepNext/>
              <w:numPr>
                <w:ilvl w:val="0"/>
                <w:numId w:val="0"/>
              </w:numPr>
              <w:spacing w:before="20" w:after="20"/>
              <w:rPr>
                <w:color w:val="FFFFFF"/>
              </w:rPr>
            </w:pPr>
            <m:oMathPara>
              <m:oMath>
                <m:sSub>
                  <m:sSubPr>
                    <m:ctrlPr>
                      <w:rPr>
                        <w:rFonts w:ascii="Cambria Math" w:hAnsi="Cambria Math"/>
                        <w:i/>
                        <w:color w:val="FFFFFF"/>
                      </w:rPr>
                    </m:ctrlPr>
                  </m:sSubPr>
                  <m:e>
                    <m:r>
                      <m:rPr>
                        <m:nor/>
                      </m:rPr>
                      <w:rPr>
                        <w:i/>
                        <w:color w:val="FFFFFF"/>
                      </w:rPr>
                      <m:t>VAN</m:t>
                    </m:r>
                  </m:e>
                  <m:sub>
                    <m:r>
                      <m:rPr>
                        <m:nor/>
                      </m:rPr>
                      <w:rPr>
                        <w:i/>
                        <w:color w:val="FFFFFF"/>
                      </w:rPr>
                      <m:t>A</m:t>
                    </m:r>
                  </m:sub>
                </m:sSub>
                <m:r>
                  <w:rPr>
                    <w:rFonts w:ascii="Cambria Math" w:hAnsi="Cambria Math"/>
                    <w:color w:val="FFFFFF"/>
                  </w:rPr>
                  <m:t>&lt;</m:t>
                </m:r>
                <m:sSub>
                  <m:sSubPr>
                    <m:ctrlPr>
                      <w:rPr>
                        <w:rFonts w:ascii="Cambria Math" w:hAnsi="Cambria Math"/>
                        <w:i/>
                        <w:color w:val="FFFFFF"/>
                      </w:rPr>
                    </m:ctrlPr>
                  </m:sSubPr>
                  <m:e>
                    <m:r>
                      <m:rPr>
                        <m:nor/>
                      </m:rPr>
                      <w:rPr>
                        <w:i/>
                        <w:color w:val="FFFFFF"/>
                      </w:rPr>
                      <m:t>VAN</m:t>
                    </m:r>
                  </m:e>
                  <m:sub>
                    <m:r>
                      <m:rPr>
                        <m:nor/>
                      </m:rPr>
                      <w:rPr>
                        <w:i/>
                        <w:color w:val="FFFFFF"/>
                      </w:rPr>
                      <m:t>B</m:t>
                    </m:r>
                  </m:sub>
                </m:sSub>
              </m:oMath>
            </m:oMathPara>
          </w:p>
          <w:p w14:paraId="11CCF402" w14:textId="23F0F9B2" w:rsidR="00293D77" w:rsidRDefault="00000000" w:rsidP="00E05E84">
            <w:pPr>
              <w:pStyle w:val="Nivel1"/>
              <w:keepNext/>
              <w:numPr>
                <w:ilvl w:val="0"/>
                <w:numId w:val="0"/>
              </w:numPr>
              <w:spacing w:before="20" w:after="20"/>
            </w:pPr>
            <m:oMathPara>
              <m:oMath>
                <m:sSub>
                  <m:sSubPr>
                    <m:ctrlPr>
                      <w:rPr>
                        <w:rFonts w:ascii="Cambria Math" w:hAnsi="Cambria Math"/>
                        <w:i/>
                        <w:color w:val="FFFFFF"/>
                      </w:rPr>
                    </m:ctrlPr>
                  </m:sSubPr>
                  <m:e>
                    <m:r>
                      <m:rPr>
                        <m:nor/>
                      </m:rPr>
                      <w:rPr>
                        <w:i/>
                        <w:color w:val="FFFFFF"/>
                      </w:rPr>
                      <m:t>I</m:t>
                    </m:r>
                  </m:e>
                  <m:sub>
                    <m:r>
                      <m:rPr>
                        <m:nor/>
                      </m:rPr>
                      <w:rPr>
                        <w:i/>
                        <w:color w:val="FFFFFF"/>
                      </w:rPr>
                      <m:t>A</m:t>
                    </m:r>
                  </m:sub>
                </m:sSub>
                <m:r>
                  <w:rPr>
                    <w:rFonts w:ascii="Cambria Math" w:hAnsi="Cambria Math"/>
                    <w:color w:val="FFFFFF"/>
                  </w:rPr>
                  <m:t>≺</m:t>
                </m:r>
                <m:sSub>
                  <m:sSubPr>
                    <m:ctrlPr>
                      <w:rPr>
                        <w:rFonts w:ascii="Cambria Math" w:hAnsi="Cambria Math"/>
                        <w:i/>
                        <w:color w:val="FFFFFF"/>
                      </w:rPr>
                    </m:ctrlPr>
                  </m:sSubPr>
                  <m:e>
                    <m:r>
                      <m:rPr>
                        <m:nor/>
                      </m:rPr>
                      <w:rPr>
                        <w:i/>
                        <w:color w:val="FFFFFF"/>
                      </w:rPr>
                      <m:t>I</m:t>
                    </m:r>
                  </m:e>
                  <m:sub>
                    <m:r>
                      <m:rPr>
                        <m:nor/>
                      </m:rPr>
                      <w:rPr>
                        <w:i/>
                        <w:color w:val="FFFFFF"/>
                      </w:rPr>
                      <m:t>B</m:t>
                    </m:r>
                  </m:sub>
                </m:sSub>
              </m:oMath>
            </m:oMathPara>
          </w:p>
        </w:tc>
      </w:tr>
      <w:tr w:rsidR="00293D77" w:rsidRPr="009341D2" w14:paraId="004C8733" w14:textId="77777777" w:rsidTr="00E25415">
        <w:trPr>
          <w:trHeight w:val="606"/>
          <w:jc w:val="center"/>
        </w:trPr>
        <w:tc>
          <w:tcPr>
            <w:tcW w:w="1787" w:type="dxa"/>
            <w:tcBorders>
              <w:left w:val="nil"/>
              <w:bottom w:val="single" w:sz="12" w:space="0" w:color="auto"/>
              <w:right w:val="nil"/>
            </w:tcBorders>
            <w:vAlign w:val="center"/>
          </w:tcPr>
          <w:p w14:paraId="24679503" w14:textId="68826DD0" w:rsidR="00293D77" w:rsidRPr="00E25415" w:rsidRDefault="00293D77" w:rsidP="00293D77">
            <w:pPr>
              <w:pStyle w:val="Nivel1"/>
              <w:numPr>
                <w:ilvl w:val="0"/>
                <w:numId w:val="0"/>
              </w:numPr>
              <w:spacing w:before="20" w:after="20"/>
              <w:jc w:val="right"/>
              <w:rPr>
                <w:i/>
                <w:iCs/>
              </w:rPr>
            </w:pPr>
            <w:r w:rsidRPr="00E25415">
              <w:rPr>
                <w:i/>
                <w:iCs/>
              </w:rPr>
              <w:t>Método TIR</w:t>
            </w:r>
          </w:p>
        </w:tc>
        <w:tc>
          <w:tcPr>
            <w:tcW w:w="6498" w:type="dxa"/>
            <w:gridSpan w:val="3"/>
            <w:tcBorders>
              <w:top w:val="nil"/>
              <w:left w:val="nil"/>
              <w:bottom w:val="single" w:sz="12" w:space="0" w:color="auto"/>
              <w:right w:val="nil"/>
            </w:tcBorders>
            <w:shd w:val="clear" w:color="auto" w:fill="0070C0"/>
          </w:tcPr>
          <w:p w14:paraId="5DF53B2C" w14:textId="379478A8" w:rsidR="00293D77" w:rsidRPr="00E25415" w:rsidRDefault="00000000" w:rsidP="00293D77">
            <w:pPr>
              <w:pStyle w:val="Nivel1"/>
              <w:numPr>
                <w:ilvl w:val="0"/>
                <w:numId w:val="0"/>
              </w:numPr>
              <w:spacing w:before="20" w:after="20"/>
              <w:rPr>
                <w:color w:val="FFFFFF"/>
                <w:lang w:val="en-US"/>
              </w:rPr>
            </w:pPr>
            <m:oMathPara>
              <m:oMath>
                <m:sSub>
                  <m:sSubPr>
                    <m:ctrlPr>
                      <w:rPr>
                        <w:rFonts w:ascii="Cambria Math" w:hAnsi="Cambria Math"/>
                        <w:i/>
                        <w:color w:val="FFFFFF"/>
                      </w:rPr>
                    </m:ctrlPr>
                  </m:sSubPr>
                  <m:e>
                    <m:r>
                      <m:rPr>
                        <m:nor/>
                      </m:rPr>
                      <w:rPr>
                        <w:i/>
                        <w:color w:val="FFFFFF"/>
                        <w:lang w:val="en-US"/>
                      </w:rPr>
                      <m:t>TIR</m:t>
                    </m:r>
                  </m:e>
                  <m:sub>
                    <m:r>
                      <m:rPr>
                        <m:nor/>
                      </m:rPr>
                      <w:rPr>
                        <w:i/>
                        <w:color w:val="FFFFFF"/>
                        <w:lang w:val="en-US"/>
                      </w:rPr>
                      <m:t>A</m:t>
                    </m:r>
                  </m:sub>
                </m:sSub>
                <m:r>
                  <w:rPr>
                    <w:rFonts w:ascii="Cambria Math" w:hAnsi="Cambria Math"/>
                    <w:color w:val="FFFFFF"/>
                    <w:lang w:val="en-US"/>
                  </w:rPr>
                  <m:t>&lt;</m:t>
                </m:r>
                <m:sSub>
                  <m:sSubPr>
                    <m:ctrlPr>
                      <w:rPr>
                        <w:rFonts w:ascii="Cambria Math" w:hAnsi="Cambria Math"/>
                        <w:i/>
                        <w:color w:val="FFFFFF"/>
                      </w:rPr>
                    </m:ctrlPr>
                  </m:sSubPr>
                  <m:e>
                    <m:r>
                      <m:rPr>
                        <m:nor/>
                      </m:rPr>
                      <w:rPr>
                        <w:i/>
                        <w:color w:val="FFFFFF"/>
                        <w:lang w:val="en-US"/>
                      </w:rPr>
                      <m:t>TIR</m:t>
                    </m:r>
                  </m:e>
                  <m:sub>
                    <m:r>
                      <m:rPr>
                        <m:nor/>
                      </m:rPr>
                      <w:rPr>
                        <w:i/>
                        <w:color w:val="FFFFFF"/>
                        <w:lang w:val="en-US"/>
                      </w:rPr>
                      <m:t>B</m:t>
                    </m:r>
                  </m:sub>
                </m:sSub>
              </m:oMath>
            </m:oMathPara>
          </w:p>
          <w:p w14:paraId="345B7F5D" w14:textId="639133C1" w:rsidR="00293D77" w:rsidRPr="00E25415" w:rsidRDefault="00000000" w:rsidP="00293D77">
            <w:pPr>
              <w:pStyle w:val="Nivel1"/>
              <w:numPr>
                <w:ilvl w:val="0"/>
                <w:numId w:val="0"/>
              </w:numPr>
              <w:spacing w:before="20" w:after="20"/>
              <w:rPr>
                <w:lang w:val="en-US"/>
              </w:rPr>
            </w:pPr>
            <m:oMathPara>
              <m:oMath>
                <m:sSub>
                  <m:sSubPr>
                    <m:ctrlPr>
                      <w:rPr>
                        <w:rFonts w:ascii="Cambria Math" w:hAnsi="Cambria Math"/>
                        <w:i/>
                        <w:color w:val="FFFFFF"/>
                      </w:rPr>
                    </m:ctrlPr>
                  </m:sSubPr>
                  <m:e>
                    <m:r>
                      <m:rPr>
                        <m:nor/>
                      </m:rPr>
                      <w:rPr>
                        <w:i/>
                        <w:color w:val="FFFFFF"/>
                        <w:lang w:val="en-US"/>
                      </w:rPr>
                      <m:t>I</m:t>
                    </m:r>
                  </m:e>
                  <m:sub>
                    <m:r>
                      <m:rPr>
                        <m:nor/>
                      </m:rPr>
                      <w:rPr>
                        <w:i/>
                        <w:color w:val="FFFFFF"/>
                        <w:lang w:val="en-US"/>
                      </w:rPr>
                      <m:t>A</m:t>
                    </m:r>
                  </m:sub>
                </m:sSub>
                <m:r>
                  <w:rPr>
                    <w:rFonts w:ascii="Cambria Math" w:hAnsi="Cambria Math"/>
                    <w:color w:val="FFFFFF"/>
                    <w:lang w:val="en-US"/>
                  </w:rPr>
                  <m:t>≺</m:t>
                </m:r>
                <m:sSub>
                  <m:sSubPr>
                    <m:ctrlPr>
                      <w:rPr>
                        <w:rFonts w:ascii="Cambria Math" w:hAnsi="Cambria Math"/>
                        <w:i/>
                        <w:color w:val="FFFFFF"/>
                      </w:rPr>
                    </m:ctrlPr>
                  </m:sSubPr>
                  <m:e>
                    <m:r>
                      <m:rPr>
                        <m:nor/>
                      </m:rPr>
                      <w:rPr>
                        <w:i/>
                        <w:color w:val="FFFFFF"/>
                        <w:lang w:val="en-US"/>
                      </w:rPr>
                      <m:t>I</m:t>
                    </m:r>
                  </m:e>
                  <m:sub>
                    <m:r>
                      <m:rPr>
                        <m:nor/>
                      </m:rPr>
                      <w:rPr>
                        <w:i/>
                        <w:color w:val="FFFFFF"/>
                        <w:lang w:val="en-US"/>
                      </w:rPr>
                      <m:t>B</m:t>
                    </m:r>
                  </m:sub>
                </m:sSub>
              </m:oMath>
            </m:oMathPara>
          </w:p>
        </w:tc>
      </w:tr>
    </w:tbl>
    <w:p w14:paraId="246C3307" w14:textId="2C91792B" w:rsidR="00A07064" w:rsidRPr="001148B2" w:rsidRDefault="00E25415" w:rsidP="00B57D34">
      <w:pPr>
        <w:pStyle w:val="Nivel4"/>
        <w:keepNext/>
        <w:ind w:left="1474"/>
        <w:rPr>
          <w:spacing w:val="-1"/>
        </w:rPr>
      </w:pPr>
      <w:r w:rsidRPr="001148B2">
        <w:rPr>
          <w:spacing w:val="-1"/>
        </w:rPr>
        <w:t>Vemos c</w:t>
      </w:r>
      <w:r w:rsidR="003C7BCD">
        <w:rPr>
          <w:spacing w:val="-1"/>
        </w:rPr>
        <w:t>ó</w:t>
      </w:r>
      <w:r w:rsidRPr="001148B2">
        <w:rPr>
          <w:spacing w:val="-1"/>
        </w:rPr>
        <w:t xml:space="preserve">mo para unos valores dados del coste de capital los criterios VAN y TIR coinciden, pero para otros no (en estos casos se dice que existe </w:t>
      </w:r>
      <w:r w:rsidRPr="001148B2">
        <w:rPr>
          <w:i/>
          <w:iCs/>
          <w:spacing w:val="-1"/>
        </w:rPr>
        <w:t>inconsistencia dinámica</w:t>
      </w:r>
      <w:r w:rsidRPr="001148B2">
        <w:rPr>
          <w:spacing w:val="-1"/>
        </w:rPr>
        <w:t>).</w:t>
      </w:r>
    </w:p>
    <w:p w14:paraId="2D52FE54" w14:textId="5D2019BA" w:rsidR="00AC5EDF" w:rsidRDefault="00AC5EDF" w:rsidP="00B57D34">
      <w:pPr>
        <w:pStyle w:val="Nivel5"/>
        <w:keepNext/>
        <w:ind w:left="1871"/>
      </w:pPr>
      <w:r>
        <w:t>Por tanto, gráficamente si suponemos que por las características de los proyectos y de sus flujos de caja las curvas del VAN se cortan (i.e. se produce un punto de Fisher), se pueden dar 3</w:t>
      </w:r>
      <w:r w:rsidR="00930973">
        <w:t> </w:t>
      </w:r>
      <w:r>
        <w:t>situaciones:</w:t>
      </w:r>
    </w:p>
    <w:p w14:paraId="5C4E622E" w14:textId="7E08691A" w:rsidR="00AC5EDF" w:rsidRDefault="00AC5EDF" w:rsidP="00B57D34">
      <w:pPr>
        <w:pStyle w:val="Nivel6"/>
        <w:ind w:left="2212"/>
      </w:pPr>
      <w:r>
        <w:t>El WACC está a la derecha del punto de Fisher, en cuyo caso los dos criterios conducen a la misma jerarquización.</w:t>
      </w:r>
    </w:p>
    <w:p w14:paraId="557DE9DC" w14:textId="3300C561" w:rsidR="00AC5EDF" w:rsidRPr="00B57D34" w:rsidRDefault="00AB72F0" w:rsidP="00B57D34">
      <w:pPr>
        <w:pStyle w:val="Nivel6"/>
        <w:ind w:left="2212"/>
      </w:pPr>
      <w:r w:rsidRPr="00B57D34">
        <w:t>El WACC está justo al nivel en que se produce el cruce entre las curvas del VAN, en cuyo caso, según el criterio VAN ambos proyectos son indiferentes (por definición del punto de Fisher), pero según el criterio de la TIR la inversión</w:t>
      </w:r>
      <w:r w:rsidR="00807D31">
        <w:t> </w:t>
      </w:r>
      <w:r w:rsidRPr="00B57D34">
        <w:rPr>
          <w:i/>
          <w:iCs/>
        </w:rPr>
        <w:t>B</w:t>
      </w:r>
      <w:r w:rsidRPr="00B57D34">
        <w:t xml:space="preserve"> es preferible.</w:t>
      </w:r>
    </w:p>
    <w:p w14:paraId="16878F03" w14:textId="3F42801B" w:rsidR="00AC5EDF" w:rsidRDefault="00AC5EDF" w:rsidP="00B57D34">
      <w:pPr>
        <w:pStyle w:val="Nivel6"/>
        <w:ind w:left="2212"/>
      </w:pPr>
      <w:r>
        <w:t xml:space="preserve">El WACC está a la izquierda del punto de Fisher, en cuyo caso según el criterio del VAN la inversión </w:t>
      </w:r>
      <w:r>
        <w:rPr>
          <w:i/>
          <w:iCs/>
        </w:rPr>
        <w:t>A</w:t>
      </w:r>
      <w:r>
        <w:t xml:space="preserve"> es preferible, pero según el criterio de la TIR, la inversión</w:t>
      </w:r>
      <w:r w:rsidR="00807D31">
        <w:t> </w:t>
      </w:r>
      <w:r>
        <w:rPr>
          <w:i/>
          <w:iCs/>
        </w:rPr>
        <w:t>B</w:t>
      </w:r>
      <w:r>
        <w:t xml:space="preserve"> es preferible.</w:t>
      </w:r>
    </w:p>
    <w:p w14:paraId="320A7D06" w14:textId="331C2251" w:rsidR="00E25415" w:rsidRPr="00E25415" w:rsidRDefault="00E25415" w:rsidP="00AC5EDF">
      <w:pPr>
        <w:pStyle w:val="Nivel4"/>
        <w:ind w:left="1474"/>
      </w:pPr>
      <w:r>
        <w:t xml:space="preserve">En estos casos en los que existe un punto de Fisher, los inversores suelen preferir el método VAN, ya que éste, en tanto que métrica </w:t>
      </w:r>
      <w:r w:rsidRPr="00AC5EDF">
        <w:rPr>
          <w:rStyle w:val="Nivel4Car"/>
        </w:rPr>
        <w:t>absoluta</w:t>
      </w:r>
      <w:r>
        <w:t xml:space="preserve"> se mide en unidades monetarias, mientras que la TIR lo hace en porcentaje. Por lo tanto, la TIR podría favorecer proyectos con</w:t>
      </w:r>
      <w:r w:rsidR="00D30B1F">
        <w:t xml:space="preserve"> pequeñas rentabilidades simplemente porque dichas cantidades suponen una rentabilidad alta en términos porcentuales.</w:t>
      </w:r>
    </w:p>
    <w:p w14:paraId="6D4E1A88" w14:textId="4866F619" w:rsidR="00B22C86" w:rsidRPr="0007670D" w:rsidRDefault="00B22C86" w:rsidP="0007670D">
      <w:pPr>
        <w:pStyle w:val="Nivel2SM"/>
        <w:keepNext/>
        <w:spacing w:after="0"/>
        <w:rPr>
          <w:u w:val="single"/>
        </w:rPr>
      </w:pPr>
      <w:r w:rsidRPr="004C53F3">
        <w:rPr>
          <w:i/>
          <w:iCs/>
          <w:u w:val="single"/>
        </w:rPr>
        <w:lastRenderedPageBreak/>
        <w:t>Inversiones mixtas</w:t>
      </w:r>
      <w:r w:rsidR="00A22C27">
        <w:t>: En el caso de las inversiones mixtas</w:t>
      </w:r>
      <w:r w:rsidR="00553F46">
        <w:t xml:space="preserve"> (es decir, si combinan flujos de caja netos positivos y negativos y se produce más de un cambio de signo en la secuencia de los flujos de caja)</w:t>
      </w:r>
      <w:r w:rsidR="00A22C27">
        <w:t xml:space="preserve"> los criterios VAN y TIR no </w:t>
      </w:r>
      <w:r w:rsidR="00D30B1F">
        <w:t>coinciden</w:t>
      </w:r>
      <w:r w:rsidR="00A22C27">
        <w:t xml:space="preserve"> ni en la determinación de la aceptación o rechazo de un proyecto ni en la jerarquización de distintos proyectos de inversión.</w:t>
      </w:r>
      <w:r w:rsidR="00553F46">
        <w:t xml:space="preserve"> De hecho, en estas situaciones, las inversiones pueden no tener TIR, tener varias o tenerla negativa.</w:t>
      </w:r>
    </w:p>
    <w:p w14:paraId="65B657BF" w14:textId="3C039E79" w:rsidR="0007670D" w:rsidRPr="003060C2" w:rsidRDefault="0007670D" w:rsidP="0007670D">
      <w:pPr>
        <w:pStyle w:val="Nivel3SM"/>
      </w:pPr>
      <w:r>
        <w:t>Estos problemas del TIR aconsejan usar el VAN por ser éste plenamente consistente. Sin</w:t>
      </w:r>
      <w:r w:rsidR="001148B2">
        <w:t xml:space="preserve"> </w:t>
      </w:r>
      <w:r>
        <w:t>embargo, los problemas de la TIR se pueden aminorar con el cálculo de la TIR modificada.</w:t>
      </w:r>
    </w:p>
    <w:p w14:paraId="0F74E7CA" w14:textId="2613DB98" w:rsidR="003060C2" w:rsidRDefault="003060C2" w:rsidP="003060C2">
      <w:pPr>
        <w:pStyle w:val="Ttulo6"/>
        <w:spacing w:after="0"/>
      </w:pPr>
      <w:bookmarkStart w:id="42" w:name="_Toc172232841"/>
      <w:r>
        <w:t>Tasa Interna de Retorno Modificada (TIRM)</w:t>
      </w:r>
      <w:bookmarkEnd w:id="42"/>
    </w:p>
    <w:p w14:paraId="62DC2AD0" w14:textId="2D93F1FE" w:rsidR="00AE2817" w:rsidRPr="00AE2817" w:rsidRDefault="00AE2817" w:rsidP="00930973">
      <w:pPr>
        <w:pStyle w:val="Ttulo7"/>
        <w:spacing w:before="0"/>
      </w:pPr>
      <w:r>
        <w:t>Definición</w:t>
      </w:r>
    </w:p>
    <w:p w14:paraId="3771B564" w14:textId="77777777" w:rsidR="002B67FE" w:rsidRDefault="003060C2" w:rsidP="00930973">
      <w:pPr>
        <w:pStyle w:val="Nivel1SM"/>
        <w:keepNext/>
        <w:spacing w:before="0" w:after="0"/>
      </w:pPr>
      <w:r>
        <w:t xml:space="preserve">Para superar </w:t>
      </w:r>
      <w:r w:rsidR="0007670D">
        <w:t>esta</w:t>
      </w:r>
      <w:r>
        <w:t xml:space="preserve"> limitaci</w:t>
      </w:r>
      <w:r w:rsidR="0007670D">
        <w:t>ón</w:t>
      </w:r>
      <w:r>
        <w:t xml:space="preserve"> de la TIR, surge la </w:t>
      </w:r>
      <w:r w:rsidRPr="0007670D">
        <w:rPr>
          <w:b/>
          <w:bCs/>
        </w:rPr>
        <w:t>Tasa Interna de Retorno Modificada (TIRM)</w:t>
      </w:r>
      <w:r>
        <w:t>.</w:t>
      </w:r>
    </w:p>
    <w:p w14:paraId="555AC498" w14:textId="77777777" w:rsidR="002B67FE" w:rsidRDefault="003060C2" w:rsidP="002B67FE">
      <w:pPr>
        <w:pStyle w:val="Nivel2SM"/>
      </w:pPr>
      <w:r w:rsidRPr="003060C2">
        <w:t>La TIRM es un método de valoración de inversiones que mide la rentabilidad de una inversión en términos relativos (en porcentaje), cuya principal cualidad es que elimina el problema de la inconsistencia que puede surgir al aplicar la TIR.</w:t>
      </w:r>
    </w:p>
    <w:p w14:paraId="07BB68C4" w14:textId="457FDD54" w:rsidR="003060C2" w:rsidRDefault="003060C2" w:rsidP="002B67FE">
      <w:pPr>
        <w:pStyle w:val="Nivel2SM"/>
      </w:pPr>
      <w:r>
        <w:t>De este modo, la TIRM es además consistente con el VAN como criterio de decisión.</w:t>
      </w:r>
    </w:p>
    <w:p w14:paraId="3ABEF454" w14:textId="73788639" w:rsidR="003060C2" w:rsidRDefault="003060C2" w:rsidP="0007670D">
      <w:pPr>
        <w:pStyle w:val="Nivel1SM"/>
        <w:keepNext/>
        <w:spacing w:after="0"/>
      </w:pPr>
      <w:r w:rsidRPr="003060C2">
        <w:t>Analíticamente</w:t>
      </w:r>
      <w:r w:rsidR="00E72EBD">
        <w:t>,</w:t>
      </w:r>
      <w:r w:rsidRPr="003060C2">
        <w:t xml:space="preserve"> el cálculo de la </w:t>
      </w:r>
      <w:r>
        <w:t>TIRM</w:t>
      </w:r>
      <w:r w:rsidRPr="003060C2">
        <w:t xml:space="preserve"> se </w:t>
      </w:r>
      <w:r>
        <w:t>realiza</w:t>
      </w:r>
      <w:r w:rsidRPr="003060C2">
        <w:t xml:space="preserve"> mediante </w:t>
      </w:r>
      <w:r w:rsidR="00807D31">
        <w:t>3 </w:t>
      </w:r>
      <w:r w:rsidRPr="003060C2">
        <w:t>fases</w:t>
      </w:r>
      <w:r w:rsidR="002528EE">
        <w:rPr>
          <w:rStyle w:val="Refdenotaalpie"/>
        </w:rPr>
        <w:footnoteReference w:id="21"/>
      </w:r>
      <w:r w:rsidRPr="003060C2">
        <w:t>:</w:t>
      </w:r>
    </w:p>
    <w:p w14:paraId="2166F870" w14:textId="6BCCA884" w:rsidR="00E72EBD" w:rsidRPr="003A1BE3" w:rsidRDefault="00E72EBD">
      <w:pPr>
        <w:pStyle w:val="Nmero"/>
        <w:keepNext/>
        <w:numPr>
          <w:ilvl w:val="0"/>
          <w:numId w:val="9"/>
        </w:numPr>
        <w:spacing w:after="0"/>
        <w:ind w:left="568" w:hanging="284"/>
      </w:pPr>
      <w:r>
        <w:t>En primer lugar, actualizamos hasta el período</w:t>
      </w:r>
      <w:r w:rsidR="00930973">
        <w:t> </w:t>
      </w:r>
      <w:r w:rsidRPr="00E72EBD">
        <w:rPr>
          <w:i/>
          <w:iCs/>
        </w:rPr>
        <w:t>0</w:t>
      </w:r>
      <w:r>
        <w:t xml:space="preserve"> al tipo </w:t>
      </w:r>
      <m:oMath>
        <m:r>
          <m:rPr>
            <m:nor/>
          </m:rPr>
          <w:rPr>
            <w:i/>
          </w:rPr>
          <m:t>WACC</m:t>
        </m:r>
      </m:oMath>
      <w:r>
        <w:rPr>
          <w:rFonts w:eastAsiaTheme="minorEastAsia"/>
        </w:rPr>
        <w:t xml:space="preserve"> la suma del desembolso inicial y los flujos de caja negativos.</w:t>
      </w:r>
    </w:p>
    <w:tbl>
      <w:tblPr>
        <w:tblStyle w:val="Tablaconcuadrcula"/>
        <w:tblW w:w="0" w:type="auto"/>
        <w:tblInd w:w="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59"/>
      </w:tblGrid>
      <w:tr w:rsidR="003A1BE3" w14:paraId="3303C7B1" w14:textId="77777777" w:rsidTr="003A1BE3">
        <w:tc>
          <w:tcPr>
            <w:tcW w:w="4644" w:type="dxa"/>
            <w:vAlign w:val="center"/>
          </w:tcPr>
          <w:p w14:paraId="6344B254" w14:textId="58EA379D" w:rsidR="003A1BE3" w:rsidRPr="0007670D" w:rsidRDefault="003A1BE3" w:rsidP="0007670D">
            <w:pPr>
              <w:pStyle w:val="Nmero"/>
              <w:numPr>
                <w:ilvl w:val="0"/>
                <w:numId w:val="0"/>
              </w:numPr>
              <w:spacing w:after="0"/>
              <w:jc w:val="center"/>
              <w:rPr>
                <w:lang w:val="fr-FR"/>
              </w:rPr>
            </w:pPr>
            <w:bookmarkStart w:id="43" w:name="_Hlk94884363"/>
            <m:oMathPara>
              <m:oMath>
                <m:r>
                  <w:rPr>
                    <w:rFonts w:ascii="Cambria Math" w:eastAsiaTheme="minorEastAsia" w:hAnsi="Cambria Math"/>
                    <w:lang w:val="fr-FR"/>
                  </w:rPr>
                  <m:t xml:space="preserve"> </m:t>
                </m:r>
                <m:r>
                  <m:rPr>
                    <m:nor/>
                  </m:rPr>
                  <w:rPr>
                    <w:i/>
                    <w:iCs/>
                    <w:lang w:val="fr-FR"/>
                  </w:rPr>
                  <m:t>X</m:t>
                </m:r>
                <m:r>
                  <w:rPr>
                    <w:rFonts w:ascii="Cambria Math" w:hAnsi="Cambria Math"/>
                    <w:lang w:val="fr-FR"/>
                  </w:rPr>
                  <m:t>=-</m:t>
                </m:r>
                <m:r>
                  <m:rPr>
                    <m:nor/>
                  </m:rPr>
                  <w:rPr>
                    <w:i/>
                    <w:iCs/>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n</m:t>
                    </m:r>
                  </m:sup>
                  <m:e>
                    <m:f>
                      <m:fPr>
                        <m:ctrlPr>
                          <w:rPr>
                            <w:rFonts w:ascii="Cambria Math" w:hAnsi="Cambria Math"/>
                            <w:i/>
                            <w:iCs/>
                          </w:rPr>
                        </m:ctrlPr>
                      </m:fPr>
                      <m:num>
                        <m:sSubSup>
                          <m:sSubSupPr>
                            <m:ctrlPr>
                              <w:rPr>
                                <w:rFonts w:ascii="Cambria Math" w:hAnsi="Cambria Math"/>
                                <w:i/>
                                <w:iCs/>
                              </w:rPr>
                            </m:ctrlPr>
                          </m:sSubSupPr>
                          <m:e>
                            <m:r>
                              <m:rPr>
                                <m:nor/>
                              </m:rPr>
                              <w:rPr>
                                <w:i/>
                                <w:iCs/>
                                <w:lang w:val="fr-FR"/>
                              </w:rPr>
                              <m:t>Q</m:t>
                            </m:r>
                          </m:e>
                          <m:sub>
                            <m:r>
                              <m:rPr>
                                <m:nor/>
                              </m:rPr>
                              <w:rPr>
                                <w:i/>
                                <w:iCs/>
                                <w:lang w:val="fr-FR"/>
                              </w:rPr>
                              <m:t>t</m:t>
                            </m:r>
                          </m:sub>
                          <m:sup>
                            <m:r>
                              <w:rPr>
                                <w:rFonts w:ascii="Cambria Math" w:hAnsi="Cambria Math"/>
                                <w:lang w:val="fr-FR"/>
                              </w:rPr>
                              <m:t>-</m:t>
                            </m:r>
                          </m:sup>
                        </m:sSubSup>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lang w:val="fr-FR"/>
                                  </w:rPr>
                                  <m:t>WACC</m:t>
                                </m:r>
                              </m:e>
                            </m:d>
                          </m:e>
                          <m:sup>
                            <m:r>
                              <m:rPr>
                                <m:nor/>
                              </m:rPr>
                              <w:rPr>
                                <w:i/>
                                <w:iCs/>
                                <w:lang w:val="fr-FR"/>
                              </w:rPr>
                              <m:t>t</m:t>
                            </m:r>
                          </m:sup>
                        </m:sSup>
                      </m:den>
                    </m:f>
                  </m:e>
                </m:nary>
              </m:oMath>
            </m:oMathPara>
            <w:bookmarkEnd w:id="43"/>
          </w:p>
        </w:tc>
        <w:tc>
          <w:tcPr>
            <w:tcW w:w="4644" w:type="dxa"/>
            <w:vAlign w:val="center"/>
          </w:tcPr>
          <w:p w14:paraId="5D7A2C56" w14:textId="08D3F5E5" w:rsidR="003A1BE3" w:rsidRDefault="003A1BE3" w:rsidP="003A1BE3">
            <w:pPr>
              <w:pStyle w:val="Nmero"/>
              <w:keepNext/>
              <w:numPr>
                <w:ilvl w:val="0"/>
                <w:numId w:val="0"/>
              </w:numPr>
              <w:spacing w:after="0"/>
              <w:jc w:val="center"/>
            </w:pPr>
            <w:r>
              <w:rPr>
                <w:noProof/>
              </w:rPr>
              <w:drawing>
                <wp:inline distT="0" distB="0" distL="0" distR="0" wp14:anchorId="07E2571A" wp14:editId="4451BD1F">
                  <wp:extent cx="1761067" cy="516579"/>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1096" cy="522454"/>
                          </a:xfrm>
                          <a:prstGeom prst="rect">
                            <a:avLst/>
                          </a:prstGeom>
                          <a:noFill/>
                          <a:ln>
                            <a:noFill/>
                          </a:ln>
                        </pic:spPr>
                      </pic:pic>
                    </a:graphicData>
                  </a:graphic>
                </wp:inline>
              </w:drawing>
            </w:r>
          </w:p>
        </w:tc>
      </w:tr>
    </w:tbl>
    <w:p w14:paraId="255F5EBC" w14:textId="49E038A1" w:rsidR="00E72EBD" w:rsidRPr="003A1BE3" w:rsidRDefault="00E72EBD">
      <w:pPr>
        <w:pStyle w:val="Nmero"/>
        <w:keepNext/>
        <w:numPr>
          <w:ilvl w:val="0"/>
          <w:numId w:val="9"/>
        </w:numPr>
        <w:spacing w:after="0"/>
        <w:ind w:left="568" w:hanging="284"/>
      </w:pPr>
      <w:r>
        <w:t>En segundo lugar, capitalizamos hasta el período de vencimiento de la inversión (</w:t>
      </w:r>
      <w:r>
        <w:rPr>
          <w:i/>
          <w:iCs/>
        </w:rPr>
        <w:t>n</w:t>
      </w:r>
      <w:r>
        <w:t>) al tipo</w:t>
      </w:r>
      <w:r w:rsidR="003D58E4">
        <w:t> </w:t>
      </w:r>
      <m:oMath>
        <m:r>
          <m:rPr>
            <m:nor/>
          </m:rPr>
          <w:rPr>
            <w:i/>
            <w:iCs/>
          </w:rPr>
          <m:t>k</m:t>
        </m:r>
      </m:oMath>
      <w:r>
        <w:rPr>
          <w:rFonts w:eastAsiaTheme="minorEastAsia"/>
          <w:iCs/>
        </w:rPr>
        <w:t xml:space="preserve"> los flujos de caja positivos.</w:t>
      </w:r>
    </w:p>
    <w:tbl>
      <w:tblPr>
        <w:tblStyle w:val="Tablaconcuadrcula"/>
        <w:tblW w:w="0" w:type="auto"/>
        <w:tblInd w:w="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71"/>
      </w:tblGrid>
      <w:tr w:rsidR="003A1BE3" w14:paraId="5D6542BA" w14:textId="77777777" w:rsidTr="00D81010">
        <w:tc>
          <w:tcPr>
            <w:tcW w:w="4644" w:type="dxa"/>
            <w:vAlign w:val="center"/>
          </w:tcPr>
          <w:p w14:paraId="5EE71858" w14:textId="4EB024F7" w:rsidR="003A1BE3" w:rsidRPr="0007670D" w:rsidRDefault="003A1BE3" w:rsidP="0007670D">
            <w:pPr>
              <w:pStyle w:val="Nmero"/>
              <w:numPr>
                <w:ilvl w:val="0"/>
                <w:numId w:val="0"/>
              </w:numPr>
              <w:spacing w:after="0"/>
              <w:jc w:val="center"/>
              <w:rPr>
                <w:lang w:val="fr-FR"/>
              </w:rPr>
            </w:pPr>
            <m:oMathPara>
              <m:oMath>
                <m:r>
                  <w:rPr>
                    <w:rFonts w:ascii="Cambria Math" w:eastAsiaTheme="minorEastAsia" w:hAnsi="Cambria Math"/>
                    <w:lang w:val="fr-FR"/>
                  </w:rPr>
                  <m:t xml:space="preserve"> </m:t>
                </m:r>
                <m:r>
                  <m:rPr>
                    <m:nor/>
                  </m:rPr>
                  <w:rPr>
                    <w:i/>
                    <w:iCs/>
                    <w:lang w:val="fr-FR"/>
                  </w:rPr>
                  <m:t>Y</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n</m:t>
                    </m:r>
                  </m:sup>
                  <m:e>
                    <m:sSubSup>
                      <m:sSubSupPr>
                        <m:ctrlPr>
                          <w:rPr>
                            <w:rFonts w:ascii="Cambria Math" w:hAnsi="Cambria Math"/>
                            <w:i/>
                            <w:iCs/>
                          </w:rPr>
                        </m:ctrlPr>
                      </m:sSubSupPr>
                      <m:e>
                        <m:r>
                          <m:rPr>
                            <m:nor/>
                          </m:rPr>
                          <w:rPr>
                            <w:i/>
                            <w:iCs/>
                            <w:lang w:val="fr-FR"/>
                          </w:rPr>
                          <m:t>Q</m:t>
                        </m:r>
                      </m:e>
                      <m:sub>
                        <m:r>
                          <m:rPr>
                            <m:nor/>
                          </m:rPr>
                          <w:rPr>
                            <w:i/>
                            <w:iCs/>
                            <w:lang w:val="fr-FR"/>
                          </w:rPr>
                          <m:t>t</m:t>
                        </m:r>
                      </m:sub>
                      <m:sup>
                        <m:r>
                          <w:rPr>
                            <w:rFonts w:ascii="Cambria Math" w:hAnsi="Cambria Math"/>
                            <w:lang w:val="fr-FR"/>
                          </w:rPr>
                          <m:t>+</m:t>
                        </m:r>
                      </m:sup>
                    </m:sSubSup>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lang w:val="fr-FR"/>
                              </w:rPr>
                              <m:t>WACC</m:t>
                            </m:r>
                          </m:e>
                        </m:d>
                      </m:e>
                      <m:sup>
                        <m:r>
                          <m:rPr>
                            <m:nor/>
                          </m:rPr>
                          <w:rPr>
                            <w:i/>
                            <w:iCs/>
                            <w:lang w:val="fr-FR"/>
                          </w:rPr>
                          <m:t>n</m:t>
                        </m:r>
                        <m:r>
                          <w:rPr>
                            <w:rFonts w:ascii="Cambria Math" w:hAnsi="Cambria Math"/>
                            <w:lang w:val="fr-FR"/>
                          </w:rPr>
                          <m:t>-</m:t>
                        </m:r>
                        <m:r>
                          <m:rPr>
                            <m:nor/>
                          </m:rPr>
                          <w:rPr>
                            <w:i/>
                            <w:iCs/>
                            <w:lang w:val="fr-FR"/>
                          </w:rPr>
                          <m:t>t</m:t>
                        </m:r>
                      </m:sup>
                    </m:sSup>
                  </m:e>
                </m:nary>
              </m:oMath>
            </m:oMathPara>
          </w:p>
        </w:tc>
        <w:tc>
          <w:tcPr>
            <w:tcW w:w="4644" w:type="dxa"/>
            <w:vAlign w:val="center"/>
          </w:tcPr>
          <w:p w14:paraId="629DDE47" w14:textId="77777777" w:rsidR="003A1BE3" w:rsidRDefault="003A1BE3" w:rsidP="00D81010">
            <w:pPr>
              <w:pStyle w:val="Nmero"/>
              <w:keepNext/>
              <w:numPr>
                <w:ilvl w:val="0"/>
                <w:numId w:val="0"/>
              </w:numPr>
              <w:spacing w:after="0"/>
              <w:jc w:val="center"/>
            </w:pPr>
            <w:r>
              <w:rPr>
                <w:noProof/>
              </w:rPr>
              <w:drawing>
                <wp:inline distT="0" distB="0" distL="0" distR="0" wp14:anchorId="10BDB9DB" wp14:editId="0278BF1D">
                  <wp:extent cx="1781096" cy="48629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81096" cy="486295"/>
                          </a:xfrm>
                          <a:prstGeom prst="rect">
                            <a:avLst/>
                          </a:prstGeom>
                          <a:noFill/>
                          <a:ln>
                            <a:noFill/>
                          </a:ln>
                        </pic:spPr>
                      </pic:pic>
                    </a:graphicData>
                  </a:graphic>
                </wp:inline>
              </w:drawing>
            </w:r>
          </w:p>
        </w:tc>
      </w:tr>
    </w:tbl>
    <w:p w14:paraId="54FB721E" w14:textId="67B0FCDC" w:rsidR="00E72EBD" w:rsidRPr="003A1BE3" w:rsidRDefault="00E72EBD">
      <w:pPr>
        <w:pStyle w:val="Nmero"/>
        <w:keepNext/>
        <w:numPr>
          <w:ilvl w:val="0"/>
          <w:numId w:val="9"/>
        </w:numPr>
        <w:spacing w:after="0"/>
        <w:ind w:left="568" w:hanging="284"/>
      </w:pPr>
      <w:r>
        <w:rPr>
          <w:rFonts w:eastAsiaTheme="minorEastAsia"/>
          <w:iCs/>
        </w:rPr>
        <w:t>Finalmente se igualan los valores obtenidos en las dos fases anteriores, en valor absoluto</w:t>
      </w:r>
      <w:r w:rsidR="006A3789">
        <w:rPr>
          <w:rFonts w:eastAsiaTheme="minorEastAsia"/>
          <w:iCs/>
        </w:rPr>
        <w:t xml:space="preserve"> (</w:t>
      </w:r>
      <m:oMath>
        <m:r>
          <m:rPr>
            <m:nor/>
          </m:rPr>
          <w:rPr>
            <w:i/>
            <w:iCs/>
          </w:rPr>
          <m:t>X</m:t>
        </m:r>
      </m:oMath>
      <w:r w:rsidR="006A3789" w:rsidRPr="006A3789">
        <w:rPr>
          <w:rFonts w:eastAsiaTheme="minorEastAsia"/>
          <w:iCs/>
        </w:rPr>
        <w:t xml:space="preserve"> </w:t>
      </w:r>
      <w:r w:rsidR="006A3789">
        <w:rPr>
          <w:rFonts w:eastAsiaTheme="minorEastAsia"/>
          <w:iCs/>
        </w:rPr>
        <w:t xml:space="preserve">e </w:t>
      </w:r>
      <m:oMath>
        <m:r>
          <m:rPr>
            <m:nor/>
          </m:rPr>
          <w:rPr>
            <w:i/>
            <w:iCs/>
          </w:rPr>
          <m:t>Y</m:t>
        </m:r>
      </m:oMath>
      <w:r w:rsidR="006A3789">
        <w:rPr>
          <w:rFonts w:eastAsiaTheme="minorEastAsia"/>
          <w:iCs/>
        </w:rPr>
        <w:t>), en el período</w:t>
      </w:r>
      <w:r w:rsidR="00930973">
        <w:rPr>
          <w:rFonts w:eastAsiaTheme="minorEastAsia"/>
          <w:iCs/>
        </w:rPr>
        <w:t> </w:t>
      </w:r>
      <w:r w:rsidR="006A3789">
        <w:rPr>
          <w:rFonts w:eastAsiaTheme="minorEastAsia"/>
          <w:i/>
        </w:rPr>
        <w:t>0</w:t>
      </w:r>
      <w:r w:rsidR="006A3789">
        <w:rPr>
          <w:rFonts w:eastAsiaTheme="minorEastAsia"/>
          <w:iCs/>
        </w:rPr>
        <w:t>, utilizando como tipo de descuento la TIRM que se convierte en la incógnita del problema.</w:t>
      </w:r>
    </w:p>
    <w:tbl>
      <w:tblPr>
        <w:tblStyle w:val="Tablaconcuadrcula"/>
        <w:tblW w:w="0" w:type="auto"/>
        <w:tblInd w:w="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567"/>
      </w:tblGrid>
      <w:tr w:rsidR="003A1BE3" w14:paraId="7E4A3C95" w14:textId="77777777" w:rsidTr="00AE2817">
        <w:tc>
          <w:tcPr>
            <w:tcW w:w="4503" w:type="dxa"/>
            <w:vAlign w:val="center"/>
          </w:tcPr>
          <w:p w14:paraId="5A5DF2BF" w14:textId="47E9FE38" w:rsidR="003A1BE3" w:rsidRDefault="003A1BE3" w:rsidP="0007670D">
            <w:pPr>
              <w:pStyle w:val="Nmero"/>
              <w:numPr>
                <w:ilvl w:val="0"/>
                <w:numId w:val="0"/>
              </w:numPr>
              <w:spacing w:after="0"/>
              <w:jc w:val="center"/>
            </w:pPr>
            <m:oMathPara>
              <m:oMath>
                <m:r>
                  <w:rPr>
                    <w:rFonts w:ascii="Cambria Math" w:eastAsiaTheme="minorEastAsia" w:hAnsi="Cambria Math"/>
                  </w:rPr>
                  <m:t xml:space="preserve"> </m:t>
                </m:r>
                <m:r>
                  <m:rPr>
                    <m:nor/>
                  </m:rPr>
                  <w:rPr>
                    <w:i/>
                    <w:iCs/>
                  </w:rPr>
                  <m:t>X</m:t>
                </m:r>
                <m:r>
                  <w:rPr>
                    <w:rFonts w:ascii="Cambria Math" w:eastAsiaTheme="minorEastAsia" w:hAnsi="Cambria Math"/>
                  </w:rPr>
                  <m:t>=</m:t>
                </m:r>
                <m:f>
                  <m:fPr>
                    <m:ctrlPr>
                      <w:rPr>
                        <w:rFonts w:ascii="Cambria Math" w:hAnsi="Cambria Math"/>
                        <w:i/>
                        <w:iCs/>
                      </w:rPr>
                    </m:ctrlPr>
                  </m:fPr>
                  <m:num>
                    <m:r>
                      <m:rPr>
                        <m:nor/>
                      </m:rPr>
                      <w:rPr>
                        <w:i/>
                        <w:iCs/>
                      </w:rPr>
                      <m:t>Y</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r>
                              <m:rPr>
                                <m:nor/>
                              </m:rPr>
                              <w:rPr>
                                <w:i/>
                                <w:iCs/>
                                <w:color w:val="E2EFD9" w:themeColor="accent6" w:themeTint="33"/>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TIRM</m:t>
                            </m:r>
                          </m:e>
                        </m:d>
                      </m:e>
                      <m:sup>
                        <m:r>
                          <m:rPr>
                            <m:nor/>
                          </m:rPr>
                          <w:rPr>
                            <w:i/>
                            <w:iCs/>
                          </w:rPr>
                          <m:t>n</m:t>
                        </m:r>
                      </m:sup>
                    </m:sSup>
                  </m:den>
                </m:f>
              </m:oMath>
            </m:oMathPara>
          </w:p>
        </w:tc>
        <w:tc>
          <w:tcPr>
            <w:tcW w:w="4567" w:type="dxa"/>
            <w:vAlign w:val="center"/>
          </w:tcPr>
          <w:p w14:paraId="61366193" w14:textId="77777777" w:rsidR="003A1BE3" w:rsidRDefault="003A1BE3" w:rsidP="00D81010">
            <w:pPr>
              <w:pStyle w:val="Nmero"/>
              <w:keepNext/>
              <w:numPr>
                <w:ilvl w:val="0"/>
                <w:numId w:val="0"/>
              </w:numPr>
              <w:spacing w:after="0"/>
              <w:jc w:val="center"/>
            </w:pPr>
            <w:r>
              <w:rPr>
                <w:noProof/>
              </w:rPr>
              <w:drawing>
                <wp:inline distT="0" distB="0" distL="0" distR="0" wp14:anchorId="01032DD3" wp14:editId="724CDC99">
                  <wp:extent cx="1781096" cy="472911"/>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781096" cy="472911"/>
                          </a:xfrm>
                          <a:prstGeom prst="rect">
                            <a:avLst/>
                          </a:prstGeom>
                          <a:noFill/>
                          <a:ln>
                            <a:noFill/>
                          </a:ln>
                        </pic:spPr>
                      </pic:pic>
                    </a:graphicData>
                  </a:graphic>
                </wp:inline>
              </w:drawing>
            </w:r>
          </w:p>
        </w:tc>
      </w:tr>
    </w:tbl>
    <w:p w14:paraId="3D7D0216" w14:textId="5B75C463" w:rsidR="00AE2817" w:rsidRPr="00AE2817" w:rsidRDefault="00AE2817" w:rsidP="00AE2817">
      <w:pPr>
        <w:pStyle w:val="Ttulo7"/>
      </w:pPr>
      <w:r>
        <w:t>Decisión de efectuación y jerarquización</w:t>
      </w:r>
    </w:p>
    <w:p w14:paraId="10A88F7D" w14:textId="448CBBFC" w:rsidR="003A1BE3" w:rsidRDefault="003A1BE3" w:rsidP="00930973">
      <w:pPr>
        <w:pStyle w:val="Nivel1SM"/>
        <w:keepNext/>
        <w:spacing w:before="0" w:after="0"/>
      </w:pPr>
      <w:r>
        <w:t xml:space="preserve">La TIRM permite determinar si una inversión es </w:t>
      </w:r>
      <w:proofErr w:type="spellStart"/>
      <w:r>
        <w:t>efectuable</w:t>
      </w:r>
      <w:proofErr w:type="spellEnd"/>
      <w:r>
        <w:t xml:space="preserve"> así como realizar la jerarquización entre varios proyectos.</w:t>
      </w:r>
    </w:p>
    <w:p w14:paraId="2D955E5E" w14:textId="37F9DECD" w:rsidR="003A1BE3" w:rsidRPr="003A1BE3" w:rsidRDefault="003A1BE3" w:rsidP="00426FDC">
      <w:pPr>
        <w:pStyle w:val="Nivel2SM"/>
      </w:pPr>
      <w:r w:rsidRPr="003A1BE3">
        <w:rPr>
          <w:i/>
          <w:iCs/>
          <w:u w:val="single"/>
        </w:rPr>
        <w:t>Efectuación</w:t>
      </w:r>
      <w:r w:rsidRPr="003A1BE3">
        <w:t xml:space="preserve">: Son </w:t>
      </w:r>
      <w:proofErr w:type="spellStart"/>
      <w:r w:rsidRPr="003A1BE3">
        <w:t>efectuables</w:t>
      </w:r>
      <w:proofErr w:type="spellEnd"/>
      <w:r w:rsidRPr="003A1BE3">
        <w:t xml:space="preserve"> aquellas inversiones que tengan una TIRM superior a la rentabilidad que se exige a la inversión </w:t>
      </w:r>
      <m:oMath>
        <m:r>
          <m:rPr>
            <m:nor/>
          </m:rPr>
          <w:rPr>
            <w:i/>
            <w:iCs/>
          </w:rPr>
          <m:t>WACC</m:t>
        </m:r>
      </m:oMath>
      <w:r w:rsidRPr="003A1BE3">
        <w:t xml:space="preserve"> (</w:t>
      </w:r>
      <m:oMath>
        <m:r>
          <m:rPr>
            <m:nor/>
          </m:rPr>
          <w:rPr>
            <w:i/>
            <w:iCs/>
          </w:rPr>
          <m:t>TIRM</m:t>
        </m:r>
        <m:r>
          <w:rPr>
            <w:rFonts w:ascii="Cambria Math" w:hAnsi="Cambria Math"/>
          </w:rPr>
          <m:t>&gt;</m:t>
        </m:r>
        <m:r>
          <m:rPr>
            <m:nor/>
          </m:rPr>
          <w:rPr>
            <w:i/>
            <w:iCs/>
          </w:rPr>
          <m:t>WACC</m:t>
        </m:r>
      </m:oMath>
      <w:r w:rsidRPr="003A1BE3">
        <w:t>).</w:t>
      </w:r>
    </w:p>
    <w:p w14:paraId="7ABEE7CB" w14:textId="4A95C88A" w:rsidR="003A1BE3" w:rsidRPr="00092C14" w:rsidRDefault="003A1BE3" w:rsidP="00426FDC">
      <w:pPr>
        <w:pStyle w:val="Nivel2SM"/>
        <w:rPr>
          <w:spacing w:val="-2"/>
        </w:rPr>
      </w:pPr>
      <w:r w:rsidRPr="00092C14">
        <w:rPr>
          <w:i/>
          <w:iCs/>
          <w:spacing w:val="-2"/>
          <w:u w:val="single"/>
        </w:rPr>
        <w:t>Jerarquización</w:t>
      </w:r>
      <w:r w:rsidRPr="00092C14">
        <w:rPr>
          <w:spacing w:val="-2"/>
        </w:rPr>
        <w:t xml:space="preserve">: Entre las inversiones </w:t>
      </w:r>
      <w:proofErr w:type="spellStart"/>
      <w:r w:rsidRPr="00092C14">
        <w:rPr>
          <w:spacing w:val="-2"/>
        </w:rPr>
        <w:t>efectuables</w:t>
      </w:r>
      <w:proofErr w:type="spellEnd"/>
      <w:r w:rsidRPr="00092C14">
        <w:rPr>
          <w:spacing w:val="-2"/>
        </w:rPr>
        <w:t xml:space="preserve"> es preferible la que tenga una TIRM más elevada.</w:t>
      </w:r>
    </w:p>
    <w:p w14:paraId="18B26E72" w14:textId="4EC3DA2D" w:rsidR="00B22C86" w:rsidRDefault="00B22C86" w:rsidP="004C53F3">
      <w:pPr>
        <w:pStyle w:val="Ttulo3"/>
      </w:pPr>
      <w:bookmarkStart w:id="44" w:name="_Toc172232842"/>
      <w:r>
        <w:lastRenderedPageBreak/>
        <w:t>Criterios de valoración alternativos que consideran el riesgo</w:t>
      </w:r>
      <w:bookmarkEnd w:id="44"/>
    </w:p>
    <w:p w14:paraId="0F22FE8A" w14:textId="77777777" w:rsidR="00074AEE" w:rsidRDefault="0009771D" w:rsidP="00930973">
      <w:pPr>
        <w:pStyle w:val="Nivel1SM"/>
        <w:keepNext/>
        <w:spacing w:before="0" w:after="0"/>
      </w:pPr>
      <w:r>
        <w:t xml:space="preserve">Hasta ahora hemos supuesto </w:t>
      </w:r>
      <w:r w:rsidR="00D30B1F">
        <w:t xml:space="preserve">perfecta </w:t>
      </w:r>
      <w:r>
        <w:t xml:space="preserve">certidumbre. Sin embargo, tanto los </w:t>
      </w:r>
      <w:r w:rsidRPr="0009771D">
        <w:rPr>
          <w:b/>
          <w:bCs/>
        </w:rPr>
        <w:t>flujos de caja</w:t>
      </w:r>
      <w:r>
        <w:t xml:space="preserve"> como la </w:t>
      </w:r>
      <w:r w:rsidRPr="00074AEE">
        <w:rPr>
          <w:b/>
          <w:bCs/>
        </w:rPr>
        <w:t>duración de la inversión</w:t>
      </w:r>
      <w:r>
        <w:t xml:space="preserve"> se suelen comportar de </w:t>
      </w:r>
      <w:r w:rsidRPr="0009771D">
        <w:rPr>
          <w:i/>
          <w:iCs/>
        </w:rPr>
        <w:t>forma aleatoria</w:t>
      </w:r>
      <w:r>
        <w:t>.</w:t>
      </w:r>
    </w:p>
    <w:p w14:paraId="1B1D73C9" w14:textId="3521B030" w:rsidR="0009771D" w:rsidRDefault="00D30B1F" w:rsidP="00BF5FFA">
      <w:pPr>
        <w:pStyle w:val="Nivel2SM"/>
        <w:keepNext/>
        <w:spacing w:after="0"/>
      </w:pPr>
      <w:r>
        <w:t xml:space="preserve">En un contexto de </w:t>
      </w:r>
      <w:r w:rsidRPr="00074AEE">
        <w:rPr>
          <w:i/>
          <w:iCs/>
        </w:rPr>
        <w:t>información imperfecta</w:t>
      </w:r>
      <w:r>
        <w:t xml:space="preserve"> con </w:t>
      </w:r>
      <w:r w:rsidRPr="00074AEE">
        <w:rPr>
          <w:i/>
          <w:iCs/>
        </w:rPr>
        <w:t>individuos aversos al riesgo</w:t>
      </w:r>
      <w:r>
        <w:t xml:space="preserve">, cuanto más arriesgada sea una empresa mayor será la rentabilidad que se espera de la misma, por lo que se aplica </w:t>
      </w:r>
      <w:r w:rsidRPr="00F81513">
        <w:t xml:space="preserve">una mayor tasa de descuento </w:t>
      </w:r>
      <w:r w:rsidR="0009771D" w:rsidRPr="00F81513">
        <w:t>¿Cómo introducimos el riesgo en las decisiones de inversión?</w:t>
      </w:r>
    </w:p>
    <w:p w14:paraId="6870F1C2" w14:textId="35105413" w:rsidR="00F81513" w:rsidRDefault="00F81513" w:rsidP="00BF5FFA">
      <w:pPr>
        <w:pStyle w:val="Nivel3SM"/>
        <w:keepNext/>
      </w:pPr>
      <w:r>
        <w:t xml:space="preserve">Veremos </w:t>
      </w:r>
      <w:r w:rsidR="00BF5FFA">
        <w:t>4</w:t>
      </w:r>
      <w:r w:rsidR="00930973">
        <w:t> </w:t>
      </w:r>
      <w:r>
        <w:t>métodos:</w:t>
      </w:r>
    </w:p>
    <w:p w14:paraId="6EE313A7" w14:textId="191B7058" w:rsidR="00BF5FFA" w:rsidRDefault="00BF5FFA" w:rsidP="00874785">
      <w:pPr>
        <w:pStyle w:val="Prrafodelista"/>
        <w:keepNext/>
        <w:numPr>
          <w:ilvl w:val="0"/>
          <w:numId w:val="19"/>
        </w:numPr>
        <w:ind w:left="1418" w:hanging="284"/>
      </w:pPr>
      <w:r>
        <w:fldChar w:fldCharType="begin"/>
      </w:r>
      <w:r>
        <w:instrText xml:space="preserve"> REF _Ref125305734 \h </w:instrText>
      </w:r>
      <w:r>
        <w:fldChar w:fldCharType="separate"/>
      </w:r>
      <w:r w:rsidR="000E7C0D" w:rsidRPr="00F81513">
        <w:t>Método de ajuste de la tasa de descuento según el riesgo</w:t>
      </w:r>
      <w:r w:rsidR="000E7C0D">
        <w:t xml:space="preserve"> (prima de riesgo)</w:t>
      </w:r>
      <w:r>
        <w:fldChar w:fldCharType="end"/>
      </w:r>
      <w:r w:rsidR="00874785">
        <w:t>.</w:t>
      </w:r>
    </w:p>
    <w:p w14:paraId="1CC2DC70" w14:textId="0B6F1E45" w:rsidR="00BF5FFA" w:rsidRDefault="00BF5FFA" w:rsidP="00874785">
      <w:pPr>
        <w:pStyle w:val="Prrafodelista"/>
        <w:keepNext/>
        <w:numPr>
          <w:ilvl w:val="0"/>
          <w:numId w:val="19"/>
        </w:numPr>
        <w:ind w:left="1418" w:hanging="284"/>
      </w:pPr>
      <w:r>
        <w:fldChar w:fldCharType="begin"/>
      </w:r>
      <w:r>
        <w:instrText xml:space="preserve"> REF _Ref125305736 \h </w:instrText>
      </w:r>
      <w:r>
        <w:fldChar w:fldCharType="separate"/>
      </w:r>
      <w:r w:rsidR="000E7C0D">
        <w:t>Método del equivalente cierto</w:t>
      </w:r>
      <w:r>
        <w:fldChar w:fldCharType="end"/>
      </w:r>
      <w:r w:rsidR="00874785">
        <w:t>.</w:t>
      </w:r>
    </w:p>
    <w:p w14:paraId="05F19E26" w14:textId="29DE2B8D" w:rsidR="00BF5FFA" w:rsidRDefault="00BF5FFA" w:rsidP="00874785">
      <w:pPr>
        <w:pStyle w:val="Prrafodelista"/>
        <w:keepNext/>
        <w:numPr>
          <w:ilvl w:val="0"/>
          <w:numId w:val="19"/>
        </w:numPr>
        <w:ind w:left="1418" w:hanging="284"/>
      </w:pPr>
      <w:r>
        <w:fldChar w:fldCharType="begin"/>
      </w:r>
      <w:r>
        <w:instrText xml:space="preserve"> REF _Ref125305738 \h </w:instrText>
      </w:r>
      <w:r>
        <w:fldChar w:fldCharType="separate"/>
      </w:r>
      <w:r w:rsidR="000E7C0D">
        <w:t>Estimación de flujos de caja y análisis de sensibilidad</w:t>
      </w:r>
      <w:r>
        <w:fldChar w:fldCharType="end"/>
      </w:r>
      <w:r w:rsidR="00874785">
        <w:t>.</w:t>
      </w:r>
    </w:p>
    <w:p w14:paraId="3156F74D" w14:textId="63B1A408" w:rsidR="00F81513" w:rsidRPr="00F81513" w:rsidRDefault="00BF5FFA" w:rsidP="00874785">
      <w:pPr>
        <w:pStyle w:val="Prrafodelista"/>
        <w:numPr>
          <w:ilvl w:val="0"/>
          <w:numId w:val="19"/>
        </w:numPr>
        <w:ind w:left="1418" w:hanging="284"/>
      </w:pPr>
      <w:r>
        <w:fldChar w:fldCharType="begin"/>
      </w:r>
      <w:r>
        <w:instrText xml:space="preserve"> REF _Ref125305742 \h </w:instrText>
      </w:r>
      <w:r>
        <w:fldChar w:fldCharType="separate"/>
      </w:r>
      <w:r w:rsidR="000E7C0D">
        <w:t>Métodos de valoración de opciones reales</w:t>
      </w:r>
      <w:r>
        <w:fldChar w:fldCharType="end"/>
      </w:r>
      <w:r w:rsidR="00874785">
        <w:t>.</w:t>
      </w:r>
    </w:p>
    <w:p w14:paraId="4D24597E" w14:textId="31A67F21" w:rsidR="00B22C86" w:rsidRPr="00F81513" w:rsidRDefault="00B22C86">
      <w:pPr>
        <w:pStyle w:val="Ttulo6"/>
        <w:numPr>
          <w:ilvl w:val="0"/>
          <w:numId w:val="20"/>
        </w:numPr>
        <w:spacing w:after="0"/>
        <w:ind w:left="0" w:hanging="284"/>
      </w:pPr>
      <w:bookmarkStart w:id="45" w:name="_Ref125305734"/>
      <w:bookmarkStart w:id="46" w:name="_Toc172232843"/>
      <w:r w:rsidRPr="00F81513">
        <w:t>Método de ajuste de la tasa de descuento según el riesgo</w:t>
      </w:r>
      <w:r w:rsidR="00BF5FFA">
        <w:t xml:space="preserve"> (prima de riesgo)</w:t>
      </w:r>
      <w:bookmarkEnd w:id="45"/>
      <w:bookmarkEnd w:id="46"/>
    </w:p>
    <w:p w14:paraId="3535A020" w14:textId="0FBF049B" w:rsidR="0009771D" w:rsidRPr="00F81513" w:rsidRDefault="0009771D" w:rsidP="00930973">
      <w:pPr>
        <w:pStyle w:val="Nivel1SM"/>
        <w:keepNext/>
        <w:spacing w:before="0" w:after="0"/>
      </w:pPr>
      <w:r w:rsidRPr="00F81513">
        <w:t>Consiste en añadir una prima de riesgo a la tasa de descuento:</w:t>
      </w:r>
    </w:p>
    <w:p w14:paraId="5E7351D2" w14:textId="3BAA1BD7" w:rsidR="0009771D" w:rsidRPr="00F81513" w:rsidRDefault="0009771D" w:rsidP="0007670D">
      <w:pPr>
        <w:keepNext/>
        <w:spacing w:after="0"/>
        <w:rPr>
          <w:rFonts w:eastAsiaTheme="minorEastAsia"/>
          <w:iCs/>
        </w:rPr>
      </w:pPr>
      <m:oMathPara>
        <m:oMath>
          <m:r>
            <m:rPr>
              <m:nor/>
            </m:rPr>
            <w:rPr>
              <w:i/>
              <w:iCs/>
            </w:rPr>
            <m:t>s</m:t>
          </m:r>
          <m:r>
            <w:rPr>
              <w:rFonts w:ascii="Cambria Math" w:hAnsi="Cambria Math"/>
            </w:rPr>
            <m:t>=</m:t>
          </m:r>
          <m:r>
            <m:rPr>
              <m:nor/>
            </m:rPr>
            <w:rPr>
              <w:i/>
              <w:iCs/>
            </w:rPr>
            <m:t>WACC</m:t>
          </m:r>
          <m:r>
            <w:rPr>
              <w:rFonts w:ascii="Cambria Math" w:hAnsi="Cambria Math"/>
            </w:rPr>
            <m:t>+</m:t>
          </m:r>
          <m:r>
            <m:rPr>
              <m:nor/>
            </m:rPr>
            <w:rPr>
              <w:rFonts w:eastAsiaTheme="minorEastAsia"/>
              <w:i/>
              <w:iCs/>
            </w:rPr>
            <m:t>ρ</m:t>
          </m:r>
          <m:r>
            <m:rPr>
              <m:sty m:val="p"/>
            </m:rPr>
            <w:rPr>
              <w:rFonts w:eastAsiaTheme="minorEastAsia"/>
            </w:rPr>
            <w:br/>
          </m:r>
        </m:oMath>
      </m:oMathPara>
      <w:r w:rsidRPr="00F81513">
        <w:t xml:space="preserve">donde </w:t>
      </w:r>
      <m:oMath>
        <m:r>
          <m:rPr>
            <m:nor/>
          </m:rPr>
          <w:rPr>
            <w:i/>
            <w:iCs/>
          </w:rPr>
          <m:t>WACC</m:t>
        </m:r>
      </m:oMath>
      <w:r w:rsidRPr="00F81513">
        <w:rPr>
          <w:rFonts w:eastAsiaTheme="minorEastAsia"/>
          <w:iCs/>
        </w:rPr>
        <w:t xml:space="preserve"> es el </w:t>
      </w:r>
      <w:r w:rsidR="00F81513" w:rsidRPr="00F81513">
        <w:rPr>
          <w:rFonts w:eastAsiaTheme="minorEastAsia"/>
          <w:iCs/>
        </w:rPr>
        <w:t>coste de capital</w:t>
      </w:r>
      <w:r w:rsidRPr="00F81513">
        <w:rPr>
          <w:rFonts w:eastAsiaTheme="minorEastAsia"/>
          <w:iCs/>
        </w:rPr>
        <w:t xml:space="preserve"> de riesgo y </w:t>
      </w:r>
      <m:oMath>
        <m:r>
          <m:rPr>
            <m:nor/>
          </m:rPr>
          <w:rPr>
            <w:rFonts w:eastAsiaTheme="minorEastAsia"/>
            <w:i/>
            <w:iCs/>
          </w:rPr>
          <m:t>ρ</m:t>
        </m:r>
      </m:oMath>
      <w:r w:rsidRPr="00F81513">
        <w:rPr>
          <w:rFonts w:eastAsiaTheme="minorEastAsia"/>
          <w:iCs/>
        </w:rPr>
        <w:t xml:space="preserve"> es la prima de riesgo.</w:t>
      </w:r>
    </w:p>
    <w:p w14:paraId="59B607FD" w14:textId="2104BD39" w:rsidR="00D30B1F" w:rsidRPr="00F81513" w:rsidRDefault="00D30B1F" w:rsidP="00074AEE">
      <w:pPr>
        <w:pStyle w:val="Nivel2SM"/>
        <w:keepNext/>
        <w:spacing w:after="0"/>
      </w:pPr>
      <w:r w:rsidRPr="00F81513">
        <w:t>Esto nos permite posteriormente calcular un VAN que tenga en consideración el riesgo:</w:t>
      </w:r>
    </w:p>
    <w:p w14:paraId="4DDBFA4A" w14:textId="7AB66ABD" w:rsidR="00D30B1F" w:rsidRPr="00D30B1F" w:rsidRDefault="00D30B1F" w:rsidP="003D6FF6">
      <w:pPr>
        <w:keepNext/>
        <w:spacing w:after="0"/>
        <w:rPr>
          <w:rFonts w:eastAsiaTheme="minorEastAsia"/>
          <w:i/>
          <w:iCs/>
          <w:lang w:val="fr-FR"/>
        </w:rPr>
      </w:pPr>
      <m:oMathPara>
        <m:oMath>
          <m:r>
            <w:rPr>
              <w:rFonts w:ascii="Cambria Math" w:eastAsiaTheme="minorEastAsia" w:hAnsi="Cambria Math"/>
              <w:lang w:val="fr-FR"/>
            </w:rPr>
            <m:t xml:space="preserve"> </m:t>
          </m:r>
          <m:r>
            <m:rPr>
              <m:nor/>
            </m:rPr>
            <w:rPr>
              <w:i/>
              <w:iCs/>
              <w:lang w:val="fr-FR"/>
            </w:rPr>
            <m:t>VAN</m:t>
          </m:r>
          <m:r>
            <w:rPr>
              <w:rFonts w:ascii="Cambria Math" w:hAnsi="Cambria Math"/>
              <w:lang w:val="fr-FR"/>
            </w:rPr>
            <m:t>=-</m:t>
          </m:r>
          <m:r>
            <m:rPr>
              <m:nor/>
            </m:rPr>
            <w:rPr>
              <w:i/>
              <w:iCs/>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n</m:t>
              </m:r>
            </m:sup>
            <m:e>
              <m:f>
                <m:fPr>
                  <m:ctrlPr>
                    <w:rPr>
                      <w:rFonts w:ascii="Cambria Math" w:hAnsi="Cambria Math"/>
                      <w:i/>
                      <w:iCs/>
                    </w:rPr>
                  </m:ctrlPr>
                </m:fPr>
                <m:num>
                  <m:sSub>
                    <m:sSubPr>
                      <m:ctrlPr>
                        <w:rPr>
                          <w:rFonts w:ascii="Cambria Math" w:hAnsi="Cambria Math"/>
                          <w:i/>
                          <w:iCs/>
                        </w:rPr>
                      </m:ctrlPr>
                    </m:sSubPr>
                    <m:e>
                      <m:r>
                        <m:rPr>
                          <m:nor/>
                        </m:rPr>
                        <w:rPr>
                          <w:i/>
                          <w:iCs/>
                          <w:lang w:val="fr-FR"/>
                        </w:rPr>
                        <m:t>Q</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WACC</m:t>
                          </m:r>
                          <m:r>
                            <w:rPr>
                              <w:rFonts w:ascii="Cambria Math" w:hAnsi="Cambria Math"/>
                              <w:lang w:val="fr-FR"/>
                            </w:rPr>
                            <m:t>+</m:t>
                          </m:r>
                          <m:r>
                            <m:rPr>
                              <m:nor/>
                            </m:rPr>
                            <w:rPr>
                              <w:rFonts w:eastAsiaTheme="minorEastAsia"/>
                              <w:i/>
                              <w:iCs/>
                            </w:rPr>
                            <m:t>ρ</m:t>
                          </m:r>
                        </m:e>
                      </m:d>
                    </m:e>
                    <m:sup>
                      <m:r>
                        <m:rPr>
                          <m:nor/>
                        </m:rPr>
                        <w:rPr>
                          <w:i/>
                          <w:iCs/>
                          <w:lang w:val="fr-FR"/>
                        </w:rPr>
                        <m:t>t</m:t>
                      </m:r>
                    </m:sup>
                  </m:sSup>
                </m:den>
              </m:f>
            </m:e>
          </m:nary>
        </m:oMath>
      </m:oMathPara>
    </w:p>
    <w:p w14:paraId="3A4D9D48" w14:textId="6A46AB9D" w:rsidR="00B22C86" w:rsidRDefault="00B22C86">
      <w:pPr>
        <w:pStyle w:val="Ttulo6"/>
        <w:numPr>
          <w:ilvl w:val="0"/>
          <w:numId w:val="20"/>
        </w:numPr>
        <w:ind w:left="0" w:hanging="284"/>
      </w:pPr>
      <w:bookmarkStart w:id="47" w:name="_Ref125305736"/>
      <w:bookmarkStart w:id="48" w:name="_Toc172232844"/>
      <w:r>
        <w:t>Método del equivalente cierto</w:t>
      </w:r>
      <w:bookmarkEnd w:id="47"/>
      <w:bookmarkEnd w:id="48"/>
    </w:p>
    <w:p w14:paraId="17AB9486" w14:textId="792CFB21" w:rsidR="0009771D" w:rsidRDefault="0009771D" w:rsidP="00244789">
      <w:pPr>
        <w:pStyle w:val="Nivel1SM"/>
        <w:keepNext/>
        <w:spacing w:before="0" w:after="0"/>
      </w:pPr>
      <w:r>
        <w:t>Consi</w:t>
      </w:r>
      <w:r w:rsidR="00D30B1F">
        <w:t xml:space="preserve">ste en multiplicar los flujos de caja por un coeficiente </w:t>
      </w:r>
      <m:oMath>
        <m:r>
          <m:rPr>
            <m:nor/>
          </m:rPr>
          <w:rPr>
            <w:i/>
          </w:rPr>
          <m:t>α</m:t>
        </m:r>
      </m:oMath>
      <w:r w:rsidR="00B07C0C">
        <w:t xml:space="preserve"> que calcule el equivalente cierto</w:t>
      </w:r>
      <w:r w:rsidR="00F81513">
        <w:t xml:space="preserve"> </w:t>
      </w:r>
      <w:r w:rsidR="00F81513" w:rsidRPr="00F81513">
        <w:rPr>
          <w:color w:val="767171" w:themeColor="background2" w:themeShade="80"/>
          <w:sz w:val="19"/>
          <w:szCs w:val="19"/>
        </w:rPr>
        <w:t>[ver tema 3.A.</w:t>
      </w:r>
      <w:r w:rsidR="003245D3">
        <w:rPr>
          <w:color w:val="767171" w:themeColor="background2" w:themeShade="80"/>
          <w:sz w:val="19"/>
          <w:szCs w:val="19"/>
        </w:rPr>
        <w:t>10</w:t>
      </w:r>
      <w:r w:rsidR="00F81513" w:rsidRPr="00F81513">
        <w:rPr>
          <w:color w:val="767171" w:themeColor="background2" w:themeShade="80"/>
          <w:sz w:val="19"/>
          <w:szCs w:val="19"/>
        </w:rPr>
        <w:t>]</w:t>
      </w:r>
      <w:r w:rsidR="00B07C0C">
        <w:t xml:space="preserve">, de tal forma que el inversor sea indiferente entre percibir la </w:t>
      </w:r>
      <w:proofErr w:type="spellStart"/>
      <w:r w:rsidR="00B07C0C">
        <w:t>cuasirrenta</w:t>
      </w:r>
      <w:proofErr w:type="spellEnd"/>
      <w:r w:rsidR="00B07C0C">
        <w:t xml:space="preserve"> en condiciones de riesgo o su equivalente cierto en condiciones de certeza:</w:t>
      </w:r>
    </w:p>
    <w:p w14:paraId="08CEF1BB" w14:textId="1E271F7C" w:rsidR="00B07C0C" w:rsidRPr="00B07C0C" w:rsidRDefault="00B07C0C" w:rsidP="00244789">
      <w:pPr>
        <w:keepNext/>
        <w:spacing w:after="0"/>
        <w:rPr>
          <w:rFonts w:eastAsiaTheme="minorEastAsia"/>
          <w:lang w:val="fr-FR"/>
        </w:rPr>
      </w:pPr>
      <m:oMathPara>
        <m:oMath>
          <m:r>
            <w:rPr>
              <w:rFonts w:ascii="Cambria Math" w:eastAsiaTheme="minorEastAsia" w:hAnsi="Cambria Math"/>
              <w:lang w:val="fr-FR"/>
            </w:rPr>
            <m:t xml:space="preserve"> </m:t>
          </m:r>
          <m:r>
            <m:rPr>
              <m:nor/>
            </m:rPr>
            <w:rPr>
              <w:i/>
              <w:iCs/>
              <w:lang w:val="fr-FR"/>
            </w:rPr>
            <m:t>VAN</m:t>
          </m:r>
          <m:r>
            <w:rPr>
              <w:rFonts w:ascii="Cambria Math" w:hAnsi="Cambria Math"/>
              <w:lang w:val="fr-FR"/>
            </w:rPr>
            <m:t>=-</m:t>
          </m:r>
          <m:r>
            <m:rPr>
              <m:nor/>
            </m:rPr>
            <w:rPr>
              <w:i/>
              <w:iCs/>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n</m:t>
              </m:r>
            </m:sup>
            <m:e>
              <m:f>
                <m:fPr>
                  <m:ctrlPr>
                    <w:rPr>
                      <w:rFonts w:ascii="Cambria Math" w:hAnsi="Cambria Math"/>
                      <w:i/>
                      <w:iCs/>
                    </w:rPr>
                  </m:ctrlPr>
                </m:fPr>
                <m:num>
                  <m:sSub>
                    <m:sSubPr>
                      <m:ctrlPr>
                        <w:rPr>
                          <w:rFonts w:ascii="Cambria Math" w:eastAsiaTheme="minorEastAsia" w:hAnsi="Cambria Math"/>
                          <w:i/>
                          <w:iCs/>
                        </w:rPr>
                      </m:ctrlPr>
                    </m:sSubPr>
                    <m:e>
                      <m:r>
                        <m:rPr>
                          <m:nor/>
                        </m:rPr>
                        <w:rPr>
                          <w:i/>
                        </w:rPr>
                        <m:t>α</m:t>
                      </m:r>
                    </m:e>
                    <m:sub>
                      <m:r>
                        <m:rPr>
                          <m:nor/>
                        </m:rPr>
                        <w:rPr>
                          <w:i/>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Q</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WACC</m:t>
                          </m:r>
                        </m:e>
                      </m:d>
                    </m:e>
                    <m:sup>
                      <m:r>
                        <m:rPr>
                          <m:nor/>
                        </m:rPr>
                        <w:rPr>
                          <w:i/>
                          <w:iCs/>
                          <w:lang w:val="fr-FR"/>
                        </w:rPr>
                        <m:t>t</m:t>
                      </m:r>
                    </m:sup>
                  </m:sSup>
                </m:den>
              </m:f>
            </m:e>
          </m:nary>
          <m:r>
            <w:rPr>
              <w:rFonts w:ascii="Cambria Math" w:hAnsi="Cambria Math"/>
              <w:lang w:val="fr-FR"/>
            </w:rPr>
            <m:t>=-</m:t>
          </m:r>
          <m:r>
            <m:rPr>
              <m:nor/>
            </m:rPr>
            <w:rPr>
              <w:i/>
              <w:iCs/>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n</m:t>
              </m:r>
            </m:sup>
            <m:e>
              <m:f>
                <m:fPr>
                  <m:ctrlPr>
                    <w:rPr>
                      <w:rFonts w:ascii="Cambria Math" w:hAnsi="Cambria Math"/>
                      <w:i/>
                      <w:iCs/>
                    </w:rPr>
                  </m:ctrlPr>
                </m:fPr>
                <m:num>
                  <m:sSub>
                    <m:sSubPr>
                      <m:ctrlPr>
                        <w:rPr>
                          <w:rFonts w:ascii="Cambria Math" w:eastAsiaTheme="minorEastAsia" w:hAnsi="Cambria Math"/>
                          <w:i/>
                          <w:iCs/>
                        </w:rPr>
                      </m:ctrlPr>
                    </m:sSubPr>
                    <m:e>
                      <m:r>
                        <m:rPr>
                          <m:nor/>
                        </m:rPr>
                        <w:rPr>
                          <w:i/>
                          <w:lang w:val="fr-FR"/>
                        </w:rPr>
                        <m:t>EC</m:t>
                      </m:r>
                    </m:e>
                    <m:sub>
                      <m:r>
                        <m:rPr>
                          <m:nor/>
                        </m:rPr>
                        <w:rPr>
                          <w:i/>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WACC</m:t>
                          </m:r>
                        </m:e>
                      </m:d>
                    </m:e>
                    <m:sup>
                      <m:r>
                        <m:rPr>
                          <m:nor/>
                        </m:rPr>
                        <w:rPr>
                          <w:i/>
                          <w:iCs/>
                          <w:lang w:val="fr-FR"/>
                        </w:rPr>
                        <m:t>t</m:t>
                      </m:r>
                    </m:sup>
                  </m:sSup>
                </m:den>
              </m:f>
            </m:e>
          </m:nary>
        </m:oMath>
      </m:oMathPara>
    </w:p>
    <w:p w14:paraId="729C5143" w14:textId="4875BA5E" w:rsidR="00B07C0C" w:rsidRPr="00D30B1F" w:rsidRDefault="00B07C0C" w:rsidP="00F81513">
      <w:pPr>
        <w:pStyle w:val="Nivel2SM"/>
      </w:pPr>
      <w:r>
        <w:rPr>
          <w:i/>
          <w:iCs/>
          <w:u w:val="single"/>
        </w:rPr>
        <w:t>Diferencia entre ambos métodos</w:t>
      </w:r>
      <w:r>
        <w:t xml:space="preserve">: El método del ajuste de la tasa de descuento contempla el proyecto globalmente, mientras que el método del equivalente cierto contempla las </w:t>
      </w:r>
      <w:proofErr w:type="spellStart"/>
      <w:r>
        <w:t>cuasirrentas</w:t>
      </w:r>
      <w:proofErr w:type="spellEnd"/>
      <w:r>
        <w:t xml:space="preserve"> de manera aislada.</w:t>
      </w:r>
    </w:p>
    <w:p w14:paraId="6210B99E" w14:textId="31634236" w:rsidR="00755A7D" w:rsidRDefault="008C30EB">
      <w:pPr>
        <w:pStyle w:val="Ttulo6"/>
        <w:numPr>
          <w:ilvl w:val="0"/>
          <w:numId w:val="20"/>
        </w:numPr>
        <w:ind w:left="0" w:hanging="284"/>
      </w:pPr>
      <w:bookmarkStart w:id="49" w:name="_Ref125305738"/>
      <w:bookmarkStart w:id="50" w:name="_Toc172232845"/>
      <w:r>
        <w:t>Estimación de flujos de caja y a</w:t>
      </w:r>
      <w:r w:rsidR="00B07C0C">
        <w:t>nálisis de sensibilidad</w:t>
      </w:r>
      <w:bookmarkEnd w:id="49"/>
      <w:bookmarkEnd w:id="50"/>
    </w:p>
    <w:p w14:paraId="7E23ECF8" w14:textId="5D2154FB" w:rsidR="008C30EB" w:rsidRDefault="008C30EB" w:rsidP="00930973">
      <w:pPr>
        <w:pStyle w:val="Nivel1SM"/>
        <w:keepNext/>
        <w:spacing w:before="0" w:after="0"/>
      </w:pPr>
      <w:bookmarkStart w:id="51" w:name="_Hlk125393834"/>
      <w:r>
        <w:t xml:space="preserve">Una herramienta esencial en la decisión de inversión es la </w:t>
      </w:r>
      <w:r w:rsidRPr="008C30EB">
        <w:rPr>
          <w:b/>
          <w:bCs/>
        </w:rPr>
        <w:t>estimación de flujos de caja futuros</w:t>
      </w:r>
      <w:r>
        <w:t xml:space="preserve"> cuyo valor concreto está generalmente sujeto a incertidumbre. Existen distintos métodos para tratar de estimar estos flujos de caja.</w:t>
      </w:r>
    </w:p>
    <w:p w14:paraId="03DA12DC" w14:textId="216CDEE3" w:rsidR="0009771D" w:rsidRDefault="00B07C0C" w:rsidP="008C30EB">
      <w:pPr>
        <w:pStyle w:val="Nivel2SM"/>
        <w:keepNext/>
        <w:spacing w:after="0"/>
      </w:pPr>
      <w:r>
        <w:t xml:space="preserve">Podemos hacer referencia a </w:t>
      </w:r>
      <w:r w:rsidR="00BF5FFA">
        <w:t>2</w:t>
      </w:r>
      <w:r w:rsidR="00930973">
        <w:t> </w:t>
      </w:r>
      <w:r>
        <w:t>tipos de análisis de sensibilidad</w:t>
      </w:r>
      <w:r w:rsidR="00303EC1">
        <w:t>, que nos permiten estimar los flujos de caja futuros</w:t>
      </w:r>
      <w:r>
        <w:t>:</w:t>
      </w:r>
    </w:p>
    <w:p w14:paraId="2475B460" w14:textId="03E98F45" w:rsidR="00F244E9" w:rsidRDefault="00B07C0C" w:rsidP="00896D32">
      <w:pPr>
        <w:pStyle w:val="Nivel3SM"/>
        <w:keepNext/>
      </w:pPr>
      <w:r>
        <w:rPr>
          <w:i/>
          <w:iCs/>
          <w:u w:val="single"/>
        </w:rPr>
        <w:t>Análisis de sensibilidad simple</w:t>
      </w:r>
      <w:r>
        <w:t>:</w:t>
      </w:r>
      <w:r w:rsidR="00D57EFD">
        <w:t xml:space="preserve"> Consiste en analizar c</w:t>
      </w:r>
      <w:r w:rsidR="00B5349E">
        <w:t>ó</w:t>
      </w:r>
      <w:r w:rsidR="00D57EFD">
        <w:t>mo varía el resultado ante cambios de alguna(s) de su(s) variable(s).</w:t>
      </w:r>
    </w:p>
    <w:p w14:paraId="4B405BFB" w14:textId="2BD6368F" w:rsidR="00B07C0C" w:rsidRDefault="008C30EB" w:rsidP="00F244E9">
      <w:pPr>
        <w:pStyle w:val="Nivel4"/>
        <w:ind w:left="1474"/>
      </w:pPr>
      <w:r>
        <w:t xml:space="preserve">Por ejemplo, es habitual construir escenarios optimista, realista y pesimista, y </w:t>
      </w:r>
      <w:r w:rsidR="00F244E9">
        <w:t>comparar los resultados del proyecto de inversión bajo distintos escenarios</w:t>
      </w:r>
      <w:r>
        <w:t xml:space="preserve"> para valorar la robustez de los </w:t>
      </w:r>
      <w:r w:rsidR="00F244E9">
        <w:t>resultados</w:t>
      </w:r>
      <w:r>
        <w:t xml:space="preserve"> a</w:t>
      </w:r>
      <w:r w:rsidR="00DE086E">
        <w:t>nte</w:t>
      </w:r>
      <w:r>
        <w:t xml:space="preserve"> cambios en los supuestos.</w:t>
      </w:r>
    </w:p>
    <w:p w14:paraId="34E1F09D" w14:textId="1C4734B8" w:rsidR="00B07C0C" w:rsidRPr="00BB76C8" w:rsidRDefault="00B07C0C" w:rsidP="008C30EB">
      <w:pPr>
        <w:pStyle w:val="Nivel3SM"/>
        <w:rPr>
          <w:spacing w:val="-3"/>
        </w:rPr>
      </w:pPr>
      <w:r w:rsidRPr="00BB76C8">
        <w:rPr>
          <w:i/>
          <w:iCs/>
          <w:spacing w:val="-3"/>
          <w:u w:val="single"/>
        </w:rPr>
        <w:t>Método de Monte Carlo</w:t>
      </w:r>
      <w:r w:rsidR="0052682A" w:rsidRPr="00BB76C8">
        <w:rPr>
          <w:rStyle w:val="Refdenotaalpie"/>
          <w:spacing w:val="-3"/>
        </w:rPr>
        <w:footnoteReference w:id="22"/>
      </w:r>
      <w:r w:rsidRPr="00BB76C8">
        <w:rPr>
          <w:spacing w:val="-3"/>
        </w:rPr>
        <w:t>:</w:t>
      </w:r>
      <w:r w:rsidR="000C3E63" w:rsidRPr="00BB76C8">
        <w:rPr>
          <w:spacing w:val="-3"/>
        </w:rPr>
        <w:t xml:space="preserve"> </w:t>
      </w:r>
      <w:r w:rsidR="00D57EFD" w:rsidRPr="00BB76C8">
        <w:rPr>
          <w:spacing w:val="-3"/>
        </w:rPr>
        <w:t>Consiste en modelizar el proyecto de inversión, dando diferentes probabilidades a varios escenarios para varias variables relevantes.</w:t>
      </w:r>
      <w:r w:rsidR="00101813" w:rsidRPr="00BB76C8">
        <w:rPr>
          <w:spacing w:val="-3"/>
        </w:rPr>
        <w:t xml:space="preserve"> Posteriormente, se simulan realizaciones de las variables aleatorias y con ellas, se obtiene una estimación de la distribución de probabilidad de las ganancias.</w:t>
      </w:r>
      <w:r w:rsidR="009A3452" w:rsidRPr="00BB76C8">
        <w:rPr>
          <w:spacing w:val="-3"/>
        </w:rPr>
        <w:t xml:space="preserve"> Muestra un grado de sofisticación adicional y es utilizado menos habitualmente, aunque puede ser de utilidad en determinados contextos.</w:t>
      </w:r>
    </w:p>
    <w:p w14:paraId="45703F87" w14:textId="4BA44B98" w:rsidR="00303EC1" w:rsidRDefault="00303EC1">
      <w:pPr>
        <w:pStyle w:val="Ttulo6"/>
        <w:numPr>
          <w:ilvl w:val="0"/>
          <w:numId w:val="20"/>
        </w:numPr>
        <w:ind w:left="0" w:hanging="284"/>
      </w:pPr>
      <w:bookmarkStart w:id="52" w:name="_Ref125305742"/>
      <w:bookmarkStart w:id="53" w:name="_Toc172232846"/>
      <w:bookmarkEnd w:id="51"/>
      <w:r>
        <w:lastRenderedPageBreak/>
        <w:t>Métodos de valoración de opciones reales</w:t>
      </w:r>
      <w:bookmarkEnd w:id="52"/>
      <w:r w:rsidR="00725230">
        <w:t xml:space="preserve"> (</w:t>
      </w:r>
      <w:r w:rsidR="00725230">
        <w:rPr>
          <w:smallCaps/>
        </w:rPr>
        <w:t>Dixit</w:t>
      </w:r>
      <w:r w:rsidR="00725230">
        <w:t xml:space="preserve"> y </w:t>
      </w:r>
      <w:proofErr w:type="spellStart"/>
      <w:r w:rsidR="00725230" w:rsidRPr="00725230">
        <w:rPr>
          <w:smallCaps/>
        </w:rPr>
        <w:t>Pindyck</w:t>
      </w:r>
      <w:proofErr w:type="spellEnd"/>
      <w:r w:rsidR="00725230">
        <w:t>)</w:t>
      </w:r>
      <w:bookmarkEnd w:id="53"/>
    </w:p>
    <w:p w14:paraId="636347A9" w14:textId="5487A052" w:rsidR="00303EC1" w:rsidRDefault="00303EC1" w:rsidP="00302561">
      <w:pPr>
        <w:pStyle w:val="Nivel1SM"/>
        <w:spacing w:before="0"/>
      </w:pPr>
      <w:r>
        <w:t>El método del V</w:t>
      </w:r>
      <w:r w:rsidR="00F81513">
        <w:t>AN</w:t>
      </w:r>
      <w:r>
        <w:t xml:space="preserve"> asume irreversibilidad y comportamiento pasivo de los managers. Sin embargo, </w:t>
      </w:r>
      <w:r w:rsidR="001B59C6">
        <w:t>e</w:t>
      </w:r>
      <w:r>
        <w:t>stos pueden tomar decisiones una vez el proyecto de inversión está en marcha. Si la inversión va bien, los proyectos pueden ampliarse y si van mal pueden ser reducidos o abandonados</w:t>
      </w:r>
      <w:r w:rsidR="003178AA">
        <w:t>.</w:t>
      </w:r>
    </w:p>
    <w:p w14:paraId="182C9300" w14:textId="1008CA7E" w:rsidR="003178AA" w:rsidRDefault="003178AA" w:rsidP="00CB0B02">
      <w:pPr>
        <w:pStyle w:val="Nivel1SM"/>
        <w:keepNext/>
        <w:spacing w:after="0"/>
      </w:pPr>
      <w:r>
        <w:t xml:space="preserve">Los </w:t>
      </w:r>
      <w:r w:rsidRPr="00CB0B02">
        <w:rPr>
          <w:b/>
          <w:bCs/>
        </w:rPr>
        <w:t>métodos de valoración de opciones reales y los árboles de decisión</w:t>
      </w:r>
      <w:r>
        <w:t>, permiten cuantificar el valor que tienen las diferentes alternativas una vez iniciado el proyecto de inversión.</w:t>
      </w:r>
    </w:p>
    <w:p w14:paraId="1653CE3A" w14:textId="77777777" w:rsidR="00CB0B02" w:rsidRDefault="003178AA" w:rsidP="00CB0B02">
      <w:pPr>
        <w:pStyle w:val="Nivel2SM"/>
        <w:keepNext/>
        <w:spacing w:after="0"/>
      </w:pPr>
      <w:r>
        <w:t>El poder introducir modificaciones en un proyecto de inversión tiene valor.</w:t>
      </w:r>
    </w:p>
    <w:p w14:paraId="3C4D0DA7" w14:textId="6AA6A6A4" w:rsidR="003178AA" w:rsidRDefault="003178AA" w:rsidP="00CB0B02">
      <w:pPr>
        <w:pStyle w:val="Nivel3SM"/>
      </w:pPr>
      <w:r>
        <w:t>No es igual de valioso un proyecto cuyo desembolso inicial no puede recuperarse bajo ningún concepto que un proyecto que permite su liquidación y recuperación de parte del desembolso inicial una vez que se conoce determinada información que apunta a una evolución desfavorable</w:t>
      </w:r>
      <w:r w:rsidR="00AD426F">
        <w:t xml:space="preserve"> (i.e. existe una </w:t>
      </w:r>
      <w:r w:rsidR="00AD426F">
        <w:rPr>
          <w:i/>
          <w:iCs/>
        </w:rPr>
        <w:t>opción real</w:t>
      </w:r>
      <w:r w:rsidR="00AD426F">
        <w:t>)</w:t>
      </w:r>
      <w:r>
        <w:t>.</w:t>
      </w:r>
    </w:p>
    <w:p w14:paraId="50EBC4B7" w14:textId="69214372" w:rsidR="00AD426F" w:rsidRDefault="00AD426F" w:rsidP="00CB0B02">
      <w:pPr>
        <w:pStyle w:val="Nivel2SM"/>
      </w:pPr>
      <w:r>
        <w:t xml:space="preserve">Las opciones reales se asemejan a las opciones financieras </w:t>
      </w:r>
      <w:r w:rsidRPr="00AD426F">
        <w:rPr>
          <w:color w:val="767171" w:themeColor="background2" w:themeShade="80"/>
          <w:sz w:val="19"/>
          <w:szCs w:val="19"/>
        </w:rPr>
        <w:t>[</w:t>
      </w:r>
      <w:r>
        <w:rPr>
          <w:color w:val="767171" w:themeColor="background2" w:themeShade="80"/>
          <w:sz w:val="19"/>
          <w:szCs w:val="19"/>
        </w:rPr>
        <w:t>ver tema 3.B.2</w:t>
      </w:r>
      <w:r w:rsidR="003245D3">
        <w:rPr>
          <w:color w:val="767171" w:themeColor="background2" w:themeShade="80"/>
          <w:sz w:val="19"/>
          <w:szCs w:val="19"/>
        </w:rPr>
        <w:t>5</w:t>
      </w:r>
      <w:r w:rsidRPr="00AD426F">
        <w:rPr>
          <w:color w:val="767171" w:themeColor="background2" w:themeShade="80"/>
          <w:sz w:val="19"/>
          <w:szCs w:val="19"/>
        </w:rPr>
        <w:t>]</w:t>
      </w:r>
      <w:r>
        <w:t>. En este caso, diríamos que el directivo tiene el derecho, pero no la obligación de introducir modificaciones en un proyecto de inversión, particularmente cuando nueva información se hace pública.</w:t>
      </w:r>
    </w:p>
    <w:p w14:paraId="103B0644" w14:textId="05B12EDA" w:rsidR="00493F2E" w:rsidRDefault="00131FE1" w:rsidP="00F81513">
      <w:pPr>
        <w:pStyle w:val="Nivel1SM"/>
        <w:keepNext/>
        <w:spacing w:after="0"/>
      </w:pPr>
      <w:r>
        <w:t xml:space="preserve">Hay que tener en cuenta los siguientes </w:t>
      </w:r>
      <w:r w:rsidRPr="00131FE1">
        <w:rPr>
          <w:b/>
          <w:bCs/>
        </w:rPr>
        <w:t>factores que determinan el valor de una opción real</w:t>
      </w:r>
      <w:r>
        <w:t xml:space="preserve"> (siguiendo la lógica empleada para la valoración de opciones financieras):</w:t>
      </w:r>
    </w:p>
    <w:p w14:paraId="144C689C" w14:textId="07E8C71D" w:rsidR="00131FE1" w:rsidRDefault="00131FE1" w:rsidP="00426FDC">
      <w:pPr>
        <w:pStyle w:val="Nivel2SM"/>
      </w:pPr>
      <w:r>
        <w:rPr>
          <w:i/>
          <w:iCs/>
        </w:rPr>
        <w:t>Tiempo hasta vencimiento</w:t>
      </w:r>
      <w:r w:rsidR="00CB0B02">
        <w:t xml:space="preserve"> (+)</w:t>
      </w:r>
      <w:r>
        <w:t>: Siguiendo la misma lógica que en el caso de una opción financiera, el valor de una opción real es positivo antes de vencimiento, y mayor cuanto más tiempo quede hasta vencimiento.</w:t>
      </w:r>
    </w:p>
    <w:p w14:paraId="7060302B" w14:textId="1287424A" w:rsidR="00131FE1" w:rsidRDefault="00131FE1" w:rsidP="00426FDC">
      <w:pPr>
        <w:pStyle w:val="Nivel2SM"/>
      </w:pPr>
      <w:r>
        <w:rPr>
          <w:i/>
          <w:iCs/>
        </w:rPr>
        <w:t>Grado de incertidumbre</w:t>
      </w:r>
      <w:r w:rsidR="00CB0B02">
        <w:t xml:space="preserve"> (+)</w:t>
      </w:r>
      <w:r>
        <w:t xml:space="preserve">: Cuanto mayor es la volatilidad </w:t>
      </w:r>
      <w:r w:rsidR="00F511EB">
        <w:t xml:space="preserve">del </w:t>
      </w:r>
      <w:r>
        <w:t>subyacente, mayor será el valor de una opción. En contraposición, cuando la desviación estándar de los flujos de caja del proyecto es baja, el valor de una opción real será despreciable.</w:t>
      </w:r>
    </w:p>
    <w:p w14:paraId="0EF3610A" w14:textId="2514F827" w:rsidR="00131FE1" w:rsidRPr="00896D32" w:rsidRDefault="00131FE1" w:rsidP="00426FDC">
      <w:pPr>
        <w:pStyle w:val="Nivel2SM"/>
        <w:rPr>
          <w:spacing w:val="-3"/>
        </w:rPr>
      </w:pPr>
      <w:r w:rsidRPr="00896D32">
        <w:rPr>
          <w:i/>
          <w:iCs/>
          <w:spacing w:val="-3"/>
        </w:rPr>
        <w:t>Costes de modificar el proyecto</w:t>
      </w:r>
      <w:r w:rsidR="00CB0B02" w:rsidRPr="00896D32">
        <w:rPr>
          <w:spacing w:val="-3"/>
        </w:rPr>
        <w:t xml:space="preserve"> (+)</w:t>
      </w:r>
      <w:r w:rsidRPr="00896D32">
        <w:rPr>
          <w:spacing w:val="-3"/>
        </w:rPr>
        <w:t xml:space="preserve">: Una vez se ha obtenido nueva información, </w:t>
      </w:r>
      <w:r w:rsidR="00AE1415" w:rsidRPr="00896D32">
        <w:rPr>
          <w:spacing w:val="-3"/>
        </w:rPr>
        <w:t>a mayores costes de</w:t>
      </w:r>
      <w:r w:rsidRPr="00896D32">
        <w:rPr>
          <w:spacing w:val="-3"/>
        </w:rPr>
        <w:t xml:space="preserve"> realizar los cambios deseados en el proyecto</w:t>
      </w:r>
      <w:r w:rsidR="00AE1415" w:rsidRPr="00896D32">
        <w:rPr>
          <w:spacing w:val="-3"/>
        </w:rPr>
        <w:t xml:space="preserve"> si no se disponía de la opción, mayor será el valor de la opción</w:t>
      </w:r>
      <w:r w:rsidRPr="00896D32">
        <w:rPr>
          <w:spacing w:val="-3"/>
        </w:rPr>
        <w:t xml:space="preserve">. </w:t>
      </w:r>
      <w:r w:rsidR="00AE1415" w:rsidRPr="00896D32">
        <w:rPr>
          <w:spacing w:val="-3"/>
        </w:rPr>
        <w:t>Por ejemplo</w:t>
      </w:r>
      <w:r w:rsidRPr="00896D32">
        <w:rPr>
          <w:spacing w:val="-3"/>
        </w:rPr>
        <w:t xml:space="preserve">, si </w:t>
      </w:r>
      <w:r w:rsidR="00AE1415" w:rsidRPr="00896D32">
        <w:rPr>
          <w:spacing w:val="-3"/>
        </w:rPr>
        <w:t xml:space="preserve">la inversión </w:t>
      </w:r>
      <w:r w:rsidRPr="00896D32">
        <w:rPr>
          <w:spacing w:val="-3"/>
        </w:rPr>
        <w:t>p</w:t>
      </w:r>
      <w:r w:rsidR="00AE1415" w:rsidRPr="00896D32">
        <w:rPr>
          <w:spacing w:val="-3"/>
        </w:rPr>
        <w:t>odía</w:t>
      </w:r>
      <w:r w:rsidRPr="00896D32">
        <w:rPr>
          <w:spacing w:val="-3"/>
        </w:rPr>
        <w:t xml:space="preserve"> ser cambiad</w:t>
      </w:r>
      <w:r w:rsidR="00AE1415" w:rsidRPr="00896D32">
        <w:rPr>
          <w:spacing w:val="-3"/>
        </w:rPr>
        <w:t>a</w:t>
      </w:r>
      <w:r w:rsidRPr="00896D32">
        <w:rPr>
          <w:spacing w:val="-3"/>
        </w:rPr>
        <w:t xml:space="preserve"> sin costes, la opción no tendría valor.</w:t>
      </w:r>
    </w:p>
    <w:p w14:paraId="6FC16981" w14:textId="63F837E7" w:rsidR="00754C20" w:rsidRDefault="00754C20" w:rsidP="00F81513">
      <w:pPr>
        <w:pStyle w:val="Nivel1SM"/>
        <w:keepNext/>
        <w:spacing w:after="0"/>
      </w:pPr>
      <w:r>
        <w:t xml:space="preserve">Así, la representación de las opciones reales se puede hacer mediante </w:t>
      </w:r>
      <w:r w:rsidR="00CE2557">
        <w:t>á</w:t>
      </w:r>
      <w:r>
        <w:t>rboles de decisión, con varias etapas, donde se van creando opciones reales en función de ciertos acontecimientos:</w:t>
      </w:r>
    </w:p>
    <w:p w14:paraId="1C5A79FC" w14:textId="6013E077" w:rsidR="00131FE1" w:rsidRDefault="00131FE1" w:rsidP="00754C20">
      <w:pPr>
        <w:jc w:val="center"/>
      </w:pPr>
      <w:r>
        <w:rPr>
          <w:noProof/>
        </w:rPr>
        <w:drawing>
          <wp:inline distT="0" distB="0" distL="0" distR="0" wp14:anchorId="321B5DD2" wp14:editId="1E8513AE">
            <wp:extent cx="2452254" cy="806016"/>
            <wp:effectExtent l="0" t="0" r="5715"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rotWithShape="1">
                    <a:blip r:embed="rId16">
                      <a:extLst>
                        <a:ext uri="{28A0092B-C50C-407E-A947-70E740481C1C}">
                          <a14:useLocalDpi xmlns:a14="http://schemas.microsoft.com/office/drawing/2010/main" val="0"/>
                        </a:ext>
                      </a:extLst>
                    </a:blip>
                    <a:srcRect t="23346" b="9471"/>
                    <a:stretch/>
                  </pic:blipFill>
                  <pic:spPr bwMode="auto">
                    <a:xfrm>
                      <a:off x="0" y="0"/>
                      <a:ext cx="2472041" cy="812520"/>
                    </a:xfrm>
                    <a:prstGeom prst="rect">
                      <a:avLst/>
                    </a:prstGeom>
                    <a:noFill/>
                    <a:ln>
                      <a:noFill/>
                    </a:ln>
                    <a:extLst>
                      <a:ext uri="{53640926-AAD7-44D8-BBD7-CCE9431645EC}">
                        <a14:shadowObscured xmlns:a14="http://schemas.microsoft.com/office/drawing/2010/main"/>
                      </a:ext>
                    </a:extLst>
                  </pic:spPr>
                </pic:pic>
              </a:graphicData>
            </a:graphic>
          </wp:inline>
        </w:drawing>
      </w:r>
    </w:p>
    <w:p w14:paraId="13AB93E0" w14:textId="77777777" w:rsidR="00823B92" w:rsidRDefault="00754C20" w:rsidP="00823B92">
      <w:pPr>
        <w:pStyle w:val="Nivel1SM"/>
        <w:keepNext/>
        <w:spacing w:after="0"/>
      </w:pPr>
      <w:r>
        <w:t>Este análisis</w:t>
      </w:r>
      <w:r w:rsidR="00823B92">
        <w:t>:</w:t>
      </w:r>
    </w:p>
    <w:p w14:paraId="745580E2" w14:textId="5FB54E38" w:rsidR="00823B92" w:rsidRDefault="00823B92" w:rsidP="00823B92">
      <w:pPr>
        <w:pStyle w:val="Nivel2SM"/>
      </w:pPr>
      <w:r>
        <w:t>Por un lado, e</w:t>
      </w:r>
      <w:r w:rsidR="00754C20">
        <w:t>s un análisis complementario al método del VAN para analizar la deseabilidad de una inversión y</w:t>
      </w:r>
      <w:r>
        <w:t xml:space="preserve"> pone de manifiesto </w:t>
      </w:r>
      <w:r w:rsidR="00754C20">
        <w:t xml:space="preserve">la importancia de </w:t>
      </w:r>
      <w:r>
        <w:t xml:space="preserve">la </w:t>
      </w:r>
      <w:r w:rsidR="00754C20">
        <w:t>incertidumbre</w:t>
      </w:r>
      <w:r>
        <w:t xml:space="preserve"> y la posibilidad de afectar en el resultado tomando decisiones una vez el proyecto de inversión está en marcha</w:t>
      </w:r>
      <w:r w:rsidR="00754C20">
        <w:t>.</w:t>
      </w:r>
    </w:p>
    <w:p w14:paraId="08B31058" w14:textId="72A2EF9F" w:rsidR="00754C20" w:rsidRPr="00303EC1" w:rsidRDefault="00754C20" w:rsidP="00823B92">
      <w:pPr>
        <w:pStyle w:val="Nivel2SM"/>
      </w:pPr>
      <w:r>
        <w:t xml:space="preserve">Sin embargo, </w:t>
      </w:r>
      <w:r w:rsidR="00823B92">
        <w:t>este método es complejo (</w:t>
      </w:r>
      <w:r>
        <w:t>calcular el valor de una opción real no es sencillo porque requiere estimar parámetros como la volatilidad, los costes de oportunidad…</w:t>
      </w:r>
      <w:r w:rsidR="00823B92">
        <w:t>).</w:t>
      </w:r>
    </w:p>
    <w:p w14:paraId="77A3188A" w14:textId="78BB6661" w:rsidR="00BC0780" w:rsidRDefault="00BC0780" w:rsidP="00BC0780">
      <w:pPr>
        <w:pStyle w:val="Ttulo2"/>
      </w:pPr>
      <w:bookmarkStart w:id="54" w:name="_Toc172232847"/>
      <w:r>
        <w:t>¿Qué se utiliza en la práctica?</w:t>
      </w:r>
      <w:bookmarkEnd w:id="54"/>
    </w:p>
    <w:p w14:paraId="226B3C22" w14:textId="35F8E269" w:rsidR="00BC0780" w:rsidRPr="0019408C" w:rsidRDefault="00BC0780" w:rsidP="00302561">
      <w:pPr>
        <w:pStyle w:val="Nivel1SM"/>
        <w:spacing w:before="0"/>
        <w:rPr>
          <w:spacing w:val="-3"/>
        </w:rPr>
      </w:pPr>
      <w:r w:rsidRPr="0019408C">
        <w:rPr>
          <w:spacing w:val="-3"/>
        </w:rPr>
        <w:t xml:space="preserve">En la práctica, la valoración de proyectos consiste en la estimación de una magnitud a partir de la información disponible sobre cada proyecto, de tal manera que sea posible su comparación inequívoca. Los métodos más utilizados son el </w:t>
      </w:r>
      <w:r w:rsidR="00B152E3" w:rsidRPr="0019408C">
        <w:rPr>
          <w:spacing w:val="-3"/>
        </w:rPr>
        <w:t>VAN</w:t>
      </w:r>
      <w:r w:rsidRPr="0019408C">
        <w:rPr>
          <w:spacing w:val="-3"/>
        </w:rPr>
        <w:t xml:space="preserve">, la </w:t>
      </w:r>
      <w:r w:rsidR="00B152E3" w:rsidRPr="0019408C">
        <w:rPr>
          <w:spacing w:val="-3"/>
        </w:rPr>
        <w:t>TIR</w:t>
      </w:r>
      <w:r w:rsidRPr="0019408C">
        <w:rPr>
          <w:spacing w:val="-3"/>
        </w:rPr>
        <w:t xml:space="preserve"> y el </w:t>
      </w:r>
      <w:proofErr w:type="spellStart"/>
      <w:r w:rsidRPr="0019408C">
        <w:rPr>
          <w:i/>
          <w:iCs/>
          <w:spacing w:val="-3"/>
        </w:rPr>
        <w:t>Payback</w:t>
      </w:r>
      <w:proofErr w:type="spellEnd"/>
      <w:r w:rsidRPr="0019408C">
        <w:rPr>
          <w:i/>
          <w:iCs/>
          <w:spacing w:val="-3"/>
        </w:rPr>
        <w:t xml:space="preserve"> </w:t>
      </w:r>
      <w:proofErr w:type="spellStart"/>
      <w:r w:rsidRPr="0019408C">
        <w:rPr>
          <w:i/>
          <w:iCs/>
          <w:spacing w:val="-3"/>
        </w:rPr>
        <w:t>period</w:t>
      </w:r>
      <w:proofErr w:type="spellEnd"/>
      <w:r w:rsidRPr="0019408C">
        <w:rPr>
          <w:spacing w:val="-3"/>
        </w:rPr>
        <w:t>, así como la simple intuición.</w:t>
      </w:r>
    </w:p>
    <w:p w14:paraId="55886257" w14:textId="581868D6" w:rsidR="00BC0780" w:rsidRDefault="00BC0780" w:rsidP="002B67FE">
      <w:pPr>
        <w:pStyle w:val="Nivel1SM"/>
      </w:pPr>
      <w:r w:rsidRPr="002E036A">
        <w:rPr>
          <w:smallCaps/>
        </w:rPr>
        <w:t>Graham</w:t>
      </w:r>
      <w:r>
        <w:t xml:space="preserve"> y </w:t>
      </w:r>
      <w:r w:rsidRPr="002E036A">
        <w:rPr>
          <w:smallCaps/>
        </w:rPr>
        <w:t>Harvey</w:t>
      </w:r>
      <w:r>
        <w:t xml:space="preserve"> (2001) analizan las diferencias en los métodos aplicados en función del tamaño de la empresa y la formación de los managers y encuentran que el método del VAN es el más habitual en managers con </w:t>
      </w:r>
      <w:proofErr w:type="spellStart"/>
      <w:r>
        <w:t>MBAs</w:t>
      </w:r>
      <w:proofErr w:type="spellEnd"/>
      <w:r>
        <w:t xml:space="preserve">, que los managers de mayor edad tienden a utilizar más el método del </w:t>
      </w:r>
      <w:proofErr w:type="spellStart"/>
      <w:r w:rsidRPr="002E036A">
        <w:rPr>
          <w:i/>
          <w:iCs/>
        </w:rPr>
        <w:t>payback</w:t>
      </w:r>
      <w:proofErr w:type="spellEnd"/>
      <w:r w:rsidRPr="002E036A">
        <w:rPr>
          <w:i/>
          <w:iCs/>
        </w:rPr>
        <w:t xml:space="preserve"> </w:t>
      </w:r>
      <w:proofErr w:type="spellStart"/>
      <w:r w:rsidRPr="002E036A">
        <w:rPr>
          <w:i/>
          <w:iCs/>
        </w:rPr>
        <w:t>period</w:t>
      </w:r>
      <w:proofErr w:type="spellEnd"/>
      <w:r>
        <w:t xml:space="preserve">, y que las </w:t>
      </w:r>
      <w:r w:rsidR="001B59C6">
        <w:t>pymes</w:t>
      </w:r>
      <w:r>
        <w:t xml:space="preserve"> utilizan sobre todo la intuición.</w:t>
      </w:r>
    </w:p>
    <w:p w14:paraId="310E5606" w14:textId="760D0324" w:rsidR="00BC0780" w:rsidRPr="00BC0780" w:rsidRDefault="00BC0780" w:rsidP="002B67FE">
      <w:pPr>
        <w:pStyle w:val="Nivel1SM"/>
      </w:pPr>
      <w:r>
        <w:lastRenderedPageBreak/>
        <w:t>Esto demuestra la relevancia de los conceptos que hemos desarrollado en esta sección</w:t>
      </w:r>
      <w:r w:rsidR="00244789">
        <w:rPr>
          <w:rStyle w:val="Refdenotaalpie"/>
        </w:rPr>
        <w:footnoteReference w:id="23"/>
      </w:r>
      <w:r>
        <w:t>.</w:t>
      </w:r>
    </w:p>
    <w:p w14:paraId="350359E7" w14:textId="553FAE83" w:rsidR="00FD05C8" w:rsidRPr="00980B9F" w:rsidRDefault="008919F7" w:rsidP="00C67A7E">
      <w:pPr>
        <w:pStyle w:val="Ttulo1"/>
      </w:pPr>
      <w:bookmarkStart w:id="55" w:name="_Toc55381922"/>
      <w:bookmarkStart w:id="56" w:name="_Toc55382057"/>
      <w:bookmarkStart w:id="57" w:name="_Toc55382092"/>
      <w:bookmarkStart w:id="58" w:name="_Toc55381923"/>
      <w:bookmarkStart w:id="59" w:name="_Toc55382058"/>
      <w:bookmarkStart w:id="60" w:name="_Toc55382093"/>
      <w:bookmarkStart w:id="61" w:name="_Toc55382521"/>
      <w:bookmarkStart w:id="62" w:name="_Toc55381924"/>
      <w:bookmarkStart w:id="63" w:name="_Toc55382059"/>
      <w:bookmarkStart w:id="64" w:name="_Toc55382094"/>
      <w:bookmarkStart w:id="65" w:name="_Toc55382522"/>
      <w:bookmarkStart w:id="66" w:name="_Hlk94956333"/>
      <w:bookmarkStart w:id="67" w:name="_Toc172232848"/>
      <w:bookmarkEnd w:id="55"/>
      <w:bookmarkEnd w:id="56"/>
      <w:bookmarkEnd w:id="57"/>
      <w:bookmarkEnd w:id="58"/>
      <w:bookmarkEnd w:id="59"/>
      <w:bookmarkEnd w:id="60"/>
      <w:bookmarkEnd w:id="61"/>
      <w:bookmarkEnd w:id="62"/>
      <w:bookmarkEnd w:id="63"/>
      <w:bookmarkEnd w:id="64"/>
      <w:bookmarkEnd w:id="65"/>
      <w:r>
        <w:rPr>
          <w:caps w:val="0"/>
        </w:rPr>
        <w:t>MÉTODOS DE VALORACIÓN DE OTROS PROYECTOS DE INVERSIÓN</w:t>
      </w:r>
      <w:r w:rsidR="00C67A7E">
        <w:t xml:space="preserve"> –</w:t>
      </w:r>
      <w:bookmarkEnd w:id="66"/>
      <w:r w:rsidR="00C67A7E">
        <w:br/>
      </w:r>
      <w:r w:rsidR="00C67A7E" w:rsidRPr="00C67A7E">
        <w:rPr>
          <w:i/>
          <w:iCs/>
        </w:rPr>
        <w:t>¿</w:t>
      </w:r>
      <w:r w:rsidR="00C67A7E">
        <w:rPr>
          <w:i/>
          <w:iCs/>
        </w:rPr>
        <w:t xml:space="preserve">EN </w:t>
      </w:r>
      <w:r w:rsidR="00C67A7E" w:rsidRPr="00C67A7E">
        <w:rPr>
          <w:i/>
          <w:iCs/>
        </w:rPr>
        <w:t xml:space="preserve">QUÉ </w:t>
      </w:r>
      <w:r w:rsidR="00C67A7E">
        <w:rPr>
          <w:i/>
          <w:iCs/>
        </w:rPr>
        <w:t>INVIERTEN LAS EMPRESAS</w:t>
      </w:r>
      <w:r w:rsidR="00C67A7E" w:rsidRPr="00C67A7E">
        <w:rPr>
          <w:i/>
          <w:iCs/>
        </w:rPr>
        <w:t>?</w:t>
      </w:r>
      <w:bookmarkEnd w:id="67"/>
    </w:p>
    <w:p w14:paraId="69A41FF3" w14:textId="2E628E1A" w:rsidR="00E76C3C" w:rsidRDefault="00E76C3C" w:rsidP="00302561">
      <w:pPr>
        <w:pStyle w:val="Nivel1SM"/>
        <w:spacing w:before="0"/>
      </w:pPr>
      <w:r>
        <w:t xml:space="preserve">La inversión puede ser </w:t>
      </w:r>
      <w:r w:rsidRPr="00FA4DF2">
        <w:t xml:space="preserve">entendida como </w:t>
      </w:r>
      <w:r>
        <w:t xml:space="preserve">un </w:t>
      </w:r>
      <w:r w:rsidRPr="00426FDC">
        <w:rPr>
          <w:i/>
          <w:iCs/>
        </w:rPr>
        <w:t>sacrificio de dinero u otros recursos en un momento temporal determinado para obtener una ganancia en el futuro</w:t>
      </w:r>
      <w:r>
        <w:t>.</w:t>
      </w:r>
    </w:p>
    <w:p w14:paraId="15F2482D" w14:textId="4348832B" w:rsidR="00AA3566" w:rsidRDefault="00AA3566" w:rsidP="00426FDC">
      <w:pPr>
        <w:pStyle w:val="Nivel1SM"/>
      </w:pPr>
      <w:r>
        <w:t xml:space="preserve">Como dijimos, </w:t>
      </w:r>
      <w:r>
        <w:rPr>
          <w:i/>
          <w:iCs/>
        </w:rPr>
        <w:t>sensu stricto</w:t>
      </w:r>
      <w:r>
        <w:t xml:space="preserve"> las decisiones de inversión son las que hemos estudiado en este segundo apartado. Sin embargo, desde un punto de vista amplio podemos considerar inversión como todas aque</w:t>
      </w:r>
      <w:r w:rsidR="00521AA4">
        <w:t>l</w:t>
      </w:r>
      <w:r>
        <w:t xml:space="preserve">las decisiones que afecten al balance del activo de la empresa. Esto nos obliga a tener en cuenta </w:t>
      </w:r>
    </w:p>
    <w:p w14:paraId="393B5BE6" w14:textId="41D08C93" w:rsidR="00E76C3C" w:rsidRDefault="00E76C3C" w:rsidP="00426FDC">
      <w:pPr>
        <w:pStyle w:val="Nivel1SM"/>
        <w:keepNext/>
        <w:spacing w:after="0"/>
      </w:pPr>
      <w:r>
        <w:t>En este sentido las empresas pueden invertir sus recursos en conceptos muy diferentes:</w:t>
      </w:r>
    </w:p>
    <w:p w14:paraId="7D22438F" w14:textId="77777777" w:rsidR="00887645" w:rsidRDefault="00817CE5">
      <w:pPr>
        <w:pStyle w:val="Prrafodelista"/>
        <w:numPr>
          <w:ilvl w:val="2"/>
          <w:numId w:val="22"/>
        </w:numPr>
        <w:spacing w:after="100"/>
        <w:ind w:left="568" w:hanging="284"/>
      </w:pPr>
      <w:r w:rsidRPr="00887645">
        <w:rPr>
          <w:i/>
          <w:iCs/>
          <w:u w:val="single"/>
        </w:rPr>
        <w:t>Inversión en activos reales</w:t>
      </w:r>
      <w:r>
        <w:t>:</w:t>
      </w:r>
    </w:p>
    <w:p w14:paraId="33434666" w14:textId="77777777" w:rsidR="00887645" w:rsidRDefault="00817CE5">
      <w:pPr>
        <w:pStyle w:val="Prrafodelista"/>
        <w:numPr>
          <w:ilvl w:val="2"/>
          <w:numId w:val="22"/>
        </w:numPr>
        <w:spacing w:after="100"/>
        <w:ind w:left="568" w:hanging="284"/>
      </w:pPr>
      <w:r w:rsidRPr="00887645">
        <w:rPr>
          <w:i/>
          <w:iCs/>
          <w:u w:val="single"/>
        </w:rPr>
        <w:t xml:space="preserve">Inversión en </w:t>
      </w:r>
      <w:r w:rsidR="00B152E3" w:rsidRPr="00887645">
        <w:rPr>
          <w:i/>
          <w:iCs/>
          <w:u w:val="single"/>
        </w:rPr>
        <w:t>activos financieros</w:t>
      </w:r>
      <w:r w:rsidR="00B152E3">
        <w:t>:</w:t>
      </w:r>
      <w:r w:rsidR="00843494">
        <w:t xml:space="preserve"> </w:t>
      </w:r>
    </w:p>
    <w:p w14:paraId="78ADAFAD" w14:textId="2543C0AC" w:rsidR="00817CE5" w:rsidRPr="00553477" w:rsidRDefault="00B152E3">
      <w:pPr>
        <w:pStyle w:val="Prrafodelista"/>
        <w:numPr>
          <w:ilvl w:val="2"/>
          <w:numId w:val="22"/>
        </w:numPr>
        <w:spacing w:after="100"/>
        <w:ind w:left="568" w:hanging="284"/>
      </w:pPr>
      <w:r w:rsidRPr="00887645">
        <w:rPr>
          <w:i/>
          <w:iCs/>
          <w:u w:val="single"/>
        </w:rPr>
        <w:t>Inversión en capital humano</w:t>
      </w:r>
      <w:r>
        <w:t>:</w:t>
      </w:r>
      <w:r w:rsidR="00843494">
        <w:t xml:space="preserve"> </w:t>
      </w:r>
    </w:p>
    <w:p w14:paraId="36ADC647" w14:textId="15855747" w:rsidR="002E0C48" w:rsidRDefault="00B22C86" w:rsidP="00FD05C8">
      <w:pPr>
        <w:pStyle w:val="Ttulo2"/>
      </w:pPr>
      <w:bookmarkStart w:id="68" w:name="_Toc172232849"/>
      <w:r>
        <w:t>I</w:t>
      </w:r>
      <w:r w:rsidR="00FD05C8">
        <w:t>nversiones en activos reales</w:t>
      </w:r>
      <w:bookmarkEnd w:id="68"/>
    </w:p>
    <w:p w14:paraId="2B259EB2" w14:textId="77777777" w:rsidR="00D41F2A" w:rsidRDefault="00D41F2A" w:rsidP="00302561">
      <w:pPr>
        <w:pStyle w:val="Ttulo3"/>
        <w:spacing w:before="0"/>
      </w:pPr>
      <w:bookmarkStart w:id="69" w:name="_Toc172232850"/>
      <w:r>
        <w:t>Clasificación de inversión en activos reales según el motivo de su realización</w:t>
      </w:r>
      <w:bookmarkEnd w:id="69"/>
    </w:p>
    <w:p w14:paraId="5D45D31A" w14:textId="77777777" w:rsidR="00D41F2A" w:rsidRDefault="00D41F2A" w:rsidP="00302561">
      <w:pPr>
        <w:pStyle w:val="Nivel1SM"/>
        <w:keepNext/>
        <w:spacing w:before="0" w:after="0"/>
      </w:pPr>
      <w:r>
        <w:t>Dentro de las inversiones en activos reales distinguimos:</w:t>
      </w:r>
    </w:p>
    <w:p w14:paraId="5AC06E60" w14:textId="77777777" w:rsidR="00D41F2A" w:rsidRPr="00980B9F" w:rsidRDefault="00D41F2A">
      <w:pPr>
        <w:pStyle w:val="Prrafodelista"/>
        <w:numPr>
          <w:ilvl w:val="0"/>
          <w:numId w:val="16"/>
        </w:numPr>
        <w:spacing w:after="100"/>
        <w:ind w:left="568" w:hanging="284"/>
        <w:rPr>
          <w:spacing w:val="-4"/>
        </w:rPr>
      </w:pPr>
      <w:r w:rsidRPr="00980B9F">
        <w:rPr>
          <w:i/>
          <w:iCs/>
          <w:spacing w:val="-4"/>
          <w:u w:val="single"/>
        </w:rPr>
        <w:t>Inversiones de renovación</w:t>
      </w:r>
      <w:r w:rsidRPr="00980B9F">
        <w:rPr>
          <w:spacing w:val="-4"/>
        </w:rPr>
        <w:t>: Son las destinadas a sustituir el equipo utilizado que ha quedado obsoleto.</w:t>
      </w:r>
    </w:p>
    <w:p w14:paraId="2357423A" w14:textId="77777777" w:rsidR="00D41F2A" w:rsidRDefault="00D41F2A">
      <w:pPr>
        <w:pStyle w:val="Prrafodelista"/>
        <w:numPr>
          <w:ilvl w:val="0"/>
          <w:numId w:val="16"/>
        </w:numPr>
        <w:spacing w:after="100"/>
        <w:ind w:left="568" w:hanging="284"/>
      </w:pPr>
      <w:r>
        <w:rPr>
          <w:i/>
          <w:iCs/>
          <w:u w:val="single"/>
        </w:rPr>
        <w:t>Inversiones de expansión</w:t>
      </w:r>
      <w:r w:rsidRPr="00B44034">
        <w:t>:</w:t>
      </w:r>
      <w:r>
        <w:t xml:space="preserve"> Creación de nuevos productos para atender a una mayor demanda.</w:t>
      </w:r>
    </w:p>
    <w:p w14:paraId="65946D61" w14:textId="77777777" w:rsidR="00D41F2A" w:rsidRPr="00980B9F" w:rsidRDefault="00D41F2A">
      <w:pPr>
        <w:pStyle w:val="Prrafodelista"/>
        <w:numPr>
          <w:ilvl w:val="0"/>
          <w:numId w:val="16"/>
        </w:numPr>
        <w:spacing w:after="100"/>
        <w:ind w:left="568" w:hanging="284"/>
        <w:rPr>
          <w:spacing w:val="-3"/>
        </w:rPr>
      </w:pPr>
      <w:r w:rsidRPr="00980B9F">
        <w:rPr>
          <w:i/>
          <w:iCs/>
          <w:spacing w:val="-3"/>
          <w:u w:val="single"/>
        </w:rPr>
        <w:t>Inversiones de innovación/modernización</w:t>
      </w:r>
      <w:r w:rsidRPr="00980B9F">
        <w:rPr>
          <w:spacing w:val="-3"/>
        </w:rPr>
        <w:t>: Mejora y fabricación de nuevos productos de más calidad.</w:t>
      </w:r>
    </w:p>
    <w:p w14:paraId="0A3518EE" w14:textId="77777777" w:rsidR="00D41F2A" w:rsidRPr="00B44034" w:rsidRDefault="00D41F2A">
      <w:pPr>
        <w:pStyle w:val="Prrafodelista"/>
        <w:numPr>
          <w:ilvl w:val="0"/>
          <w:numId w:val="16"/>
        </w:numPr>
        <w:spacing w:after="100"/>
        <w:ind w:left="568" w:hanging="284"/>
      </w:pPr>
      <w:r>
        <w:rPr>
          <w:i/>
          <w:iCs/>
          <w:u w:val="single"/>
        </w:rPr>
        <w:t>Inversiones estratégicas</w:t>
      </w:r>
      <w:r w:rsidRPr="00B44034">
        <w:t>:</w:t>
      </w:r>
      <w:r>
        <w:t xml:space="preserve"> Inversiones a largo plazo que tratan de reafirmar la posición de la empresa en el mercado, reduciendo los riesgos que para la misma se derivan del progreso técnico y de la competencia. Las inversiones en investigación y desarrollo (I+D) responden generalmente a fines estratégicos.</w:t>
      </w:r>
    </w:p>
    <w:p w14:paraId="3771FDE2" w14:textId="77777777" w:rsidR="00D41F2A" w:rsidRPr="00D41F2A" w:rsidRDefault="00D41F2A" w:rsidP="00D41F2A"/>
    <w:p w14:paraId="14298701" w14:textId="73024294" w:rsidR="00B152E3" w:rsidRDefault="0052146E" w:rsidP="002E4C88">
      <w:pPr>
        <w:pStyle w:val="Notaalopositor"/>
      </w:pPr>
      <w:r w:rsidRPr="0052146E">
        <w:rPr>
          <w:smallCaps/>
        </w:rPr>
        <w:t xml:space="preserve">Suárez </w:t>
      </w:r>
      <w:proofErr w:type="spellStart"/>
      <w:r w:rsidRPr="0052146E">
        <w:rPr>
          <w:smallCaps/>
        </w:rPr>
        <w:t>Suárez</w:t>
      </w:r>
      <w:proofErr w:type="spellEnd"/>
      <w:r>
        <w:t xml:space="preserve"> (cap. 18 y 19)</w:t>
      </w:r>
    </w:p>
    <w:p w14:paraId="38C11A08" w14:textId="700CC221" w:rsidR="00B152E3" w:rsidRDefault="00B152E3" w:rsidP="00426FDC">
      <w:pPr>
        <w:pStyle w:val="Nivel1SM"/>
      </w:pPr>
      <w:r>
        <w:t>La riqueza material de la sociedad está determinada en última instancia por la capacidad productiva de su economía, esto es, los bienes y servicios que pueden crear sus miembros. Esta capacidad es una función de los activos reales de la economía: tierra, edificios, máquinas y conocimiento que puede ser utilizado para producir bienes y servicios.</w:t>
      </w:r>
    </w:p>
    <w:p w14:paraId="033A35CC" w14:textId="63AF3F9E" w:rsidR="00B22C86" w:rsidRDefault="00B22C86" w:rsidP="00FD05C8">
      <w:pPr>
        <w:pStyle w:val="Ttulo3"/>
      </w:pPr>
      <w:bookmarkStart w:id="70" w:name="_Toc172232851"/>
      <w:r>
        <w:lastRenderedPageBreak/>
        <w:t>Inversión en activo no corriente</w:t>
      </w:r>
      <w:bookmarkEnd w:id="70"/>
    </w:p>
    <w:p w14:paraId="0F9F3CDD" w14:textId="77777777" w:rsidR="00D41F2A" w:rsidRDefault="00D41F2A" w:rsidP="00302561">
      <w:pPr>
        <w:pStyle w:val="Nivel1SM"/>
        <w:keepNext/>
        <w:spacing w:before="0" w:after="0"/>
      </w:pPr>
      <w:r>
        <w:t xml:space="preserve">Con el criterio del VAN podríamos </w:t>
      </w:r>
      <w:r w:rsidRPr="004F2A81">
        <w:rPr>
          <w:b/>
          <w:bCs/>
        </w:rPr>
        <w:t>estimar la vida económica de un activo</w:t>
      </w:r>
      <w:r>
        <w:t>, que como decíamos es aquella que maximiza el VAN de la inversión. Para determinar la vida económica es necesario distinguir entre dos situaciones:</w:t>
      </w:r>
    </w:p>
    <w:p w14:paraId="052F0AA7" w14:textId="54CE07D2" w:rsidR="00B22C86" w:rsidRDefault="00B22C86" w:rsidP="00FD05C8">
      <w:pPr>
        <w:pStyle w:val="Ttulo6"/>
      </w:pPr>
      <w:bookmarkStart w:id="71" w:name="_Toc172232852"/>
      <w:r>
        <w:t>Modelo simple de retiro</w:t>
      </w:r>
      <w:r w:rsidR="00D41F2A">
        <w:t xml:space="preserve"> (no se inventan activos técnicamente más eficientes)</w:t>
      </w:r>
      <w:bookmarkEnd w:id="71"/>
    </w:p>
    <w:p w14:paraId="049D8226" w14:textId="07DC295E" w:rsidR="00D41F2A" w:rsidRDefault="00D41F2A" w:rsidP="00302561">
      <w:pPr>
        <w:pStyle w:val="Nivel1SM"/>
        <w:keepNext/>
        <w:spacing w:before="0" w:after="0"/>
      </w:pPr>
      <w:r w:rsidRPr="00D41F2A">
        <w:t>Si</w:t>
      </w:r>
      <w:r>
        <w:t xml:space="preserve"> suponemos que</w:t>
      </w:r>
      <w:r w:rsidRPr="00D41F2A">
        <w:t xml:space="preserve"> </w:t>
      </w:r>
      <w:r>
        <w:rPr>
          <w:i/>
          <w:iCs/>
          <w:u w:val="single"/>
        </w:rPr>
        <w:t>n</w:t>
      </w:r>
      <w:r w:rsidRPr="004F2A81">
        <w:rPr>
          <w:i/>
          <w:iCs/>
          <w:u w:val="single"/>
        </w:rPr>
        <w:t>o se inventan activos técnicamente más eficientes</w:t>
      </w:r>
      <w:r>
        <w:t xml:space="preserve">, la determinación de la vida económica se lleva a cabo a través de la </w:t>
      </w:r>
      <w:r w:rsidRPr="00116265">
        <w:rPr>
          <w:b/>
          <w:bCs/>
        </w:rPr>
        <w:t>maximización del VAN</w:t>
      </w:r>
      <w:r>
        <w:t>:</w:t>
      </w:r>
    </w:p>
    <w:p w14:paraId="29969398" w14:textId="77777777" w:rsidR="00D41F2A" w:rsidRPr="001313EC" w:rsidRDefault="00000000" w:rsidP="00302561">
      <w:pPr>
        <w:pStyle w:val="Prrafodelista"/>
        <w:keepNext/>
        <w:spacing w:after="0"/>
        <w:ind w:left="568" w:hanging="284"/>
        <w:rPr>
          <w:lang w:val="fr-FR"/>
        </w:rPr>
      </w:pPr>
      <m:oMathPara>
        <m:oMath>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rPr>
                      </m:ctrlPr>
                    </m:dPr>
                    <m:e>
                      <m:r>
                        <m:rPr>
                          <m:nor/>
                        </m:rPr>
                        <w:rPr>
                          <w:i/>
                          <w:iCs/>
                          <w:color w:val="3366FF"/>
                          <w:lang w:val="fr-FR"/>
                        </w:rPr>
                        <m:t>n</m:t>
                      </m:r>
                    </m:e>
                  </m:d>
                </m:lim>
              </m:limLow>
            </m:fName>
            <m:e>
              <m:r>
                <w:rPr>
                  <w:rFonts w:ascii="Cambria Math" w:eastAsiaTheme="minorEastAsia" w:hAnsi="Cambria Math"/>
                  <w:lang w:val="fr-FR"/>
                </w:rPr>
                <m:t xml:space="preserve"> </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VAN</m:t>
              </m:r>
              <m:r>
                <w:rPr>
                  <w:rFonts w:ascii="Cambria Math" w:hAnsi="Cambria Math"/>
                  <w:lang w:val="fr-FR"/>
                </w:rPr>
                <m:t>=-</m:t>
              </m:r>
              <m:r>
                <m:rPr>
                  <m:nor/>
                </m:rPr>
                <w:rPr>
                  <w:i/>
                  <w:iCs/>
                  <w:color w:val="C00000"/>
                  <w:lang w:val="fr-FR"/>
                </w:rPr>
                <m:t>A</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color w:val="3366FF"/>
                      <w:lang w:val="fr-FR"/>
                    </w:rPr>
                    <m:t>n</m:t>
                  </m:r>
                </m:sup>
                <m:e>
                  <m:f>
                    <m:fPr>
                      <m:ctrlPr>
                        <w:rPr>
                          <w:rFonts w:ascii="Cambria Math" w:hAnsi="Cambria Math"/>
                          <w:i/>
                          <w:iCs/>
                        </w:rPr>
                      </m:ctrlPr>
                    </m:fPr>
                    <m:num>
                      <m:sSub>
                        <m:sSubPr>
                          <m:ctrlPr>
                            <w:rPr>
                              <w:rFonts w:ascii="Cambria Math" w:hAnsi="Cambria Math"/>
                              <w:i/>
                              <w:iCs/>
                              <w:color w:val="CC00CC"/>
                            </w:rPr>
                          </m:ctrlPr>
                        </m:sSubPr>
                        <m:e>
                          <m:r>
                            <m:rPr>
                              <m:nor/>
                            </m:rPr>
                            <w:rPr>
                              <w:i/>
                              <w:iCs/>
                              <w:color w:val="CC00CC"/>
                              <w:lang w:val="fr-FR"/>
                            </w:rPr>
                            <m:t>Q</m:t>
                          </m:r>
                        </m:e>
                        <m:sub>
                          <m:r>
                            <m:rPr>
                              <m:nor/>
                            </m:rPr>
                            <w:rPr>
                              <w:i/>
                              <w:iCs/>
                              <w:color w:val="CC00CC"/>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color w:val="92D050"/>
                                  <w:lang w:val="fr-FR"/>
                                </w:rPr>
                                <m:t>WACC</m:t>
                              </m:r>
                            </m:e>
                          </m:d>
                        </m:e>
                        <m:sup>
                          <m:r>
                            <m:rPr>
                              <m:nor/>
                            </m:rPr>
                            <w:rPr>
                              <w:i/>
                              <w:iCs/>
                              <w:lang w:val="fr-FR"/>
                            </w:rPr>
                            <m:t>t</m:t>
                          </m:r>
                        </m:sup>
                      </m:sSup>
                    </m:den>
                  </m:f>
                </m:e>
              </m:nary>
              <m:r>
                <w:rPr>
                  <w:rFonts w:ascii="Cambria Math" w:hAnsi="Cambria Math"/>
                  <w:lang w:val="fr-FR"/>
                </w:rPr>
                <m:t>+</m:t>
              </m:r>
              <m:f>
                <m:fPr>
                  <m:ctrlPr>
                    <w:rPr>
                      <w:rFonts w:ascii="Cambria Math" w:hAnsi="Cambria Math"/>
                      <w:i/>
                      <w:iCs/>
                    </w:rPr>
                  </m:ctrlPr>
                </m:fPr>
                <m:num>
                  <m:r>
                    <m:rPr>
                      <m:nor/>
                    </m:rPr>
                    <w:rPr>
                      <w:i/>
                      <w:iCs/>
                      <w:color w:val="FF9900"/>
                      <w:lang w:val="fr-FR"/>
                    </w:rPr>
                    <m:t>VR</m:t>
                  </m:r>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color w:val="92D050"/>
                              <w:lang w:val="fr-FR"/>
                            </w:rPr>
                            <m:t>WACC</m:t>
                          </m:r>
                        </m:e>
                      </m:d>
                    </m:e>
                    <m:sup>
                      <m:r>
                        <m:rPr>
                          <m:nor/>
                        </m:rPr>
                        <w:rPr>
                          <w:i/>
                          <w:iCs/>
                          <w:color w:val="3366FF"/>
                          <w:lang w:val="fr-FR"/>
                        </w:rPr>
                        <m:t>n</m:t>
                      </m:r>
                    </m:sup>
                  </m:sSup>
                </m:den>
              </m:f>
            </m:e>
          </m:func>
          <m:r>
            <w:rPr>
              <w:rFonts w:ascii="Cambria Math" w:hAnsi="Cambria Math"/>
            </w:rPr>
            <m:t>⟹</m:t>
          </m:r>
          <m:r>
            <m:rPr>
              <m:nor/>
            </m:rPr>
            <w:rPr>
              <w:i/>
              <w:iCs/>
              <w:lang w:val="fr-FR"/>
            </w:rPr>
            <m:t>CPO:</m:t>
          </m:r>
          <m:f>
            <m:fPr>
              <m:ctrlPr>
                <w:rPr>
                  <w:rFonts w:ascii="Cambria Math" w:hAnsi="Cambria Math"/>
                  <w:i/>
                  <w:iCs/>
                </w:rPr>
              </m:ctrlPr>
            </m:fPr>
            <m:num>
              <m:r>
                <w:rPr>
                  <w:rFonts w:ascii="Cambria Math" w:hAnsi="Cambria Math"/>
                </w:rPr>
                <m:t>∂</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VAN</m:t>
              </m:r>
            </m:num>
            <m:den>
              <m:r>
                <w:rPr>
                  <w:rFonts w:ascii="Cambria Math" w:hAnsi="Cambria Math"/>
                </w:rPr>
                <m:t>∂</m:t>
              </m:r>
              <m:r>
                <m:rPr>
                  <m:nor/>
                </m:rPr>
                <w:rPr>
                  <w:i/>
                  <w:iCs/>
                  <w:color w:val="3366FF"/>
                  <w:lang w:val="fr-FR"/>
                </w:rPr>
                <m:t>n</m:t>
              </m:r>
            </m:den>
          </m:f>
          <m:r>
            <w:rPr>
              <w:rFonts w:ascii="Cambria Math" w:eastAsiaTheme="minorEastAsia" w:hAnsi="Cambria Math"/>
              <w:lang w:val="fr-FR"/>
            </w:rPr>
            <m:t>=</m:t>
          </m:r>
          <m:r>
            <m:rPr>
              <m:nor/>
            </m:rPr>
            <w:rPr>
              <w:i/>
              <w:iCs/>
              <w:lang w:val="fr-FR"/>
            </w:rPr>
            <m:t>0</m:t>
          </m:r>
        </m:oMath>
      </m:oMathPara>
    </w:p>
    <w:p w14:paraId="59A7A4DB" w14:textId="3D2EF20A" w:rsidR="008354A7" w:rsidRDefault="00D41F2A" w:rsidP="00D41F2A">
      <w:pPr>
        <w:pStyle w:val="Nivel2SM"/>
      </w:pPr>
      <w:r>
        <w:t>Es decir, en</w:t>
      </w:r>
      <w:r w:rsidR="008354A7">
        <w:t xml:space="preserve"> contextos en los que el remplazo del activo fijo tiene idénticas características y no hay obsolescencia técnica, el problema para el </w:t>
      </w:r>
      <w:r w:rsidR="008354A7" w:rsidRPr="00535BDC">
        <w:rPr>
          <w:i/>
          <w:iCs/>
        </w:rPr>
        <w:t>manager</w:t>
      </w:r>
      <w:r w:rsidR="008354A7">
        <w:t xml:space="preserve"> es básicamente una maximización del VAN respecto del periodo hasta el remplazo.</w:t>
      </w:r>
    </w:p>
    <w:p w14:paraId="0BB88545" w14:textId="221361D4" w:rsidR="00B22C86" w:rsidRDefault="00B22C86" w:rsidP="00FD05C8">
      <w:pPr>
        <w:pStyle w:val="Ttulo6"/>
      </w:pPr>
      <w:bookmarkStart w:id="72" w:name="_Toc172232853"/>
      <w:r>
        <w:t>Retiro con idénticos reemplazamientos</w:t>
      </w:r>
      <w:bookmarkEnd w:id="72"/>
    </w:p>
    <w:p w14:paraId="0C0B1047" w14:textId="34B2B851" w:rsidR="009A36DD" w:rsidRDefault="005B6E8D" w:rsidP="00B06C49">
      <w:pPr>
        <w:pStyle w:val="Nivel1SM"/>
        <w:keepNext/>
        <w:spacing w:before="0" w:after="0"/>
      </w:pPr>
      <w:r>
        <w:t>El caso que acabamos de estudiar es sin duda muy hipotético, porque la empresa no se liquida generalmente cuando el equipo se retira, sino que se compra en el mercado otro equipo nuevo para reemplazar al equipo viejo, y así sucesivamente durante toda la vida de la empresa. Como estamos suponiendo que todos los sucesivos equipos son técnicamente idénticos, al especificar una duración </w:t>
      </w:r>
      <m:oMath>
        <m:sSub>
          <m:sSubPr>
            <m:ctrlPr>
              <w:rPr>
                <w:rFonts w:ascii="Cambria Math" w:hAnsi="Cambria Math"/>
                <w:i/>
                <w:iCs/>
              </w:rPr>
            </m:ctrlPr>
          </m:sSubPr>
          <m:e>
            <m:r>
              <m:rPr>
                <m:nor/>
              </m:rPr>
              <w:rPr>
                <w:i/>
                <w:iCs/>
              </w:rPr>
              <m:t>n</m:t>
            </m:r>
          </m:e>
          <m:sub>
            <m:r>
              <m:rPr>
                <m:nor/>
              </m:rPr>
              <w:rPr>
                <w:i/>
                <w:iCs/>
              </w:rPr>
              <m:t>i</m:t>
            </m:r>
          </m:sub>
        </m:sSub>
      </m:oMath>
      <w:r>
        <w:t xml:space="preserve">, obtenemos la siguiente sucesión de </w:t>
      </w:r>
      <w:r w:rsidR="00B06C49">
        <w:t>v</w:t>
      </w:r>
      <w:r>
        <w:t xml:space="preserve">alores </w:t>
      </w:r>
      <m:oMath>
        <m:sSub>
          <m:sSubPr>
            <m:ctrlPr>
              <w:rPr>
                <w:rFonts w:ascii="Cambria Math" w:hAnsi="Cambria Math"/>
                <w:i/>
                <w:iCs/>
              </w:rPr>
            </m:ctrlPr>
          </m:sSubPr>
          <m:e>
            <m:r>
              <m:rPr>
                <m:nor/>
              </m:rPr>
              <w:rPr>
                <w:i/>
                <w:iCs/>
              </w:rPr>
              <m:t>VC</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sidRPr="005B6E8D">
        <w:t>:</w:t>
      </w:r>
    </w:p>
    <w:p w14:paraId="39828159" w14:textId="2D2D7240" w:rsidR="005B6E8D" w:rsidRDefault="005B6E8D" w:rsidP="00B06C49">
      <w:pPr>
        <w:pStyle w:val="Nivel1SM"/>
        <w:numPr>
          <w:ilvl w:val="0"/>
          <w:numId w:val="0"/>
        </w:numPr>
        <w:spacing w:before="0"/>
        <w:jc w:val="center"/>
      </w:pPr>
      <w:r>
        <w:rPr>
          <w:noProof/>
        </w:rPr>
        <w:drawing>
          <wp:inline distT="0" distB="0" distL="0" distR="0" wp14:anchorId="4384DBFD" wp14:editId="7E9C86BE">
            <wp:extent cx="3059166" cy="579120"/>
            <wp:effectExtent l="0" t="0" r="8255" b="0"/>
            <wp:docPr id="86576112" name="Imagen 8657611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43041" name="Imagen 3" descr="Texto, Carta&#10;&#10;Descripción generada automáticamente"/>
                    <pic:cNvPicPr/>
                  </pic:nvPicPr>
                  <pic:blipFill rotWithShape="1">
                    <a:blip r:embed="rId19">
                      <a:extLst>
                        <a:ext uri="{BEBA8EAE-BF5A-486C-A8C5-ECC9F3942E4B}">
                          <a14:imgProps xmlns:a14="http://schemas.microsoft.com/office/drawing/2010/main">
                            <a14:imgLayer r:embed="rId20">
                              <a14:imgEffect>
                                <a14:brightnessContrast bright="20000" contrast="20000"/>
                              </a14:imgEffect>
                            </a14:imgLayer>
                          </a14:imgProps>
                        </a:ext>
                      </a:extLst>
                    </a:blip>
                    <a:srcRect l="12575" t="37041" r="21312" b="53573"/>
                    <a:stretch/>
                  </pic:blipFill>
                  <pic:spPr bwMode="auto">
                    <a:xfrm>
                      <a:off x="0" y="0"/>
                      <a:ext cx="3060000" cy="579278"/>
                    </a:xfrm>
                    <a:prstGeom prst="rect">
                      <a:avLst/>
                    </a:prstGeom>
                    <a:ln>
                      <a:noFill/>
                    </a:ln>
                    <a:extLst>
                      <a:ext uri="{53640926-AAD7-44D8-BBD7-CCE9431645EC}">
                        <a14:shadowObscured xmlns:a14="http://schemas.microsoft.com/office/drawing/2010/main"/>
                      </a:ext>
                    </a:extLst>
                  </pic:spPr>
                </pic:pic>
              </a:graphicData>
            </a:graphic>
          </wp:inline>
        </w:drawing>
      </w:r>
    </w:p>
    <w:p w14:paraId="215C56A2" w14:textId="5F3E6A35" w:rsidR="005B6E8D" w:rsidRPr="00B06C49" w:rsidRDefault="00B06C49" w:rsidP="00B06C49">
      <w:pPr>
        <w:pStyle w:val="Nivel1SM"/>
        <w:keepNext/>
        <w:spacing w:after="0"/>
      </w:pPr>
      <w:r>
        <w:t xml:space="preserve">El valor actualizado de la sucesión de valores </w:t>
      </w:r>
      <m:oMath>
        <m:sSub>
          <m:sSubPr>
            <m:ctrlPr>
              <w:rPr>
                <w:rFonts w:ascii="Cambria Math" w:hAnsi="Cambria Math"/>
                <w:i/>
                <w:iCs/>
              </w:rPr>
            </m:ctrlPr>
          </m:sSubPr>
          <m:e>
            <m:r>
              <m:rPr>
                <m:nor/>
              </m:rPr>
              <w:rPr>
                <w:i/>
                <w:iCs/>
              </w:rPr>
              <m:t>VC</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o valor capital de la cadena de renovaciones, vendrá dado por:</w:t>
      </w:r>
    </w:p>
    <w:p w14:paraId="18235E1F" w14:textId="33FBF936" w:rsidR="00B06C49" w:rsidRPr="00C051C7" w:rsidRDefault="00000000" w:rsidP="00B06C49">
      <w:pPr>
        <w:pStyle w:val="Nivel1SM"/>
        <w:numPr>
          <w:ilvl w:val="0"/>
          <w:numId w:val="0"/>
        </w:numPr>
        <w:spacing w:before="0"/>
        <w:rPr>
          <w:rFonts w:eastAsiaTheme="minorEastAsia"/>
          <w:iCs/>
          <w:lang w:val="en-US"/>
        </w:rPr>
      </w:pPr>
      <m:oMathPara>
        <m:oMath>
          <m:sSub>
            <m:sSubPr>
              <m:ctrlPr>
                <w:rPr>
                  <w:rFonts w:ascii="Cambria Math" w:hAnsi="Cambria Math"/>
                  <w:i/>
                  <w:iCs/>
                </w:rPr>
              </m:ctrlPr>
            </m:sSubPr>
            <m:e>
              <m:r>
                <m:rPr>
                  <m:nor/>
                </m:rPr>
                <w:rPr>
                  <w:i/>
                  <w:iCs/>
                  <w:lang w:val="en-US"/>
                </w:rPr>
                <m:t>S</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eastAsiaTheme="minorEastAsia" w:hAnsi="Cambria Math"/>
              <w:lang w:val="en-US"/>
            </w:rPr>
            <m:t>=</m:t>
          </m:r>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r>
                    <m:rPr>
                      <m:nor/>
                    </m:rPr>
                    <w:rPr>
                      <w:i/>
                      <w:iCs/>
                      <w:lang w:val="en-US"/>
                    </w:rPr>
                    <m:t>2</m:t>
                  </m:r>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r>
                    <m:rPr>
                      <m:nor/>
                    </m:rPr>
                    <w:rPr>
                      <w:i/>
                      <w:iCs/>
                      <w:lang w:val="en-US"/>
                    </w:rPr>
                    <m:t>3</m:t>
                  </m:r>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eastAsiaTheme="minorEastAsia" w:hAnsi="Cambria Math"/>
              <w:lang w:val="en-US"/>
            </w:rPr>
            <m:t>+</m:t>
          </m:r>
          <m:r>
            <w:rPr>
              <w:rFonts w:ascii="Cambria Math" w:hAnsi="Cambria Math"/>
              <w:lang w:val="en-US"/>
            </w:rPr>
            <m:t>⋯</m:t>
          </m:r>
          <m:r>
            <m:rPr>
              <m:sty m:val="p"/>
            </m:rPr>
            <w:rPr>
              <w:rFonts w:ascii="Cambria Math" w:hAnsi="Cambria Math"/>
              <w:lang w:val="en-US"/>
            </w:rPr>
            <w:br/>
          </m:r>
        </m:oMath>
        <m:oMath>
          <m:sSub>
            <m:sSubPr>
              <m:ctrlPr>
                <w:rPr>
                  <w:rFonts w:ascii="Cambria Math" w:hAnsi="Cambria Math"/>
                  <w:i/>
                  <w:iCs/>
                </w:rPr>
              </m:ctrlPr>
            </m:sSubPr>
            <m:e>
              <m:r>
                <m:rPr>
                  <m:nor/>
                </m:rPr>
                <w:rPr>
                  <w:i/>
                  <w:iCs/>
                  <w:lang w:val="en-US"/>
                </w:rPr>
                <m:t>S</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eastAsiaTheme="minorEastAsia" w:hAnsi="Cambria Math"/>
              <w:lang w:val="en-US"/>
            </w:rPr>
            <m:t>=</m:t>
          </m:r>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hAnsi="Cambria Math"/>
              <w:lang w:val="en-US"/>
            </w:rPr>
            <m:t>∙</m:t>
          </m:r>
          <m:d>
            <m:dPr>
              <m:begChr m:val="["/>
              <m:endChr m:val="]"/>
              <m:ctrlPr>
                <w:rPr>
                  <w:rFonts w:ascii="Cambria Math" w:hAnsi="Cambria Math"/>
                  <w:i/>
                  <w:iCs/>
                  <w:lang w:val="en-US"/>
                </w:rPr>
              </m:ctrlPr>
            </m:dPr>
            <m:e>
              <m:r>
                <m:rPr>
                  <m:nor/>
                </m:rPr>
                <w:rPr>
                  <w:i/>
                  <w:iCs/>
                  <w:lang w:val="en-US"/>
                </w:rPr>
                <m:t>1</m:t>
              </m:r>
              <m:r>
                <w:rPr>
                  <w:rFonts w:ascii="Cambria Math" w:hAnsi="Cambria Math"/>
                  <w:lang w:val="en-US"/>
                </w:rPr>
                <m:t>+</m:t>
              </m:r>
              <m:f>
                <m:fPr>
                  <m:ctrlPr>
                    <w:rPr>
                      <w:rFonts w:ascii="Cambria Math" w:hAnsi="Cambria Math"/>
                      <w:i/>
                      <w:iCs/>
                    </w:rPr>
                  </m:ctrlPr>
                </m:fPr>
                <m:num>
                  <m:r>
                    <m:rPr>
                      <m:nor/>
                    </m:rPr>
                    <w:rPr>
                      <w:i/>
                      <w:iCs/>
                      <w:lang w:val="en-US"/>
                    </w:rPr>
                    <m:t>1</m:t>
                  </m:r>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hAnsi="Cambria Math"/>
                  <w:lang w:val="en-US"/>
                </w:rPr>
                <m:t>+</m:t>
              </m:r>
              <m:f>
                <m:fPr>
                  <m:ctrlPr>
                    <w:rPr>
                      <w:rFonts w:ascii="Cambria Math" w:hAnsi="Cambria Math"/>
                      <w:i/>
                      <w:iCs/>
                    </w:rPr>
                  </m:ctrlPr>
                </m:fPr>
                <m:num>
                  <m:r>
                    <m:rPr>
                      <m:nor/>
                    </m:rPr>
                    <w:rPr>
                      <w:i/>
                      <w:iCs/>
                      <w:lang w:val="en-US"/>
                    </w:rPr>
                    <m:t>1</m:t>
                  </m:r>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r>
                        <m:rPr>
                          <m:nor/>
                        </m:rPr>
                        <w:rPr>
                          <w:i/>
                          <w:iCs/>
                          <w:lang w:val="en-US"/>
                        </w:rPr>
                        <m:t>2</m:t>
                      </m:r>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eastAsiaTheme="minorEastAsia" w:hAnsi="Cambria Math"/>
                  <w:lang w:val="en-US"/>
                </w:rPr>
                <m:t>+</m:t>
              </m:r>
              <m:f>
                <m:fPr>
                  <m:ctrlPr>
                    <w:rPr>
                      <w:rFonts w:ascii="Cambria Math" w:hAnsi="Cambria Math"/>
                      <w:i/>
                      <w:iCs/>
                    </w:rPr>
                  </m:ctrlPr>
                </m:fPr>
                <m:num>
                  <m:r>
                    <m:rPr>
                      <m:nor/>
                    </m:rPr>
                    <w:rPr>
                      <w:i/>
                      <w:iCs/>
                      <w:lang w:val="en-US"/>
                    </w:rPr>
                    <m:t>1</m:t>
                  </m:r>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r>
                        <m:rPr>
                          <m:nor/>
                        </m:rPr>
                        <w:rPr>
                          <w:i/>
                          <w:iCs/>
                          <w:lang w:val="en-US"/>
                        </w:rPr>
                        <m:t>3</m:t>
                      </m:r>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eastAsiaTheme="minorEastAsia" w:hAnsi="Cambria Math"/>
                  <w:lang w:val="en-US"/>
                </w:rPr>
                <m:t>+</m:t>
              </m:r>
              <m:r>
                <w:rPr>
                  <w:rFonts w:ascii="Cambria Math" w:hAnsi="Cambria Math"/>
                  <w:lang w:val="en-US"/>
                </w:rPr>
                <m:t>⋯</m:t>
              </m:r>
            </m:e>
          </m:d>
          <m:r>
            <m:rPr>
              <m:sty m:val="p"/>
            </m:rPr>
            <w:rPr>
              <w:rFonts w:eastAsiaTheme="minorEastAsia"/>
              <w:lang w:val="en-US"/>
            </w:rPr>
            <w:br/>
          </m:r>
        </m:oMath>
        <m:oMath>
          <m:sSub>
            <m:sSubPr>
              <m:ctrlPr>
                <w:rPr>
                  <w:rFonts w:ascii="Cambria Math" w:hAnsi="Cambria Math"/>
                  <w:i/>
                  <w:iCs/>
                </w:rPr>
              </m:ctrlPr>
            </m:sSubPr>
            <m:e>
              <m:r>
                <m:rPr>
                  <m:nor/>
                </m:rPr>
                <w:rPr>
                  <w:i/>
                  <w:iCs/>
                  <w:lang w:val="en-US"/>
                </w:rPr>
                <m:t>S</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num>
            <m:den>
              <m:r>
                <m:rPr>
                  <m:nor/>
                </m:rPr>
                <w:rPr>
                  <w:i/>
                  <w:iCs/>
                  <w:lang w:val="en-US"/>
                </w:rPr>
                <m:t>1</m:t>
              </m:r>
              <m:r>
                <w:rPr>
                  <w:rFonts w:ascii="Cambria Math" w:hAnsi="Cambria Math"/>
                  <w:lang w:val="en-US"/>
                </w:rPr>
                <m:t>-</m:t>
              </m:r>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r>
                    <w:rPr>
                      <w:rFonts w:ascii="Cambria Math" w:hAnsi="Cambria Math"/>
                      <w:lang w:val="en-US"/>
                    </w:rPr>
                    <m:t>-</m:t>
                  </m:r>
                  <m:sSub>
                    <m:sSubPr>
                      <m:ctrlPr>
                        <w:rPr>
                          <w:rFonts w:ascii="Cambria Math" w:hAnsi="Cambria Math"/>
                          <w:i/>
                          <w:iCs/>
                        </w:rPr>
                      </m:ctrlPr>
                    </m:sSubPr>
                    <m:e>
                      <m:r>
                        <m:rPr>
                          <m:nor/>
                        </m:rPr>
                        <w:rPr>
                          <w:i/>
                          <w:iCs/>
                          <w:lang w:val="en-US"/>
                        </w:rPr>
                        <m:t>n</m:t>
                      </m:r>
                    </m:e>
                    <m:sub>
                      <m:r>
                        <m:rPr>
                          <m:nor/>
                        </m:rPr>
                        <w:rPr>
                          <w:i/>
                          <w:iCs/>
                          <w:lang w:val="en-US"/>
                        </w:rPr>
                        <m:t>i</m:t>
                      </m:r>
                    </m:sub>
                  </m:sSub>
                </m:sup>
              </m:sSup>
            </m:den>
          </m:f>
          <m:r>
            <w:rPr>
              <w:rFonts w:ascii="Cambria Math" w:hAnsi="Cambria Math"/>
            </w:rPr>
            <m:t>⟹</m:t>
          </m:r>
          <m:sSub>
            <m:sSubPr>
              <m:ctrlPr>
                <w:rPr>
                  <w:rFonts w:ascii="Cambria Math" w:hAnsi="Cambria Math"/>
                  <w:i/>
                  <w:iCs/>
                </w:rPr>
              </m:ctrlPr>
            </m:sSubPr>
            <m:e>
              <m:r>
                <m:rPr>
                  <m:nor/>
                </m:rPr>
                <w:rPr>
                  <w:i/>
                  <w:iCs/>
                  <w:lang w:val="en-US"/>
                </w:rPr>
                <m:t>S</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VC</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r>
                <w:rPr>
                  <w:rFonts w:ascii="Cambria Math" w:hAnsi="Cambria Math"/>
                  <w:lang w:val="en-US"/>
                </w:rPr>
                <m:t>∙</m:t>
              </m:r>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sSub>
                    <m:sSubPr>
                      <m:ctrlPr>
                        <w:rPr>
                          <w:rFonts w:ascii="Cambria Math" w:hAnsi="Cambria Math"/>
                          <w:i/>
                          <w:iCs/>
                        </w:rPr>
                      </m:ctrlPr>
                    </m:sSubPr>
                    <m:e>
                      <m:r>
                        <m:rPr>
                          <m:nor/>
                        </m:rPr>
                        <w:rPr>
                          <w:i/>
                          <w:iCs/>
                          <w:lang w:val="en-US"/>
                        </w:rPr>
                        <m:t>n</m:t>
                      </m:r>
                    </m:e>
                    <m:sub>
                      <m:r>
                        <m:rPr>
                          <m:nor/>
                        </m:rPr>
                        <w:rPr>
                          <w:i/>
                          <w:iCs/>
                          <w:lang w:val="en-US"/>
                        </w:rPr>
                        <m:t>i</m:t>
                      </m:r>
                    </m:sub>
                  </m:sSub>
                </m:sup>
              </m:sSup>
            </m:num>
            <m:den>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k</m:t>
                      </m:r>
                    </m:e>
                  </m:d>
                </m:e>
                <m:sup>
                  <m:sSub>
                    <m:sSubPr>
                      <m:ctrlPr>
                        <w:rPr>
                          <w:rFonts w:ascii="Cambria Math" w:hAnsi="Cambria Math"/>
                          <w:i/>
                          <w:iCs/>
                        </w:rPr>
                      </m:ctrlPr>
                    </m:sSubPr>
                    <m:e>
                      <m:r>
                        <m:rPr>
                          <m:nor/>
                        </m:rPr>
                        <w:rPr>
                          <w:i/>
                          <w:iCs/>
                          <w:lang w:val="en-US"/>
                        </w:rPr>
                        <m:t>n</m:t>
                      </m:r>
                    </m:e>
                    <m:sub>
                      <m:r>
                        <m:rPr>
                          <m:nor/>
                        </m:rPr>
                        <w:rPr>
                          <w:i/>
                          <w:iCs/>
                          <w:lang w:val="en-US"/>
                        </w:rPr>
                        <m:t>i</m:t>
                      </m:r>
                    </m:sub>
                  </m:sSub>
                </m:sup>
              </m:sSup>
              <m:r>
                <w:rPr>
                  <w:rFonts w:ascii="Cambria Math" w:hAnsi="Cambria Math"/>
                  <w:lang w:val="en-US"/>
                </w:rPr>
                <m:t>-</m:t>
              </m:r>
              <m:r>
                <m:rPr>
                  <m:nor/>
                </m:rPr>
                <w:rPr>
                  <w:i/>
                  <w:iCs/>
                  <w:lang w:val="en-US"/>
                </w:rPr>
                <m:t>1</m:t>
              </m:r>
            </m:den>
          </m:f>
        </m:oMath>
      </m:oMathPara>
    </w:p>
    <w:p w14:paraId="7DE036E6" w14:textId="08984B50" w:rsidR="00B06C49" w:rsidRPr="00B06C49" w:rsidRDefault="00B06C49" w:rsidP="00B06C49">
      <w:pPr>
        <w:pStyle w:val="Nivel1SM"/>
        <w:keepNext/>
        <w:spacing w:after="0"/>
      </w:pPr>
      <w:r>
        <w:t xml:space="preserve">La duración óptima del equipo en este nuevo contexto vendrá dada por aquel valor de </w:t>
      </w:r>
      <m:oMath>
        <m:sSub>
          <m:sSubPr>
            <m:ctrlPr>
              <w:rPr>
                <w:rFonts w:ascii="Cambria Math" w:hAnsi="Cambria Math"/>
                <w:i/>
                <w:iCs/>
              </w:rPr>
            </m:ctrlPr>
          </m:sSubPr>
          <m:e>
            <m:r>
              <m:rPr>
                <m:nor/>
              </m:rPr>
              <w:rPr>
                <w:i/>
                <w:iCs/>
              </w:rPr>
              <m:t>n</m:t>
            </m:r>
          </m:e>
          <m:sub>
            <m:r>
              <m:rPr>
                <m:nor/>
              </m:rPr>
              <w:rPr>
                <w:i/>
                <w:iCs/>
              </w:rPr>
              <m:t>i</m:t>
            </m:r>
          </m:sub>
        </m:sSub>
      </m:oMath>
      <w:r>
        <w:rPr>
          <w:rFonts w:eastAsiaTheme="minorEastAsia"/>
          <w:iCs/>
        </w:rPr>
        <w:t xml:space="preserve"> que haga máximo el valor </w:t>
      </w:r>
      <m:oMath>
        <m:sSub>
          <m:sSubPr>
            <m:ctrlPr>
              <w:rPr>
                <w:rFonts w:ascii="Cambria Math" w:hAnsi="Cambria Math"/>
                <w:i/>
                <w:iCs/>
              </w:rPr>
            </m:ctrlPr>
          </m:sSubPr>
          <m:e>
            <m:r>
              <m:rPr>
                <m:nor/>
              </m:rPr>
              <w:rPr>
                <w:i/>
                <w:iCs/>
              </w:rPr>
              <m:t>S</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xml:space="preserve">, es decir, por aquel valor de </w:t>
      </w:r>
      <m:oMath>
        <m:sSub>
          <m:sSubPr>
            <m:ctrlPr>
              <w:rPr>
                <w:rFonts w:ascii="Cambria Math" w:hAnsi="Cambria Math"/>
                <w:i/>
                <w:iCs/>
              </w:rPr>
            </m:ctrlPr>
          </m:sSubPr>
          <m:e>
            <m:r>
              <m:rPr>
                <m:nor/>
              </m:rPr>
              <w:rPr>
                <w:i/>
                <w:iCs/>
              </w:rPr>
              <m:t>n</m:t>
            </m:r>
          </m:e>
          <m:sub>
            <m:r>
              <m:rPr>
                <m:nor/>
              </m:rPr>
              <w:rPr>
                <w:i/>
                <w:iCs/>
              </w:rPr>
              <m:t>i</m:t>
            </m:r>
          </m:sub>
        </m:sSub>
      </m:oMath>
      <w:r>
        <w:rPr>
          <w:rFonts w:eastAsiaTheme="minorEastAsia"/>
          <w:iCs/>
        </w:rPr>
        <w:t xml:space="preserve"> que anule la primera derivada:</w:t>
      </w:r>
    </w:p>
    <w:p w14:paraId="3F4E2846" w14:textId="551C3A61" w:rsidR="00B06C49" w:rsidRPr="00B06C49" w:rsidRDefault="00000000" w:rsidP="00B06C49">
      <w:pPr>
        <w:pStyle w:val="Nivel1SM"/>
        <w:numPr>
          <w:ilvl w:val="0"/>
          <w:numId w:val="0"/>
        </w:numPr>
        <w:spacing w:before="0"/>
        <w:rPr>
          <w:i/>
          <w:iCs/>
          <w:lang w:val="en-US"/>
        </w:rPr>
      </w:pPr>
      <m:oMathPara>
        <m:oMath>
          <m:f>
            <m:fPr>
              <m:ctrlPr>
                <w:rPr>
                  <w:rFonts w:ascii="Cambria Math" w:hAnsi="Cambria Math"/>
                  <w:i/>
                  <w:iCs/>
                </w:rPr>
              </m:ctrlPr>
            </m:fPr>
            <m:num>
              <m:r>
                <m:rPr>
                  <m:nor/>
                </m:rPr>
                <w:rPr>
                  <w:i/>
                  <w:iCs/>
                  <w:lang w:val="en-US"/>
                </w:rPr>
                <m:t>d</m:t>
              </m:r>
              <m:sSub>
                <m:sSubPr>
                  <m:ctrlPr>
                    <w:rPr>
                      <w:rFonts w:ascii="Cambria Math" w:hAnsi="Cambria Math"/>
                      <w:i/>
                      <w:iCs/>
                    </w:rPr>
                  </m:ctrlPr>
                </m:sSubPr>
                <m:e>
                  <m:r>
                    <m:rPr>
                      <m:nor/>
                    </m:rPr>
                    <w:rPr>
                      <w:i/>
                      <w:iCs/>
                      <w:lang w:val="en-US"/>
                    </w:rPr>
                    <m:t>S</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n</m:t>
                      </m:r>
                    </m:e>
                    <m:sub>
                      <m:r>
                        <m:rPr>
                          <m:nor/>
                        </m:rPr>
                        <w:rPr>
                          <w:i/>
                          <w:iCs/>
                          <w:lang w:val="en-US"/>
                        </w:rPr>
                        <m:t>i</m:t>
                      </m:r>
                    </m:sub>
                  </m:sSub>
                </m:e>
              </m:d>
            </m:num>
            <m:den>
              <m:r>
                <m:rPr>
                  <m:nor/>
                </m:rPr>
                <w:rPr>
                  <w:i/>
                  <w:iCs/>
                  <w:lang w:val="en-US"/>
                </w:rPr>
                <m:t>d</m:t>
              </m:r>
              <m:sSub>
                <m:sSubPr>
                  <m:ctrlPr>
                    <w:rPr>
                      <w:rFonts w:ascii="Cambria Math" w:hAnsi="Cambria Math"/>
                      <w:i/>
                      <w:iCs/>
                    </w:rPr>
                  </m:ctrlPr>
                </m:sSubPr>
                <m:e>
                  <m:r>
                    <m:rPr>
                      <m:nor/>
                    </m:rPr>
                    <w:rPr>
                      <w:i/>
                      <w:iCs/>
                      <w:lang w:val="en-US"/>
                    </w:rPr>
                    <m:t>n</m:t>
                  </m:r>
                </m:e>
                <m:sub>
                  <m:r>
                    <m:rPr>
                      <m:nor/>
                    </m:rPr>
                    <w:rPr>
                      <w:i/>
                      <w:iCs/>
                      <w:lang w:val="en-US"/>
                    </w:rPr>
                    <m:t>i</m:t>
                  </m:r>
                </m:sub>
              </m:sSub>
            </m:den>
          </m:f>
          <m:r>
            <w:rPr>
              <w:rFonts w:ascii="Cambria Math" w:eastAsiaTheme="minorEastAsia" w:hAnsi="Cambria Math"/>
              <w:lang w:val="en-US"/>
            </w:rPr>
            <m:t>=</m:t>
          </m:r>
          <m:r>
            <m:rPr>
              <m:nor/>
            </m:rPr>
            <w:rPr>
              <w:i/>
              <w:iCs/>
              <w:lang w:val="en-US"/>
            </w:rPr>
            <m:t>0</m:t>
          </m:r>
        </m:oMath>
      </m:oMathPara>
    </w:p>
    <w:p w14:paraId="6E89BD1B" w14:textId="1156CE3F" w:rsidR="00B06C49" w:rsidRPr="00B06C49" w:rsidRDefault="00B06C49" w:rsidP="00521AA4">
      <w:pPr>
        <w:pStyle w:val="Nivel1SM"/>
      </w:pPr>
      <w:r w:rsidRPr="00B06C49">
        <w:t>A la empresa lo que le interesa es ma</w:t>
      </w:r>
      <w:r>
        <w:t xml:space="preserve">ximizar la suma total </w:t>
      </w:r>
      <m:oMath>
        <m:sSub>
          <m:sSubPr>
            <m:ctrlPr>
              <w:rPr>
                <w:rFonts w:ascii="Cambria Math" w:hAnsi="Cambria Math"/>
                <w:i/>
                <w:iCs/>
              </w:rPr>
            </m:ctrlPr>
          </m:sSubPr>
          <m:e>
            <m:r>
              <m:rPr>
                <m:nor/>
              </m:rPr>
              <w:rPr>
                <w:i/>
                <w:iCs/>
              </w:rPr>
              <m:t>S</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xml:space="preserve"> y no la suma parcial </w:t>
      </w:r>
      <m:oMath>
        <m:sSub>
          <m:sSubPr>
            <m:ctrlPr>
              <w:rPr>
                <w:rFonts w:ascii="Cambria Math" w:hAnsi="Cambria Math"/>
                <w:i/>
                <w:iCs/>
              </w:rPr>
            </m:ctrlPr>
          </m:sSubPr>
          <m:e>
            <m:r>
              <m:rPr>
                <m:nor/>
              </m:rPr>
              <w:rPr>
                <w:i/>
                <w:iCs/>
              </w:rPr>
              <m:t>VC</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porque en definitiva lo que se pretende optimizar no es una decisión de inversión aislada sino la conducta o política inversora de la empresa a lo largo del tiempo. La mejor decisión en el momento presente puede estar en conflicto con las decisiones óptimas del futuro. El caso de un equipo aislado sólo tiene sentido cuando la empresa concluye efectivamente su vida con la del equipo, o cuando el equipo se adquiere para hacer frente a un aumento accidental de la demanda, y cuando la vida del equipo termina la demanda recupera su nivel normal, por lo que no hace falta renovarlo.</w:t>
      </w:r>
    </w:p>
    <w:p w14:paraId="223FA200" w14:textId="60370CF8" w:rsidR="00B06C49" w:rsidRPr="00B06C49" w:rsidRDefault="00B06C49" w:rsidP="00521AA4">
      <w:pPr>
        <w:pStyle w:val="Nivel1SM"/>
      </w:pPr>
      <w:r>
        <w:t xml:space="preserve">Una forma útil en la práctica de hallar el valor de </w:t>
      </w:r>
      <m:oMath>
        <m:sSub>
          <m:sSubPr>
            <m:ctrlPr>
              <w:rPr>
                <w:rFonts w:ascii="Cambria Math" w:hAnsi="Cambria Math"/>
                <w:i/>
                <w:iCs/>
              </w:rPr>
            </m:ctrlPr>
          </m:sSubPr>
          <m:e>
            <m:r>
              <m:rPr>
                <m:nor/>
              </m:rPr>
              <w:rPr>
                <w:i/>
                <w:iCs/>
              </w:rPr>
              <m:t>n</m:t>
            </m:r>
          </m:e>
          <m:sub>
            <m:r>
              <m:rPr>
                <m:nor/>
              </m:rPr>
              <w:rPr>
                <w:i/>
                <w:iCs/>
              </w:rPr>
              <m:t>i</m:t>
            </m:r>
          </m:sub>
        </m:sSub>
      </m:oMath>
      <w:r>
        <w:t xml:space="preserve"> que maximiza la función </w:t>
      </w:r>
      <m:oMath>
        <m:sSub>
          <m:sSubPr>
            <m:ctrlPr>
              <w:rPr>
                <w:rFonts w:ascii="Cambria Math" w:hAnsi="Cambria Math"/>
                <w:i/>
                <w:iCs/>
              </w:rPr>
            </m:ctrlPr>
          </m:sSubPr>
          <m:e>
            <m:r>
              <m:rPr>
                <m:nor/>
              </m:rPr>
              <w:rPr>
                <w:i/>
                <w:iCs/>
              </w:rPr>
              <m:t>VC</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xml:space="preserve"> o la función </w:t>
      </w:r>
      <m:oMath>
        <m:sSub>
          <m:sSubPr>
            <m:ctrlPr>
              <w:rPr>
                <w:rFonts w:ascii="Cambria Math" w:hAnsi="Cambria Math"/>
                <w:i/>
                <w:iCs/>
              </w:rPr>
            </m:ctrlPr>
          </m:sSubPr>
          <m:e>
            <m:r>
              <m:rPr>
                <m:nor/>
              </m:rPr>
              <w:rPr>
                <w:i/>
                <w:iCs/>
              </w:rPr>
              <m:t>S</m:t>
            </m:r>
          </m:e>
          <m:sub>
            <m:r>
              <m:rPr>
                <m:nor/>
              </m:rPr>
              <w:rPr>
                <w:i/>
                <w:iCs/>
              </w:rPr>
              <m:t>i</m:t>
            </m:r>
          </m:sub>
        </m:sSub>
        <m:d>
          <m:dPr>
            <m:ctrlPr>
              <w:rPr>
                <w:rFonts w:ascii="Cambria Math" w:hAnsi="Cambria Math"/>
                <w:i/>
                <w:iCs/>
              </w:rPr>
            </m:ctrlPr>
          </m:dPr>
          <m:e>
            <m:sSub>
              <m:sSubPr>
                <m:ctrlPr>
                  <w:rPr>
                    <w:rFonts w:ascii="Cambria Math" w:hAnsi="Cambria Math"/>
                    <w:i/>
                    <w:iCs/>
                  </w:rPr>
                </m:ctrlPr>
              </m:sSubPr>
              <m:e>
                <m:r>
                  <m:rPr>
                    <m:nor/>
                  </m:rPr>
                  <w:rPr>
                    <w:i/>
                    <w:iCs/>
                  </w:rPr>
                  <m:t>n</m:t>
                </m:r>
              </m:e>
              <m:sub>
                <m:r>
                  <m:rPr>
                    <m:nor/>
                  </m:rPr>
                  <w:rPr>
                    <w:i/>
                    <w:iCs/>
                  </w:rPr>
                  <m:t>i</m:t>
                </m:r>
              </m:sub>
            </m:sSub>
          </m:e>
        </m:d>
      </m:oMath>
      <w:r>
        <w:rPr>
          <w:rFonts w:eastAsiaTheme="minorEastAsia"/>
          <w:iCs/>
        </w:rPr>
        <w:t xml:space="preserve"> puede encontrarse en las obras de </w:t>
      </w:r>
      <w:r>
        <w:rPr>
          <w:rFonts w:eastAsiaTheme="minorEastAsia"/>
          <w:iCs/>
          <w:smallCaps/>
        </w:rPr>
        <w:t>Churchman</w:t>
      </w:r>
      <w:r>
        <w:rPr>
          <w:rFonts w:eastAsiaTheme="minorEastAsia"/>
          <w:iCs/>
        </w:rPr>
        <w:t xml:space="preserve"> et al. Y de </w:t>
      </w:r>
      <w:r>
        <w:rPr>
          <w:rFonts w:eastAsiaTheme="minorEastAsia"/>
          <w:iCs/>
          <w:smallCaps/>
          <w:sz w:val="24"/>
          <w:szCs w:val="24"/>
        </w:rPr>
        <w:t>Kaufmann</w:t>
      </w:r>
      <w:r>
        <w:rPr>
          <w:rFonts w:eastAsiaTheme="minorEastAsia"/>
          <w:iCs/>
          <w:sz w:val="24"/>
          <w:szCs w:val="24"/>
        </w:rPr>
        <w:t xml:space="preserve"> sobre investigación operativa, aunque dichos autores suponen los ingresos constantes y lo que hacen es minimizar los costes, pero no resulta difícil adaptar dicho procedimiento para el caso de máximo, como hace, por ejemplo, </w:t>
      </w:r>
      <w:r>
        <w:rPr>
          <w:rFonts w:eastAsiaTheme="minorEastAsia"/>
          <w:iCs/>
          <w:smallCaps/>
          <w:sz w:val="24"/>
          <w:szCs w:val="24"/>
        </w:rPr>
        <w:t>J.C.T. Mao</w:t>
      </w:r>
      <w:r>
        <w:rPr>
          <w:rFonts w:eastAsiaTheme="minorEastAsia"/>
          <w:iCs/>
          <w:sz w:val="24"/>
          <w:szCs w:val="24"/>
        </w:rPr>
        <w:t>.</w:t>
      </w:r>
    </w:p>
    <w:p w14:paraId="74FCAAE0" w14:textId="79353DF0" w:rsidR="00B22C86" w:rsidRPr="00541C64" w:rsidRDefault="00B22C86" w:rsidP="00FD05C8">
      <w:pPr>
        <w:pStyle w:val="Ttulo6"/>
        <w:rPr>
          <w:spacing w:val="-3"/>
        </w:rPr>
      </w:pPr>
      <w:bookmarkStart w:id="73" w:name="_Toc172232854"/>
      <w:r w:rsidRPr="001F1B3F">
        <w:rPr>
          <w:spacing w:val="-3"/>
        </w:rPr>
        <w:lastRenderedPageBreak/>
        <w:t xml:space="preserve">Retiro con diferentes reemplazamientos. </w:t>
      </w:r>
      <w:r w:rsidR="00615404" w:rsidRPr="001F1B3F">
        <w:rPr>
          <w:spacing w:val="-3"/>
        </w:rPr>
        <w:t>M</w:t>
      </w:r>
      <w:r w:rsidRPr="001F1B3F">
        <w:rPr>
          <w:spacing w:val="-3"/>
        </w:rPr>
        <w:t xml:space="preserve">étodo MAPI </w:t>
      </w:r>
      <w:r w:rsidR="00615404" w:rsidRPr="001F1B3F">
        <w:rPr>
          <w:spacing w:val="-3"/>
        </w:rPr>
        <w:t>(</w:t>
      </w:r>
      <w:r w:rsidRPr="001F1B3F">
        <w:rPr>
          <w:spacing w:val="-3"/>
        </w:rPr>
        <w:t>o mínimo adverso</w:t>
      </w:r>
      <w:r w:rsidR="00541C64">
        <w:rPr>
          <w:spacing w:val="-3"/>
        </w:rPr>
        <w:t xml:space="preserve">, </w:t>
      </w:r>
      <w:proofErr w:type="spellStart"/>
      <w:r w:rsidRPr="001F1B3F">
        <w:rPr>
          <w:smallCaps/>
          <w:spacing w:val="-3"/>
        </w:rPr>
        <w:t>Terborgh</w:t>
      </w:r>
      <w:proofErr w:type="spellEnd"/>
      <w:r w:rsidR="00541C64">
        <w:rPr>
          <w:spacing w:val="-3"/>
        </w:rPr>
        <w:t xml:space="preserve"> (1949))</w:t>
      </w:r>
      <w:bookmarkEnd w:id="73"/>
    </w:p>
    <w:p w14:paraId="4C2D38DB" w14:textId="1EABA6A4" w:rsidR="00B22C86" w:rsidRDefault="00535BDC" w:rsidP="005B6E8D">
      <w:pPr>
        <w:pStyle w:val="Nivel1SM"/>
        <w:keepNext/>
        <w:spacing w:before="0" w:after="0"/>
      </w:pPr>
      <w:r>
        <w:t>Cuando existe obsolescencia del activo fijo</w:t>
      </w:r>
      <w:r w:rsidR="00D41F2A">
        <w:t xml:space="preserve"> (i.e. </w:t>
      </w:r>
      <w:r w:rsidR="00D41F2A">
        <w:rPr>
          <w:i/>
          <w:iCs/>
          <w:u w:val="single"/>
        </w:rPr>
        <w:t>sí se inventan activos técnicamente más eficientes</w:t>
      </w:r>
      <w:r w:rsidR="00D41F2A">
        <w:t>)</w:t>
      </w:r>
      <w:r>
        <w:t xml:space="preserve">, la decisión de remplazo se convierte en un </w:t>
      </w:r>
      <w:proofErr w:type="spellStart"/>
      <w:r w:rsidRPr="00535BDC">
        <w:rPr>
          <w:i/>
          <w:iCs/>
        </w:rPr>
        <w:t>trade</w:t>
      </w:r>
      <w:proofErr w:type="spellEnd"/>
      <w:r w:rsidRPr="00535BDC">
        <w:rPr>
          <w:i/>
          <w:iCs/>
        </w:rPr>
        <w:t>-off</w:t>
      </w:r>
      <w:r>
        <w:t xml:space="preserve"> entre el coste del remplazo y el coste de oportunidad derivado de la posibilidad de utilizar un activo fijo con cualidades técnicas superiores.</w:t>
      </w:r>
    </w:p>
    <w:p w14:paraId="2A22BEF6" w14:textId="7ED2D49F" w:rsidR="00D41F2A" w:rsidRDefault="00CD3173" w:rsidP="00CD3173">
      <w:pPr>
        <w:pStyle w:val="Nivel2SM"/>
        <w:keepNext/>
        <w:spacing w:after="0"/>
      </w:pPr>
      <w:r w:rsidRPr="00CD3173">
        <w:t xml:space="preserve">Esto es conocido como </w:t>
      </w:r>
      <w:r w:rsidR="00D41F2A">
        <w:t xml:space="preserve">el </w:t>
      </w:r>
      <w:r w:rsidR="00D41F2A" w:rsidRPr="00116265">
        <w:rPr>
          <w:b/>
          <w:bCs/>
        </w:rPr>
        <w:t>método MAPI</w:t>
      </w:r>
      <w:r w:rsidR="00D41F2A">
        <w:t xml:space="preserve"> (</w:t>
      </w:r>
      <w:proofErr w:type="spellStart"/>
      <w:r w:rsidR="00541C64">
        <w:rPr>
          <w:i/>
          <w:iCs/>
        </w:rPr>
        <w:t>Machinery</w:t>
      </w:r>
      <w:proofErr w:type="spellEnd"/>
      <w:r w:rsidR="00541C64">
        <w:rPr>
          <w:i/>
          <w:iCs/>
        </w:rPr>
        <w:t xml:space="preserve"> and </w:t>
      </w:r>
      <w:proofErr w:type="spellStart"/>
      <w:r w:rsidR="00541C64">
        <w:rPr>
          <w:i/>
          <w:iCs/>
        </w:rPr>
        <w:t>Allied</w:t>
      </w:r>
      <w:proofErr w:type="spellEnd"/>
      <w:r w:rsidR="00541C64">
        <w:rPr>
          <w:i/>
          <w:iCs/>
        </w:rPr>
        <w:t xml:space="preserve"> </w:t>
      </w:r>
      <w:proofErr w:type="spellStart"/>
      <w:r w:rsidR="00541C64">
        <w:rPr>
          <w:i/>
          <w:iCs/>
        </w:rPr>
        <w:t>Product</w:t>
      </w:r>
      <w:proofErr w:type="spellEnd"/>
      <w:r w:rsidR="00541C64">
        <w:rPr>
          <w:i/>
          <w:iCs/>
        </w:rPr>
        <w:t xml:space="preserve"> </w:t>
      </w:r>
      <w:proofErr w:type="spellStart"/>
      <w:r w:rsidR="00541C64">
        <w:rPr>
          <w:i/>
          <w:iCs/>
        </w:rPr>
        <w:t>Institute</w:t>
      </w:r>
      <w:proofErr w:type="spellEnd"/>
      <w:r w:rsidR="00541C64">
        <w:t xml:space="preserve">, </w:t>
      </w:r>
      <w:r w:rsidR="00D41F2A">
        <w:t xml:space="preserve">también conocido como el </w:t>
      </w:r>
      <w:r w:rsidR="00D41F2A" w:rsidRPr="00116265">
        <w:rPr>
          <w:b/>
          <w:bCs/>
        </w:rPr>
        <w:t>método del mínimo adverso</w:t>
      </w:r>
      <w:r w:rsidR="00D41F2A">
        <w:t xml:space="preserve">), que consiste en encontrar el óptimo en el </w:t>
      </w:r>
      <w:proofErr w:type="spellStart"/>
      <w:r w:rsidR="00D41F2A">
        <w:rPr>
          <w:i/>
          <w:iCs/>
        </w:rPr>
        <w:t>trade</w:t>
      </w:r>
      <w:proofErr w:type="spellEnd"/>
      <w:r w:rsidR="00D41F2A">
        <w:rPr>
          <w:i/>
          <w:iCs/>
        </w:rPr>
        <w:t>-off</w:t>
      </w:r>
      <w:r w:rsidR="00D41F2A">
        <w:t xml:space="preserve"> entre 2</w:t>
      </w:r>
      <w:r w:rsidR="005D72D2">
        <w:t> </w:t>
      </w:r>
      <w:r w:rsidR="00D41F2A">
        <w:t>fuerzas opuestas:</w:t>
      </w:r>
    </w:p>
    <w:p w14:paraId="1204B2DF" w14:textId="77777777" w:rsidR="00D41F2A" w:rsidRPr="002F7F50" w:rsidRDefault="00D41F2A" w:rsidP="00CD3173">
      <w:pPr>
        <w:pStyle w:val="Nivel3SM"/>
        <w:rPr>
          <w:spacing w:val="-4"/>
        </w:rPr>
      </w:pPr>
      <w:r w:rsidRPr="002F7F50">
        <w:rPr>
          <w:i/>
          <w:iCs/>
          <w:spacing w:val="-4"/>
        </w:rPr>
        <w:t>Costes directos</w:t>
      </w:r>
      <w:r w:rsidRPr="002F7F50">
        <w:rPr>
          <w:spacing w:val="-4"/>
        </w:rPr>
        <w:t>, que disminuyen a medida que aumenta el tiempo de uso (cuanto más tiempo se utilice el equipo menores serán las cargas del capital (se diluyen en una mayor producción)).</w:t>
      </w:r>
    </w:p>
    <w:p w14:paraId="594EBDC6" w14:textId="09C1D865" w:rsidR="00D41F2A" w:rsidRDefault="00D41F2A" w:rsidP="00CD3173">
      <w:pPr>
        <w:pStyle w:val="Nivel3SM"/>
      </w:pPr>
      <w:r>
        <w:rPr>
          <w:i/>
          <w:iCs/>
        </w:rPr>
        <w:t>Costes indirectos</w:t>
      </w:r>
      <w:r w:rsidRPr="004F2A81">
        <w:t xml:space="preserve">, </w:t>
      </w:r>
      <w:r>
        <w:t>que aumentan a medida que aumenta el tiempo de uso (cuanto más tiempo se utilice el equipo mayor será la inferioridad del servicio en comparación con las nueva</w:t>
      </w:r>
      <w:r w:rsidR="00744115">
        <w:t>s</w:t>
      </w:r>
      <w:r>
        <w:t xml:space="preserve"> innovaciones).</w:t>
      </w:r>
    </w:p>
    <w:p w14:paraId="05A1023E" w14:textId="62FF21EE" w:rsidR="00541C64" w:rsidRPr="007D3D6B" w:rsidRDefault="00541C64" w:rsidP="00541C64">
      <w:pPr>
        <w:pStyle w:val="Ttuloimagen"/>
        <w:rPr>
          <w:smallCaps w:val="0"/>
        </w:rPr>
      </w:pPr>
      <w:r w:rsidRPr="007D3D6B">
        <w:t>Imagen</w:t>
      </w:r>
      <w:r w:rsidR="00302561">
        <w:t> </w:t>
      </w:r>
      <w:r w:rsidRPr="007D3D6B">
        <w:fldChar w:fldCharType="begin"/>
      </w:r>
      <w:r w:rsidRPr="007D3D6B">
        <w:instrText xml:space="preserve"> SEQ Ilustración \* ARABIC </w:instrText>
      </w:r>
      <w:r w:rsidRPr="007D3D6B">
        <w:fldChar w:fldCharType="separate"/>
      </w:r>
      <w:r w:rsidR="000E7C0D">
        <w:t>3</w:t>
      </w:r>
      <w:r w:rsidRPr="007D3D6B">
        <w:fldChar w:fldCharType="end"/>
      </w:r>
      <w:r w:rsidRPr="007D3D6B">
        <w:rPr>
          <w:smallCaps w:val="0"/>
        </w:rPr>
        <w:t xml:space="preserve">.– </w:t>
      </w:r>
      <w:r>
        <w:rPr>
          <w:i/>
          <w:iCs/>
          <w:smallCaps w:val="0"/>
        </w:rPr>
        <w:t>Método MAPI (método del mínimo adverso)</w:t>
      </w:r>
      <w:r w:rsidRPr="007D3D6B">
        <w:rPr>
          <w:i/>
          <w:iCs/>
          <w:smallCaps w:val="0"/>
        </w:rPr>
        <w:t xml:space="preserve"> </w:t>
      </w:r>
      <w:r>
        <w:rPr>
          <w:i/>
          <w:iCs/>
          <w:smallCaps w:val="0"/>
        </w:rPr>
        <w:t>(</w:t>
      </w:r>
      <w:r w:rsidRPr="00541C64">
        <w:rPr>
          <w:i/>
          <w:iCs/>
          <w:spacing w:val="-3"/>
        </w:rPr>
        <w:t>George Terborgh</w:t>
      </w:r>
      <w:r>
        <w:rPr>
          <w:i/>
          <w:iCs/>
          <w:smallCaps w:val="0"/>
        </w:rPr>
        <w:t>, 1949</w:t>
      </w:r>
      <w:r w:rsidRPr="007D3D6B">
        <w:rPr>
          <w:i/>
          <w:iCs/>
          <w:smallCaps w:val="0"/>
        </w:rPr>
        <w:t>)</w:t>
      </w:r>
    </w:p>
    <w:p w14:paraId="0CDFC39E" w14:textId="0E78F8CA" w:rsidR="00541C64" w:rsidRPr="007D3D6B" w:rsidRDefault="00DF4B79" w:rsidP="00541C64">
      <w:pPr>
        <w:pStyle w:val="Imagen"/>
      </w:pPr>
      <w:r>
        <w:drawing>
          <wp:inline distT="0" distB="0" distL="0" distR="0" wp14:anchorId="30478833" wp14:editId="41A88442">
            <wp:extent cx="3031635" cy="1981200"/>
            <wp:effectExtent l="0" t="0" r="0" b="0"/>
            <wp:docPr id="1809117299"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17299" name="Imagen 4" descr="Diagrama&#10;&#10;Descripción generada automáticamente"/>
                    <pic:cNvPicPr/>
                  </pic:nvPicPr>
                  <pic:blipFill rotWithShape="1">
                    <a:blip r:embed="rId21">
                      <a:extLst>
                        <a:ext uri="{BEBA8EAE-BF5A-486C-A8C5-ECC9F3942E4B}">
                          <a14:imgProps xmlns:a14="http://schemas.microsoft.com/office/drawing/2010/main">
                            <a14:imgLayer r:embed="rId22">
                              <a14:imgEffect>
                                <a14:brightnessContrast bright="20000" contrast="40000"/>
                              </a14:imgEffect>
                            </a14:imgLayer>
                          </a14:imgProps>
                        </a:ext>
                      </a:extLst>
                    </a:blip>
                    <a:srcRect l="9319" t="8101" r="7910" b="19782"/>
                    <a:stretch/>
                  </pic:blipFill>
                  <pic:spPr bwMode="auto">
                    <a:xfrm>
                      <a:off x="0" y="0"/>
                      <a:ext cx="3034686" cy="1983194"/>
                    </a:xfrm>
                    <a:prstGeom prst="rect">
                      <a:avLst/>
                    </a:prstGeom>
                    <a:ln>
                      <a:noFill/>
                    </a:ln>
                    <a:effectLst>
                      <a:softEdge rad="31750"/>
                    </a:effectLst>
                    <a:extLst>
                      <a:ext uri="{53640926-AAD7-44D8-BBD7-CCE9431645EC}">
                        <a14:shadowObscured xmlns:a14="http://schemas.microsoft.com/office/drawing/2010/main"/>
                      </a:ext>
                    </a:extLst>
                  </pic:spPr>
                </pic:pic>
              </a:graphicData>
            </a:graphic>
          </wp:inline>
        </w:drawing>
      </w:r>
    </w:p>
    <w:p w14:paraId="7F60359F" w14:textId="14A627D7" w:rsidR="00541C64" w:rsidRPr="007D3D6B" w:rsidRDefault="00541C64" w:rsidP="00541C64">
      <w:pPr>
        <w:pStyle w:val="PiedeImagen"/>
      </w:pPr>
      <w:r w:rsidRPr="007D3D6B">
        <w:t>Fuente</w:t>
      </w:r>
      <w:r w:rsidRPr="00541C64">
        <w:rPr>
          <w:i w:val="0"/>
          <w:iCs/>
        </w:rPr>
        <w:t xml:space="preserve">: </w:t>
      </w:r>
      <w:r w:rsidR="00DF4B79" w:rsidRPr="00DF4B79">
        <w:rPr>
          <w:i w:val="0"/>
          <w:iCs/>
        </w:rPr>
        <w:t xml:space="preserve">Suárez Suárez, A. S., Rojo Suárez, J. &amp; Suárez García, P. (2020). </w:t>
      </w:r>
      <w:r w:rsidR="00DF4B79" w:rsidRPr="00DF4B79">
        <w:t>Decisiones óptimas de inversión y financiación en la empresa</w:t>
      </w:r>
      <w:r w:rsidR="00DF4B79" w:rsidRPr="00DF4B79">
        <w:rPr>
          <w:i w:val="0"/>
          <w:iCs/>
        </w:rPr>
        <w:t xml:space="preserve"> (22ª ed). Pirámide.</w:t>
      </w:r>
      <w:r w:rsidR="00DF4B79">
        <w:rPr>
          <w:i w:val="0"/>
          <w:iCs/>
        </w:rPr>
        <w:t xml:space="preserve"> Pág. 309</w:t>
      </w:r>
    </w:p>
    <w:p w14:paraId="483EBE99" w14:textId="3CD32793" w:rsidR="00D41F2A" w:rsidRPr="00B22C86" w:rsidRDefault="00D41F2A" w:rsidP="00CD3173">
      <w:pPr>
        <w:pStyle w:val="Nivel2SM"/>
      </w:pPr>
      <w:r>
        <w:t>La vida óptima o vida económica vendría dada por la minimización del coste total de la inversión (i.e. la suma de los dos tipos de costes explicados).</w:t>
      </w:r>
    </w:p>
    <w:p w14:paraId="7DF49EBE" w14:textId="1AD2E59B" w:rsidR="00B22C86" w:rsidRDefault="00B22C86" w:rsidP="00FD05C8">
      <w:pPr>
        <w:pStyle w:val="Ttulo3"/>
      </w:pPr>
      <w:bookmarkStart w:id="74" w:name="_Toc172232855"/>
      <w:r>
        <w:t>Inversión en activo corriente</w:t>
      </w:r>
      <w:bookmarkEnd w:id="74"/>
    </w:p>
    <w:p w14:paraId="61F3044C" w14:textId="77777777" w:rsidR="008338C9" w:rsidRDefault="00381452" w:rsidP="008338C9">
      <w:pPr>
        <w:pStyle w:val="Nivel1SM"/>
        <w:keepNext/>
        <w:spacing w:before="0" w:after="0"/>
      </w:pPr>
      <w:r>
        <w:t>La inversión en activo corriente es, en términos abstractos y generales, un problema de gestión de inventario cuya caracterización teórica parte de los modelos S-s.</w:t>
      </w:r>
    </w:p>
    <w:p w14:paraId="00F15E91" w14:textId="77777777" w:rsidR="008338C9" w:rsidRDefault="00381452" w:rsidP="008338C9">
      <w:pPr>
        <w:pStyle w:val="Nivel2SM"/>
      </w:pPr>
      <w:r>
        <w:t xml:space="preserve">Estos modelos caracterizan la decisión como resultado de ponderar </w:t>
      </w:r>
      <w:r w:rsidR="008338C9">
        <w:t>2 </w:t>
      </w:r>
      <w:r>
        <w:t>costes: el coste de oportunidad por mantener una inversión en capital circulante o stock de inventario, y un coste por ajuste del capital circulante o de reposición del inventario.</w:t>
      </w:r>
    </w:p>
    <w:p w14:paraId="07ED41A5" w14:textId="77777777" w:rsidR="008338C9" w:rsidRDefault="00381452" w:rsidP="008338C9">
      <w:pPr>
        <w:pStyle w:val="Nivel2SM"/>
      </w:pPr>
      <w:r>
        <w:t xml:space="preserve">La llamada fórmula de </w:t>
      </w:r>
      <w:r w:rsidRPr="00741D0F">
        <w:rPr>
          <w:smallCaps/>
        </w:rPr>
        <w:t>Wilson</w:t>
      </w:r>
      <w:r>
        <w:t xml:space="preserve"> o de Cantidad Económica de Pedido caracteriza la cantidad óptima de capital circulante a reponer en un periodo dado.</w:t>
      </w:r>
    </w:p>
    <w:p w14:paraId="232BD9D3" w14:textId="22CC051F" w:rsidR="00381452" w:rsidRPr="00AE0D68" w:rsidRDefault="00381452" w:rsidP="008338C9">
      <w:pPr>
        <w:pStyle w:val="Nivel2SM"/>
      </w:pPr>
      <w:r>
        <w:t>Por supuesto, la gestión de inventarios en la práctica se complica con numerosos factores adicionales, pero el problema sigue teniendo los mismos rasgos</w:t>
      </w:r>
      <w:r w:rsidR="00741D0F">
        <w:t xml:space="preserve"> </w:t>
      </w:r>
      <w:r>
        <w:t>básicos.</w:t>
      </w:r>
    </w:p>
    <w:p w14:paraId="2EF947A5" w14:textId="77777777" w:rsidR="00B2093C" w:rsidRDefault="00B2093C" w:rsidP="00B2093C">
      <w:pPr>
        <w:pStyle w:val="Ttulo6"/>
      </w:pPr>
      <w:bookmarkStart w:id="75" w:name="_Toc172232856"/>
      <w:r>
        <w:t>Inversión en tesorería</w:t>
      </w:r>
      <w:bookmarkEnd w:id="75"/>
    </w:p>
    <w:p w14:paraId="1827BD2A" w14:textId="3DBF84E3" w:rsidR="008338C9" w:rsidRPr="008338C9" w:rsidRDefault="008338C9" w:rsidP="008338C9">
      <w:pPr>
        <w:pStyle w:val="Notaalopositor"/>
      </w:pPr>
      <w:r>
        <w:t>Coordinar en temas 3.A.3</w:t>
      </w:r>
      <w:r w:rsidR="003245D3">
        <w:t>5</w:t>
      </w:r>
      <w:r>
        <w:t xml:space="preserve"> y 3.B.2</w:t>
      </w:r>
    </w:p>
    <w:p w14:paraId="6FF4EE42" w14:textId="77777777" w:rsidR="00B2093C" w:rsidRDefault="00B2093C" w:rsidP="00302561">
      <w:pPr>
        <w:pStyle w:val="Ttulo7"/>
        <w:spacing w:before="0"/>
      </w:pPr>
      <w:r>
        <w:t>Idea</w:t>
      </w:r>
    </w:p>
    <w:p w14:paraId="288DDF30" w14:textId="77777777" w:rsidR="00BC63E3" w:rsidRDefault="00BC63E3" w:rsidP="00BC63E3">
      <w:pPr>
        <w:pStyle w:val="Nivel1SM"/>
      </w:pPr>
      <w:r w:rsidRPr="00BC63E3">
        <w:rPr>
          <w:highlight w:val="yellow"/>
        </w:rPr>
        <w:t xml:space="preserve">Modelos de </w:t>
      </w:r>
      <w:r w:rsidRPr="008338C9">
        <w:rPr>
          <w:smallCaps/>
          <w:highlight w:val="yellow"/>
        </w:rPr>
        <w:t>Wilson</w:t>
      </w:r>
      <w:r w:rsidRPr="00BC63E3">
        <w:rPr>
          <w:highlight w:val="yellow"/>
        </w:rPr>
        <w:t xml:space="preserve"> y </w:t>
      </w:r>
      <w:r w:rsidRPr="008338C9">
        <w:rPr>
          <w:smallCaps/>
          <w:highlight w:val="yellow"/>
        </w:rPr>
        <w:t>Tobin</w:t>
      </w:r>
      <w:r w:rsidRPr="00BC63E3">
        <w:rPr>
          <w:highlight w:val="yellow"/>
        </w:rPr>
        <w:t xml:space="preserve"> / </w:t>
      </w:r>
      <w:proofErr w:type="spellStart"/>
      <w:r w:rsidRPr="008338C9">
        <w:rPr>
          <w:smallCaps/>
          <w:highlight w:val="yellow"/>
        </w:rPr>
        <w:t>Baumol</w:t>
      </w:r>
      <w:proofErr w:type="spellEnd"/>
    </w:p>
    <w:p w14:paraId="22653E28" w14:textId="03FDBBF1" w:rsidR="00B2093C" w:rsidRDefault="00B2093C" w:rsidP="00B2093C">
      <w:pPr>
        <w:pStyle w:val="Nivel1SM"/>
      </w:pPr>
      <w:r>
        <w:t>Vamos a abordar las decisiones de mantener un cierto volumen de tesorería</w:t>
      </w:r>
      <w:r w:rsidR="00BC63E3">
        <w:rPr>
          <w:rStyle w:val="Refdenotaalpie"/>
        </w:rPr>
        <w:footnoteReference w:id="24"/>
      </w:r>
      <w:r>
        <w:t xml:space="preserve"> siguiendo el modelo de </w:t>
      </w:r>
      <w:proofErr w:type="spellStart"/>
      <w:r>
        <w:rPr>
          <w:smallCaps/>
        </w:rPr>
        <w:t>Baumol</w:t>
      </w:r>
      <w:proofErr w:type="spellEnd"/>
      <w:r>
        <w:t xml:space="preserve"> (1952).</w:t>
      </w:r>
    </w:p>
    <w:p w14:paraId="210E58D4" w14:textId="77777777" w:rsidR="00B2093C" w:rsidRDefault="00B2093C" w:rsidP="00B2093C">
      <w:pPr>
        <w:pStyle w:val="Ttulo7"/>
      </w:pPr>
      <w:r>
        <w:lastRenderedPageBreak/>
        <w:t xml:space="preserve">Modelo de </w:t>
      </w:r>
      <w:proofErr w:type="spellStart"/>
      <w:r>
        <w:rPr>
          <w:smallCaps/>
        </w:rPr>
        <w:t>Baumol</w:t>
      </w:r>
      <w:proofErr w:type="spellEnd"/>
      <w:r>
        <w:t xml:space="preserve"> (1952)</w:t>
      </w:r>
    </w:p>
    <w:p w14:paraId="3E727DC1" w14:textId="77777777" w:rsidR="00B2093C" w:rsidRPr="007D3D6B" w:rsidRDefault="00B2093C" w:rsidP="00302561">
      <w:pPr>
        <w:pStyle w:val="Ttulo8"/>
        <w:spacing w:before="0"/>
      </w:pPr>
      <w:r w:rsidRPr="007D3D6B">
        <w:t>Supuestos</w:t>
      </w:r>
    </w:p>
    <w:p w14:paraId="494F2C8E" w14:textId="77777777" w:rsidR="00B2093C" w:rsidRPr="007D3D6B" w:rsidRDefault="00B2093C" w:rsidP="00B2093C">
      <w:pPr>
        <w:pStyle w:val="Nivel1SM"/>
        <w:keepNext/>
        <w:spacing w:after="0"/>
      </w:pPr>
      <w:proofErr w:type="spellStart"/>
      <w:r w:rsidRPr="007D3D6B">
        <w:rPr>
          <w:smallCaps/>
        </w:rPr>
        <w:t>Baumol</w:t>
      </w:r>
      <w:proofErr w:type="spellEnd"/>
      <w:r w:rsidRPr="000417FD">
        <w:t xml:space="preserve"> (1952) </w:t>
      </w:r>
      <w:r w:rsidRPr="007D3D6B">
        <w:t>parte de los siguientes supuestos:</w:t>
      </w:r>
    </w:p>
    <w:p w14:paraId="7D6D1C73" w14:textId="2549A4FA" w:rsidR="00B2093C" w:rsidRPr="007D3D6B" w:rsidRDefault="00B2093C" w:rsidP="00B2093C">
      <w:pPr>
        <w:pStyle w:val="Nivel2SM"/>
      </w:pPr>
      <w:r w:rsidRPr="007D3D6B">
        <w:t xml:space="preserve">Existen </w:t>
      </w:r>
      <w:r w:rsidR="008338C9">
        <w:rPr>
          <w:b/>
          <w:bCs/>
        </w:rPr>
        <w:t>2 </w:t>
      </w:r>
      <w:r w:rsidRPr="007D3D6B">
        <w:rPr>
          <w:b/>
          <w:bCs/>
        </w:rPr>
        <w:t>activos en la economía</w:t>
      </w:r>
      <w:r w:rsidRPr="007D3D6B">
        <w:t xml:space="preserve"> (</w:t>
      </w:r>
      <w:r w:rsidRPr="00A26C5E">
        <w:rPr>
          <w:i/>
          <w:iCs/>
        </w:rPr>
        <w:t>tesorería</w:t>
      </w:r>
      <w:r w:rsidRPr="007D3D6B">
        <w:t xml:space="preserve"> </w:t>
      </w:r>
      <w:r w:rsidRPr="007D3D6B">
        <w:rPr>
          <w:sz w:val="19"/>
          <w:szCs w:val="19"/>
        </w:rPr>
        <w:t>(con rendimiento nulo)</w:t>
      </w:r>
      <w:r w:rsidRPr="007D3D6B">
        <w:t xml:space="preserve"> y </w:t>
      </w:r>
      <w:r>
        <w:rPr>
          <w:i/>
          <w:iCs/>
        </w:rPr>
        <w:t>otros activos</w:t>
      </w:r>
      <w:r w:rsidRPr="007D3D6B">
        <w:t xml:space="preserve"> </w:t>
      </w:r>
      <w:r w:rsidRPr="007D3D6B">
        <w:rPr>
          <w:sz w:val="19"/>
          <w:szCs w:val="19"/>
        </w:rPr>
        <w:t>(</w:t>
      </w:r>
      <w:r>
        <w:rPr>
          <w:sz w:val="19"/>
          <w:szCs w:val="19"/>
        </w:rPr>
        <w:t>con rentabilidad positiva</w:t>
      </w:r>
      <w:r w:rsidRPr="007D3D6B">
        <w:rPr>
          <w:sz w:val="19"/>
          <w:szCs w:val="19"/>
        </w:rPr>
        <w:t>)</w:t>
      </w:r>
      <w:r w:rsidRPr="007D3D6B">
        <w:t>).</w:t>
      </w:r>
    </w:p>
    <w:p w14:paraId="5DE951F3" w14:textId="7BA0CF25" w:rsidR="00B2093C" w:rsidRPr="007D3D6B" w:rsidRDefault="00B2093C" w:rsidP="00B2093C">
      <w:pPr>
        <w:pStyle w:val="Nivel2SM"/>
        <w:keepNext/>
        <w:spacing w:after="0"/>
      </w:pPr>
      <w:r w:rsidRPr="007D3D6B">
        <w:t xml:space="preserve">Existen </w:t>
      </w:r>
      <w:r w:rsidR="004A373A">
        <w:t>2 </w:t>
      </w:r>
      <w:r w:rsidRPr="007D3D6B">
        <w:t>costes</w:t>
      </w:r>
      <w:r>
        <w:t>:</w:t>
      </w:r>
    </w:p>
    <w:p w14:paraId="5AF9BFF3" w14:textId="77777777" w:rsidR="00B2093C" w:rsidRPr="007D3D6B" w:rsidRDefault="00B2093C" w:rsidP="00B2093C">
      <w:pPr>
        <w:pStyle w:val="Nivel3SM"/>
      </w:pPr>
      <w:r w:rsidRPr="00A26C5E">
        <w:rPr>
          <w:i/>
          <w:iCs/>
        </w:rPr>
        <w:t>Costes de corretaje</w:t>
      </w:r>
      <w:r w:rsidRPr="007D3D6B">
        <w:t>, es decir, el coste de conversión asociado a convertir bonos en dinero.</w:t>
      </w:r>
    </w:p>
    <w:p w14:paraId="3A45C3F7" w14:textId="77777777" w:rsidR="00B2093C" w:rsidRPr="007D3D6B" w:rsidRDefault="00B2093C" w:rsidP="00B2093C">
      <w:pPr>
        <w:pStyle w:val="Nivel3SM"/>
      </w:pPr>
      <w:r w:rsidRPr="00A26C5E">
        <w:rPr>
          <w:i/>
          <w:iCs/>
        </w:rPr>
        <w:t>Costes de oportunidad</w:t>
      </w:r>
      <w:r w:rsidRPr="007D3D6B">
        <w:t>, es decir, el tipo de interés que el agente deja de percibir si mantiene sus activos en dinero.</w:t>
      </w:r>
    </w:p>
    <w:p w14:paraId="217BA9C8" w14:textId="77777777" w:rsidR="00B2093C" w:rsidRPr="007D3D6B" w:rsidRDefault="00B2093C" w:rsidP="00B2093C">
      <w:pPr>
        <w:pStyle w:val="Nivel2SM"/>
      </w:pPr>
      <w:r w:rsidRPr="007D3D6B">
        <w:t xml:space="preserve">El individuo, en un </w:t>
      </w:r>
      <w:r w:rsidRPr="007D3D6B">
        <w:rPr>
          <w:b/>
        </w:rPr>
        <w:t xml:space="preserve">contexto de </w:t>
      </w:r>
      <w:r w:rsidRPr="007D3D6B">
        <w:rPr>
          <w:b/>
          <w:u w:val="single"/>
        </w:rPr>
        <w:t>certeza</w:t>
      </w:r>
      <w:r w:rsidRPr="007D3D6B">
        <w:t xml:space="preserve">, recibe una determinada renta de forma periódica y la gasta a lo largo del período a un ritmo uniforme, debiendo </w:t>
      </w:r>
      <w:r w:rsidRPr="007D3D6B">
        <w:rPr>
          <w:b/>
        </w:rPr>
        <w:t>decidir cómo gestionar su demanda de dinero</w:t>
      </w:r>
      <w:r w:rsidRPr="007D3D6B">
        <w:t>: mantener su renta en dinero (lo que genera coste de oportunidad) o en bonos (lo que genera coste de corretaje –i.e. coste de conversión de los bonos en dinero)–.</w:t>
      </w:r>
    </w:p>
    <w:p w14:paraId="202D2956" w14:textId="77777777" w:rsidR="00B2093C" w:rsidRPr="007D3D6B" w:rsidRDefault="00B2093C" w:rsidP="00B2093C">
      <w:pPr>
        <w:pStyle w:val="Ttulo8"/>
      </w:pPr>
      <w:r w:rsidRPr="007D3D6B">
        <w:t>Desarrollo</w:t>
      </w:r>
    </w:p>
    <w:p w14:paraId="7F978D3F" w14:textId="77777777" w:rsidR="00B2093C" w:rsidRPr="007D3D6B" w:rsidRDefault="00B2093C" w:rsidP="008338C9">
      <w:pPr>
        <w:pStyle w:val="Nivel1SM"/>
        <w:keepNext/>
        <w:spacing w:before="0" w:after="0"/>
      </w:pPr>
      <w:r w:rsidRPr="007D3D6B">
        <w:t xml:space="preserve">Según </w:t>
      </w:r>
      <w:proofErr w:type="spellStart"/>
      <w:r>
        <w:rPr>
          <w:smallCaps/>
        </w:rPr>
        <w:t>Baumol</w:t>
      </w:r>
      <w:proofErr w:type="spellEnd"/>
      <w:r w:rsidRPr="007D3D6B">
        <w:t>, el problema de</w:t>
      </w:r>
      <w:r>
        <w:t xml:space="preserve"> la empresa </w:t>
      </w:r>
      <w:r w:rsidRPr="007D3D6B">
        <w:t xml:space="preserve">consiste en determinar </w:t>
      </w:r>
      <w:r w:rsidRPr="007D3D6B">
        <w:rPr>
          <w:b/>
        </w:rPr>
        <w:t xml:space="preserve">cómo minimizar </w:t>
      </w:r>
      <w:r w:rsidRPr="007D3D6B">
        <w:t>el</w:t>
      </w:r>
      <w:r w:rsidRPr="007D3D6B">
        <w:rPr>
          <w:b/>
        </w:rPr>
        <w:t xml:space="preserve"> </w:t>
      </w:r>
      <w:r w:rsidRPr="007D3D6B">
        <w:t>coste total de dicha gestión (coste de corretaje + coste de oportunidad):</w:t>
      </w:r>
    </w:p>
    <w:p w14:paraId="7412B540" w14:textId="77777777" w:rsidR="00B2093C" w:rsidRPr="007D3D6B" w:rsidRDefault="00000000" w:rsidP="00B2093C">
      <w:pPr>
        <w:keepNext/>
        <w:spacing w:after="0"/>
        <w:jc w:val="center"/>
        <w:rPr>
          <w:i/>
          <w:lang w:val="en-US"/>
        </w:rPr>
      </w:pPr>
      <m:oMathPara>
        <m:oMath>
          <m:limLow>
            <m:limLowPr>
              <m:ctrlPr>
                <w:rPr>
                  <w:rFonts w:ascii="Cambria Math" w:eastAsia="Calibri" w:hAnsi="Cambria Math"/>
                  <w:i/>
                </w:rPr>
              </m:ctrlPr>
            </m:limLowPr>
            <m:e>
              <m:r>
                <m:rPr>
                  <m:nor/>
                </m:rPr>
                <w:rPr>
                  <w:rFonts w:eastAsia="Calibri"/>
                  <w:i/>
                  <w:lang w:val="en-US"/>
                </w:rPr>
                <m:t>min</m:t>
              </m:r>
            </m:e>
            <m:lim>
              <m:d>
                <m:dPr>
                  <m:begChr m:val="{"/>
                  <m:endChr m:val="}"/>
                  <m:ctrlPr>
                    <w:rPr>
                      <w:rFonts w:ascii="Cambria Math" w:eastAsia="Calibri" w:hAnsi="Cambria Math"/>
                      <w:i/>
                    </w:rPr>
                  </m:ctrlPr>
                </m:dPr>
                <m:e>
                  <m:r>
                    <m:rPr>
                      <m:nor/>
                    </m:rPr>
                    <w:rPr>
                      <w:rFonts w:eastAsia="Calibri"/>
                      <w:i/>
                      <w:lang w:val="en-US"/>
                    </w:rPr>
                    <m:t>M</m:t>
                  </m:r>
                </m:e>
              </m:d>
            </m:lim>
          </m:limLow>
          <m:r>
            <m:rPr>
              <m:nor/>
            </m:rPr>
            <w:rPr>
              <w:rFonts w:eastAsia="Calibri"/>
              <w:i/>
              <w:lang w:val="en-US"/>
            </w:rPr>
            <m:t xml:space="preserve"> CT</m:t>
          </m:r>
          <m:r>
            <w:rPr>
              <w:rFonts w:ascii="Cambria Math" w:eastAsia="Calibri" w:hAnsi="Cambria Math"/>
              <w:lang w:val="en-US"/>
            </w:rPr>
            <m:t>=</m:t>
          </m:r>
          <m:r>
            <m:rPr>
              <m:nor/>
            </m:rPr>
            <w:rPr>
              <w:rFonts w:eastAsia="Calibri"/>
              <w:i/>
              <w:lang w:val="en-US"/>
            </w:rPr>
            <m:t>b</m:t>
          </m:r>
          <m:r>
            <w:rPr>
              <w:rFonts w:ascii="Cambria Math" w:eastAsia="Calibri" w:hAnsi="Cambria Math"/>
              <w:lang w:val="en-US"/>
            </w:rPr>
            <m:t>∙</m:t>
          </m:r>
          <m:f>
            <m:fPr>
              <m:ctrlPr>
                <w:rPr>
                  <w:rFonts w:ascii="Cambria Math" w:eastAsia="Calibri" w:hAnsi="Cambria Math"/>
                  <w:i/>
                </w:rPr>
              </m:ctrlPr>
            </m:fPr>
            <m:num>
              <m:r>
                <m:rPr>
                  <m:nor/>
                </m:rPr>
                <w:rPr>
                  <w:rFonts w:eastAsia="Calibri"/>
                  <w:i/>
                  <w:lang w:val="en-US"/>
                </w:rPr>
                <m:t>Y</m:t>
              </m:r>
            </m:num>
            <m:den>
              <m:r>
                <m:rPr>
                  <m:nor/>
                </m:rPr>
                <w:rPr>
                  <w:rFonts w:eastAsia="Calibri"/>
                  <w:i/>
                  <w:lang w:val="en-US"/>
                </w:rPr>
                <m:t>M</m:t>
              </m:r>
            </m:den>
          </m:f>
          <m:r>
            <w:rPr>
              <w:rFonts w:ascii="Cambria Math" w:eastAsia="Calibri" w:hAnsi="Cambria Math"/>
              <w:lang w:val="en-US"/>
            </w:rPr>
            <m:t>+</m:t>
          </m:r>
          <m:r>
            <m:rPr>
              <m:nor/>
            </m:rPr>
            <w:rPr>
              <w:rFonts w:eastAsia="Calibri"/>
              <w:i/>
              <w:lang w:val="en-US"/>
            </w:rPr>
            <m:t>i</m:t>
          </m:r>
          <m:r>
            <w:rPr>
              <w:rFonts w:ascii="Cambria Math" w:eastAsia="Calibri" w:hAnsi="Cambria Math"/>
              <w:lang w:val="en-US"/>
            </w:rPr>
            <m:t>∙</m:t>
          </m:r>
          <m:f>
            <m:fPr>
              <m:ctrlPr>
                <w:rPr>
                  <w:rFonts w:ascii="Cambria Math" w:eastAsia="Calibri" w:hAnsi="Cambria Math"/>
                  <w:i/>
                </w:rPr>
              </m:ctrlPr>
            </m:fPr>
            <m:num>
              <m:r>
                <m:rPr>
                  <m:nor/>
                </m:rPr>
                <w:rPr>
                  <w:rFonts w:eastAsia="Calibri"/>
                  <w:i/>
                  <w:lang w:val="en-US"/>
                </w:rPr>
                <m:t>M</m:t>
              </m:r>
            </m:num>
            <m:den>
              <m:r>
                <m:rPr>
                  <m:nor/>
                </m:rPr>
                <w:rPr>
                  <w:rFonts w:eastAsia="Calibri"/>
                  <w:i/>
                  <w:lang w:val="en-US"/>
                </w:rPr>
                <m:t>2</m:t>
              </m:r>
            </m:den>
          </m:f>
        </m:oMath>
      </m:oMathPara>
    </w:p>
    <w:p w14:paraId="0CC052C3" w14:textId="77777777" w:rsidR="00B2093C" w:rsidRPr="007D3D6B" w:rsidRDefault="00B2093C" w:rsidP="00B2093C">
      <w:pPr>
        <w:pStyle w:val="Nivel2SM"/>
      </w:pPr>
      <m:oMath>
        <m:r>
          <m:rPr>
            <m:nor/>
          </m:rPr>
          <w:rPr>
            <w:rFonts w:eastAsia="Calibri"/>
            <w:i/>
          </w:rPr>
          <m:t>b</m:t>
        </m:r>
      </m:oMath>
      <w:r w:rsidRPr="007D3D6B">
        <w:t xml:space="preserve"> = coste de corretaje unitario de convertir </w:t>
      </w:r>
      <w:r>
        <w:t>otros activos</w:t>
      </w:r>
      <w:r w:rsidRPr="007D3D6B">
        <w:t xml:space="preserve"> en </w:t>
      </w:r>
      <w:r>
        <w:t>tesorería</w:t>
      </w:r>
      <w:r w:rsidRPr="007D3D6B">
        <w:t>.</w:t>
      </w:r>
    </w:p>
    <w:p w14:paraId="4933B5B7" w14:textId="77777777" w:rsidR="00B2093C" w:rsidRPr="007D3D6B" w:rsidRDefault="00B2093C" w:rsidP="00B2093C">
      <w:pPr>
        <w:pStyle w:val="Nivel2SM"/>
      </w:pPr>
      <m:oMath>
        <m:r>
          <m:rPr>
            <m:nor/>
          </m:rPr>
          <w:rPr>
            <w:rFonts w:eastAsia="Calibri"/>
            <w:i/>
          </w:rPr>
          <m:t>Y</m:t>
        </m:r>
      </m:oMath>
      <w:r w:rsidRPr="007D3D6B">
        <w:rPr>
          <w:i/>
        </w:rPr>
        <w:t xml:space="preserve"> </w:t>
      </w:r>
      <w:r w:rsidRPr="007D3D6B">
        <w:t xml:space="preserve">= renta del individuo, que puede mantenerse en </w:t>
      </w:r>
      <w:r>
        <w:t>tesorería</w:t>
      </w:r>
      <w:r w:rsidRPr="007D3D6B">
        <w:t xml:space="preserve"> o en </w:t>
      </w:r>
      <w:r>
        <w:t>otros activos</w:t>
      </w:r>
      <w:r w:rsidRPr="007D3D6B">
        <w:t>.</w:t>
      </w:r>
    </w:p>
    <w:p w14:paraId="5FCF1421" w14:textId="77777777" w:rsidR="00B2093C" w:rsidRPr="007D3D6B" w:rsidRDefault="00B2093C" w:rsidP="00B2093C">
      <w:pPr>
        <w:pStyle w:val="Nivel2SM"/>
      </w:pPr>
      <m:oMath>
        <m:r>
          <m:rPr>
            <m:nor/>
          </m:rPr>
          <w:rPr>
            <w:rFonts w:eastAsia="Calibri"/>
            <w:i/>
          </w:rPr>
          <m:t>M</m:t>
        </m:r>
      </m:oMath>
      <w:r w:rsidRPr="007D3D6B">
        <w:rPr>
          <w:i/>
        </w:rPr>
        <w:t xml:space="preserve"> </w:t>
      </w:r>
      <w:r w:rsidRPr="007D3D6B">
        <w:t xml:space="preserve">= </w:t>
      </w:r>
      <w:r>
        <w:t>tesorería</w:t>
      </w:r>
      <w:r w:rsidRPr="007D3D6B">
        <w:t xml:space="preserve"> obtenid</w:t>
      </w:r>
      <w:r>
        <w:t>a</w:t>
      </w:r>
      <w:r w:rsidRPr="007D3D6B">
        <w:t xml:space="preserve"> cada vez que se convierten </w:t>
      </w:r>
      <w:r>
        <w:t>otros activos</w:t>
      </w:r>
      <w:r w:rsidRPr="007D3D6B">
        <w:t xml:space="preserve"> en </w:t>
      </w:r>
      <w:r>
        <w:t>tesorería</w:t>
      </w:r>
      <w:r w:rsidRPr="007D3D6B">
        <w:rPr>
          <w:rStyle w:val="Refdenotaalpie"/>
        </w:rPr>
        <w:footnoteReference w:id="25"/>
      </w:r>
      <w:r w:rsidRPr="007D3D6B">
        <w:t>.</w:t>
      </w:r>
    </w:p>
    <w:p w14:paraId="26443059" w14:textId="77777777" w:rsidR="00B2093C" w:rsidRPr="007D3D6B" w:rsidRDefault="00B2093C" w:rsidP="00B2093C">
      <w:pPr>
        <w:pStyle w:val="Nivel2SM"/>
      </w:pPr>
      <m:oMath>
        <m:r>
          <m:rPr>
            <m:nor/>
          </m:rPr>
          <w:rPr>
            <w:rFonts w:eastAsia="Calibri"/>
            <w:i/>
          </w:rPr>
          <m:t>i</m:t>
        </m:r>
      </m:oMath>
      <w:r w:rsidRPr="007D3D6B">
        <w:rPr>
          <w:i/>
        </w:rPr>
        <w:t xml:space="preserve"> = </w:t>
      </w:r>
      <w:r w:rsidRPr="007D3D6B">
        <w:t>coste de oportunidad (i.e. tipo de interés).</w:t>
      </w:r>
    </w:p>
    <w:p w14:paraId="20FF9190" w14:textId="77777777" w:rsidR="00B2093C" w:rsidRPr="007D3D6B" w:rsidRDefault="00000000" w:rsidP="00B2093C">
      <w:pPr>
        <w:pStyle w:val="Nivel2SM"/>
      </w:pPr>
      <m:oMath>
        <m:f>
          <m:fPr>
            <m:type m:val="lin"/>
            <m:ctrlPr>
              <w:rPr>
                <w:rFonts w:ascii="Cambria Math" w:eastAsiaTheme="minorEastAsia" w:hAnsi="Cambria Math"/>
                <w:i/>
              </w:rPr>
            </m:ctrlPr>
          </m:fPr>
          <m:num>
            <m:r>
              <m:rPr>
                <m:nor/>
              </m:rPr>
              <w:rPr>
                <w:rFonts w:eastAsia="Calibri"/>
                <w:i/>
              </w:rPr>
              <m:t>M</m:t>
            </m:r>
          </m:num>
          <m:den>
            <m:r>
              <m:rPr>
                <m:nor/>
              </m:rPr>
              <w:rPr>
                <w:rFonts w:eastAsia="Calibri"/>
                <w:i/>
              </w:rPr>
              <m:t>2</m:t>
            </m:r>
          </m:den>
        </m:f>
      </m:oMath>
      <w:r w:rsidR="00B2093C" w:rsidRPr="007D3D6B">
        <w:t xml:space="preserve"> = </w:t>
      </w:r>
      <w:r w:rsidR="00B2093C">
        <w:t>tenencias de tesorería</w:t>
      </w:r>
      <w:r w:rsidR="00B2093C" w:rsidRPr="007D3D6B">
        <w:t xml:space="preserve"> medi</w:t>
      </w:r>
      <w:r w:rsidR="00B2093C">
        <w:t>a</w:t>
      </w:r>
      <w:r w:rsidR="00B2093C" w:rsidRPr="007D3D6B">
        <w:t xml:space="preserve"> durante el período, que es una media de lo que se tiene al principio del período, </w:t>
      </w:r>
      <m:oMath>
        <m:r>
          <m:rPr>
            <m:nor/>
          </m:rPr>
          <w:rPr>
            <w:rFonts w:eastAsia="Calibri"/>
            <w:i/>
          </w:rPr>
          <m:t>M</m:t>
        </m:r>
      </m:oMath>
      <w:r w:rsidR="00B2093C" w:rsidRPr="007D3D6B">
        <w:t xml:space="preserve">, y lo que se tiene al final, cero: </w:t>
      </w:r>
      <m:oMath>
        <m:f>
          <m:fPr>
            <m:type m:val="lin"/>
            <m:ctrlPr>
              <w:rPr>
                <w:rFonts w:ascii="Cambria Math" w:eastAsia="Calibri" w:hAnsi="Cambria Math"/>
                <w:i/>
              </w:rPr>
            </m:ctrlPr>
          </m:fPr>
          <m:num>
            <m:d>
              <m:dPr>
                <m:ctrlPr>
                  <w:rPr>
                    <w:rFonts w:ascii="Cambria Math" w:eastAsia="Calibri" w:hAnsi="Cambria Math"/>
                    <w:i/>
                  </w:rPr>
                </m:ctrlPr>
              </m:dPr>
              <m:e>
                <m:r>
                  <m:rPr>
                    <m:nor/>
                  </m:rPr>
                  <w:rPr>
                    <w:rFonts w:eastAsia="Calibri"/>
                    <w:i/>
                  </w:rPr>
                  <m:t>M</m:t>
                </m:r>
                <m:r>
                  <w:rPr>
                    <w:rFonts w:ascii="Cambria Math" w:eastAsia="Calibri" w:hAnsi="Cambria Math"/>
                  </w:rPr>
                  <m:t>+</m:t>
                </m:r>
                <m:r>
                  <m:rPr>
                    <m:nor/>
                  </m:rPr>
                  <w:rPr>
                    <w:rFonts w:eastAsia="Calibri"/>
                    <w:i/>
                  </w:rPr>
                  <m:t>0</m:t>
                </m:r>
              </m:e>
            </m:d>
          </m:num>
          <m:den>
            <m:r>
              <m:rPr>
                <m:nor/>
              </m:rPr>
              <w:rPr>
                <w:rFonts w:eastAsia="Calibri"/>
                <w:i/>
              </w:rPr>
              <m:t>2</m:t>
            </m:r>
          </m:den>
        </m:f>
      </m:oMath>
      <w:r w:rsidR="00B2093C" w:rsidRPr="007D3D6B">
        <w:t xml:space="preserve"> (i.e. demanda de </w:t>
      </w:r>
      <w:r w:rsidR="00B2093C">
        <w:t>tesorería</w:t>
      </w:r>
      <w:r w:rsidR="00B2093C" w:rsidRPr="007D3D6B">
        <w:t>).</w:t>
      </w:r>
    </w:p>
    <w:p w14:paraId="078002E1" w14:textId="77777777" w:rsidR="00B2093C" w:rsidRPr="007D3D6B" w:rsidRDefault="00B2093C" w:rsidP="00B2093C">
      <w:pPr>
        <w:pStyle w:val="Nivel1SM"/>
        <w:keepNext/>
        <w:spacing w:after="0"/>
      </w:pPr>
      <w:r w:rsidRPr="007D3D6B">
        <w:rPr>
          <w:b/>
        </w:rPr>
        <w:t>Analíticamente</w:t>
      </w:r>
      <w:r>
        <w:t>, r</w:t>
      </w:r>
      <w:r w:rsidRPr="007D3D6B">
        <w:t>esolviendo el problema anterior, se obtendrá que</w:t>
      </w:r>
      <w:r>
        <w:t xml:space="preserve"> la tesorería mantenida en un período depende de</w:t>
      </w:r>
      <w:r w:rsidRPr="007D3D6B">
        <w:t>:</w:t>
      </w:r>
    </w:p>
    <w:p w14:paraId="54FB22BE" w14:textId="77777777" w:rsidR="00B2093C" w:rsidRPr="00B2093C" w:rsidRDefault="00B2093C" w:rsidP="00B2093C">
      <w:pPr>
        <w:ind w:hanging="142"/>
        <w:jc w:val="center"/>
        <w:rPr>
          <w:rFonts w:eastAsiaTheme="minorEastAsia"/>
          <w:i/>
          <w:iCs/>
        </w:rPr>
      </w:pPr>
      <m:oMathPara>
        <m:oMath>
          <m:r>
            <m:rPr>
              <m:nor/>
            </m:rPr>
            <w:rPr>
              <w:rFonts w:eastAsia="Calibri"/>
              <w:i/>
              <w:iCs/>
            </w:rPr>
            <m:t>CPO:</m:t>
          </m:r>
          <m:r>
            <m:rPr>
              <m:nor/>
            </m:rPr>
            <w:rPr>
              <w:rFonts w:eastAsia="Calibri"/>
              <w:i/>
              <w:iCs/>
            </w:rPr>
            <w:br/>
          </m:r>
        </m:oMath>
        <m:oMath>
          <m:f>
            <m:fPr>
              <m:ctrlPr>
                <w:rPr>
                  <w:rFonts w:ascii="Cambria Math" w:eastAsia="Calibri" w:hAnsi="Cambria Math"/>
                  <w:i/>
                  <w:iCs/>
                </w:rPr>
              </m:ctrlPr>
            </m:fPr>
            <m:num>
              <m:r>
                <m:rPr>
                  <m:nor/>
                </m:rPr>
                <w:rPr>
                  <w:rFonts w:eastAsia="Calibri"/>
                  <w:i/>
                  <w:iCs/>
                </w:rPr>
                <m:t>∂CT</m:t>
              </m:r>
            </m:num>
            <m:den>
              <m:r>
                <m:rPr>
                  <m:nor/>
                </m:rPr>
                <w:rPr>
                  <w:rFonts w:eastAsia="Calibri"/>
                  <w:i/>
                  <w:iCs/>
                </w:rPr>
                <m:t>∂M</m:t>
              </m:r>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r>
            <w:rPr>
              <w:rFonts w:ascii="Cambria Math" w:eastAsia="Calibri" w:hAnsi="Cambria Math"/>
            </w:rPr>
            <m:t>-</m:t>
          </m:r>
          <m:r>
            <m:rPr>
              <m:nor/>
            </m:rPr>
            <w:rPr>
              <w:rFonts w:eastAsia="Calibri"/>
              <w:i/>
              <w:iCs/>
            </w:rPr>
            <m:t>b</m:t>
          </m:r>
          <m:r>
            <w:rPr>
              <w:rFonts w:ascii="Cambria Math" w:eastAsia="Calibri" w:hAnsi="Cambria Math"/>
            </w:rPr>
            <m:t>∙</m:t>
          </m:r>
          <m:f>
            <m:fPr>
              <m:ctrlPr>
                <w:rPr>
                  <w:rFonts w:ascii="Cambria Math" w:eastAsia="Calibri" w:hAnsi="Cambria Math"/>
                  <w:i/>
                  <w:iCs/>
                </w:rPr>
              </m:ctrlPr>
            </m:fPr>
            <m:num>
              <m:r>
                <m:rPr>
                  <m:nor/>
                </m:rPr>
                <w:rPr>
                  <w:rFonts w:eastAsia="Calibri"/>
                  <w:i/>
                  <w:iCs/>
                </w:rPr>
                <m:t>Y</m:t>
              </m:r>
            </m:num>
            <m:den>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den>
          </m:f>
          <m:r>
            <w:rPr>
              <w:rFonts w:ascii="Cambria Math" w:eastAsia="Calibri" w:hAnsi="Cambria Math"/>
            </w:rPr>
            <m:t>+</m:t>
          </m:r>
          <m:r>
            <m:rPr>
              <m:nor/>
            </m:rPr>
            <w:rPr>
              <w:rFonts w:eastAsia="Calibri"/>
              <w:i/>
              <w:iCs/>
            </w:rPr>
            <m:t>i</m:t>
          </m:r>
          <m:r>
            <w:rPr>
              <w:rFonts w:ascii="Cambria Math" w:eastAsia="Calibri" w:hAnsi="Cambria Math"/>
            </w:rPr>
            <m:t>∙</m:t>
          </m:r>
          <m:f>
            <m:fPr>
              <m:ctrlPr>
                <w:rPr>
                  <w:rFonts w:ascii="Cambria Math" w:eastAsia="Calibri" w:hAnsi="Cambria Math"/>
                  <w:i/>
                  <w:iCs/>
                </w:rPr>
              </m:ctrlPr>
            </m:fPr>
            <m:num>
              <m:r>
                <m:rPr>
                  <m:nor/>
                </m:rPr>
                <w:rPr>
                  <w:rFonts w:eastAsia="Calibri"/>
                  <w:i/>
                  <w:iCs/>
                </w:rPr>
                <m:t>1</m:t>
              </m:r>
            </m:num>
            <m:den>
              <m:r>
                <m:rPr>
                  <m:nor/>
                </m:rPr>
                <w:rPr>
                  <w:rFonts w:eastAsia="Calibri"/>
                  <w:i/>
                  <w:iCs/>
                </w:rPr>
                <m:t>2</m:t>
              </m:r>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f>
            <m:fPr>
              <m:ctrlPr>
                <w:rPr>
                  <w:rFonts w:ascii="Cambria Math" w:eastAsia="Calibri" w:hAnsi="Cambria Math"/>
                  <w:i/>
                  <w:iCs/>
                </w:rPr>
              </m:ctrlPr>
            </m:fPr>
            <m:num>
              <m:r>
                <w:rPr>
                  <w:rFonts w:ascii="Cambria Math" w:eastAsia="Calibri" w:hAnsi="Cambria Math"/>
                </w:rPr>
                <m:t>-</m:t>
              </m:r>
              <m:r>
                <m:rPr>
                  <m:nor/>
                </m:rPr>
                <w:rPr>
                  <w:rFonts w:eastAsia="Calibri"/>
                  <w:i/>
                  <w:iCs/>
                </w:rPr>
                <m:t>2</m:t>
              </m:r>
              <m:r>
                <w:rPr>
                  <w:rFonts w:ascii="Cambria Math" w:eastAsia="Calibri" w:hAnsi="Cambria Math"/>
                </w:rPr>
                <m:t>∙</m:t>
              </m:r>
              <m:r>
                <m:rPr>
                  <m:nor/>
                </m:rPr>
                <w:rPr>
                  <w:rFonts w:eastAsia="Calibri"/>
                  <w:i/>
                  <w:iCs/>
                </w:rPr>
                <m:t>b</m:t>
              </m:r>
              <m:r>
                <w:rPr>
                  <w:rFonts w:ascii="Cambria Math" w:eastAsia="Calibri" w:hAnsi="Cambria Math"/>
                </w:rPr>
                <m:t>∙</m:t>
              </m:r>
              <m:r>
                <m:rPr>
                  <m:nor/>
                </m:rPr>
                <w:rPr>
                  <w:rFonts w:eastAsia="Calibri"/>
                  <w:i/>
                  <w:iCs/>
                </w:rPr>
                <m:t>Y</m:t>
              </m:r>
              <m:r>
                <w:rPr>
                  <w:rFonts w:ascii="Cambria Math" w:eastAsia="Calibri" w:hAnsi="Cambria Math"/>
                </w:rPr>
                <m:t>+</m:t>
              </m:r>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r>
                <w:rPr>
                  <w:rFonts w:ascii="Cambria Math" w:eastAsia="Calibri" w:hAnsi="Cambria Math"/>
                </w:rPr>
                <m:t>∙</m:t>
              </m:r>
              <m:r>
                <m:rPr>
                  <m:nor/>
                </m:rPr>
                <w:rPr>
                  <w:rFonts w:eastAsia="Calibri"/>
                  <w:i/>
                  <w:iCs/>
                </w:rPr>
                <m:t>i</m:t>
              </m:r>
            </m:num>
            <m:den>
              <m:r>
                <m:rPr>
                  <m:nor/>
                </m:rPr>
                <w:rPr>
                  <w:rFonts w:eastAsia="Calibri"/>
                  <w:i/>
                  <w:iCs/>
                </w:rPr>
                <m:t>2</m:t>
              </m:r>
              <m:r>
                <w:rPr>
                  <w:rFonts w:ascii="Cambria Math" w:eastAsia="Calibri" w:hAnsi="Cambria Math"/>
                </w:rPr>
                <m:t>∙</m:t>
              </m:r>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r>
            <m:rPr>
              <m:sty m:val="p"/>
            </m:rPr>
            <w:rPr>
              <w:rFonts w:ascii="Cambria Math" w:eastAsia="Calibri" w:hAnsi="Cambria Math"/>
            </w:rPr>
            <w:br/>
          </m:r>
        </m:oMath>
        <m:oMath>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r>
            <w:rPr>
              <w:rFonts w:ascii="Cambria Math" w:eastAsia="Calibri" w:hAnsi="Cambria Math"/>
            </w:rPr>
            <m:t>∙</m:t>
          </m:r>
          <m:r>
            <m:rPr>
              <m:nor/>
            </m:rPr>
            <w:rPr>
              <w:rFonts w:eastAsia="Calibri"/>
              <w:i/>
              <w:iCs/>
            </w:rPr>
            <m:t>i</m:t>
          </m:r>
          <m:r>
            <w:rPr>
              <w:rFonts w:ascii="Cambria Math" w:eastAsia="Calibri" w:hAnsi="Cambria Math"/>
            </w:rPr>
            <m:t>=</m:t>
          </m:r>
          <m:r>
            <m:rPr>
              <m:nor/>
            </m:rPr>
            <w:rPr>
              <w:rFonts w:eastAsia="Calibri"/>
              <w:i/>
              <w:iCs/>
            </w:rPr>
            <m:t>2</m:t>
          </m:r>
          <m:r>
            <w:rPr>
              <w:rFonts w:ascii="Cambria Math" w:eastAsia="Calibri" w:hAnsi="Cambria Math"/>
            </w:rPr>
            <m:t>∙</m:t>
          </m:r>
          <m:r>
            <m:rPr>
              <m:nor/>
            </m:rPr>
            <w:rPr>
              <w:rFonts w:eastAsia="Calibri"/>
              <w:i/>
              <w:iCs/>
            </w:rPr>
            <m:t>b</m:t>
          </m:r>
          <m:r>
            <w:rPr>
              <w:rFonts w:ascii="Cambria Math" w:eastAsia="Calibri" w:hAnsi="Cambria Math"/>
            </w:rPr>
            <m:t>∙</m:t>
          </m:r>
          <m:r>
            <m:rPr>
              <m:nor/>
            </m:rPr>
            <w:rPr>
              <w:rFonts w:eastAsia="Calibri"/>
              <w:i/>
              <w:iCs/>
            </w:rPr>
            <m:t>Y</m:t>
          </m:r>
          <m:groupChr>
            <m:groupChrPr>
              <m:chr m:val="→"/>
              <m:vertJc m:val="bot"/>
              <m:ctrlPr>
                <w:rPr>
                  <w:rFonts w:ascii="Cambria Math" w:eastAsia="Calibri" w:hAnsi="Cambria Math"/>
                  <w:i/>
                  <w:iCs/>
                </w:rPr>
              </m:ctrlPr>
            </m:groupChrPr>
            <m:e>
              <m:r>
                <m:rPr>
                  <m:nor/>
                </m:rPr>
                <w:rPr>
                  <w:rFonts w:eastAsia="Calibri"/>
                  <w:i/>
                  <w:iCs/>
                </w:rPr>
                <m:t>  </m:t>
              </m:r>
            </m:e>
          </m:groupChr>
          <m:f>
            <m:fPr>
              <m:ctrlPr>
                <w:rPr>
                  <w:rFonts w:ascii="Cambria Math" w:eastAsia="Calibri" w:hAnsi="Cambria Math"/>
                  <w:i/>
                  <w:iCs/>
                </w:rPr>
              </m:ctrlPr>
            </m:fPr>
            <m:num>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num>
            <m:den>
              <m:r>
                <m:rPr>
                  <m:nor/>
                </m:rPr>
                <w:rPr>
                  <w:rFonts w:eastAsia="Calibri"/>
                  <w:i/>
                  <w:iCs/>
                </w:rPr>
                <m:t>2</m:t>
              </m:r>
            </m:den>
          </m:f>
          <m:r>
            <w:rPr>
              <w:rFonts w:ascii="Cambria Math" w:eastAsia="Calibri" w:hAnsi="Cambria Math"/>
            </w:rPr>
            <m:t>=</m:t>
          </m:r>
          <m:f>
            <m:fPr>
              <m:ctrlPr>
                <w:rPr>
                  <w:rFonts w:ascii="Cambria Math" w:eastAsia="Calibri" w:hAnsi="Cambria Math"/>
                  <w:i/>
                  <w:iCs/>
                </w:rPr>
              </m:ctrlPr>
            </m:fPr>
            <m:num>
              <m:r>
                <m:rPr>
                  <m:nor/>
                </m:rPr>
                <w:rPr>
                  <w:rFonts w:eastAsia="Calibri"/>
                  <w:i/>
                  <w:iCs/>
                </w:rPr>
                <m:t>b</m:t>
              </m:r>
              <m:r>
                <w:rPr>
                  <w:rFonts w:ascii="Cambria Math" w:eastAsia="Calibri" w:hAnsi="Cambria Math"/>
                </w:rPr>
                <m:t>∙</m:t>
              </m:r>
              <m:r>
                <m:rPr>
                  <m:nor/>
                </m:rPr>
                <w:rPr>
                  <w:rFonts w:eastAsia="Calibri"/>
                  <w:i/>
                  <w:iCs/>
                </w:rPr>
                <m:t>Y</m:t>
              </m:r>
            </m:num>
            <m:den>
              <m:r>
                <m:rPr>
                  <m:nor/>
                </m:rPr>
                <w:rPr>
                  <w:rFonts w:eastAsia="Calibri"/>
                  <w:i/>
                  <w:iCs/>
                </w:rPr>
                <m:t>i</m:t>
              </m:r>
            </m:den>
          </m:f>
          <m:groupChr>
            <m:groupChrPr>
              <m:chr m:val="→"/>
              <m:vertJc m:val="bot"/>
              <m:ctrlPr>
                <w:rPr>
                  <w:rFonts w:ascii="Cambria Math" w:eastAsia="Calibri" w:hAnsi="Cambria Math"/>
                  <w:i/>
                  <w:iCs/>
                </w:rPr>
              </m:ctrlPr>
            </m:groupChrPr>
            <m:e>
              <m:r>
                <m:rPr>
                  <m:nor/>
                </m:rPr>
                <w:rPr>
                  <w:rFonts w:eastAsia="Calibri"/>
                  <w:i/>
                  <w:iCs/>
                </w:rPr>
                <m:t>  </m:t>
              </m:r>
            </m:e>
          </m:groupChr>
          <m:borderBox>
            <m:borderBoxPr>
              <m:ctrlPr>
                <w:rPr>
                  <w:rFonts w:ascii="Cambria Math" w:eastAsia="Calibri" w:hAnsi="Cambria Math"/>
                  <w:i/>
                  <w:iCs/>
                </w:rPr>
              </m:ctrlPr>
            </m:borderBoxPr>
            <m:e>
              <m:f>
                <m:fPr>
                  <m:ctrlPr>
                    <w:rPr>
                      <w:rFonts w:ascii="Cambria Math" w:eastAsia="Calibri" w:hAnsi="Cambria Math"/>
                      <w:i/>
                      <w:iCs/>
                    </w:rPr>
                  </m:ctrlPr>
                </m:fPr>
                <m:num>
                  <m:r>
                    <m:rPr>
                      <m:nor/>
                    </m:rPr>
                    <w:rPr>
                      <w:rFonts w:eastAsia="Calibri"/>
                      <w:i/>
                      <w:iCs/>
                    </w:rPr>
                    <m:t>M</m:t>
                  </m:r>
                </m:num>
                <m:den>
                  <m:r>
                    <m:rPr>
                      <m:nor/>
                    </m:rPr>
                    <w:rPr>
                      <w:rFonts w:eastAsia="Calibri"/>
                      <w:i/>
                      <w:iCs/>
                    </w:rPr>
                    <m:t>2</m:t>
                  </m:r>
                </m:den>
              </m:f>
              <m:r>
                <w:rPr>
                  <w:rFonts w:ascii="Cambria Math" w:eastAsia="Calibri" w:hAnsi="Cambria Math"/>
                </w:rPr>
                <m:t>=</m:t>
              </m:r>
              <m:rad>
                <m:radPr>
                  <m:degHide m:val="1"/>
                  <m:ctrlPr>
                    <w:rPr>
                      <w:rFonts w:ascii="Cambria Math" w:eastAsia="Calibri" w:hAnsi="Cambria Math"/>
                      <w:i/>
                      <w:iCs/>
                    </w:rPr>
                  </m:ctrlPr>
                </m:radPr>
                <m:deg/>
                <m:e>
                  <m:f>
                    <m:fPr>
                      <m:ctrlPr>
                        <w:rPr>
                          <w:rFonts w:ascii="Cambria Math" w:eastAsia="Calibri" w:hAnsi="Cambria Math"/>
                          <w:i/>
                          <w:iCs/>
                        </w:rPr>
                      </m:ctrlPr>
                    </m:fPr>
                    <m:num>
                      <m:r>
                        <m:rPr>
                          <m:nor/>
                        </m:rPr>
                        <w:rPr>
                          <w:rFonts w:eastAsia="Calibri"/>
                          <w:i/>
                          <w:iCs/>
                        </w:rPr>
                        <m:t>b</m:t>
                      </m:r>
                      <m:r>
                        <w:rPr>
                          <w:rFonts w:ascii="Cambria Math" w:eastAsia="Calibri" w:hAnsi="Cambria Math"/>
                        </w:rPr>
                        <m:t>∙</m:t>
                      </m:r>
                      <m:r>
                        <m:rPr>
                          <m:nor/>
                        </m:rPr>
                        <w:rPr>
                          <w:rFonts w:eastAsia="Calibri"/>
                          <w:i/>
                          <w:iCs/>
                        </w:rPr>
                        <m:t>Y</m:t>
                      </m:r>
                    </m:num>
                    <m:den>
                      <m:r>
                        <m:rPr>
                          <m:nor/>
                        </m:rPr>
                        <w:rPr>
                          <w:rFonts w:eastAsia="Calibri"/>
                          <w:i/>
                          <w:iCs/>
                        </w:rPr>
                        <m:t>2</m:t>
                      </m:r>
                      <m:r>
                        <w:rPr>
                          <w:rFonts w:ascii="Cambria Math" w:eastAsia="Calibri" w:hAnsi="Cambria Math"/>
                        </w:rPr>
                        <m:t>∙</m:t>
                      </m:r>
                      <m:r>
                        <m:rPr>
                          <m:nor/>
                        </m:rPr>
                        <w:rPr>
                          <w:rFonts w:eastAsia="Calibri"/>
                          <w:i/>
                          <w:iCs/>
                        </w:rPr>
                        <m:t>i</m:t>
                      </m:r>
                    </m:den>
                  </m:f>
                </m:e>
              </m:rad>
            </m:e>
          </m:borderBox>
          <m:r>
            <w:rPr>
              <w:rFonts w:ascii="Cambria Math" w:eastAsia="Calibri" w:hAnsi="Cambria Math"/>
            </w:rPr>
            <m:t>⟹</m:t>
          </m:r>
          <m:f>
            <m:fPr>
              <m:ctrlPr>
                <w:rPr>
                  <w:rFonts w:ascii="Cambria Math" w:eastAsia="Calibri" w:hAnsi="Cambria Math"/>
                  <w:i/>
                  <w:iCs/>
                </w:rPr>
              </m:ctrlPr>
            </m:fPr>
            <m:num>
              <m:r>
                <m:rPr>
                  <m:nor/>
                </m:rPr>
                <w:rPr>
                  <w:rFonts w:eastAsia="Calibri"/>
                  <w:i/>
                  <w:iCs/>
                </w:rPr>
                <m:t>M</m:t>
              </m:r>
            </m:num>
            <m:den>
              <m:r>
                <m:rPr>
                  <m:nor/>
                </m:rPr>
                <w:rPr>
                  <w:rFonts w:eastAsia="Calibri"/>
                  <w:i/>
                  <w:iCs/>
                </w:rPr>
                <m:t>2</m:t>
              </m:r>
            </m:den>
          </m:f>
          <m:r>
            <w:rPr>
              <w:rFonts w:ascii="Cambria Math" w:eastAsia="Calibri" w:hAnsi="Cambria Math"/>
            </w:rPr>
            <m:t>=</m:t>
          </m:r>
          <m:r>
            <m:rPr>
              <m:nor/>
            </m:rPr>
            <w:rPr>
              <w:rFonts w:eastAsia="Calibri"/>
              <w:i/>
              <w:iCs/>
            </w:rPr>
            <m:t>f</m:t>
          </m:r>
          <m:d>
            <m:dPr>
              <m:ctrlPr>
                <w:rPr>
                  <w:rFonts w:ascii="Cambria Math" w:eastAsia="Calibri" w:hAnsi="Cambria Math"/>
                  <w:i/>
                  <w:iCs/>
                </w:rPr>
              </m:ctrlPr>
            </m:dPr>
            <m:e>
              <m:limLow>
                <m:limLowPr>
                  <m:ctrlPr>
                    <w:rPr>
                      <w:rFonts w:ascii="Cambria Math" w:eastAsia="Calibri" w:hAnsi="Cambria Math"/>
                      <w:i/>
                      <w:iCs/>
                    </w:rPr>
                  </m:ctrlPr>
                </m:limLowPr>
                <m:e>
                  <m:r>
                    <m:rPr>
                      <m:nor/>
                    </m:rPr>
                    <w:rPr>
                      <w:rFonts w:eastAsia="Calibri"/>
                      <w:i/>
                      <w:iCs/>
                    </w:rPr>
                    <m:t>b</m:t>
                  </m:r>
                </m:e>
                <m:lim>
                  <m:r>
                    <w:rPr>
                      <w:rFonts w:ascii="Cambria Math" w:eastAsia="Calibri" w:hAnsi="Cambria Math"/>
                    </w:rPr>
                    <m:t>+</m:t>
                  </m:r>
                </m:lim>
              </m:limLow>
              <m:r>
                <m:rPr>
                  <m:nor/>
                </m:rPr>
                <w:rPr>
                  <w:rFonts w:eastAsia="Calibri"/>
                  <w:i/>
                  <w:iCs/>
                </w:rPr>
                <m:t>|</m:t>
              </m:r>
              <m:limLow>
                <m:limLowPr>
                  <m:ctrlPr>
                    <w:rPr>
                      <w:rFonts w:ascii="Cambria Math" w:eastAsia="Calibri" w:hAnsi="Cambria Math"/>
                      <w:i/>
                      <w:iCs/>
                    </w:rPr>
                  </m:ctrlPr>
                </m:limLowPr>
                <m:e>
                  <m:r>
                    <m:rPr>
                      <m:nor/>
                    </m:rPr>
                    <w:rPr>
                      <w:rFonts w:eastAsia="Calibri"/>
                      <w:i/>
                      <w:iCs/>
                    </w:rPr>
                    <m:t>Y</m:t>
                  </m:r>
                </m:e>
                <m:lim>
                  <m:r>
                    <w:rPr>
                      <w:rFonts w:ascii="Cambria Math" w:eastAsia="Calibri" w:hAnsi="Cambria Math"/>
                    </w:rPr>
                    <m:t>+</m:t>
                  </m:r>
                </m:lim>
              </m:limLow>
              <m:r>
                <m:rPr>
                  <m:nor/>
                </m:rPr>
                <w:rPr>
                  <w:rFonts w:eastAsia="Calibri"/>
                  <w:i/>
                  <w:iCs/>
                </w:rPr>
                <m:t>|</m:t>
              </m:r>
              <m:limLow>
                <m:limLowPr>
                  <m:ctrlPr>
                    <w:rPr>
                      <w:rFonts w:ascii="Cambria Math" w:eastAsia="Calibri" w:hAnsi="Cambria Math"/>
                      <w:i/>
                      <w:iCs/>
                    </w:rPr>
                  </m:ctrlPr>
                </m:limLowPr>
                <m:e>
                  <m:r>
                    <m:rPr>
                      <m:nor/>
                    </m:rPr>
                    <w:rPr>
                      <w:rFonts w:eastAsia="Calibri"/>
                      <w:i/>
                      <w:iCs/>
                    </w:rPr>
                    <m:t>i</m:t>
                  </m:r>
                </m:e>
                <m:lim>
                  <m:r>
                    <w:rPr>
                      <w:rFonts w:ascii="Cambria Math" w:eastAsia="Calibri" w:hAnsi="Cambria Math"/>
                    </w:rPr>
                    <m:t>-</m:t>
                  </m:r>
                </m:lim>
              </m:limLow>
            </m:e>
          </m:d>
        </m:oMath>
      </m:oMathPara>
    </w:p>
    <w:p w14:paraId="4170A4EC" w14:textId="77777777" w:rsidR="00B2093C" w:rsidRPr="007D3D6B" w:rsidRDefault="00B2093C" w:rsidP="00B2093C">
      <w:pPr>
        <w:pStyle w:val="Nivel1SM"/>
        <w:keepNext/>
        <w:spacing w:after="0"/>
      </w:pPr>
      <w:r w:rsidRPr="007D3D6B">
        <w:rPr>
          <w:b/>
        </w:rPr>
        <w:t>Gráficamente</w:t>
      </w:r>
      <w:r w:rsidRPr="007D3D6B">
        <w:t xml:space="preserve">, la </w:t>
      </w:r>
      <m:oMath>
        <m:sSup>
          <m:sSupPr>
            <m:ctrlPr>
              <w:rPr>
                <w:rFonts w:ascii="Cambria Math" w:eastAsia="Calibri" w:hAnsi="Cambria Math"/>
                <w:i/>
              </w:rPr>
            </m:ctrlPr>
          </m:sSupPr>
          <m:e>
            <m:r>
              <m:rPr>
                <m:nor/>
              </m:rPr>
              <w:rPr>
                <w:rFonts w:eastAsia="Calibri"/>
                <w:i/>
              </w:rPr>
              <m:t>M</m:t>
            </m:r>
          </m:e>
          <m:sup>
            <m:r>
              <m:rPr>
                <m:nor/>
              </m:rPr>
              <w:rPr>
                <w:rFonts w:eastAsia="Calibri"/>
                <w:i/>
              </w:rPr>
              <m:t>D</m:t>
            </m:r>
          </m:sup>
        </m:sSup>
      </m:oMath>
      <w:r w:rsidRPr="007D3D6B">
        <w:rPr>
          <w:rFonts w:eastAsiaTheme="minorEastAsia"/>
        </w:rPr>
        <w:t xml:space="preserve"> </w:t>
      </w:r>
      <w:r w:rsidRPr="007D3D6B">
        <w:t>óptima se alcanzará en el mínimo de la curva de costes totales.</w:t>
      </w:r>
    </w:p>
    <w:p w14:paraId="1973B9AB" w14:textId="345364B9" w:rsidR="00B2093C" w:rsidRPr="007D3D6B" w:rsidRDefault="00B2093C" w:rsidP="00B2093C">
      <w:pPr>
        <w:pStyle w:val="Ttuloimagen"/>
        <w:rPr>
          <w:smallCaps w:val="0"/>
        </w:rPr>
      </w:pPr>
      <w:r w:rsidRPr="007D3D6B">
        <w:t xml:space="preserve">Imagen </w:t>
      </w:r>
      <w:r w:rsidRPr="007D3D6B">
        <w:fldChar w:fldCharType="begin"/>
      </w:r>
      <w:r w:rsidRPr="007D3D6B">
        <w:instrText xml:space="preserve"> SEQ Ilustración \* ARABIC </w:instrText>
      </w:r>
      <w:r w:rsidRPr="007D3D6B">
        <w:fldChar w:fldCharType="separate"/>
      </w:r>
      <w:r w:rsidR="000E7C0D">
        <w:t>4</w:t>
      </w:r>
      <w:r w:rsidRPr="007D3D6B">
        <w:fldChar w:fldCharType="end"/>
      </w:r>
      <w:r w:rsidRPr="007D3D6B">
        <w:rPr>
          <w:smallCaps w:val="0"/>
        </w:rPr>
        <w:t xml:space="preserve">.– </w:t>
      </w:r>
      <w:r w:rsidRPr="007D3D6B">
        <w:rPr>
          <w:i/>
          <w:iCs/>
          <w:smallCaps w:val="0"/>
        </w:rPr>
        <w:t xml:space="preserve">Modelo de </w:t>
      </w:r>
      <w:r w:rsidRPr="007D3D6B">
        <w:rPr>
          <w:i/>
          <w:iCs/>
        </w:rPr>
        <w:t>Baumol</w:t>
      </w:r>
      <w:r w:rsidRPr="007D3D6B">
        <w:rPr>
          <w:i/>
          <w:iCs/>
          <w:smallCaps w:val="0"/>
        </w:rPr>
        <w:t xml:space="preserve"> (1952)</w:t>
      </w:r>
    </w:p>
    <w:p w14:paraId="07A696FD" w14:textId="77777777" w:rsidR="00B2093C" w:rsidRPr="007D3D6B" w:rsidRDefault="00B2093C" w:rsidP="00B2093C">
      <w:pPr>
        <w:pStyle w:val="Imagen"/>
      </w:pPr>
      <w:r w:rsidRPr="007D3D6B">
        <w:drawing>
          <wp:inline distT="0" distB="0" distL="0" distR="0" wp14:anchorId="0AE51DD5" wp14:editId="12B63ABD">
            <wp:extent cx="1217295" cy="1007745"/>
            <wp:effectExtent l="0" t="0" r="190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7295" cy="1007745"/>
                    </a:xfrm>
                    <a:prstGeom prst="rect">
                      <a:avLst/>
                    </a:prstGeom>
                    <a:noFill/>
                  </pic:spPr>
                </pic:pic>
              </a:graphicData>
            </a:graphic>
          </wp:inline>
        </w:drawing>
      </w:r>
    </w:p>
    <w:p w14:paraId="1CFB0E6D" w14:textId="0BD1F108" w:rsidR="00B2093C" w:rsidRPr="007D3D6B" w:rsidRDefault="00B2093C" w:rsidP="00541C64">
      <w:pPr>
        <w:pStyle w:val="PiedeImagen"/>
      </w:pPr>
      <w:r w:rsidRPr="007D3D6B">
        <w:t>Fuente</w:t>
      </w:r>
      <w:r w:rsidRPr="00541C64">
        <w:rPr>
          <w:i w:val="0"/>
          <w:iCs/>
        </w:rPr>
        <w:t>: Sahuquillo, A. (2017) 3A-34</w:t>
      </w:r>
    </w:p>
    <w:p w14:paraId="66652D02" w14:textId="77777777" w:rsidR="00B2093C" w:rsidRPr="007D3D6B" w:rsidRDefault="00B2093C" w:rsidP="00B2093C">
      <w:pPr>
        <w:ind w:hanging="142"/>
        <w:jc w:val="center"/>
        <w:rPr>
          <w:sz w:val="4"/>
        </w:rPr>
      </w:pPr>
    </w:p>
    <w:p w14:paraId="1080E975" w14:textId="77777777" w:rsidR="00B2093C" w:rsidRPr="007D3D6B" w:rsidRDefault="00B2093C" w:rsidP="00B2093C">
      <w:pPr>
        <w:pStyle w:val="Ttulo8"/>
      </w:pPr>
      <w:r w:rsidRPr="007D3D6B">
        <w:lastRenderedPageBreak/>
        <w:t>Implicaciones</w:t>
      </w:r>
    </w:p>
    <w:p w14:paraId="3C88F4B0" w14:textId="5359DF0F" w:rsidR="00B2093C" w:rsidRPr="004805CD" w:rsidRDefault="00000000" w:rsidP="00302561">
      <w:pPr>
        <w:pStyle w:val="Nivel1SM"/>
        <w:keepNext/>
        <w:spacing w:before="0" w:after="0"/>
        <w:rPr>
          <w:highlight w:val="yellow"/>
        </w:rPr>
      </w:pPr>
      <m:oMath>
        <m:sSup>
          <m:sSupPr>
            <m:ctrlPr>
              <w:rPr>
                <w:rFonts w:ascii="Cambria Math" w:hAnsi="Cambria Math"/>
                <w:i/>
                <w:iCs/>
                <w:highlight w:val="yellow"/>
                <w:u w:val="single"/>
              </w:rPr>
            </m:ctrlPr>
          </m:sSupPr>
          <m:e>
            <m:r>
              <m:rPr>
                <m:nor/>
              </m:rPr>
              <w:rPr>
                <w:i/>
                <w:iCs/>
                <w:highlight w:val="yellow"/>
                <w:u w:val="single"/>
              </w:rPr>
              <m:t>M</m:t>
            </m:r>
          </m:e>
          <m:sup>
            <m:r>
              <m:rPr>
                <m:nor/>
              </m:rPr>
              <w:rPr>
                <w:i/>
                <w:iCs/>
                <w:highlight w:val="yellow"/>
                <w:u w:val="single"/>
              </w:rPr>
              <m:t>D</m:t>
            </m:r>
          </m:sup>
        </m:sSup>
        <m:r>
          <w:rPr>
            <w:rFonts w:ascii="Cambria Math" w:hAnsi="Cambria Math"/>
            <w:highlight w:val="yellow"/>
            <w:u w:val="single"/>
          </w:rPr>
          <m:t>=</m:t>
        </m:r>
        <m:r>
          <m:rPr>
            <m:nor/>
          </m:rPr>
          <w:rPr>
            <w:i/>
            <w:iCs/>
            <w:highlight w:val="yellow"/>
            <w:u w:val="single"/>
          </w:rPr>
          <m:t>f</m:t>
        </m:r>
        <m:d>
          <m:dPr>
            <m:ctrlPr>
              <w:rPr>
                <w:rFonts w:ascii="Cambria Math" w:hAnsi="Cambria Math"/>
                <w:i/>
                <w:iCs/>
                <w:highlight w:val="yellow"/>
                <w:u w:val="single"/>
              </w:rPr>
            </m:ctrlPr>
          </m:dPr>
          <m:e>
            <m:r>
              <m:rPr>
                <m:nor/>
              </m:rPr>
              <w:rPr>
                <w:i/>
                <w:iCs/>
                <w:highlight w:val="yellow"/>
                <w:u w:val="single"/>
              </w:rPr>
              <m:t>Y</m:t>
            </m:r>
            <m:r>
              <w:rPr>
                <w:rFonts w:ascii="Cambria Math" w:hAnsi="Cambria Math"/>
                <w:highlight w:val="yellow"/>
                <w:u w:val="single"/>
              </w:rPr>
              <m:t>+|</m:t>
            </m:r>
            <m:r>
              <m:rPr>
                <m:nor/>
              </m:rPr>
              <w:rPr>
                <w:i/>
                <w:iCs/>
                <w:highlight w:val="yellow"/>
                <w:u w:val="single"/>
              </w:rPr>
              <m:t xml:space="preserve"> b</m:t>
            </m:r>
            <m:r>
              <w:rPr>
                <w:rFonts w:ascii="Cambria Math" w:hAnsi="Cambria Math"/>
                <w:highlight w:val="yellow"/>
                <w:u w:val="single"/>
              </w:rPr>
              <m:t>+|</m:t>
            </m:r>
            <m:r>
              <m:rPr>
                <m:nor/>
              </m:rPr>
              <w:rPr>
                <w:i/>
                <w:iCs/>
                <w:highlight w:val="yellow"/>
                <w:u w:val="single"/>
              </w:rPr>
              <m:t xml:space="preserve"> i</m:t>
            </m:r>
            <m:r>
              <w:rPr>
                <w:rFonts w:ascii="Cambria Math" w:hAnsi="Cambria Math"/>
                <w:highlight w:val="yellow"/>
                <w:u w:val="single"/>
              </w:rPr>
              <m:t>-</m:t>
            </m:r>
          </m:e>
        </m:d>
      </m:oMath>
      <w:r w:rsidR="00B2093C" w:rsidRPr="004805CD">
        <w:rPr>
          <w:highlight w:val="yellow"/>
        </w:rPr>
        <w:t xml:space="preserve">. La demanda de </w:t>
      </w:r>
      <w:r w:rsidR="004805CD">
        <w:rPr>
          <w:highlight w:val="yellow"/>
        </w:rPr>
        <w:t>dinero</w:t>
      </w:r>
      <w:r w:rsidR="00B2093C" w:rsidRPr="004805CD">
        <w:rPr>
          <w:highlight w:val="yellow"/>
        </w:rPr>
        <w:t xml:space="preserve"> depende </w:t>
      </w:r>
      <w:r w:rsidR="00B2093C" w:rsidRPr="004805CD">
        <w:rPr>
          <w:i/>
          <w:highlight w:val="yellow"/>
        </w:rPr>
        <w:t>positivamente</w:t>
      </w:r>
      <w:r w:rsidR="00B2093C" w:rsidRPr="004805CD">
        <w:rPr>
          <w:highlight w:val="yellow"/>
        </w:rPr>
        <w:t xml:space="preserve"> de la renta y del coste de corretaje, y </w:t>
      </w:r>
      <w:r w:rsidR="00B2093C" w:rsidRPr="004805CD">
        <w:rPr>
          <w:i/>
          <w:highlight w:val="yellow"/>
        </w:rPr>
        <w:t>negativamente</w:t>
      </w:r>
      <w:r w:rsidR="00B2093C" w:rsidRPr="004805CD">
        <w:rPr>
          <w:highlight w:val="yellow"/>
        </w:rPr>
        <w:t xml:space="preserve"> del tipo de interés (pero en este caso esta relación negativa viene explicada en el marco de un modelo de demanda de dinero por motivo transacción).</w:t>
      </w:r>
    </w:p>
    <w:p w14:paraId="6D1FCCD7" w14:textId="77777777" w:rsidR="00B2093C" w:rsidRPr="004805CD" w:rsidRDefault="00B2093C" w:rsidP="00B2093C">
      <w:pPr>
        <w:pStyle w:val="Nivel2SM"/>
        <w:rPr>
          <w:highlight w:val="yellow"/>
        </w:rPr>
      </w:pPr>
      <w:r w:rsidRPr="004805CD">
        <w:rPr>
          <w:highlight w:val="yellow"/>
        </w:rPr>
        <w:t xml:space="preserve">En concreto, la ecuación de demanda óptima señala que la </w:t>
      </w:r>
      <w:r w:rsidRPr="004805CD">
        <w:rPr>
          <w:i/>
          <w:highlight w:val="yellow"/>
          <w:u w:val="single"/>
        </w:rPr>
        <w:t>elasticidad de la demanda de dinero</w:t>
      </w:r>
      <w:r w:rsidRPr="004805CD">
        <w:rPr>
          <w:highlight w:val="yellow"/>
        </w:rPr>
        <w:t xml:space="preserve"> respecto a la </w:t>
      </w:r>
      <w:r w:rsidRPr="004805CD">
        <w:rPr>
          <w:i/>
          <w:highlight w:val="yellow"/>
        </w:rPr>
        <w:t>renta</w:t>
      </w:r>
      <w:r w:rsidRPr="004805CD">
        <w:rPr>
          <w:highlight w:val="yellow"/>
        </w:rPr>
        <w:t xml:space="preserve"> es igual a 0,5, y respecto al </w:t>
      </w:r>
      <w:r w:rsidRPr="004805CD">
        <w:rPr>
          <w:i/>
          <w:highlight w:val="yellow"/>
        </w:rPr>
        <w:t>tipo de interés</w:t>
      </w:r>
      <w:r w:rsidRPr="004805CD">
        <w:rPr>
          <w:highlight w:val="yellow"/>
        </w:rPr>
        <w:t>, a –0,5.</w:t>
      </w:r>
    </w:p>
    <w:p w14:paraId="78024A30" w14:textId="77777777" w:rsidR="00B2093C" w:rsidRPr="007D3D6B" w:rsidRDefault="00B2093C" w:rsidP="00B2093C">
      <w:pPr>
        <w:pStyle w:val="Nivel1SM"/>
      </w:pPr>
      <w:r w:rsidRPr="007D3D6B">
        <w:t xml:space="preserve">Como implicación de política económica, </w:t>
      </w:r>
      <w:proofErr w:type="spellStart"/>
      <w:r w:rsidRPr="007D3D6B">
        <w:rPr>
          <w:smallCaps/>
        </w:rPr>
        <w:t>Baumol</w:t>
      </w:r>
      <w:proofErr w:type="spellEnd"/>
      <w:r w:rsidRPr="007D3D6B">
        <w:t xml:space="preserve"> y </w:t>
      </w:r>
      <w:r w:rsidRPr="007D3D6B">
        <w:rPr>
          <w:smallCaps/>
        </w:rPr>
        <w:t>Tobin</w:t>
      </w:r>
      <w:r w:rsidRPr="007D3D6B">
        <w:t xml:space="preserve"> destacan la necesidad de flexibilización del sistema financiero para reducir los costes de conversión.</w:t>
      </w:r>
    </w:p>
    <w:p w14:paraId="797C8456" w14:textId="09226134" w:rsidR="00B22C86" w:rsidRDefault="00B22C86" w:rsidP="00FD05C8">
      <w:pPr>
        <w:pStyle w:val="Ttulo6"/>
      </w:pPr>
      <w:bookmarkStart w:id="76" w:name="_Toc172232857"/>
      <w:r>
        <w:t>Inversión en existencias</w:t>
      </w:r>
      <w:bookmarkEnd w:id="76"/>
    </w:p>
    <w:p w14:paraId="30CC596D" w14:textId="77777777" w:rsidR="00541C64" w:rsidRDefault="00B2093C" w:rsidP="00302561">
      <w:pPr>
        <w:pStyle w:val="Nivel1SM"/>
        <w:keepNext/>
        <w:spacing w:before="0" w:after="0"/>
      </w:pPr>
      <w:r>
        <w:t xml:space="preserve">Finalmente, </w:t>
      </w:r>
      <w:proofErr w:type="gramStart"/>
      <w:r>
        <w:t>señalar</w:t>
      </w:r>
      <w:proofErr w:type="gramEnd"/>
      <w:r>
        <w:t xml:space="preserve"> que para el caso de </w:t>
      </w:r>
      <w:r w:rsidRPr="00541C64">
        <w:rPr>
          <w:b/>
          <w:bCs/>
        </w:rPr>
        <w:t>existencias</w:t>
      </w:r>
      <w:r>
        <w:t xml:space="preserve"> una lógica análoga se aplicaría</w:t>
      </w:r>
      <w:r w:rsidR="00541C64">
        <w:t>.</w:t>
      </w:r>
    </w:p>
    <w:p w14:paraId="06F7AB43" w14:textId="53165675" w:rsidR="00741D0F" w:rsidRPr="00741D0F" w:rsidRDefault="00541C64" w:rsidP="00541C64">
      <w:pPr>
        <w:pStyle w:val="Nivel2SM"/>
      </w:pPr>
      <w:r>
        <w:t xml:space="preserve">En este caso, </w:t>
      </w:r>
      <w:r w:rsidR="00B2093C">
        <w:t xml:space="preserve">el coste de oportunidad </w:t>
      </w:r>
      <w:r>
        <w:t xml:space="preserve">sería </w:t>
      </w:r>
      <w:r w:rsidR="00B2093C">
        <w:t xml:space="preserve">el </w:t>
      </w:r>
      <w:r w:rsidR="00B2093C" w:rsidRPr="00541C64">
        <w:rPr>
          <w:i/>
          <w:iCs/>
        </w:rPr>
        <w:t>coste de almacenaje</w:t>
      </w:r>
      <w:r w:rsidR="00B2093C">
        <w:t xml:space="preserve"> y el coste de corretaje se sustituiría por el </w:t>
      </w:r>
      <w:r w:rsidR="00B2093C" w:rsidRPr="00541C64">
        <w:rPr>
          <w:i/>
          <w:iCs/>
        </w:rPr>
        <w:t>coste de renovación de</w:t>
      </w:r>
      <w:r w:rsidR="00B2093C">
        <w:t xml:space="preserve"> </w:t>
      </w:r>
      <w:r w:rsidR="00B2093C">
        <w:rPr>
          <w:i/>
          <w:iCs/>
        </w:rPr>
        <w:t>stocks</w:t>
      </w:r>
      <w:r w:rsidR="00B2093C">
        <w:t>.</w:t>
      </w:r>
    </w:p>
    <w:p w14:paraId="283F4FF4" w14:textId="58C53BA7" w:rsidR="00B22C86" w:rsidRDefault="00B22C86" w:rsidP="00FD05C8">
      <w:pPr>
        <w:pStyle w:val="Ttulo2"/>
      </w:pPr>
      <w:bookmarkStart w:id="77" w:name="_Toc172232858"/>
      <w:r>
        <w:t>I</w:t>
      </w:r>
      <w:r w:rsidR="00FD05C8">
        <w:t>nversiones financieras</w:t>
      </w:r>
      <w:bookmarkEnd w:id="77"/>
    </w:p>
    <w:p w14:paraId="218E5C66" w14:textId="329C94C3" w:rsidR="00FD05C8" w:rsidRDefault="00FD05C8" w:rsidP="002E4C88">
      <w:pPr>
        <w:pStyle w:val="Notaalopositor"/>
      </w:pPr>
      <w:r>
        <w:t>Si sobra tiempo meter cosas del tema 3.B.2</w:t>
      </w:r>
      <w:r w:rsidR="002E7299">
        <w:t>3</w:t>
      </w:r>
      <w:r>
        <w:t xml:space="preserve"> y 3.B.2</w:t>
      </w:r>
      <w:r w:rsidR="002E7299">
        <w:t>4</w:t>
      </w:r>
      <w:r w:rsidR="009B1175">
        <w:t xml:space="preserve"> – En todo caso muy por encima.</w:t>
      </w:r>
      <w:r w:rsidR="0039290E">
        <w:t xml:space="preserve"> Coordinar con esos temas.</w:t>
      </w:r>
    </w:p>
    <w:p w14:paraId="4433EDD8" w14:textId="3A641ECB" w:rsidR="00116265" w:rsidRDefault="00116265" w:rsidP="00302561">
      <w:pPr>
        <w:pStyle w:val="Nivel1SM"/>
        <w:spacing w:before="0"/>
      </w:pPr>
      <w:r>
        <w:t>El grueso del activo de una sociedad no financiera se encuentre en activos no financieros (ya sean corrientes o no corrientes). Sin embargo, algunas empresas tienen algún excedente que pueden decidir invertir en activos financieros</w:t>
      </w:r>
      <w:r w:rsidR="00C051C7">
        <w:rPr>
          <w:rStyle w:val="Refdenotaalpie"/>
        </w:rPr>
        <w:footnoteReference w:id="26"/>
      </w:r>
      <w:r>
        <w:t>.</w:t>
      </w:r>
    </w:p>
    <w:p w14:paraId="21F19DA5" w14:textId="77777777" w:rsidR="00C051C7" w:rsidRDefault="00C051C7" w:rsidP="00C051C7">
      <w:pPr>
        <w:pStyle w:val="Nivel1SM"/>
        <w:keepNext/>
        <w:spacing w:after="0"/>
      </w:pPr>
      <w:bookmarkStart w:id="78" w:name="_Hlk94901548"/>
      <w:r>
        <w:t>Comúnmente, distinguimos 3 tipos de activos financieros:</w:t>
      </w:r>
      <w:bookmarkEnd w:id="78"/>
    </w:p>
    <w:p w14:paraId="4D3985B4" w14:textId="77777777" w:rsidR="00C051C7" w:rsidRDefault="00C051C7" w:rsidP="00C051C7">
      <w:pPr>
        <w:pStyle w:val="Nivel2SM"/>
      </w:pPr>
      <w:r w:rsidRPr="008330D9">
        <w:rPr>
          <w:i/>
          <w:iCs/>
          <w:u w:val="single"/>
        </w:rPr>
        <w:t>Activos financieros de renta variable</w:t>
      </w:r>
      <w:r>
        <w:t>:</w:t>
      </w:r>
      <w:r w:rsidRPr="008330D9">
        <w:t xml:space="preserve"> </w:t>
      </w:r>
      <w:r>
        <w:t>C</w:t>
      </w:r>
      <w:r w:rsidRPr="008330D9">
        <w:t>onllevan derechos de propiedad y su remuneración depende de la evolución económico-financiera del emisor.</w:t>
      </w:r>
    </w:p>
    <w:p w14:paraId="32CB1E29" w14:textId="77777777" w:rsidR="00C051C7" w:rsidRPr="00426FDC" w:rsidRDefault="00C051C7" w:rsidP="00C051C7">
      <w:pPr>
        <w:pStyle w:val="Nivel2SM"/>
      </w:pPr>
      <w:r w:rsidRPr="00426FDC">
        <w:rPr>
          <w:i/>
          <w:iCs/>
          <w:u w:val="single"/>
        </w:rPr>
        <w:t>Activos financieros de renta fija</w:t>
      </w:r>
      <w:r w:rsidRPr="00426FDC">
        <w:t>: No conllevan derechos de propiedad y su remuneración no depende de la evolución económico-financiera del emisor, sino que viene especificada por una fórmula.</w:t>
      </w:r>
    </w:p>
    <w:p w14:paraId="3550E795" w14:textId="77777777" w:rsidR="00C051C7" w:rsidRDefault="00C051C7" w:rsidP="00C051C7">
      <w:pPr>
        <w:pStyle w:val="Nivel2SM"/>
      </w:pPr>
      <w:r>
        <w:rPr>
          <w:i/>
          <w:iCs/>
          <w:u w:val="single"/>
        </w:rPr>
        <w:t>Instrumentos d</w:t>
      </w:r>
      <w:r w:rsidRPr="008330D9">
        <w:rPr>
          <w:i/>
          <w:iCs/>
          <w:u w:val="single"/>
        </w:rPr>
        <w:t>erivados</w:t>
      </w:r>
      <w:r>
        <w:t xml:space="preserve">: Son instrumentos financieros cuyo valor está en función (se deriva de) la rentabilidad o valor de otro activo llamado </w:t>
      </w:r>
      <w:r>
        <w:rPr>
          <w:i/>
          <w:iCs/>
        </w:rPr>
        <w:t>subyacente</w:t>
      </w:r>
      <w:r>
        <w:t>.</w:t>
      </w:r>
    </w:p>
    <w:p w14:paraId="386F371A" w14:textId="77B0ADE7" w:rsidR="00116265" w:rsidRDefault="00116265" w:rsidP="00116265">
      <w:pPr>
        <w:pStyle w:val="Nivel1SM"/>
      </w:pPr>
      <w:r>
        <w:t>En este caso, la empresa deberá guiarse por técnicas de valoración de activos y el marco de análisis dependerá de si la inversión es en renta fija o en renta variable</w:t>
      </w:r>
      <w:r w:rsidR="00BC63E3">
        <w:t>.</w:t>
      </w:r>
    </w:p>
    <w:p w14:paraId="4678FDD8" w14:textId="73EC9F1A" w:rsidR="00C051C7" w:rsidRPr="00B108BE" w:rsidRDefault="00C051C7" w:rsidP="00C051C7">
      <w:pPr>
        <w:pStyle w:val="Notaalopositor"/>
        <w:keepNext w:val="0"/>
      </w:pPr>
      <w:bookmarkStart w:id="79" w:name="_Hlk94901533"/>
      <w:bookmarkStart w:id="80" w:name="_Hlk94901612"/>
      <w:proofErr w:type="spellStart"/>
      <w:r w:rsidRPr="008330D9">
        <w:rPr>
          <w:i/>
          <w:iCs/>
        </w:rPr>
        <w:t>Disclaimer</w:t>
      </w:r>
      <w:proofErr w:type="spellEnd"/>
      <w:r>
        <w:t>: No trataremos en profundidad estas inversiones, al estar incluidos en otra parte del temario (3.B.2</w:t>
      </w:r>
      <w:r w:rsidR="002E7299">
        <w:t>3</w:t>
      </w:r>
      <w:r>
        <w:t>, 3.B.2</w:t>
      </w:r>
      <w:r w:rsidR="002E7299">
        <w:t>4</w:t>
      </w:r>
      <w:r>
        <w:t xml:space="preserve"> y 3.B.2</w:t>
      </w:r>
      <w:r w:rsidR="002E7299">
        <w:t>5</w:t>
      </w:r>
      <w:r>
        <w:t>)</w:t>
      </w:r>
    </w:p>
    <w:p w14:paraId="500C7E17" w14:textId="7FC25DBA" w:rsidR="00BC63E3" w:rsidRPr="00421950" w:rsidRDefault="00BC63E3" w:rsidP="00BC63E3">
      <w:pPr>
        <w:pStyle w:val="Ttulo3"/>
      </w:pPr>
      <w:bookmarkStart w:id="81" w:name="_Toc172232859"/>
      <w:bookmarkEnd w:id="79"/>
      <w:bookmarkEnd w:id="80"/>
      <w:r w:rsidRPr="00421950">
        <w:t>Renta fija</w:t>
      </w:r>
      <w:r w:rsidR="00421950" w:rsidRPr="00421950">
        <w:t xml:space="preserve"> (</w:t>
      </w:r>
      <w:proofErr w:type="spellStart"/>
      <w:r w:rsidR="00421950" w:rsidRPr="00421950">
        <w:t>yield-to-maturity</w:t>
      </w:r>
      <w:proofErr w:type="spellEnd"/>
      <w:r w:rsidR="00421950" w:rsidRPr="00421950">
        <w:t>)</w:t>
      </w:r>
      <w:r w:rsidR="00421950" w:rsidRPr="00421950">
        <w:rPr>
          <w:i w:val="0"/>
          <w:iCs w:val="0"/>
          <w:color w:val="767171" w:themeColor="background2" w:themeShade="80"/>
          <w:sz w:val="19"/>
          <w:szCs w:val="19"/>
          <w:u w:val="none"/>
        </w:rPr>
        <w:t xml:space="preserve"> [ver tema 3.B.2</w:t>
      </w:r>
      <w:r w:rsidR="003245D3">
        <w:rPr>
          <w:i w:val="0"/>
          <w:iCs w:val="0"/>
          <w:color w:val="767171" w:themeColor="background2" w:themeShade="80"/>
          <w:sz w:val="19"/>
          <w:szCs w:val="19"/>
          <w:u w:val="none"/>
        </w:rPr>
        <w:t>4</w:t>
      </w:r>
      <w:r w:rsidR="00421950" w:rsidRPr="00421950">
        <w:rPr>
          <w:i w:val="0"/>
          <w:iCs w:val="0"/>
          <w:color w:val="767171" w:themeColor="background2" w:themeShade="80"/>
          <w:sz w:val="19"/>
          <w:szCs w:val="19"/>
          <w:u w:val="none"/>
        </w:rPr>
        <w:t>]</w:t>
      </w:r>
      <w:bookmarkEnd w:id="81"/>
    </w:p>
    <w:p w14:paraId="3088ABDD" w14:textId="0C3874F3" w:rsidR="00116265" w:rsidRDefault="00BC63E3" w:rsidP="00302561">
      <w:pPr>
        <w:pStyle w:val="Nivel1SM"/>
        <w:keepNext/>
        <w:spacing w:before="0" w:after="0"/>
      </w:pPr>
      <w:r w:rsidRPr="00BC63E3">
        <w:t>La valoración de</w:t>
      </w:r>
      <w:r>
        <w:t xml:space="preserve"> renta fija se puede realizar siguiendo el </w:t>
      </w:r>
      <w:r w:rsidRPr="00A31543">
        <w:rPr>
          <w:b/>
          <w:bCs/>
        </w:rPr>
        <w:t>criterio del VAN</w:t>
      </w:r>
      <w:r w:rsidR="00A31543">
        <w:rPr>
          <w:b/>
          <w:bCs/>
        </w:rPr>
        <w:t xml:space="preserve"> y del TIR</w:t>
      </w:r>
      <w:r>
        <w:t>. Al fin y al cabo, la inversión en bonos provoca el pago de unos cupones que se equiparan a los flujos de caja de una inversión en activos reales.</w:t>
      </w:r>
    </w:p>
    <w:p w14:paraId="5FA8FB6E" w14:textId="440FE8DC" w:rsidR="00BC63E3" w:rsidRDefault="00BC63E3" w:rsidP="00421950">
      <w:pPr>
        <w:pStyle w:val="Nivel2SM"/>
      </w:pPr>
      <w:r>
        <w:t xml:space="preserve">Sin embargo, cambian los conceptos relevantes. En concreto, no hablaríamos de </w:t>
      </w:r>
      <w:r w:rsidRPr="00421950">
        <w:rPr>
          <w:i/>
          <w:iCs/>
        </w:rPr>
        <w:t>Tasa Interna de Retorno</w:t>
      </w:r>
      <w:r>
        <w:t xml:space="preserve"> (TIR), sino de </w:t>
      </w:r>
      <w:proofErr w:type="spellStart"/>
      <w:r w:rsidRPr="00421950">
        <w:rPr>
          <w:i/>
          <w:iCs/>
        </w:rPr>
        <w:t>yield-to-maturity</w:t>
      </w:r>
      <w:proofErr w:type="spellEnd"/>
      <w:r>
        <w:t xml:space="preserve"> (YTM).</w:t>
      </w:r>
    </w:p>
    <w:p w14:paraId="31651112" w14:textId="6B29D935" w:rsidR="00BC63E3" w:rsidRDefault="00BC63E3" w:rsidP="00421950">
      <w:pPr>
        <w:pStyle w:val="Nivel2SM"/>
      </w:pPr>
      <w:r>
        <w:t xml:space="preserve">La </w:t>
      </w:r>
      <w:r w:rsidRPr="00BC63E3">
        <w:t>YTM</w:t>
      </w:r>
      <w:r>
        <w:t xml:space="preserve"> depende del precio de compra del </w:t>
      </w:r>
      <w:r w:rsidR="00262733">
        <w:t>b</w:t>
      </w:r>
      <w:r>
        <w:t>ono, del vencimiento y del pago de los cupones.</w:t>
      </w:r>
    </w:p>
    <w:p w14:paraId="0212DA78" w14:textId="414B937B" w:rsidR="00BC63E3" w:rsidRDefault="00262733" w:rsidP="00421950">
      <w:pPr>
        <w:pStyle w:val="Nivel2SM"/>
        <w:keepNext/>
        <w:spacing w:after="0"/>
      </w:pPr>
      <w:r>
        <w:lastRenderedPageBreak/>
        <w:t>De forma similar a la TIR, la YTM parte de los siguientes supuestos</w:t>
      </w:r>
      <w:r w:rsidR="00BC63E3">
        <w:t>:</w:t>
      </w:r>
    </w:p>
    <w:p w14:paraId="5B685BF9" w14:textId="06B577B6" w:rsidR="00BC63E3" w:rsidRDefault="00BC63E3" w:rsidP="00421950">
      <w:pPr>
        <w:pStyle w:val="Nivel3SM"/>
      </w:pPr>
      <w:r>
        <w:t>Se mantiene el bono a vencimiento (es decir, se obvian ganancias o pérdidas de capital por vender el bono en el mercado secundario).</w:t>
      </w:r>
    </w:p>
    <w:p w14:paraId="4FA85BE8" w14:textId="5E09BD45" w:rsidR="00BC63E3" w:rsidRDefault="00BC63E3" w:rsidP="00421950">
      <w:pPr>
        <w:pStyle w:val="Nivel3SM"/>
      </w:pPr>
      <w:r>
        <w:t>No existe riesgo de crédito (i.e. todos los cupones se pagan en la cuantía y momento en que fueron acordados).</w:t>
      </w:r>
    </w:p>
    <w:p w14:paraId="36AEF927" w14:textId="03D9174D" w:rsidR="00BC63E3" w:rsidRDefault="00BC63E3" w:rsidP="00421950">
      <w:pPr>
        <w:pStyle w:val="Nivel3SM"/>
      </w:pPr>
      <w:r>
        <w:t xml:space="preserve">Los cupones se reinvierten a una tasa igual a la </w:t>
      </w:r>
      <w:proofErr w:type="spellStart"/>
      <w:r>
        <w:rPr>
          <w:i/>
          <w:iCs/>
        </w:rPr>
        <w:t>yield-to-maturity</w:t>
      </w:r>
      <w:proofErr w:type="spellEnd"/>
      <w:r>
        <w:t>.</w:t>
      </w:r>
    </w:p>
    <w:p w14:paraId="587376A5" w14:textId="27755403" w:rsidR="00BC63E3" w:rsidRDefault="00037C5E" w:rsidP="00421950">
      <w:pPr>
        <w:pStyle w:val="Nivel2SM"/>
        <w:keepNext/>
        <w:spacing w:after="0"/>
      </w:pPr>
      <w:r>
        <w:t xml:space="preserve">Para la valoración de la </w:t>
      </w:r>
      <w:r w:rsidR="00AD7A04">
        <w:t>r</w:t>
      </w:r>
      <w:r>
        <w:t>enta fija habría que comparar la YTM con otros indicadores de rentabilidad de productos alternativos en el mercado. Cuando la rentabilidad a vencimiento de un producto de renta fija es mayor que la de otros productos financieros en el mercado, una inversión en renta fija creará valor.</w:t>
      </w:r>
    </w:p>
    <w:p w14:paraId="0D304843" w14:textId="53ABCD3D" w:rsidR="00CA319A" w:rsidRDefault="00CA319A" w:rsidP="00421950">
      <w:pPr>
        <w:pStyle w:val="Nivel3SM"/>
      </w:pPr>
      <w:r>
        <w:t>(</w:t>
      </w:r>
      <w:r>
        <w:rPr>
          <w:rFonts w:ascii="Times New Roman" w:hAnsi="Times New Roman" w:cs="Times New Roman"/>
        </w:rPr>
        <w:t>−</w:t>
      </w:r>
      <w:r>
        <w:t xml:space="preserve">) Consideración de riesgo: Riesgo de </w:t>
      </w:r>
      <w:r>
        <w:rPr>
          <w:i/>
          <w:iCs/>
        </w:rPr>
        <w:t>default</w:t>
      </w:r>
      <w:r>
        <w:t>, riesgo de tipo de interés (todo esto complicaría un poco la valoración).</w:t>
      </w:r>
    </w:p>
    <w:p w14:paraId="32C6F7FB" w14:textId="5CF49AB0" w:rsidR="00CA319A" w:rsidRDefault="00CA319A" w:rsidP="00421950">
      <w:pPr>
        <w:pStyle w:val="Nivel3SM"/>
      </w:pPr>
      <w:r>
        <w:t>(</w:t>
      </w:r>
      <w:r>
        <w:rPr>
          <w:rFonts w:ascii="Times New Roman" w:hAnsi="Times New Roman" w:cs="Times New Roman"/>
        </w:rPr>
        <w:t>−</w:t>
      </w:r>
      <w:r>
        <w:t>) Se invierte hasta vencimiento.</w:t>
      </w:r>
    </w:p>
    <w:p w14:paraId="15D8B4B4" w14:textId="3A19D46C" w:rsidR="00BC63E3" w:rsidRPr="00BC63E3" w:rsidRDefault="00BC63E3" w:rsidP="00BC63E3">
      <w:pPr>
        <w:pStyle w:val="Ttulo3"/>
      </w:pPr>
      <w:bookmarkStart w:id="82" w:name="_Toc172232860"/>
      <w:r>
        <w:t>Renta variable</w:t>
      </w:r>
      <w:r w:rsidR="00A31543" w:rsidRPr="00A31543">
        <w:rPr>
          <w:i w:val="0"/>
          <w:iCs w:val="0"/>
          <w:u w:val="none"/>
        </w:rPr>
        <w:t xml:space="preserve"> </w:t>
      </w:r>
      <w:r w:rsidR="00A31543" w:rsidRPr="00A31543">
        <w:rPr>
          <w:i w:val="0"/>
          <w:iCs w:val="0"/>
          <w:color w:val="767171" w:themeColor="background2" w:themeShade="80"/>
          <w:sz w:val="19"/>
          <w:szCs w:val="19"/>
          <w:u w:val="none"/>
        </w:rPr>
        <w:t>[</w:t>
      </w:r>
      <w:r w:rsidR="00A31543">
        <w:rPr>
          <w:i w:val="0"/>
          <w:iCs w:val="0"/>
          <w:color w:val="767171" w:themeColor="background2" w:themeShade="80"/>
          <w:sz w:val="19"/>
          <w:szCs w:val="19"/>
          <w:u w:val="none"/>
        </w:rPr>
        <w:t>ver tema 3.B.2</w:t>
      </w:r>
      <w:r w:rsidR="003245D3">
        <w:rPr>
          <w:i w:val="0"/>
          <w:iCs w:val="0"/>
          <w:color w:val="767171" w:themeColor="background2" w:themeShade="80"/>
          <w:sz w:val="19"/>
          <w:szCs w:val="19"/>
          <w:u w:val="none"/>
        </w:rPr>
        <w:t>3</w:t>
      </w:r>
      <w:r w:rsidR="00A31543" w:rsidRPr="00A31543">
        <w:rPr>
          <w:i w:val="0"/>
          <w:iCs w:val="0"/>
          <w:color w:val="767171" w:themeColor="background2" w:themeShade="80"/>
          <w:sz w:val="19"/>
          <w:szCs w:val="19"/>
          <w:u w:val="none"/>
        </w:rPr>
        <w:t>]</w:t>
      </w:r>
      <w:bookmarkEnd w:id="82"/>
    </w:p>
    <w:p w14:paraId="0E90C60A" w14:textId="35508A27" w:rsidR="00BC63E3" w:rsidRPr="00FB57B5" w:rsidRDefault="00A31543" w:rsidP="00302561">
      <w:pPr>
        <w:pStyle w:val="Nivel1SM"/>
        <w:keepNext/>
        <w:spacing w:before="0" w:after="0"/>
        <w:rPr>
          <w:highlight w:val="yellow"/>
        </w:rPr>
      </w:pPr>
      <w:r w:rsidRPr="00FB57B5">
        <w:rPr>
          <w:highlight w:val="yellow"/>
        </w:rPr>
        <w:t>La valoración de carteras se puede realizar en función de los métodos de valoración basados en la teoría de la elección de carteras (p.ej. CAPM o APT).</w:t>
      </w:r>
    </w:p>
    <w:p w14:paraId="6DD0B7C2" w14:textId="424B0FEE" w:rsidR="00A31543" w:rsidRPr="00FB57B5" w:rsidRDefault="00A31543" w:rsidP="00A31543">
      <w:pPr>
        <w:pStyle w:val="Nivel2SM"/>
        <w:rPr>
          <w:highlight w:val="yellow"/>
        </w:rPr>
      </w:pPr>
      <w:r w:rsidRPr="00FB57B5">
        <w:rPr>
          <w:highlight w:val="yellow"/>
        </w:rPr>
        <w:t xml:space="preserve">El modelo CAPM fue desarrollado a mediados de la década de 1960 por </w:t>
      </w:r>
      <w:r w:rsidRPr="00FB57B5">
        <w:rPr>
          <w:smallCaps/>
          <w:highlight w:val="yellow"/>
        </w:rPr>
        <w:t>Sharpe</w:t>
      </w:r>
      <w:r w:rsidRPr="00FB57B5">
        <w:rPr>
          <w:highlight w:val="yellow"/>
        </w:rPr>
        <w:t xml:space="preserve">, </w:t>
      </w:r>
      <w:proofErr w:type="spellStart"/>
      <w:r w:rsidRPr="00FB57B5">
        <w:rPr>
          <w:smallCaps/>
          <w:highlight w:val="yellow"/>
        </w:rPr>
        <w:t>Lintner</w:t>
      </w:r>
      <w:proofErr w:type="spellEnd"/>
      <w:r w:rsidRPr="00FB57B5">
        <w:rPr>
          <w:highlight w:val="yellow"/>
        </w:rPr>
        <w:t xml:space="preserve"> y </w:t>
      </w:r>
      <w:proofErr w:type="spellStart"/>
      <w:r w:rsidRPr="00FB57B5">
        <w:rPr>
          <w:smallCaps/>
          <w:highlight w:val="yellow"/>
        </w:rPr>
        <w:t>Mossin</w:t>
      </w:r>
      <w:proofErr w:type="spellEnd"/>
      <w:r w:rsidRPr="00FB57B5">
        <w:rPr>
          <w:highlight w:val="yellow"/>
        </w:rPr>
        <w:t>.</w:t>
      </w:r>
    </w:p>
    <w:p w14:paraId="54AF07EF" w14:textId="4B195C40" w:rsidR="00A31543" w:rsidRPr="00FB57B5" w:rsidRDefault="00A31543" w:rsidP="00A31543">
      <w:pPr>
        <w:pStyle w:val="Nivel2SM"/>
        <w:rPr>
          <w:highlight w:val="yellow"/>
        </w:rPr>
      </w:pPr>
      <w:r w:rsidRPr="00FB57B5">
        <w:rPr>
          <w:highlight w:val="yellow"/>
        </w:rPr>
        <w:t>El objetivo del modelo CAPM es predecir cuáles serán los rendimientos esperados de los activos de riesgo en equilibrio.</w:t>
      </w:r>
    </w:p>
    <w:p w14:paraId="326B4007" w14:textId="15BA7FB5" w:rsidR="00A31543" w:rsidRPr="00FB57B5" w:rsidRDefault="00A31543" w:rsidP="00A31543">
      <w:pPr>
        <w:pStyle w:val="Nivel2SM"/>
        <w:rPr>
          <w:highlight w:val="yellow"/>
        </w:rPr>
      </w:pPr>
      <w:r w:rsidRPr="00FB57B5">
        <w:rPr>
          <w:highlight w:val="yellow"/>
        </w:rPr>
        <w:t>El CAPM parte de la base de que en la valoración del título solo importa el riesgo sistemático.</w:t>
      </w:r>
    </w:p>
    <w:p w14:paraId="0CBAF767" w14:textId="0ED7F805" w:rsidR="00A31543" w:rsidRPr="00FB57B5" w:rsidRDefault="00A31543" w:rsidP="00A31543">
      <w:pPr>
        <w:pStyle w:val="Nivel2SM"/>
        <w:rPr>
          <w:highlight w:val="yellow"/>
        </w:rPr>
      </w:pPr>
      <w:r w:rsidRPr="00FB57B5">
        <w:rPr>
          <w:highlight w:val="yellow"/>
        </w:rPr>
        <w:t>El CAPM se basa en la percepción de que el gap de rendimiento que necesita un activo depende de su contribución al riesgo de la cartera (riesgo sistemático).</w:t>
      </w:r>
    </w:p>
    <w:p w14:paraId="0E528EE4" w14:textId="64494EC8" w:rsidR="00FB57B5" w:rsidRPr="00FB57B5" w:rsidRDefault="00FB57B5" w:rsidP="00A31543">
      <w:pPr>
        <w:pStyle w:val="Nivel2SM"/>
        <w:rPr>
          <w:highlight w:val="yellow"/>
        </w:rPr>
      </w:pPr>
      <w:r w:rsidRPr="00FB57B5">
        <w:rPr>
          <w:highlight w:val="yellow"/>
        </w:rPr>
        <w:t>Un activo estará correctamente valorado si su exceso de rentabilidad con respecto al mercado se iguala al exceso de riesgo relativo al mercado (beta).</w:t>
      </w:r>
    </w:p>
    <w:p w14:paraId="6B603BAD" w14:textId="6EE17813" w:rsidR="00FB57B5" w:rsidRPr="00FB57B5" w:rsidRDefault="00FB57B5" w:rsidP="00A31543">
      <w:pPr>
        <w:pStyle w:val="Nivel2SM"/>
        <w:rPr>
          <w:highlight w:val="yellow"/>
        </w:rPr>
      </w:pPr>
      <w:r w:rsidRPr="00FB57B5">
        <w:rPr>
          <w:highlight w:val="yellow"/>
        </w:rPr>
        <w:t xml:space="preserve">Para la creación de valor por parte de la empresa debe buscarse un </w:t>
      </w:r>
      <w:r>
        <w:rPr>
          <w:highlight w:val="yellow"/>
        </w:rPr>
        <w:t>alfa mayor que cero</w:t>
      </w:r>
      <w:r w:rsidRPr="00FB57B5">
        <w:rPr>
          <w:highlight w:val="yellow"/>
        </w:rPr>
        <w:t>, es decir, que la rentabilidad esperada de un activo se encuentre por encima del riesgo sistemático. Sin embargo, la teoría predice que esto será complicado por cuestiones de arbitraje.</w:t>
      </w:r>
    </w:p>
    <w:p w14:paraId="7B1AAE17" w14:textId="6A26C652" w:rsidR="009B1175" w:rsidRDefault="009B1175" w:rsidP="009B1175">
      <w:pPr>
        <w:pStyle w:val="Ttulo2"/>
      </w:pPr>
      <w:bookmarkStart w:id="83" w:name="_Toc172232861"/>
      <w:r>
        <w:t>Inversión en capital humano</w:t>
      </w:r>
      <w:bookmarkEnd w:id="83"/>
    </w:p>
    <w:p w14:paraId="6394CF1E" w14:textId="336E342C" w:rsidR="00606E13" w:rsidRDefault="009B1175" w:rsidP="002E4C88">
      <w:pPr>
        <w:pStyle w:val="Notaalopositor"/>
      </w:pPr>
      <w:r>
        <w:t xml:space="preserve">He visto que </w:t>
      </w:r>
      <w:r w:rsidRPr="007D31C6">
        <w:rPr>
          <w:smallCaps/>
        </w:rPr>
        <w:t>Su</w:t>
      </w:r>
      <w:r w:rsidR="007D31C6" w:rsidRPr="007D31C6">
        <w:rPr>
          <w:smallCaps/>
        </w:rPr>
        <w:t>á</w:t>
      </w:r>
      <w:r w:rsidRPr="007D31C6">
        <w:rPr>
          <w:smallCaps/>
        </w:rPr>
        <w:t xml:space="preserve">rez </w:t>
      </w:r>
      <w:proofErr w:type="spellStart"/>
      <w:r w:rsidRPr="007D31C6">
        <w:rPr>
          <w:smallCaps/>
        </w:rPr>
        <w:t>Su</w:t>
      </w:r>
      <w:r w:rsidR="007D31C6" w:rsidRPr="007D31C6">
        <w:rPr>
          <w:smallCaps/>
        </w:rPr>
        <w:t>á</w:t>
      </w:r>
      <w:r w:rsidRPr="007D31C6">
        <w:rPr>
          <w:smallCaps/>
        </w:rPr>
        <w:t>rez</w:t>
      </w:r>
      <w:proofErr w:type="spellEnd"/>
      <w:r>
        <w:t xml:space="preserve"> al final tiene un </w:t>
      </w:r>
      <w:r w:rsidR="002E4C88">
        <w:t>capítulo</w:t>
      </w:r>
      <w:r>
        <w:t xml:space="preserve"> sobre esto, puede quedar distinto y bien mencionar algunas ideas (incluso creo recordar que en otros temas se menciona algo de esto mencionando a </w:t>
      </w:r>
      <w:r>
        <w:rPr>
          <w:smallCaps/>
        </w:rPr>
        <w:t>Gary Becker</w:t>
      </w:r>
      <w:r>
        <w:t xml:space="preserve"> con la posibilidad de haber sinergias). En cualquier caso, no más de 1</w:t>
      </w:r>
      <w:r w:rsidR="00C051C7">
        <w:t> </w:t>
      </w:r>
      <w:r>
        <w:t>min</w:t>
      </w:r>
      <w:r w:rsidR="007D31C6">
        <w:t>uto</w:t>
      </w:r>
      <w:r>
        <w:t xml:space="preserve"> </w:t>
      </w:r>
      <w:r w:rsidR="007D31C6">
        <w:t>s</w:t>
      </w:r>
      <w:r>
        <w:t>i lo meto.</w:t>
      </w:r>
    </w:p>
    <w:p w14:paraId="59D7680C" w14:textId="3BDF8CD5" w:rsidR="004235AF" w:rsidRDefault="004235AF" w:rsidP="002E4C88">
      <w:pPr>
        <w:pStyle w:val="Notaalopositor"/>
      </w:pPr>
      <w:r>
        <w:t>Coordinar con tema 3.A.</w:t>
      </w:r>
      <w:r w:rsidR="002E7299">
        <w:t>2</w:t>
      </w:r>
      <w:r w:rsidR="003245D3">
        <w:t>5</w:t>
      </w:r>
      <w:r w:rsidR="004027F8">
        <w:t xml:space="preserve"> el modelo de capital humano general financiado por la empresa.</w:t>
      </w:r>
    </w:p>
    <w:p w14:paraId="1CD407A5" w14:textId="36B4E259" w:rsidR="00BE5689" w:rsidRDefault="00BE5689" w:rsidP="006D7083">
      <w:pPr>
        <w:pStyle w:val="Nivel1SM"/>
        <w:keepNext/>
        <w:spacing w:before="0" w:after="0"/>
      </w:pPr>
      <w:r>
        <w:t xml:space="preserve">También es una inversión aquella que realizamos para formarnos, y en ocasiones las empresas también invierten en la formación de su personal. Esto es lo que se conoce como </w:t>
      </w:r>
      <w:r w:rsidRPr="00C051C7">
        <w:rPr>
          <w:b/>
          <w:bCs/>
        </w:rPr>
        <w:t>inversión en capital humano</w:t>
      </w:r>
      <w:r>
        <w:t>.</w:t>
      </w:r>
    </w:p>
    <w:p w14:paraId="02647F20" w14:textId="5FE60EAE" w:rsidR="002E4C88" w:rsidRDefault="00BE5689" w:rsidP="006D7083">
      <w:pPr>
        <w:pStyle w:val="Nivel2SM"/>
      </w:pPr>
      <w:r>
        <w:t>Es una inversión como las anteriores, en el sentido de que requiere un sacrificio de recursos (por ejemplo, gasto en materiales, gastos en matrículas, tiempo dedicado en el que podríamos estar realizando otras actividades…)</w:t>
      </w:r>
      <w:r w:rsidR="00C051C7">
        <w:t xml:space="preserve"> con la esperanza de obtener ganancias futuras.</w:t>
      </w:r>
    </w:p>
    <w:p w14:paraId="2ED3198D" w14:textId="06F66CB4" w:rsidR="006D7083" w:rsidRDefault="006D7083" w:rsidP="006D7083">
      <w:pPr>
        <w:pStyle w:val="Nivel1SM"/>
        <w:keepNext/>
        <w:spacing w:after="0"/>
      </w:pPr>
      <w:r>
        <w:t xml:space="preserve">De hecho, el </w:t>
      </w:r>
      <w:r w:rsidRPr="00581C65">
        <w:rPr>
          <w:b/>
          <w:bCs/>
        </w:rPr>
        <w:t>concepto de capital humano</w:t>
      </w:r>
      <w:r w:rsidRPr="005528AC">
        <w:t xml:space="preserve"> (desarrollado primeramente por </w:t>
      </w:r>
      <w:r w:rsidRPr="00F01E2E">
        <w:rPr>
          <w:smallCaps/>
        </w:rPr>
        <w:t>Theodore Schultz</w:t>
      </w:r>
      <w:r>
        <w:t xml:space="preserve"> (1961), </w:t>
      </w:r>
      <w:r w:rsidRPr="005528AC">
        <w:rPr>
          <w:smallCaps/>
        </w:rPr>
        <w:t>Gary Becker</w:t>
      </w:r>
      <w:r w:rsidRPr="002F4CCF">
        <w:rPr>
          <w:rStyle w:val="Refdenotaalpie"/>
        </w:rPr>
        <w:footnoteReference w:id="27"/>
      </w:r>
      <w:r w:rsidRPr="005528AC">
        <w:t xml:space="preserve"> (1964) y posteriormente por autores como </w:t>
      </w:r>
      <w:proofErr w:type="spellStart"/>
      <w:r w:rsidRPr="005528AC">
        <w:rPr>
          <w:smallCaps/>
        </w:rPr>
        <w:t>Mincer</w:t>
      </w:r>
      <w:proofErr w:type="spellEnd"/>
      <w:r w:rsidRPr="005528AC">
        <w:t xml:space="preserve"> (1974)</w:t>
      </w:r>
      <w:r>
        <w:rPr>
          <w:rStyle w:val="Refdenotaalpie"/>
        </w:rPr>
        <w:footnoteReference w:id="28"/>
      </w:r>
      <w:r w:rsidRPr="005528AC">
        <w:t xml:space="preserve">) </w:t>
      </w:r>
      <w:r>
        <w:t xml:space="preserve">surge al intentar </w:t>
      </w:r>
      <w:r>
        <w:lastRenderedPageBreak/>
        <w:t>explicar que las personas gastan en sí mismas en determinadas ocasiones, no para tener satisfacciones presentes, sino para tener un potencial beneficio futuro.</w:t>
      </w:r>
    </w:p>
    <w:p w14:paraId="5EDA8BF6" w14:textId="13D012B0" w:rsidR="00342648" w:rsidRDefault="00342648" w:rsidP="00E5034D">
      <w:pPr>
        <w:pStyle w:val="Introduccinyconclusin"/>
      </w:pPr>
      <w:bookmarkStart w:id="84" w:name="_Toc55381925"/>
      <w:bookmarkStart w:id="85" w:name="_Toc55382060"/>
      <w:bookmarkStart w:id="86" w:name="_Toc55382095"/>
      <w:bookmarkStart w:id="87" w:name="_Toc55382523"/>
      <w:r>
        <w:t>CONCLUSIÓN</w:t>
      </w:r>
      <w:bookmarkEnd w:id="84"/>
      <w:bookmarkEnd w:id="85"/>
      <w:bookmarkEnd w:id="86"/>
      <w:bookmarkEnd w:id="87"/>
    </w:p>
    <w:p w14:paraId="013842F3" w14:textId="77777777" w:rsidR="002E0C48" w:rsidRDefault="00A42B58" w:rsidP="00302561">
      <w:pPr>
        <w:pStyle w:val="Nivel1"/>
        <w:keepNext/>
        <w:spacing w:before="0" w:after="0"/>
      </w:pPr>
      <w:r w:rsidRPr="00764940">
        <w:rPr>
          <w:b/>
          <w:bCs/>
          <w:i/>
          <w:iCs/>
        </w:rPr>
        <w:t>Recapitulación (</w:t>
      </w:r>
      <w:r w:rsidR="00EB707E" w:rsidRPr="00764940">
        <w:rPr>
          <w:b/>
          <w:bCs/>
          <w:i/>
          <w:iCs/>
        </w:rPr>
        <w:t>Ideas clave</w:t>
      </w:r>
      <w:r w:rsidRPr="00764940">
        <w:rPr>
          <w:b/>
          <w:bCs/>
          <w:i/>
          <w:iCs/>
        </w:rPr>
        <w:t>)</w:t>
      </w:r>
      <w:r w:rsidR="002E0C48">
        <w:t>:</w:t>
      </w:r>
    </w:p>
    <w:p w14:paraId="2C3DFA30" w14:textId="597211FF" w:rsidR="005A4A1B" w:rsidRDefault="007571E8" w:rsidP="00EA49DB">
      <w:pPr>
        <w:pStyle w:val="Nivel2"/>
        <w:keepNext/>
        <w:spacing w:after="0"/>
      </w:pPr>
      <w:r>
        <w:t>A lo largo de la exposición se ha analizado el problema de decisión de inversión tanto de forma general como en el seno de la empresa, at</w:t>
      </w:r>
      <w:r w:rsidR="004D3F08">
        <w:t>end</w:t>
      </w:r>
      <w:r>
        <w:t xml:space="preserve">iendo a los conceptos básicos como </w:t>
      </w:r>
      <w:r w:rsidRPr="005A4A1B">
        <w:rPr>
          <w:b/>
          <w:bCs/>
          <w:i/>
          <w:iCs/>
          <w:u w:val="single"/>
        </w:rPr>
        <w:t>rentabilidad</w:t>
      </w:r>
      <w:r w:rsidRPr="005A4A1B">
        <w:rPr>
          <w:b/>
          <w:bCs/>
        </w:rPr>
        <w:t xml:space="preserve">, </w:t>
      </w:r>
      <w:r w:rsidRPr="005A4A1B">
        <w:rPr>
          <w:b/>
          <w:bCs/>
          <w:i/>
          <w:iCs/>
          <w:u w:val="single"/>
        </w:rPr>
        <w:t>riesgo</w:t>
      </w:r>
      <w:r w:rsidRPr="005A4A1B">
        <w:rPr>
          <w:b/>
          <w:bCs/>
        </w:rPr>
        <w:t xml:space="preserve"> y </w:t>
      </w:r>
      <w:r w:rsidRPr="005A4A1B">
        <w:rPr>
          <w:b/>
          <w:bCs/>
          <w:i/>
          <w:iCs/>
          <w:u w:val="single"/>
        </w:rPr>
        <w:t>coste de capital</w:t>
      </w:r>
      <w:r>
        <w:t xml:space="preserve">, examinando los </w:t>
      </w:r>
      <w:r w:rsidRPr="005A4A1B">
        <w:rPr>
          <w:b/>
          <w:bCs/>
          <w:i/>
          <w:iCs/>
          <w:u w:val="single"/>
        </w:rPr>
        <w:t>criterios de decisión</w:t>
      </w:r>
      <w:r>
        <w:t xml:space="preserve"> más habituales y valorando algunas </w:t>
      </w:r>
      <w:r w:rsidRPr="005A4A1B">
        <w:rPr>
          <w:b/>
          <w:bCs/>
          <w:i/>
          <w:iCs/>
          <w:u w:val="single"/>
        </w:rPr>
        <w:t>particularidades de la inversión en activos concretos</w:t>
      </w:r>
      <w:r>
        <w:t>.</w:t>
      </w:r>
    </w:p>
    <w:p w14:paraId="203B6E95" w14:textId="6785543E" w:rsidR="00705669" w:rsidRDefault="00EA49DB" w:rsidP="00EA49DB">
      <w:pPr>
        <w:pStyle w:val="Nivel3"/>
        <w:keepNext/>
      </w:pPr>
      <w:r>
        <w:t>H</w:t>
      </w:r>
      <w:r w:rsidR="00705669">
        <w:t>emos comenzado estudiando los 3</w:t>
      </w:r>
      <w:r w:rsidR="00302561">
        <w:t> </w:t>
      </w:r>
      <w:r w:rsidR="00705669">
        <w:t xml:space="preserve">elementos capitales que afectan a la decisión de inversión: </w:t>
      </w:r>
      <w:r w:rsidR="00705669" w:rsidRPr="00EA49DB">
        <w:rPr>
          <w:i/>
          <w:iCs/>
        </w:rPr>
        <w:t>rentabilidad</w:t>
      </w:r>
      <w:r w:rsidR="00705669">
        <w:t xml:space="preserve">, </w:t>
      </w:r>
      <w:r w:rsidR="00705669" w:rsidRPr="00EA49DB">
        <w:rPr>
          <w:i/>
          <w:iCs/>
        </w:rPr>
        <w:t>riesgo</w:t>
      </w:r>
      <w:r w:rsidR="00705669">
        <w:t xml:space="preserve"> y </w:t>
      </w:r>
      <w:r w:rsidR="00705669" w:rsidRPr="00EA49DB">
        <w:rPr>
          <w:i/>
          <w:iCs/>
        </w:rPr>
        <w:t>coste de capital</w:t>
      </w:r>
      <w:r w:rsidR="00705669">
        <w:t>.</w:t>
      </w:r>
    </w:p>
    <w:p w14:paraId="799D90E1" w14:textId="4B2B08E2" w:rsidR="00705669" w:rsidRDefault="00705669" w:rsidP="00EA49DB">
      <w:pPr>
        <w:pStyle w:val="Nivel4"/>
      </w:pPr>
      <w:r>
        <w:t>Hemos visto que hay que tener en cuenta necesariamente estos 3</w:t>
      </w:r>
      <w:r w:rsidR="00B97E90">
        <w:t> </w:t>
      </w:r>
      <w:r>
        <w:t>elementos, pero también hay que tener en cuenta otros conceptos que se interrelacionan con e</w:t>
      </w:r>
      <w:r w:rsidR="00EA49DB">
        <w:t>ll</w:t>
      </w:r>
      <w:r>
        <w:t xml:space="preserve">os (p.ej. </w:t>
      </w:r>
      <w:r w:rsidR="0079658F">
        <w:t xml:space="preserve">la </w:t>
      </w:r>
      <w:r>
        <w:t>información asimétrica</w:t>
      </w:r>
      <w:r w:rsidR="00EA49DB" w:rsidRPr="00EA49DB">
        <w:t>,</w:t>
      </w:r>
      <w:r w:rsidR="00EA49DB">
        <w:rPr>
          <w:sz w:val="19"/>
          <w:szCs w:val="19"/>
        </w:rPr>
        <w:t xml:space="preserve"> </w:t>
      </w:r>
      <w:r w:rsidRPr="00705669">
        <w:rPr>
          <w:sz w:val="19"/>
          <w:szCs w:val="19"/>
        </w:rPr>
        <w:t>qu</w:t>
      </w:r>
      <w:r>
        <w:rPr>
          <w:sz w:val="19"/>
          <w:szCs w:val="19"/>
        </w:rPr>
        <w:t>e</w:t>
      </w:r>
      <w:r w:rsidRPr="00705669">
        <w:rPr>
          <w:sz w:val="19"/>
          <w:szCs w:val="19"/>
        </w:rPr>
        <w:t xml:space="preserve"> puede llevar a una financiación insuficiente</w:t>
      </w:r>
      <w:r>
        <w:t>).</w:t>
      </w:r>
    </w:p>
    <w:p w14:paraId="17A0221E" w14:textId="62F0A473" w:rsidR="00EA49DB" w:rsidRDefault="00EA49DB" w:rsidP="00705669">
      <w:pPr>
        <w:pStyle w:val="Nivel3"/>
        <w:rPr>
          <w:spacing w:val="-1"/>
        </w:rPr>
      </w:pPr>
      <w:r w:rsidRPr="00EA49DB">
        <w:rPr>
          <w:spacing w:val="-1"/>
        </w:rPr>
        <w:t xml:space="preserve">En segundo lugar, hemos visto los </w:t>
      </w:r>
      <w:r w:rsidRPr="00EA49DB">
        <w:rPr>
          <w:i/>
          <w:iCs/>
          <w:spacing w:val="-1"/>
        </w:rPr>
        <w:t>distintos métodos para valorar un proyecto de inversión</w:t>
      </w:r>
      <w:r w:rsidRPr="00EA49DB">
        <w:rPr>
          <w:spacing w:val="-1"/>
        </w:rPr>
        <w:t>, de</w:t>
      </w:r>
      <w:r>
        <w:rPr>
          <w:spacing w:val="-1"/>
        </w:rPr>
        <w:t xml:space="preserve">stacando el VAN. Ante proyectos más arriesgados se requiere más rentabilidad económica porque habrá que compensar con un coste de capital mayor. En concreto, la creación de valor implicará que la empresa invertirá si el VAN es mayor que cero. </w:t>
      </w:r>
      <w:r w:rsidRPr="00896D32">
        <w:rPr>
          <w:spacing w:val="-2"/>
        </w:rPr>
        <w:t>Por ello, el VAN se considera un criterio adecuado para valorar proyectos de inversión.</w:t>
      </w:r>
    </w:p>
    <w:p w14:paraId="7EAEB3E8" w14:textId="77777777" w:rsidR="005E53B9" w:rsidRDefault="002E0C48" w:rsidP="002E4C88">
      <w:pPr>
        <w:pStyle w:val="Nivel1"/>
        <w:keepNext/>
        <w:spacing w:after="0"/>
      </w:pPr>
      <w:r w:rsidRPr="00764940">
        <w:rPr>
          <w:b/>
          <w:bCs/>
          <w:i/>
          <w:iCs/>
        </w:rPr>
        <w:t>Relevancia</w:t>
      </w:r>
      <w:r>
        <w:t>:</w:t>
      </w:r>
    </w:p>
    <w:p w14:paraId="24F5ADE7" w14:textId="77777777" w:rsidR="00356DC4" w:rsidRDefault="005A4A1B" w:rsidP="005A4A1B">
      <w:pPr>
        <w:pStyle w:val="Nivel2"/>
      </w:pPr>
      <w:r>
        <w:t xml:space="preserve">La capacidad de los </w:t>
      </w:r>
      <w:r w:rsidRPr="005A4A1B">
        <w:rPr>
          <w:i/>
          <w:iCs/>
        </w:rPr>
        <w:t>managers</w:t>
      </w:r>
      <w:r>
        <w:t xml:space="preserve"> para tomar decisiones correctas de inversión en el día a día de las empresas tiene consecuencias que van mucho más allá de la propia entidad. Las economías modernas son el resultado de millones de decisiones de inversión.</w:t>
      </w:r>
    </w:p>
    <w:p w14:paraId="0E179D4D" w14:textId="77777777" w:rsidR="00356DC4" w:rsidRDefault="005A4A1B" w:rsidP="005A4A1B">
      <w:pPr>
        <w:pStyle w:val="Nivel2"/>
      </w:pPr>
      <w:r>
        <w:t xml:space="preserve">Cuando las empresas cuentan con mejores procesos de decisión, </w:t>
      </w:r>
      <w:r w:rsidRPr="005A4A1B">
        <w:rPr>
          <w:i/>
          <w:iCs/>
        </w:rPr>
        <w:t>managers</w:t>
      </w:r>
      <w:r>
        <w:t xml:space="preserve"> más formados y mayor información disponible para valorar lo apropiado de llevar a cabo una inversión, el crecimiento agregado de la economía, la competitividad exterior y por todo ello, el bienestar de los ciudadanos se ve positivamente afectado.</w:t>
      </w:r>
    </w:p>
    <w:p w14:paraId="0F38D5D4" w14:textId="1CDE0FFA" w:rsidR="00502A72" w:rsidRPr="00896D32" w:rsidRDefault="005A4A1B" w:rsidP="005A4A1B">
      <w:pPr>
        <w:pStyle w:val="Nivel2"/>
        <w:rPr>
          <w:spacing w:val="-5"/>
        </w:rPr>
      </w:pPr>
      <w:r w:rsidRPr="00896D32">
        <w:rPr>
          <w:spacing w:val="-5"/>
        </w:rPr>
        <w:t xml:space="preserve">Este hecho interpela al </w:t>
      </w:r>
      <w:proofErr w:type="spellStart"/>
      <w:r w:rsidRPr="00896D32">
        <w:rPr>
          <w:i/>
          <w:iCs/>
          <w:spacing w:val="-5"/>
        </w:rPr>
        <w:t>policy-maker</w:t>
      </w:r>
      <w:proofErr w:type="spellEnd"/>
      <w:r w:rsidRPr="00896D32">
        <w:rPr>
          <w:spacing w:val="-5"/>
        </w:rPr>
        <w:t xml:space="preserve"> y al sector público en su conjunto, subrayando la necesidad de fomentar la acumulación de capital humano y social de los gestores empresariales.</w:t>
      </w:r>
    </w:p>
    <w:p w14:paraId="6F79E273" w14:textId="77777777" w:rsidR="00F64054" w:rsidRDefault="00F64054" w:rsidP="00F64054">
      <w:pPr>
        <w:pStyle w:val="Nivel1"/>
        <w:keepNext/>
        <w:spacing w:after="0"/>
      </w:pPr>
      <w:r w:rsidRPr="00764940">
        <w:rPr>
          <w:b/>
          <w:bCs/>
          <w:i/>
          <w:iCs/>
        </w:rPr>
        <w:t>Extensiones y relación con otras partes del temario</w:t>
      </w:r>
      <w:r>
        <w:t>:</w:t>
      </w:r>
    </w:p>
    <w:p w14:paraId="31F1425A" w14:textId="23C20C79" w:rsidR="00F64054" w:rsidRDefault="00A51A45" w:rsidP="00A51A45">
      <w:pPr>
        <w:pStyle w:val="Nivel2"/>
        <w:keepNext/>
        <w:spacing w:after="0"/>
      </w:pPr>
      <w:r>
        <w:t xml:space="preserve">Antes de concluir, quería abordar algunas posibles </w:t>
      </w:r>
      <w:r w:rsidRPr="00327371">
        <w:rPr>
          <w:b/>
          <w:bCs/>
        </w:rPr>
        <w:t>implicaciones de política económica</w:t>
      </w:r>
      <w:r>
        <w:t xml:space="preserve"> en función de lo visto en la exposición y así ligar un análisis puramente empresarial a un análisis macroeconómico.</w:t>
      </w:r>
    </w:p>
    <w:p w14:paraId="66653C38" w14:textId="50BDDA06" w:rsidR="00A51A45" w:rsidRDefault="00A51A45" w:rsidP="00A51A45">
      <w:pPr>
        <w:pStyle w:val="Nivel3"/>
      </w:pPr>
      <w:r>
        <w:t xml:space="preserve">Si suponemos una </w:t>
      </w:r>
      <w:r>
        <w:rPr>
          <w:i/>
          <w:iCs/>
        </w:rPr>
        <w:t>política monetaria expansiva</w:t>
      </w:r>
      <w:r>
        <w:t xml:space="preserve"> que incentive el endeudamiento vía reducción del coste de financiación, esto permitirá unos mayores niveles de inversión. No obstante, existe el riesgo de que unos tipos de interés muy bajos generen un excesivo apalancamiento y una burbuja especulativa. Esto ha sucedido notablemente en países como España, Italia e Irlanda, donde el exceso de crédito se canalizó al sector de la construcción y la deuda privada se disparó.</w:t>
      </w:r>
    </w:p>
    <w:p w14:paraId="1E61F937" w14:textId="2404C328" w:rsidR="00A51A45" w:rsidRDefault="00A51A45" w:rsidP="00A51A45">
      <w:pPr>
        <w:pStyle w:val="Nivel3"/>
      </w:pPr>
      <w:r>
        <w:t xml:space="preserve">Por otro lado, una </w:t>
      </w:r>
      <w:r>
        <w:rPr>
          <w:i/>
          <w:iCs/>
        </w:rPr>
        <w:t>política fiscal expansiva</w:t>
      </w:r>
      <w:r>
        <w:t xml:space="preserve"> podría contemplarse ante una caída de la demanda agregada bajo el supuesto de que las crisis financieras pueden ser muy costosas y pueden reducir la financiación de los proyectos de inversión hasta que las empresas sean capaces de generar los fondos propios necesarios. Por tanto, la expansión fiscal generaría más demanda y con ella beneficios empresariales que se retienen como fondos propios que servirían para acometer inversiones permitiendo acelerar la salida de la crisis.</w:t>
      </w:r>
      <w:r w:rsidR="00A57D4D">
        <w:t xml:space="preserve"> Ahora bien, si esto es una buena idea o no es más debatible, otra alternativa a valorar si se plantea incrementar el excedente bruto de </w:t>
      </w:r>
      <w:r w:rsidR="00A57D4D">
        <w:lastRenderedPageBreak/>
        <w:t>explotación de la empresa podría ser la moderación salarial o reducir las cargas fiscales a la compra de bienes de capital.</w:t>
      </w:r>
    </w:p>
    <w:p w14:paraId="66AC2FC5" w14:textId="05132648" w:rsidR="00A57D4D" w:rsidRDefault="00A57D4D" w:rsidP="00A51A45">
      <w:pPr>
        <w:pStyle w:val="Nivel3"/>
      </w:pPr>
      <w:r>
        <w:t xml:space="preserve">En tercer lugar, la ausencia de incertidumbre puede impulsar la inversión empresarial al reducir los costes de financiación. En este sentido, la </w:t>
      </w:r>
      <w:r>
        <w:rPr>
          <w:i/>
          <w:iCs/>
        </w:rPr>
        <w:t>estabilidad macroeconómica</w:t>
      </w:r>
      <w:r>
        <w:t xml:space="preserve"> puede reducir la incertidumbre y por ende animar la inversión. Por ello, la estabilidad de los tipos de interés, de los precios, de los tipos de cambio e incluso la estabilidad política e institucional jugarán un papel clave. En este sentido es importante contar con instituciones inclusivas que favorezcan la acumulación de capital mediante el respeto de los derechos de propiedad, de los contratos o, más generalmente, el imperio de la ley. Incluso variables como la equidad pueden estimular la inversión según </w:t>
      </w:r>
      <w:proofErr w:type="spellStart"/>
      <w:r>
        <w:rPr>
          <w:smallCaps/>
        </w:rPr>
        <w:t>Perotti</w:t>
      </w:r>
      <w:proofErr w:type="spellEnd"/>
      <w:r>
        <w:t xml:space="preserve"> y </w:t>
      </w:r>
      <w:proofErr w:type="spellStart"/>
      <w:r>
        <w:rPr>
          <w:smallCaps/>
        </w:rPr>
        <w:t>Tabellini</w:t>
      </w:r>
      <w:proofErr w:type="spellEnd"/>
      <w:r>
        <w:t>.</w:t>
      </w:r>
    </w:p>
    <w:p w14:paraId="4AB03C7F" w14:textId="3906B028" w:rsidR="00A57D4D" w:rsidRDefault="00A57D4D" w:rsidP="00A51A45">
      <w:pPr>
        <w:pStyle w:val="Nivel3"/>
      </w:pPr>
      <w:r>
        <w:t>Finalmente, e</w:t>
      </w:r>
      <w:r w:rsidR="002F2181">
        <w:t>l</w:t>
      </w:r>
      <w:r>
        <w:t xml:space="preserve"> sector público también puede actuar buscando fomentar la </w:t>
      </w:r>
      <w:r w:rsidRPr="00B11BE5">
        <w:rPr>
          <w:i/>
          <w:iCs/>
        </w:rPr>
        <w:t>acumulación de capital humano d</w:t>
      </w:r>
      <w:r w:rsidR="00B100B2" w:rsidRPr="00B11BE5">
        <w:rPr>
          <w:i/>
          <w:iCs/>
        </w:rPr>
        <w:t xml:space="preserve">e </w:t>
      </w:r>
      <w:r w:rsidRPr="00B11BE5">
        <w:rPr>
          <w:i/>
          <w:iCs/>
        </w:rPr>
        <w:t>los gestores empresariales</w:t>
      </w:r>
      <w:r>
        <w:t xml:space="preserve"> para que se tomen mejores decisiones de inversión que tengan un impacto positivo a nivel macroeconómico.</w:t>
      </w:r>
    </w:p>
    <w:p w14:paraId="0F8B31D1" w14:textId="27D05AAF" w:rsidR="00F64054" w:rsidRDefault="00F64054" w:rsidP="00F64054">
      <w:pPr>
        <w:pStyle w:val="Nivel1"/>
        <w:keepNext/>
        <w:spacing w:after="0"/>
      </w:pPr>
      <w:r w:rsidRPr="00764940">
        <w:rPr>
          <w:b/>
          <w:bCs/>
          <w:i/>
          <w:iCs/>
        </w:rPr>
        <w:t>Opinión</w:t>
      </w:r>
      <w:r>
        <w:t>:</w:t>
      </w:r>
    </w:p>
    <w:p w14:paraId="6A02DE76" w14:textId="77777777" w:rsidR="00F64054" w:rsidRDefault="00F64054" w:rsidP="00F64054">
      <w:pPr>
        <w:pStyle w:val="Nivel2"/>
      </w:pPr>
    </w:p>
    <w:p w14:paraId="4B11BC0E" w14:textId="1575C289" w:rsidR="00F2467B" w:rsidRDefault="00A42B58" w:rsidP="00553477">
      <w:pPr>
        <w:pStyle w:val="Nivel1"/>
        <w:keepNext/>
        <w:spacing w:after="0"/>
      </w:pPr>
      <w:r w:rsidRPr="00764940">
        <w:rPr>
          <w:b/>
          <w:bCs/>
          <w:i/>
          <w:iCs/>
        </w:rPr>
        <w:t>Idea final (</w:t>
      </w:r>
      <w:r w:rsidR="00606E13" w:rsidRPr="00764940">
        <w:rPr>
          <w:b/>
          <w:bCs/>
          <w:i/>
          <w:iCs/>
        </w:rPr>
        <w:t>Salida o cierre</w:t>
      </w:r>
      <w:r w:rsidRPr="00764940">
        <w:rPr>
          <w:b/>
          <w:bCs/>
          <w:i/>
          <w:iCs/>
        </w:rPr>
        <w:t>)</w:t>
      </w:r>
      <w:r w:rsidR="00606E13">
        <w:t>:</w:t>
      </w:r>
    </w:p>
    <w:p w14:paraId="16E88D54" w14:textId="415443A4" w:rsidR="00553477" w:rsidRDefault="00CB4E5C" w:rsidP="00553477">
      <w:pPr>
        <w:pStyle w:val="Nivel2"/>
      </w:pPr>
      <w:r>
        <w:t>En definitiva, la política económica debe favorecer que se canalice el ahorro de las unidades superavitarias a la financiación de proyectos empresariales que generen valor y mediante la generación de bienes de capital que estimulen el crecimiento económico.</w:t>
      </w:r>
    </w:p>
    <w:p w14:paraId="02684F43" w14:textId="77777777" w:rsidR="008233F9" w:rsidRDefault="008233F9">
      <w:r>
        <w:br w:type="page"/>
      </w:r>
    </w:p>
    <w:p w14:paraId="76B57F93" w14:textId="77777777" w:rsidR="00342648" w:rsidRPr="001148B2" w:rsidRDefault="00342648" w:rsidP="00342648">
      <w:pPr>
        <w:pStyle w:val="Ttulo4"/>
        <w:rPr>
          <w:lang w:val="fr-FR"/>
        </w:rPr>
      </w:pPr>
      <w:proofErr w:type="spellStart"/>
      <w:r w:rsidRPr="001148B2">
        <w:rPr>
          <w:lang w:val="fr-FR"/>
        </w:rPr>
        <w:lastRenderedPageBreak/>
        <w:t>Bibliografía</w:t>
      </w:r>
      <w:proofErr w:type="spellEnd"/>
    </w:p>
    <w:p w14:paraId="2377B75D" w14:textId="22EA1E60" w:rsidR="00B22C86" w:rsidRDefault="00B22C86" w:rsidP="00B22C86">
      <w:proofErr w:type="spellStart"/>
      <w:r w:rsidRPr="001148B2">
        <w:rPr>
          <w:lang w:val="fr-FR"/>
        </w:rPr>
        <w:t>Vernimmen</w:t>
      </w:r>
      <w:proofErr w:type="spellEnd"/>
      <w:r w:rsidRPr="001148B2">
        <w:rPr>
          <w:lang w:val="fr-FR"/>
        </w:rPr>
        <w:t>, P.</w:t>
      </w:r>
      <w:r w:rsidR="00A40F71" w:rsidRPr="001148B2">
        <w:rPr>
          <w:lang w:val="fr-FR"/>
        </w:rPr>
        <w:t xml:space="preserve"> et al.</w:t>
      </w:r>
      <w:r w:rsidRPr="001148B2">
        <w:rPr>
          <w:lang w:val="fr-FR"/>
        </w:rPr>
        <w:t xml:space="preserve"> </w:t>
      </w:r>
      <w:r w:rsidRPr="00E47101">
        <w:rPr>
          <w:lang w:val="en-US"/>
        </w:rPr>
        <w:t xml:space="preserve">(2017). </w:t>
      </w:r>
      <w:hyperlink r:id="rId24" w:history="1">
        <w:r w:rsidRPr="00376F5B">
          <w:rPr>
            <w:rStyle w:val="Hipervnculo"/>
            <w:i/>
            <w:iCs/>
            <w:lang w:val="en-US"/>
          </w:rPr>
          <w:t>Corporate finance: Theory and practice</w:t>
        </w:r>
        <w:r w:rsidRPr="00376F5B">
          <w:rPr>
            <w:rStyle w:val="Hipervnculo"/>
            <w:lang w:val="en-US"/>
          </w:rPr>
          <w:t xml:space="preserve"> (Fifth edition)</w:t>
        </w:r>
      </w:hyperlink>
      <w:r w:rsidRPr="00E47101">
        <w:rPr>
          <w:lang w:val="en-US"/>
        </w:rPr>
        <w:t xml:space="preserve">. </w:t>
      </w:r>
      <w:r w:rsidRPr="00E47101">
        <w:t>Wiley.</w:t>
      </w:r>
    </w:p>
    <w:p w14:paraId="117603CE" w14:textId="3F5C7B86" w:rsidR="002E7299" w:rsidRDefault="00B22C86" w:rsidP="00B22C86">
      <w:r>
        <w:t>Tema ICEX-CECO</w:t>
      </w:r>
      <w:r w:rsidR="002E7299">
        <w:t>.</w:t>
      </w:r>
    </w:p>
    <w:p w14:paraId="7A5AA71E" w14:textId="709B07AB" w:rsidR="00571C4E" w:rsidRDefault="00571C4E" w:rsidP="00B22C86">
      <w:r w:rsidRPr="00571C4E">
        <w:t xml:space="preserve">Suárez </w:t>
      </w:r>
      <w:proofErr w:type="spellStart"/>
      <w:r w:rsidRPr="00571C4E">
        <w:t>Suárez</w:t>
      </w:r>
      <w:proofErr w:type="spellEnd"/>
      <w:r w:rsidRPr="00571C4E">
        <w:t>, A. S.</w:t>
      </w:r>
      <w:r w:rsidR="0052146E">
        <w:t>;</w:t>
      </w:r>
      <w:r w:rsidRPr="00571C4E">
        <w:t xml:space="preserve"> Rojo Suárez, J. &amp; Suárez García, P. (2014). </w:t>
      </w:r>
      <w:r w:rsidRPr="00571C4E">
        <w:rPr>
          <w:i/>
          <w:iCs/>
        </w:rPr>
        <w:t>Decisiones óptimas de inversión y financiación en la empresa</w:t>
      </w:r>
      <w:r w:rsidRPr="00571C4E">
        <w:t>. Pirámide.</w:t>
      </w:r>
      <w:r>
        <w:t xml:space="preserve"> Capítulos 2-19.</w:t>
      </w:r>
    </w:p>
    <w:p w14:paraId="1AE0D7BB" w14:textId="0060B893" w:rsidR="003245D3" w:rsidRDefault="003245D3" w:rsidP="00B22C86">
      <w:r>
        <w:t>Tema Juan Luis Cordero Tarifa</w:t>
      </w:r>
    </w:p>
    <w:p w14:paraId="6F1EF073" w14:textId="57768250" w:rsidR="002E7299" w:rsidRDefault="004F23BD" w:rsidP="00630D0B">
      <w:r>
        <w:t xml:space="preserve">Tema </w:t>
      </w:r>
      <w:r w:rsidR="002E7299">
        <w:t xml:space="preserve">Miguel Fabián </w:t>
      </w:r>
      <w:r>
        <w:t>Salazar</w:t>
      </w:r>
      <w:r w:rsidR="002E7299">
        <w:t>.</w:t>
      </w:r>
    </w:p>
    <w:p w14:paraId="7A15159F" w14:textId="1663D9FF" w:rsidR="00D17411" w:rsidRPr="00C04A4E" w:rsidRDefault="00D17411" w:rsidP="00D17411">
      <w:r w:rsidRPr="003245D3">
        <w:rPr>
          <w:lang w:val="en-US"/>
        </w:rPr>
        <w:t xml:space="preserve">Copeland, T. E., Weston, J. F. &amp; Shastri, K. (2014). </w:t>
      </w:r>
      <w:r w:rsidRPr="00CB4E5C">
        <w:rPr>
          <w:i/>
          <w:iCs/>
          <w:lang w:val="en-US"/>
        </w:rPr>
        <w:t>Financial theory and corporate policy</w:t>
      </w:r>
      <w:r>
        <w:rPr>
          <w:i/>
          <w:iCs/>
          <w:lang w:val="en-US"/>
        </w:rPr>
        <w:t xml:space="preserve"> </w:t>
      </w:r>
      <w:r>
        <w:rPr>
          <w:lang w:val="en-US"/>
        </w:rPr>
        <w:t xml:space="preserve">(4. ed., Pearson new international edition). </w:t>
      </w:r>
      <w:r w:rsidRPr="00C04A4E">
        <w:t>Pearson.</w:t>
      </w:r>
    </w:p>
    <w:p w14:paraId="38B8E292" w14:textId="77777777" w:rsidR="0034698E" w:rsidRDefault="0034698E" w:rsidP="0034698E">
      <w:pPr>
        <w:pStyle w:val="Ttulo4"/>
      </w:pPr>
      <w:r>
        <w:t>Preguntas de otros exámenes</w:t>
      </w:r>
    </w:p>
    <w:p w14:paraId="27D8BA6E" w14:textId="77777777" w:rsidR="0034698E" w:rsidRPr="00827B1C" w:rsidRDefault="0034698E" w:rsidP="0034698E">
      <w:pPr>
        <w:pStyle w:val="Nivel2SM"/>
      </w:pPr>
    </w:p>
    <w:p w14:paraId="4074DB10" w14:textId="77777777" w:rsidR="0034698E" w:rsidRDefault="0034698E" w:rsidP="0034698E">
      <w:pPr>
        <w:pStyle w:val="Ttulo4"/>
      </w:pPr>
      <w:r>
        <w:t>Enlace a preguntas tipo test</w:t>
      </w:r>
    </w:p>
    <w:p w14:paraId="5E04CB21" w14:textId="20CA70BA" w:rsidR="0034698E" w:rsidRDefault="00000000" w:rsidP="0034698E">
      <w:hyperlink r:id="rId25" w:history="1">
        <w:r w:rsidR="0034698E" w:rsidRPr="00B833F9">
          <w:rPr>
            <w:rStyle w:val="Hipervnculo"/>
          </w:rPr>
          <w:t>https://www.quia.com/quiz/6562938.html</w:t>
        </w:r>
      </w:hyperlink>
    </w:p>
    <w:p w14:paraId="1BB30170" w14:textId="30A104B2" w:rsidR="00342648" w:rsidRDefault="00342648" w:rsidP="00342648">
      <w:pPr>
        <w:pStyle w:val="Ttulo4"/>
      </w:pPr>
      <w:r w:rsidRPr="00342648">
        <w:t>Anexos</w:t>
      </w:r>
    </w:p>
    <w:p w14:paraId="7DB03873" w14:textId="20AEECC0" w:rsidR="0015013E" w:rsidRPr="00AA0073" w:rsidRDefault="00342648" w:rsidP="00502A72">
      <w:pPr>
        <w:pStyle w:val="Ttulo5"/>
        <w:rPr>
          <w:i w:val="0"/>
          <w:iCs w:val="0"/>
          <w:u w:val="none"/>
        </w:rPr>
      </w:pPr>
      <w:r w:rsidRPr="0002549F">
        <w:t>Anexo</w:t>
      </w:r>
      <w:r w:rsidR="00302561">
        <w:t> </w:t>
      </w:r>
      <w:r w:rsidRPr="0002549F">
        <w:t>1</w:t>
      </w:r>
      <w:r w:rsidR="00D564BC">
        <w:rPr>
          <w:i w:val="0"/>
          <w:iCs w:val="0"/>
          <w:u w:val="none"/>
        </w:rPr>
        <w:t xml:space="preserve">: </w:t>
      </w:r>
      <w:r w:rsidR="009A36DD">
        <w:rPr>
          <w:i w:val="0"/>
          <w:iCs w:val="0"/>
          <w:u w:val="none"/>
        </w:rPr>
        <w:t>Anualidad vs Perpetuidad</w:t>
      </w:r>
      <w:r w:rsidR="005F7581">
        <w:rPr>
          <w:i w:val="0"/>
          <w:iCs w:val="0"/>
          <w:u w:val="none"/>
        </w:rPr>
        <w:t xml:space="preserve"> (progresión </w:t>
      </w:r>
      <w:r w:rsidR="00272B53">
        <w:rPr>
          <w:i w:val="0"/>
          <w:iCs w:val="0"/>
          <w:u w:val="none"/>
        </w:rPr>
        <w:t>geométrica</w:t>
      </w:r>
      <w:r w:rsidR="005F7581">
        <w:rPr>
          <w:i w:val="0"/>
          <w:iCs w:val="0"/>
          <w:u w:val="none"/>
        </w:rPr>
        <w:t>)</w:t>
      </w:r>
    </w:p>
    <w:p w14:paraId="58B96923" w14:textId="5B2F7343" w:rsidR="006C1C34" w:rsidRPr="00566721" w:rsidRDefault="009A36DD" w:rsidP="001C51A6">
      <w:pPr>
        <w:pStyle w:val="Nivel1SM"/>
        <w:keepNext/>
        <w:keepLines/>
        <w:spacing w:after="0" w:line="240" w:lineRule="auto"/>
        <w:rPr>
          <w:spacing w:val="-2"/>
        </w:rPr>
      </w:pPr>
      <w:r w:rsidRPr="00566721">
        <w:rPr>
          <w:spacing w:val="-2"/>
        </w:rPr>
        <w:t xml:space="preserve">El valor </w:t>
      </w:r>
      <w:r w:rsidR="00B35E75" w:rsidRPr="00566721">
        <w:rPr>
          <w:spacing w:val="-2"/>
        </w:rPr>
        <w:t xml:space="preserve">presente </w:t>
      </w:r>
      <w:r w:rsidRPr="00566721">
        <w:rPr>
          <w:spacing w:val="-2"/>
        </w:rPr>
        <w:t>de un</w:t>
      </w:r>
      <w:r w:rsidR="00566721">
        <w:rPr>
          <w:spacing w:val="-2"/>
        </w:rPr>
        <w:t xml:space="preserve">a </w:t>
      </w:r>
      <w:r w:rsidR="00566721" w:rsidRPr="001C51A6">
        <w:rPr>
          <w:b/>
          <w:bCs/>
          <w:spacing w:val="-2"/>
          <w:u w:val="single"/>
        </w:rPr>
        <w:t>anualidad constante</w:t>
      </w:r>
      <w:r w:rsidR="00566721" w:rsidRPr="001C51A6">
        <w:rPr>
          <w:spacing w:val="-2"/>
          <w:u w:val="single"/>
        </w:rPr>
        <w:t xml:space="preserve"> </w:t>
      </w:r>
      <w:r w:rsidR="00566721" w:rsidRPr="001C51A6">
        <w:rPr>
          <w:i/>
          <w:iCs/>
          <w:spacing w:val="-2"/>
          <w:u w:val="single"/>
        </w:rPr>
        <w:t>F</w:t>
      </w:r>
      <w:r w:rsidRPr="001C51A6">
        <w:rPr>
          <w:spacing w:val="-2"/>
          <w:u w:val="single"/>
        </w:rPr>
        <w:t xml:space="preserve"> mantenid</w:t>
      </w:r>
      <w:r w:rsidR="00566721" w:rsidRPr="001C51A6">
        <w:rPr>
          <w:spacing w:val="-2"/>
          <w:u w:val="single"/>
        </w:rPr>
        <w:t>a</w:t>
      </w:r>
      <w:r w:rsidRPr="001C51A6">
        <w:rPr>
          <w:spacing w:val="-2"/>
          <w:u w:val="single"/>
        </w:rPr>
        <w:t xml:space="preserve"> durante </w:t>
      </w:r>
      <w:r w:rsidRPr="001C51A6">
        <w:rPr>
          <w:i/>
          <w:iCs/>
          <w:spacing w:val="-2"/>
          <w:u w:val="single"/>
        </w:rPr>
        <w:t>n</w:t>
      </w:r>
      <w:r w:rsidR="00ED6216">
        <w:rPr>
          <w:spacing w:val="-2"/>
          <w:u w:val="single"/>
        </w:rPr>
        <w:t> </w:t>
      </w:r>
      <w:r w:rsidRPr="001C51A6">
        <w:rPr>
          <w:spacing w:val="-2"/>
          <w:u w:val="single"/>
        </w:rPr>
        <w:t>períodos</w:t>
      </w:r>
      <w:r w:rsidRPr="00566721">
        <w:rPr>
          <w:spacing w:val="-2"/>
        </w:rPr>
        <w:t xml:space="preserve"> empezando en el </w:t>
      </w:r>
      <w:r w:rsidR="00B35E75" w:rsidRPr="00566721">
        <w:rPr>
          <w:spacing w:val="-2"/>
        </w:rPr>
        <w:t>período</w:t>
      </w:r>
      <w:r w:rsidR="00ED6216">
        <w:rPr>
          <w:spacing w:val="-2"/>
        </w:rPr>
        <w:t> </w:t>
      </w:r>
      <w:r w:rsidRPr="00566721">
        <w:rPr>
          <w:spacing w:val="-2"/>
        </w:rPr>
        <w:t>1:</w:t>
      </w:r>
    </w:p>
    <w:p w14:paraId="3EF31BA3" w14:textId="1FA1AE64" w:rsidR="00B35E75" w:rsidRDefault="00000000" w:rsidP="00ED6216">
      <w:pPr>
        <w:pStyle w:val="Nivel1SM"/>
        <w:keepLines/>
        <w:numPr>
          <w:ilvl w:val="0"/>
          <w:numId w:val="0"/>
        </w:numPr>
        <w:spacing w:before="0" w:after="60" w:line="240" w:lineRule="auto"/>
        <w:ind w:left="198"/>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r>
                    <m:rPr>
                      <m:nor/>
                    </m:rPr>
                    <w:rPr>
                      <w:i/>
                      <w:iCs/>
                    </w:rPr>
                    <m:t>F</m:t>
                  </m:r>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borderBox>
        </m:oMath>
      </m:oMathPara>
    </w:p>
    <w:p w14:paraId="50E82DCD" w14:textId="2A634F17" w:rsidR="009A36DD" w:rsidRDefault="009A36DD" w:rsidP="001C51A6">
      <w:pPr>
        <w:pStyle w:val="Nivel1SM"/>
        <w:keepNext/>
        <w:keepLines/>
        <w:spacing w:after="0" w:line="240" w:lineRule="auto"/>
      </w:pPr>
      <w:r>
        <w:t xml:space="preserve">El valor </w:t>
      </w:r>
      <w:r w:rsidR="00B35E75">
        <w:t xml:space="preserve">presente </w:t>
      </w:r>
      <w:r>
        <w:t xml:space="preserve">de una </w:t>
      </w:r>
      <w:r w:rsidRPr="001C51A6">
        <w:rPr>
          <w:b/>
          <w:bCs/>
          <w:u w:val="single"/>
        </w:rPr>
        <w:t>perpetuidad</w:t>
      </w:r>
      <w:r w:rsidR="00566721" w:rsidRPr="001C51A6">
        <w:rPr>
          <w:b/>
          <w:bCs/>
          <w:u w:val="single"/>
        </w:rPr>
        <w:t xml:space="preserve"> constante</w:t>
      </w:r>
      <w:r>
        <w:t xml:space="preserve">, es decir, flujos de caja constantes durante infinitos periodos </w:t>
      </w:r>
      <w:r w:rsidR="00B35E75">
        <w:t>comenzando en el período</w:t>
      </w:r>
      <w:r w:rsidR="00ED6216">
        <w:t> </w:t>
      </w:r>
      <w:r w:rsidR="00B35E75">
        <w:t>1:</w:t>
      </w:r>
    </w:p>
    <w:p w14:paraId="3000A33E" w14:textId="09D4912B" w:rsidR="00B35E75" w:rsidRDefault="001C51A6" w:rsidP="00ED6216">
      <w:pPr>
        <w:pStyle w:val="Nivel1SM"/>
        <w:keepNext/>
        <w:keepLines/>
        <w:numPr>
          <w:ilvl w:val="0"/>
          <w:numId w:val="0"/>
        </w:numPr>
        <w:spacing w:before="0" w:after="0" w:line="240" w:lineRule="auto"/>
        <w:ind w:left="198"/>
        <w:rPr>
          <w:rFonts w:eastAsiaTheme="minorEastAsia"/>
          <w:iCs/>
        </w:rPr>
      </w:pPr>
      <m:oMathPara>
        <m:oMath>
          <m:r>
            <w:rPr>
              <w:rFonts w:ascii="Cambria Math" w:eastAsiaTheme="minorEastAsia" w:hAns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w:rPr>
              <w:rFonts w:ascii="Cambria Math" w:hAnsi="Cambria Math"/>
            </w:rPr>
            <m:t>+⋯</m:t>
          </m:r>
          <m:r>
            <m:rPr>
              <m:sty m:val="p"/>
            </m:rPr>
            <w:rPr>
              <w:rFonts w:eastAsiaTheme="minorEastAsia"/>
            </w:rPr>
            <w:br/>
          </m:r>
        </m:oMath>
      </m:oMathPara>
      <w:r w:rsidR="00B35E75">
        <w:rPr>
          <w:rFonts w:eastAsiaTheme="minorEastAsia"/>
        </w:rPr>
        <w:t xml:space="preserve">a medida que </w:t>
      </w:r>
      <m:oMath>
        <m:r>
          <m:rPr>
            <m:nor/>
          </m:rPr>
          <w:rPr>
            <w:i/>
            <w:iCs/>
          </w:rPr>
          <m:t>n</m:t>
        </m:r>
      </m:oMath>
      <w:r w:rsidR="00B35E75">
        <w:rPr>
          <w:rFonts w:eastAsiaTheme="minorEastAsia"/>
          <w:iCs/>
        </w:rPr>
        <w:t xml:space="preserve"> tiende a infinito, esto puede ser acortado a:</w:t>
      </w:r>
    </w:p>
    <w:p w14:paraId="7EF59E20" w14:textId="008A6599" w:rsidR="00B35E75" w:rsidRDefault="00000000" w:rsidP="00ED6216">
      <w:pPr>
        <w:pStyle w:val="Nivel1SM"/>
        <w:keepLines/>
        <w:numPr>
          <w:ilvl w:val="0"/>
          <w:numId w:val="0"/>
        </w:numPr>
        <w:spacing w:before="0" w:after="60" w:line="240" w:lineRule="auto"/>
        <w:ind w:left="198"/>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r>
                    <m:rPr>
                      <m:nor/>
                    </m:rPr>
                    <w:rPr>
                      <w:i/>
                      <w:iCs/>
                    </w:rPr>
                    <m:t>F</m:t>
                  </m:r>
                </m:num>
                <m:den>
                  <m:r>
                    <m:rPr>
                      <m:nor/>
                    </m:rPr>
                    <w:rPr>
                      <w:i/>
                      <w:iCs/>
                    </w:rPr>
                    <m:t>r</m:t>
                  </m:r>
                </m:den>
              </m:f>
            </m:e>
          </m:borderBox>
        </m:oMath>
      </m:oMathPara>
    </w:p>
    <w:p w14:paraId="411AFEDC" w14:textId="4736806F" w:rsidR="00566721" w:rsidRDefault="00566721" w:rsidP="001C51A6">
      <w:pPr>
        <w:pStyle w:val="Nivel1SM"/>
        <w:keepNext/>
        <w:keepLines/>
        <w:spacing w:after="0" w:line="240" w:lineRule="auto"/>
        <w:rPr>
          <w:spacing w:val="-2"/>
        </w:rPr>
      </w:pPr>
      <w:r>
        <w:rPr>
          <w:spacing w:val="-2"/>
        </w:rPr>
        <w:t xml:space="preserve">El valor presente de una </w:t>
      </w:r>
      <w:r w:rsidRPr="001C51A6">
        <w:rPr>
          <w:b/>
          <w:bCs/>
          <w:spacing w:val="-2"/>
          <w:u w:val="single"/>
        </w:rPr>
        <w:t xml:space="preserve">anualidad que crece a una tasa constante </w:t>
      </w:r>
      <w:r w:rsidRPr="001C51A6">
        <w:rPr>
          <w:b/>
          <w:bCs/>
          <w:i/>
          <w:iCs/>
          <w:spacing w:val="-2"/>
          <w:u w:val="single"/>
        </w:rPr>
        <w:t>g</w:t>
      </w:r>
      <w:r w:rsidRPr="001C51A6">
        <w:rPr>
          <w:spacing w:val="-2"/>
          <w:u w:val="single"/>
        </w:rPr>
        <w:t xml:space="preserve"> durante </w:t>
      </w:r>
      <w:r w:rsidRPr="001C51A6">
        <w:rPr>
          <w:i/>
          <w:iCs/>
          <w:spacing w:val="-2"/>
          <w:u w:val="single"/>
        </w:rPr>
        <w:t>n</w:t>
      </w:r>
      <w:r w:rsidR="00ED6216">
        <w:rPr>
          <w:spacing w:val="-2"/>
          <w:u w:val="single"/>
        </w:rPr>
        <w:t> </w:t>
      </w:r>
      <w:r w:rsidRPr="001C51A6">
        <w:rPr>
          <w:spacing w:val="-2"/>
          <w:u w:val="single"/>
        </w:rPr>
        <w:t>períodos</w:t>
      </w:r>
      <w:r>
        <w:rPr>
          <w:spacing w:val="-2"/>
        </w:rPr>
        <w:t xml:space="preserve"> podría ser expresado como:</w:t>
      </w:r>
    </w:p>
    <w:p w14:paraId="1623AF52" w14:textId="47D81D89" w:rsidR="00566721" w:rsidRDefault="00566721" w:rsidP="00ED6216">
      <w:pPr>
        <w:pStyle w:val="Nivel1SM"/>
        <w:keepNext/>
        <w:keepLines/>
        <w:numPr>
          <w:ilvl w:val="0"/>
          <w:numId w:val="0"/>
        </w:numPr>
        <w:spacing w:before="0" w:after="0" w:line="240" w:lineRule="auto"/>
        <w:ind w:left="198"/>
        <w:rPr>
          <w:spacing w:val="-2"/>
        </w:rPr>
      </w:pPr>
      <m:oMathPara>
        <m:oMath>
          <m:r>
            <w:rPr>
              <w:rFonts w:ascii="Cambria Math" w:eastAsiaTheme="minorEastAsia" w:hAns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2</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m:rPr>
              <m:sty m:val="p"/>
            </m:rPr>
            <w:rPr>
              <w:rFonts w:ascii="Cambria Math" w:hAnsi="Cambria Math"/>
            </w:rPr>
            <w:br/>
          </m:r>
        </m:oMath>
      </m:oMathPara>
      <w:r w:rsidR="0055694A">
        <w:rPr>
          <w:spacing w:val="-2"/>
        </w:rPr>
        <w:t>que podría ser expresado como</w:t>
      </w:r>
      <w:r w:rsidR="0055694A">
        <w:rPr>
          <w:rStyle w:val="Refdenotaalpie"/>
          <w:spacing w:val="-2"/>
        </w:rPr>
        <w:footnoteReference w:id="29"/>
      </w:r>
      <w:r w:rsidR="0055694A">
        <w:rPr>
          <w:spacing w:val="-2"/>
        </w:rPr>
        <w:t>:</w:t>
      </w:r>
    </w:p>
    <w:p w14:paraId="692DBA36" w14:textId="5F10B4F5" w:rsidR="0055694A" w:rsidRDefault="00000000" w:rsidP="00ED6216">
      <w:pPr>
        <w:pStyle w:val="Nivel1SM"/>
        <w:numPr>
          <w:ilvl w:val="0"/>
          <w:numId w:val="0"/>
        </w:numPr>
        <w:spacing w:before="0" w:after="60" w:line="240" w:lineRule="auto"/>
        <w:ind w:left="198"/>
        <w:rPr>
          <w:spacing w:val="-2"/>
        </w:rPr>
      </w:pPr>
      <m:oMathPara>
        <m:oMath>
          <m:borderBox>
            <m:borderBoxPr>
              <m:ctrlPr>
                <w:rPr>
                  <w:rFonts w:ascii="Cambria Math" w:hAnsi="Cambria Math"/>
                  <w:i/>
                </w:rPr>
              </m:ctrlPr>
            </m:borderBoxPr>
            <m:e>
              <m:r>
                <m:rPr>
                  <m:nor/>
                </m:rPr>
                <w:rPr>
                  <w:i/>
                  <w:iCs/>
                </w:rPr>
                <m:t>Valor Presente</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iCs/>
                    </w:rPr>
                    <m:t>r</m:t>
                  </m:r>
                  <m:r>
                    <w:rPr>
                      <w:rFonts w:ascii="Cambria Math" w:hAnsi="Cambria Math"/>
                    </w:rPr>
                    <m:t>-</m:t>
                  </m:r>
                  <m:r>
                    <m:rPr>
                      <m:nor/>
                    </m:rPr>
                    <w:rPr>
                      <w:i/>
                      <w:iCs/>
                    </w:rPr>
                    <m:t>g</m:t>
                  </m:r>
                </m:den>
              </m:f>
              <m:r>
                <w:rPr>
                  <w:rFonts w:ascii="Cambria Math" w:hAnsi="Cambria Math"/>
                </w:rPr>
                <m:t>∙</m:t>
              </m:r>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d>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1</m:t>
                      </m:r>
                    </m:sub>
                  </m:sSub>
                </m:num>
                <m:den>
                  <m:r>
                    <m:rPr>
                      <m:nor/>
                    </m:rPr>
                    <w:rPr>
                      <w:i/>
                      <w:iCs/>
                    </w:rPr>
                    <m:t>r</m:t>
                  </m:r>
                  <m:r>
                    <w:rPr>
                      <w:rFonts w:ascii="Cambria Math" w:hAnsi="Cambria Math"/>
                    </w:rPr>
                    <m:t>-</m:t>
                  </m:r>
                  <m:r>
                    <m:rPr>
                      <m:nor/>
                    </m:rPr>
                    <w:rPr>
                      <w:i/>
                      <w:iCs/>
                    </w:rPr>
                    <m:t>g</m:t>
                  </m:r>
                </m:den>
              </m:f>
              <m:r>
                <w:rPr>
                  <w:rFonts w:ascii="Cambria Math" w:hAnsi="Cambria Math"/>
                </w:rPr>
                <m:t>∙</m:t>
              </m:r>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e>
              </m:d>
            </m:e>
          </m:borderBox>
          <m:r>
            <m:rPr>
              <m:sty m:val="p"/>
            </m:rPr>
            <w:rPr>
              <w:rFonts w:eastAsiaTheme="minorEastAsia"/>
            </w:rPr>
            <w:br/>
          </m:r>
        </m:oMath>
      </m:oMathPara>
      <w:r w:rsidR="008A5505">
        <w:rPr>
          <w:rFonts w:eastAsiaTheme="minorEastAsia"/>
        </w:rPr>
        <w:t xml:space="preserve">siempre que </w:t>
      </w:r>
      <m:oMath>
        <m:r>
          <m:rPr>
            <m:nor/>
          </m:rPr>
          <w:rPr>
            <w:i/>
            <w:iCs/>
          </w:rPr>
          <m:t>r</m:t>
        </m:r>
        <m:r>
          <w:rPr>
            <w:rFonts w:ascii="Cambria Math" w:hAnsi="Cambria Math"/>
          </w:rPr>
          <m:t>&gt;</m:t>
        </m:r>
        <m:r>
          <m:rPr>
            <m:nor/>
          </m:rPr>
          <w:rPr>
            <w:i/>
            <w:iCs/>
          </w:rPr>
          <m:t>g</m:t>
        </m:r>
      </m:oMath>
      <w:r w:rsidR="008A5505">
        <w:rPr>
          <w:rFonts w:eastAsiaTheme="minorEastAsia"/>
        </w:rPr>
        <w:t>.</w:t>
      </w:r>
    </w:p>
    <w:p w14:paraId="7536C9C3" w14:textId="307CDC45" w:rsidR="00B35E75" w:rsidRPr="00566721" w:rsidRDefault="00B35E75" w:rsidP="001C51A6">
      <w:pPr>
        <w:pStyle w:val="Nivel1SM"/>
        <w:keepNext/>
        <w:keepLines/>
        <w:spacing w:after="0" w:line="240" w:lineRule="auto"/>
        <w:rPr>
          <w:spacing w:val="-2"/>
        </w:rPr>
      </w:pPr>
      <w:r w:rsidRPr="00566721">
        <w:rPr>
          <w:spacing w:val="-2"/>
        </w:rPr>
        <w:t xml:space="preserve">El valor presente de una </w:t>
      </w:r>
      <w:r w:rsidRPr="001C51A6">
        <w:rPr>
          <w:b/>
          <w:bCs/>
          <w:spacing w:val="-2"/>
          <w:u w:val="single"/>
        </w:rPr>
        <w:t xml:space="preserve">perpetuidad que crece a una tasa constante </w:t>
      </w:r>
      <w:r w:rsidRPr="001C51A6">
        <w:rPr>
          <w:b/>
          <w:bCs/>
          <w:i/>
          <w:iCs/>
          <w:spacing w:val="-2"/>
          <w:u w:val="single"/>
        </w:rPr>
        <w:t>g</w:t>
      </w:r>
      <w:r w:rsidRPr="00566721">
        <w:rPr>
          <w:spacing w:val="-2"/>
        </w:rPr>
        <w:t xml:space="preserve"> podría ser expresado como:</w:t>
      </w:r>
    </w:p>
    <w:p w14:paraId="4CBB6E87" w14:textId="287337EF" w:rsidR="00B35E75" w:rsidRDefault="00B636F5" w:rsidP="00ED6216">
      <w:pPr>
        <w:pStyle w:val="Nivel1SM"/>
        <w:keepNext/>
        <w:keepLines/>
        <w:numPr>
          <w:ilvl w:val="0"/>
          <w:numId w:val="0"/>
        </w:numPr>
        <w:spacing w:before="0" w:after="0" w:line="240" w:lineRule="auto"/>
        <w:ind w:left="198"/>
        <w:rPr>
          <w:rFonts w:eastAsiaTheme="minorEastAsia"/>
          <w:iCs/>
        </w:rPr>
      </w:pPr>
      <m:oMathPara>
        <m:oMath>
          <m:r>
            <m:rPr>
              <m:nor/>
            </m:rPr>
            <w:rPr>
              <w:rFonts w:ascii="Cambria Math"/>
            </w:rPr>
            <m:t xml:space="preserve"> </m:t>
          </m:r>
          <m:r>
            <m:rPr>
              <m:nor/>
            </m:rPr>
            <w:rPr>
              <w:i/>
              <w:iCs/>
            </w:rPr>
            <m:t>Valor Presente</m:t>
          </m:r>
          <m:r>
            <w:rPr>
              <w:rFonts w:ascii="Cambria Math" w:hAnsi="Cambria Math"/>
            </w:rPr>
            <m:t>=</m:t>
          </m:r>
          <m:f>
            <m:fPr>
              <m:ctrlPr>
                <w:rPr>
                  <w:rFonts w:ascii="Cambria Math" w:hAnsi="Cambria Math"/>
                  <w:i/>
                </w:rPr>
              </m:ctrlPr>
            </m:fPr>
            <m:num>
              <m:r>
                <m:rPr>
                  <m:nor/>
                </m:rPr>
                <w:rPr>
                  <w:i/>
                  <w:iCs/>
                </w:rPr>
                <m:t>F</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d>
                <m:dPr>
                  <m:ctrlPr>
                    <w:rPr>
                      <w:rFonts w:ascii="Cambria Math" w:hAnsi="Cambria Math"/>
                      <w:i/>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2</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2</m:t>
                  </m:r>
                </m:sup>
              </m:sSup>
            </m:den>
          </m:f>
          <m:r>
            <w:rPr>
              <w:rFonts w:ascii="Cambria Math" w:hAnsi="Cambria Math"/>
            </w:rPr>
            <m:t>+⋯+</m:t>
          </m:r>
          <m:f>
            <m:fPr>
              <m:ctrlPr>
                <w:rPr>
                  <w:rFonts w:ascii="Cambria Math" w:hAnsi="Cambria Math"/>
                  <w:i/>
                </w:rPr>
              </m:ctrlPr>
            </m:fPr>
            <m:num>
              <m:r>
                <m:rPr>
                  <m:nor/>
                </m:rPr>
                <w:rPr>
                  <w:i/>
                  <w:iCs/>
                </w:rPr>
                <m:t>F</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g</m:t>
                      </m:r>
                    </m:e>
                  </m:d>
                </m:e>
                <m:sup>
                  <m:r>
                    <m:rPr>
                      <m:nor/>
                    </m:rPr>
                    <w:rPr>
                      <w:i/>
                      <w:iCs/>
                    </w:rPr>
                    <m:t>n</m:t>
                  </m:r>
                </m:sup>
              </m:sSup>
            </m:num>
            <m:den>
              <m:sSup>
                <m:sSupPr>
                  <m:ctrlPr>
                    <w:rPr>
                      <w:rFonts w:ascii="Cambria Math" w:hAnsi="Cambria Math"/>
                      <w:i/>
                    </w:rPr>
                  </m:ctrlPr>
                </m:sSupPr>
                <m:e>
                  <m:d>
                    <m:dPr>
                      <m:ctrlPr>
                        <w:rPr>
                          <w:rFonts w:ascii="Cambria Math" w:hAnsi="Cambria Math"/>
                          <w:i/>
                        </w:rPr>
                      </m:ctrlPr>
                    </m:dPr>
                    <m:e>
                      <m:r>
                        <m:rPr>
                          <m:nor/>
                        </m:rPr>
                        <w:rPr>
                          <w:i/>
                          <w:iCs/>
                        </w:rPr>
                        <m:t>1</m:t>
                      </m:r>
                      <m:r>
                        <w:rPr>
                          <w:rFonts w:ascii="Cambria Math" w:hAnsi="Cambria Math"/>
                        </w:rPr>
                        <m:t>+</m:t>
                      </m:r>
                      <m:r>
                        <m:rPr>
                          <m:nor/>
                        </m:rPr>
                        <w:rPr>
                          <w:i/>
                          <w:iCs/>
                        </w:rPr>
                        <m:t>r</m:t>
                      </m:r>
                    </m:e>
                  </m:d>
                </m:e>
                <m:sup>
                  <m:r>
                    <m:rPr>
                      <m:nor/>
                    </m:rPr>
                    <w:rPr>
                      <w:i/>
                      <w:iCs/>
                    </w:rPr>
                    <m:t>n</m:t>
                  </m:r>
                </m:sup>
              </m:sSup>
            </m:den>
          </m:f>
          <m:r>
            <w:rPr>
              <w:rFonts w:ascii="Cambria Math" w:hAnsi="Cambria Math"/>
            </w:rPr>
            <m:t>+⋯</m:t>
          </m:r>
          <m:r>
            <m:rPr>
              <m:sty m:val="p"/>
            </m:rPr>
            <w:rPr>
              <w:rFonts w:eastAsiaTheme="minorEastAsia"/>
            </w:rPr>
            <w:br/>
          </m:r>
        </m:oMath>
      </m:oMathPara>
      <w:r w:rsidR="00B35E75">
        <w:rPr>
          <w:rFonts w:eastAsiaTheme="minorEastAsia"/>
        </w:rPr>
        <w:t xml:space="preserve">a medida que </w:t>
      </w:r>
      <m:oMath>
        <m:r>
          <m:rPr>
            <m:nor/>
          </m:rPr>
          <w:rPr>
            <w:i/>
            <w:iCs/>
          </w:rPr>
          <m:t>n</m:t>
        </m:r>
      </m:oMath>
      <w:r w:rsidR="00B35E75">
        <w:rPr>
          <w:rFonts w:eastAsiaTheme="minorEastAsia"/>
          <w:iCs/>
        </w:rPr>
        <w:t xml:space="preserve"> tiende a infinito, esto puede ser acortado a:</w:t>
      </w:r>
    </w:p>
    <w:p w14:paraId="67A1FEDE" w14:textId="3857BC65" w:rsidR="00B35E75" w:rsidRPr="00B35E75" w:rsidRDefault="00000000" w:rsidP="00ED6216">
      <w:pPr>
        <w:pStyle w:val="Nivel1SM"/>
        <w:keepLines/>
        <w:numPr>
          <w:ilvl w:val="0"/>
          <w:numId w:val="0"/>
        </w:numPr>
        <w:spacing w:before="0" w:line="240" w:lineRule="auto"/>
        <w:ind w:left="198"/>
      </w:pPr>
      <m:oMathPara>
        <m:oMath>
          <m:borderBox>
            <m:borderBoxPr>
              <m:ctrlPr>
                <w:rPr>
                  <w:rFonts w:ascii="Cambria Math" w:hAnsi="Cambria Math"/>
                  <w:i/>
                  <w:iCs/>
                </w:rPr>
              </m:ctrlPr>
            </m:borderBoxPr>
            <m:e>
              <m:r>
                <m:rPr>
                  <m:nor/>
                </m:rPr>
                <w:rPr>
                  <w:i/>
                  <w:iCs/>
                </w:rPr>
                <m:t>Valor Presente</m:t>
              </m:r>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g</m:t>
                      </m:r>
                    </m:e>
                  </m:d>
                </m:num>
                <m:den>
                  <m:r>
                    <m:rPr>
                      <m:nor/>
                    </m:rPr>
                    <w:rPr>
                      <w:i/>
                      <w:iCs/>
                    </w:rPr>
                    <m:t>r</m:t>
                  </m:r>
                  <m:r>
                    <w:rPr>
                      <w:rFonts w:ascii="Cambria Math" w:hAnsi="Cambria Math"/>
                    </w:rPr>
                    <m:t>-</m:t>
                  </m:r>
                  <m:r>
                    <m:rPr>
                      <m:nor/>
                    </m:rPr>
                    <w:rPr>
                      <w:i/>
                      <w:iCs/>
                    </w:rPr>
                    <m:t>g</m:t>
                  </m:r>
                </m:den>
              </m:f>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F</m:t>
                      </m:r>
                    </m:e>
                    <m:sub>
                      <m:r>
                        <m:rPr>
                          <m:nor/>
                        </m:rPr>
                        <w:rPr>
                          <w:i/>
                          <w:iCs/>
                        </w:rPr>
                        <m:t>1</m:t>
                      </m:r>
                    </m:sub>
                  </m:sSub>
                </m:num>
                <m:den>
                  <m:r>
                    <m:rPr>
                      <m:nor/>
                    </m:rPr>
                    <w:rPr>
                      <w:i/>
                      <w:iCs/>
                    </w:rPr>
                    <m:t>r</m:t>
                  </m:r>
                  <m:r>
                    <w:rPr>
                      <w:rFonts w:ascii="Cambria Math" w:hAnsi="Cambria Math"/>
                    </w:rPr>
                    <m:t>-</m:t>
                  </m:r>
                  <m:r>
                    <m:rPr>
                      <m:nor/>
                    </m:rPr>
                    <w:rPr>
                      <w:i/>
                      <w:iCs/>
                    </w:rPr>
                    <m:t>g</m:t>
                  </m:r>
                </m:den>
              </m:f>
            </m:e>
          </m:borderBox>
          <m:r>
            <m:rPr>
              <m:sty m:val="p"/>
            </m:rPr>
            <w:rPr>
              <w:rFonts w:eastAsiaTheme="minorEastAsia"/>
            </w:rPr>
            <w:br/>
          </m:r>
        </m:oMath>
      </m:oMathPara>
      <w:r w:rsidR="00B636F5">
        <w:rPr>
          <w:rFonts w:eastAsiaTheme="minorEastAsia"/>
        </w:rPr>
        <w:t xml:space="preserve">siempre que </w:t>
      </w:r>
      <m:oMath>
        <m:r>
          <m:rPr>
            <m:nor/>
          </m:rPr>
          <w:rPr>
            <w:i/>
            <w:iCs/>
          </w:rPr>
          <m:t>r</m:t>
        </m:r>
        <m:r>
          <w:rPr>
            <w:rFonts w:ascii="Cambria Math" w:hAnsi="Cambria Math"/>
          </w:rPr>
          <m:t>&gt;</m:t>
        </m:r>
        <m:r>
          <m:rPr>
            <m:nor/>
          </m:rPr>
          <w:rPr>
            <w:i/>
            <w:iCs/>
          </w:rPr>
          <m:t>g</m:t>
        </m:r>
      </m:oMath>
      <w:r w:rsidR="00B636F5">
        <w:rPr>
          <w:rFonts w:eastAsiaTheme="minorEastAsia"/>
        </w:rPr>
        <w:t>.</w:t>
      </w:r>
    </w:p>
    <w:sectPr w:rsidR="00B35E75" w:rsidRPr="00B35E75" w:rsidSect="00432A75">
      <w:headerReference w:type="even" r:id="rId26"/>
      <w:headerReference w:type="default" r:id="rId27"/>
      <w:footerReference w:type="even" r:id="rId28"/>
      <w:footerReference w:type="default" r:id="rId29"/>
      <w:headerReference w:type="first" r:id="rId30"/>
      <w:footerReference w:type="first" r:id="rId31"/>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59F18A" w14:textId="77777777" w:rsidR="00F203BF" w:rsidRDefault="00F203BF" w:rsidP="00B77C0F">
      <w:r>
        <w:separator/>
      </w:r>
    </w:p>
  </w:endnote>
  <w:endnote w:type="continuationSeparator" w:id="0">
    <w:p w14:paraId="60EEF86C" w14:textId="77777777" w:rsidR="00F203BF" w:rsidRDefault="00F203B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2024" w:rsidRPr="00C44422" w14:paraId="66F8E9A9" w14:textId="77777777" w:rsidTr="00D81010">
      <w:trPr>
        <w:trHeight w:val="138"/>
        <w:jc w:val="center"/>
      </w:trPr>
      <w:tc>
        <w:tcPr>
          <w:tcW w:w="1134" w:type="dxa"/>
        </w:tcPr>
        <w:p w14:paraId="0B7D9161" w14:textId="77777777" w:rsidR="00382024" w:rsidRPr="00C44422" w:rsidRDefault="00382024" w:rsidP="00302561">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6B3EFC25" w14:textId="77777777" w:rsidR="00382024" w:rsidRPr="00C44422" w:rsidRDefault="00382024" w:rsidP="00302561">
          <w:pPr>
            <w:pStyle w:val="Encabezado"/>
            <w:spacing w:after="0"/>
            <w:ind w:right="-110"/>
            <w:contextualSpacing/>
            <w:jc w:val="center"/>
            <w:rPr>
              <w:i/>
              <w:iCs/>
              <w:color w:val="5F2987"/>
              <w:sz w:val="18"/>
              <w:szCs w:val="18"/>
            </w:rPr>
          </w:pPr>
        </w:p>
      </w:tc>
      <w:tc>
        <w:tcPr>
          <w:tcW w:w="2551" w:type="dxa"/>
          <w:vAlign w:val="center"/>
        </w:tcPr>
        <w:p w14:paraId="6A5C0356" w14:textId="77777777" w:rsidR="00382024" w:rsidRPr="00C44422" w:rsidRDefault="00382024" w:rsidP="00302561">
          <w:pPr>
            <w:pStyle w:val="Encabezado"/>
            <w:spacing w:after="0"/>
            <w:contextualSpacing/>
            <w:jc w:val="right"/>
            <w:rPr>
              <w:b/>
              <w:bCs/>
              <w:i/>
              <w:iCs/>
              <w:color w:val="5F2987"/>
              <w:spacing w:val="-6"/>
              <w:sz w:val="18"/>
              <w:szCs w:val="18"/>
            </w:rPr>
          </w:pPr>
        </w:p>
      </w:tc>
    </w:tr>
  </w:tbl>
  <w:p w14:paraId="7628D60D" w14:textId="77777777" w:rsidR="00382024" w:rsidRPr="00500B85" w:rsidRDefault="00382024" w:rsidP="00302561">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2053990024"/>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2024" w:rsidRPr="004C0093" w14:paraId="7CD01670" w14:textId="77777777" w:rsidTr="00D81010">
          <w:trPr>
            <w:trHeight w:val="138"/>
            <w:jc w:val="center"/>
          </w:trPr>
          <w:tc>
            <w:tcPr>
              <w:tcW w:w="1134" w:type="dxa"/>
              <w:vAlign w:val="center"/>
            </w:tcPr>
            <w:p w14:paraId="7505A21F" w14:textId="77777777" w:rsidR="00382024" w:rsidRPr="004C0093" w:rsidRDefault="00382024" w:rsidP="0030256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4297DF6" w14:textId="77777777" w:rsidR="00382024" w:rsidRPr="004C0093" w:rsidRDefault="00382024" w:rsidP="00302561">
              <w:pPr>
                <w:pStyle w:val="Encabezado"/>
                <w:spacing w:after="0"/>
                <w:ind w:right="-110"/>
                <w:contextualSpacing/>
                <w:jc w:val="center"/>
                <w:rPr>
                  <w:i/>
                  <w:iCs/>
                  <w:color w:val="5F2987"/>
                  <w:sz w:val="18"/>
                  <w:szCs w:val="18"/>
                </w:rPr>
              </w:pPr>
            </w:p>
          </w:tc>
          <w:tc>
            <w:tcPr>
              <w:tcW w:w="2551" w:type="dxa"/>
              <w:vAlign w:val="center"/>
            </w:tcPr>
            <w:p w14:paraId="76D24C90" w14:textId="77777777" w:rsidR="00382024" w:rsidRPr="004C0093" w:rsidRDefault="00382024" w:rsidP="00302561">
              <w:pPr>
                <w:pStyle w:val="Encabezado"/>
                <w:spacing w:after="0"/>
                <w:contextualSpacing/>
                <w:jc w:val="right"/>
                <w:rPr>
                  <w:b/>
                  <w:bCs/>
                  <w:i/>
                  <w:iCs/>
                  <w:color w:val="5F2987"/>
                  <w:spacing w:val="-6"/>
                  <w:sz w:val="18"/>
                  <w:szCs w:val="18"/>
                </w:rPr>
              </w:pPr>
              <w:r w:rsidRPr="004C0093">
                <w:rPr>
                  <w:b/>
                  <w:bCs/>
                  <w:i/>
                  <w:iCs/>
                  <w:color w:val="5F2987"/>
                  <w:spacing w:val="-6"/>
                  <w:sz w:val="18"/>
                  <w:szCs w:val="18"/>
                </w:rPr>
                <w:fldChar w:fldCharType="begin"/>
              </w:r>
              <w:r w:rsidRPr="004C0093">
                <w:rPr>
                  <w:b/>
                  <w:bCs/>
                  <w:i/>
                  <w:iCs/>
                  <w:color w:val="5F2987"/>
                  <w:spacing w:val="-6"/>
                  <w:sz w:val="18"/>
                  <w:szCs w:val="18"/>
                </w:rPr>
                <w:instrText>PAGE  \* Arabic  \* MERGEFORMAT</w:instrText>
              </w:r>
              <w:r w:rsidRPr="004C0093">
                <w:rPr>
                  <w:b/>
                  <w:bCs/>
                  <w:i/>
                  <w:iCs/>
                  <w:color w:val="5F2987"/>
                  <w:spacing w:val="-6"/>
                  <w:sz w:val="18"/>
                  <w:szCs w:val="18"/>
                </w:rPr>
                <w:fldChar w:fldCharType="separate"/>
              </w:r>
              <w:r w:rsidRPr="004C0093">
                <w:rPr>
                  <w:b/>
                  <w:bCs/>
                  <w:i/>
                  <w:iCs/>
                  <w:color w:val="5F2987"/>
                  <w:spacing w:val="-6"/>
                  <w:sz w:val="18"/>
                  <w:szCs w:val="18"/>
                </w:rPr>
                <w:t>1</w:t>
              </w:r>
              <w:r w:rsidRPr="004C0093">
                <w:rPr>
                  <w:b/>
                  <w:bCs/>
                  <w:i/>
                  <w:iCs/>
                  <w:color w:val="5F2987"/>
                  <w:spacing w:val="-6"/>
                  <w:sz w:val="18"/>
                  <w:szCs w:val="18"/>
                </w:rPr>
                <w:fldChar w:fldCharType="end"/>
              </w:r>
              <w:r w:rsidRPr="004C0093">
                <w:rPr>
                  <w:b/>
                  <w:bCs/>
                  <w:i/>
                  <w:iCs/>
                  <w:color w:val="5F2987"/>
                  <w:spacing w:val="-6"/>
                  <w:sz w:val="18"/>
                  <w:szCs w:val="18"/>
                </w:rPr>
                <w:t>/</w:t>
              </w:r>
              <w:r w:rsidRPr="004C0093">
                <w:rPr>
                  <w:b/>
                  <w:bCs/>
                  <w:i/>
                  <w:iCs/>
                  <w:color w:val="5F2987"/>
                  <w:spacing w:val="-6"/>
                  <w:sz w:val="18"/>
                  <w:szCs w:val="18"/>
                </w:rPr>
                <w:fldChar w:fldCharType="begin"/>
              </w:r>
              <w:r w:rsidRPr="004C0093">
                <w:rPr>
                  <w:b/>
                  <w:bCs/>
                  <w:i/>
                  <w:iCs/>
                  <w:color w:val="5F2987"/>
                  <w:spacing w:val="-6"/>
                  <w:sz w:val="18"/>
                  <w:szCs w:val="18"/>
                </w:rPr>
                <w:instrText>NUMPAGES  \* Arabic  \* MERGEFORMAT</w:instrText>
              </w:r>
              <w:r w:rsidRPr="004C0093">
                <w:rPr>
                  <w:b/>
                  <w:bCs/>
                  <w:i/>
                  <w:iCs/>
                  <w:color w:val="5F2987"/>
                  <w:spacing w:val="-6"/>
                  <w:sz w:val="18"/>
                  <w:szCs w:val="18"/>
                </w:rPr>
                <w:fldChar w:fldCharType="separate"/>
              </w:r>
              <w:r w:rsidRPr="004C0093">
                <w:rPr>
                  <w:b/>
                  <w:bCs/>
                  <w:i/>
                  <w:iCs/>
                  <w:color w:val="5F2987"/>
                  <w:spacing w:val="-6"/>
                  <w:sz w:val="18"/>
                  <w:szCs w:val="18"/>
                </w:rPr>
                <w:t>2</w:t>
              </w:r>
              <w:r w:rsidRPr="004C0093">
                <w:rPr>
                  <w:b/>
                  <w:bCs/>
                  <w:i/>
                  <w:iCs/>
                  <w:color w:val="5F2987"/>
                  <w:spacing w:val="-6"/>
                  <w:sz w:val="18"/>
                  <w:szCs w:val="18"/>
                </w:rPr>
                <w:fldChar w:fldCharType="end"/>
              </w:r>
            </w:p>
          </w:tc>
        </w:tr>
      </w:tbl>
      <w:p w14:paraId="17F457E9" w14:textId="67E30682" w:rsidR="00C81078" w:rsidRPr="009C61AF" w:rsidRDefault="00000000" w:rsidP="00302561">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2024" w:rsidRPr="004C0093" w14:paraId="688B7388" w14:textId="77777777" w:rsidTr="00D81010">
          <w:trPr>
            <w:trHeight w:val="138"/>
            <w:jc w:val="center"/>
          </w:trPr>
          <w:tc>
            <w:tcPr>
              <w:tcW w:w="1134" w:type="dxa"/>
              <w:vAlign w:val="center"/>
            </w:tcPr>
            <w:p w14:paraId="7588316D" w14:textId="77777777" w:rsidR="00382024" w:rsidRPr="004C0093" w:rsidRDefault="00382024" w:rsidP="0030256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DD0DAD" w14:textId="77777777" w:rsidR="00382024" w:rsidRPr="004C0093" w:rsidRDefault="00382024" w:rsidP="00302561">
              <w:pPr>
                <w:pStyle w:val="Encabezado"/>
                <w:spacing w:after="0"/>
                <w:ind w:right="-110"/>
                <w:contextualSpacing/>
                <w:jc w:val="center"/>
                <w:rPr>
                  <w:i/>
                  <w:iCs/>
                  <w:color w:val="5F2987"/>
                  <w:sz w:val="18"/>
                  <w:szCs w:val="18"/>
                </w:rPr>
              </w:pPr>
            </w:p>
          </w:tc>
          <w:tc>
            <w:tcPr>
              <w:tcW w:w="2551" w:type="dxa"/>
              <w:vAlign w:val="center"/>
            </w:tcPr>
            <w:p w14:paraId="2F6248B1" w14:textId="77777777" w:rsidR="00382024" w:rsidRPr="004C0093" w:rsidRDefault="00382024" w:rsidP="00302561">
              <w:pPr>
                <w:pStyle w:val="Encabezado"/>
                <w:spacing w:after="0"/>
                <w:contextualSpacing/>
                <w:jc w:val="right"/>
                <w:rPr>
                  <w:b/>
                  <w:bCs/>
                  <w:i/>
                  <w:iCs/>
                  <w:color w:val="5F2987"/>
                  <w:spacing w:val="-6"/>
                  <w:sz w:val="18"/>
                  <w:szCs w:val="18"/>
                </w:rPr>
              </w:pPr>
              <w:r w:rsidRPr="004C0093">
                <w:rPr>
                  <w:b/>
                  <w:bCs/>
                  <w:i/>
                  <w:iCs/>
                  <w:color w:val="5F2987"/>
                  <w:spacing w:val="-6"/>
                  <w:sz w:val="18"/>
                  <w:szCs w:val="18"/>
                </w:rPr>
                <w:fldChar w:fldCharType="begin"/>
              </w:r>
              <w:r w:rsidRPr="004C0093">
                <w:rPr>
                  <w:b/>
                  <w:bCs/>
                  <w:i/>
                  <w:iCs/>
                  <w:color w:val="5F2987"/>
                  <w:spacing w:val="-6"/>
                  <w:sz w:val="18"/>
                  <w:szCs w:val="18"/>
                </w:rPr>
                <w:instrText>PAGE  \* Arabic  \* MERGEFORMAT</w:instrText>
              </w:r>
              <w:r w:rsidRPr="004C0093">
                <w:rPr>
                  <w:b/>
                  <w:bCs/>
                  <w:i/>
                  <w:iCs/>
                  <w:color w:val="5F2987"/>
                  <w:spacing w:val="-6"/>
                  <w:sz w:val="18"/>
                  <w:szCs w:val="18"/>
                </w:rPr>
                <w:fldChar w:fldCharType="separate"/>
              </w:r>
              <w:r w:rsidRPr="004C0093">
                <w:rPr>
                  <w:b/>
                  <w:bCs/>
                  <w:i/>
                  <w:iCs/>
                  <w:color w:val="5F2987"/>
                  <w:spacing w:val="-6"/>
                  <w:sz w:val="18"/>
                  <w:szCs w:val="18"/>
                </w:rPr>
                <w:t>1</w:t>
              </w:r>
              <w:r w:rsidRPr="004C0093">
                <w:rPr>
                  <w:b/>
                  <w:bCs/>
                  <w:i/>
                  <w:iCs/>
                  <w:color w:val="5F2987"/>
                  <w:spacing w:val="-6"/>
                  <w:sz w:val="18"/>
                  <w:szCs w:val="18"/>
                </w:rPr>
                <w:fldChar w:fldCharType="end"/>
              </w:r>
              <w:r w:rsidRPr="004C0093">
                <w:rPr>
                  <w:b/>
                  <w:bCs/>
                  <w:i/>
                  <w:iCs/>
                  <w:color w:val="5F2987"/>
                  <w:spacing w:val="-6"/>
                  <w:sz w:val="18"/>
                  <w:szCs w:val="18"/>
                </w:rPr>
                <w:t>/</w:t>
              </w:r>
              <w:r w:rsidRPr="004C0093">
                <w:rPr>
                  <w:b/>
                  <w:bCs/>
                  <w:i/>
                  <w:iCs/>
                  <w:color w:val="5F2987"/>
                  <w:spacing w:val="-6"/>
                  <w:sz w:val="18"/>
                  <w:szCs w:val="18"/>
                </w:rPr>
                <w:fldChar w:fldCharType="begin"/>
              </w:r>
              <w:r w:rsidRPr="004C0093">
                <w:rPr>
                  <w:b/>
                  <w:bCs/>
                  <w:i/>
                  <w:iCs/>
                  <w:color w:val="5F2987"/>
                  <w:spacing w:val="-6"/>
                  <w:sz w:val="18"/>
                  <w:szCs w:val="18"/>
                </w:rPr>
                <w:instrText>NUMPAGES  \* Arabic  \* MERGEFORMAT</w:instrText>
              </w:r>
              <w:r w:rsidRPr="004C0093">
                <w:rPr>
                  <w:b/>
                  <w:bCs/>
                  <w:i/>
                  <w:iCs/>
                  <w:color w:val="5F2987"/>
                  <w:spacing w:val="-6"/>
                  <w:sz w:val="18"/>
                  <w:szCs w:val="18"/>
                </w:rPr>
                <w:fldChar w:fldCharType="separate"/>
              </w:r>
              <w:r w:rsidRPr="004C0093">
                <w:rPr>
                  <w:b/>
                  <w:bCs/>
                  <w:i/>
                  <w:iCs/>
                  <w:color w:val="5F2987"/>
                  <w:spacing w:val="-6"/>
                  <w:sz w:val="18"/>
                  <w:szCs w:val="18"/>
                </w:rPr>
                <w:t>2</w:t>
              </w:r>
              <w:r w:rsidRPr="004C0093">
                <w:rPr>
                  <w:b/>
                  <w:bCs/>
                  <w:i/>
                  <w:iCs/>
                  <w:color w:val="5F2987"/>
                  <w:spacing w:val="-6"/>
                  <w:sz w:val="18"/>
                  <w:szCs w:val="18"/>
                </w:rPr>
                <w:fldChar w:fldCharType="end"/>
              </w:r>
            </w:p>
          </w:tc>
        </w:tr>
      </w:tbl>
      <w:p w14:paraId="26409615" w14:textId="401D4535" w:rsidR="002756C0" w:rsidRPr="00382024" w:rsidRDefault="00000000" w:rsidP="00302561">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06E62" w14:textId="77777777" w:rsidR="00F203BF" w:rsidRPr="00417327" w:rsidRDefault="00F203BF" w:rsidP="00417327">
      <w:pPr>
        <w:spacing w:after="0" w:line="240" w:lineRule="auto"/>
        <w:rPr>
          <w:sz w:val="16"/>
          <w:szCs w:val="16"/>
        </w:rPr>
      </w:pPr>
      <w:r w:rsidRPr="00417327">
        <w:rPr>
          <w:sz w:val="16"/>
          <w:szCs w:val="16"/>
        </w:rPr>
        <w:separator/>
      </w:r>
    </w:p>
  </w:footnote>
  <w:footnote w:type="continuationSeparator" w:id="0">
    <w:p w14:paraId="471EC09F" w14:textId="77777777" w:rsidR="00F203BF" w:rsidRPr="008F04DC" w:rsidRDefault="00F203BF" w:rsidP="008F04DC">
      <w:pPr>
        <w:spacing w:after="0" w:line="240" w:lineRule="auto"/>
        <w:rPr>
          <w:sz w:val="16"/>
          <w:szCs w:val="16"/>
        </w:rPr>
      </w:pPr>
      <w:r w:rsidRPr="008F04DC">
        <w:rPr>
          <w:sz w:val="16"/>
          <w:szCs w:val="16"/>
        </w:rPr>
        <w:continuationSeparator/>
      </w:r>
    </w:p>
  </w:footnote>
  <w:footnote w:type="continuationNotice" w:id="1">
    <w:p w14:paraId="33C1A1DA" w14:textId="77777777" w:rsidR="00F203BF" w:rsidRPr="00C83C60" w:rsidRDefault="00F203BF" w:rsidP="00C83C60">
      <w:pPr>
        <w:spacing w:after="0" w:line="192" w:lineRule="auto"/>
        <w:jc w:val="right"/>
        <w:rPr>
          <w:sz w:val="16"/>
          <w:szCs w:val="16"/>
        </w:rPr>
      </w:pPr>
      <w:r w:rsidRPr="00C83C60">
        <w:rPr>
          <w:rFonts w:ascii="Cambria Math" w:hAnsi="Cambria Math" w:cs="Cambria Math"/>
          <w:sz w:val="16"/>
          <w:szCs w:val="16"/>
        </w:rPr>
        <w:t>↪</w:t>
      </w:r>
    </w:p>
  </w:footnote>
  <w:footnote w:id="2">
    <w:p w14:paraId="297EAE3B" w14:textId="77777777" w:rsidR="00451893" w:rsidRPr="009F10F0" w:rsidRDefault="00451893" w:rsidP="00451893">
      <w:pPr>
        <w:pStyle w:val="Textonotapie"/>
        <w:keepNext/>
        <w:spacing w:after="0"/>
        <w:rPr>
          <w:szCs w:val="16"/>
        </w:rPr>
      </w:pPr>
      <w:r>
        <w:rPr>
          <w:rStyle w:val="Refdenotaalpie"/>
        </w:rPr>
        <w:footnoteRef/>
      </w:r>
      <w:r>
        <w:t xml:space="preserve"> </w:t>
      </w:r>
      <w:r w:rsidRPr="009F10F0">
        <w:rPr>
          <w:szCs w:val="16"/>
        </w:rPr>
        <w:t>Para ello es necesario cumplir con:</w:t>
      </w:r>
    </w:p>
    <w:p w14:paraId="7BEEE193" w14:textId="77777777" w:rsidR="00451893" w:rsidRPr="009F10F0" w:rsidRDefault="00451893" w:rsidP="00372E66">
      <w:pPr>
        <w:pStyle w:val="Textonotapie"/>
        <w:numPr>
          <w:ilvl w:val="0"/>
          <w:numId w:val="13"/>
        </w:numPr>
        <w:spacing w:after="0"/>
        <w:ind w:left="283" w:hanging="113"/>
        <w:rPr>
          <w:rStyle w:val="Hipervnculo"/>
          <w:color w:val="auto"/>
          <w:szCs w:val="16"/>
          <w:u w:val="none"/>
        </w:rPr>
      </w:pPr>
      <w:r w:rsidRPr="009F10F0">
        <w:rPr>
          <w:rStyle w:val="Hipervnculo"/>
          <w:i/>
          <w:iCs/>
          <w:color w:val="auto"/>
          <w:szCs w:val="16"/>
          <w:u w:val="none"/>
        </w:rPr>
        <w:t>Objetivo de rentabilidad</w:t>
      </w:r>
      <w:r w:rsidRPr="009F10F0">
        <w:rPr>
          <w:rStyle w:val="Hipervnculo"/>
          <w:color w:val="auto"/>
          <w:szCs w:val="16"/>
          <w:u w:val="none"/>
        </w:rPr>
        <w:t>: Crear valor a partir de decisiones de expansión de la empresa.</w:t>
      </w:r>
    </w:p>
    <w:p w14:paraId="1650C3EF" w14:textId="77777777" w:rsidR="00451893" w:rsidRPr="009F10F0" w:rsidRDefault="00451893" w:rsidP="00372E66">
      <w:pPr>
        <w:pStyle w:val="Textonotapie"/>
        <w:numPr>
          <w:ilvl w:val="0"/>
          <w:numId w:val="13"/>
        </w:numPr>
        <w:spacing w:after="0"/>
        <w:ind w:left="283" w:hanging="113"/>
        <w:rPr>
          <w:rStyle w:val="Hipervnculo"/>
          <w:color w:val="auto"/>
          <w:szCs w:val="16"/>
          <w:u w:val="none"/>
        </w:rPr>
      </w:pPr>
      <w:r w:rsidRPr="009F10F0">
        <w:rPr>
          <w:rStyle w:val="Hipervnculo"/>
          <w:i/>
          <w:iCs/>
          <w:color w:val="auto"/>
          <w:szCs w:val="16"/>
          <w:u w:val="none"/>
        </w:rPr>
        <w:t>Objetivo de solvencia</w:t>
      </w:r>
      <w:r w:rsidRPr="009F10F0">
        <w:rPr>
          <w:rStyle w:val="Hipervnculo"/>
          <w:color w:val="auto"/>
          <w:szCs w:val="16"/>
          <w:u w:val="none"/>
        </w:rPr>
        <w:t>: Poder hacer frente a sus obligaciones.</w:t>
      </w:r>
    </w:p>
    <w:p w14:paraId="3379614C" w14:textId="77777777" w:rsidR="00451893" w:rsidRPr="009F10F0" w:rsidRDefault="00451893" w:rsidP="00372E66">
      <w:pPr>
        <w:pStyle w:val="Textonotapie"/>
        <w:numPr>
          <w:ilvl w:val="0"/>
          <w:numId w:val="13"/>
        </w:numPr>
        <w:ind w:left="283" w:hanging="113"/>
        <w:rPr>
          <w:sz w:val="19"/>
          <w:szCs w:val="19"/>
        </w:rPr>
      </w:pPr>
      <w:r w:rsidRPr="009F10F0">
        <w:rPr>
          <w:rStyle w:val="Hipervnculo"/>
          <w:i/>
          <w:iCs/>
          <w:color w:val="auto"/>
          <w:szCs w:val="16"/>
          <w:u w:val="none"/>
        </w:rPr>
        <w:t>Objetivo de liquidez</w:t>
      </w:r>
      <w:r w:rsidRPr="009F10F0">
        <w:rPr>
          <w:rStyle w:val="Hipervnculo"/>
          <w:color w:val="auto"/>
          <w:szCs w:val="16"/>
          <w:u w:val="none"/>
        </w:rPr>
        <w:t>: Capacidad de que sus activos generen efectivo.</w:t>
      </w:r>
    </w:p>
  </w:footnote>
  <w:footnote w:id="3">
    <w:p w14:paraId="3814860A" w14:textId="569C5967" w:rsidR="0062550E" w:rsidRPr="0062550E" w:rsidRDefault="0062550E">
      <w:pPr>
        <w:pStyle w:val="Textonotapie"/>
      </w:pPr>
      <w:r>
        <w:rPr>
          <w:rStyle w:val="Refdenotaalpie"/>
        </w:rPr>
        <w:footnoteRef/>
      </w:r>
      <w:r>
        <w:t xml:space="preserve"> Esa diferencia entre beneficio y sacrificio se traduce a priori en un aumento del capital de la empresa o en términos contables, en un aumento del patrimonio neto</w:t>
      </w:r>
      <w:r w:rsidR="00694CC4">
        <w:t xml:space="preserve"> </w:t>
      </w:r>
      <w:r w:rsidR="00694CC4" w:rsidRPr="00694CC4">
        <w:rPr>
          <w:color w:val="767171" w:themeColor="background2" w:themeShade="80"/>
          <w:sz w:val="14"/>
          <w:szCs w:val="18"/>
        </w:rPr>
        <w:t>[</w:t>
      </w:r>
      <w:r w:rsidR="00694CC4">
        <w:rPr>
          <w:color w:val="767171" w:themeColor="background2" w:themeShade="80"/>
          <w:sz w:val="14"/>
          <w:szCs w:val="18"/>
        </w:rPr>
        <w:t>ver tema 3.B.1</w:t>
      </w:r>
      <w:r w:rsidR="00694CC4" w:rsidRPr="00694CC4">
        <w:rPr>
          <w:color w:val="767171" w:themeColor="background2" w:themeShade="80"/>
          <w:sz w:val="14"/>
          <w:szCs w:val="18"/>
        </w:rPr>
        <w:t>]</w:t>
      </w:r>
      <w:r w:rsidR="006540A3" w:rsidRPr="006540A3">
        <w:t>.</w:t>
      </w:r>
    </w:p>
  </w:footnote>
  <w:footnote w:id="4">
    <w:p w14:paraId="4311DAC6" w14:textId="59FB7902" w:rsidR="000015F9" w:rsidRDefault="000015F9">
      <w:pPr>
        <w:pStyle w:val="Textonotapie"/>
      </w:pPr>
      <w:r>
        <w:rPr>
          <w:rStyle w:val="Refdenotaalpie"/>
        </w:rPr>
        <w:footnoteRef/>
      </w:r>
      <w:r>
        <w:t xml:space="preserve"> </w:t>
      </w: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5">
    <w:p w14:paraId="0CACA6D3" w14:textId="7C00BB06" w:rsidR="000F5CD1" w:rsidRPr="00443A9B" w:rsidRDefault="000F5CD1">
      <w:pPr>
        <w:pStyle w:val="Textonotapie"/>
        <w:rPr>
          <w:spacing w:val="-3"/>
        </w:rPr>
      </w:pPr>
      <w:r w:rsidRPr="00443A9B">
        <w:rPr>
          <w:rStyle w:val="Refdenotaalpie"/>
          <w:spacing w:val="-3"/>
        </w:rPr>
        <w:footnoteRef/>
      </w:r>
      <w:r w:rsidRPr="00443A9B">
        <w:rPr>
          <w:spacing w:val="-3"/>
        </w:rPr>
        <w:t xml:space="preserve"> Sin embargo, en muchos casos será difícil trabajar con una distribución de probabilidad porque nos podríamos encontrar con una situación de incertidumbre según la distinción de </w:t>
      </w:r>
      <w:proofErr w:type="spellStart"/>
      <w:r w:rsidRPr="00443A9B">
        <w:rPr>
          <w:smallCaps/>
          <w:spacing w:val="-3"/>
        </w:rPr>
        <w:t>Knight</w:t>
      </w:r>
      <w:proofErr w:type="spellEnd"/>
      <w:r w:rsidRPr="00443A9B">
        <w:rPr>
          <w:spacing w:val="-3"/>
        </w:rPr>
        <w:t xml:space="preserve"> </w:t>
      </w:r>
      <w:r w:rsidRPr="00443A9B">
        <w:rPr>
          <w:color w:val="767171" w:themeColor="background2" w:themeShade="80"/>
          <w:spacing w:val="-3"/>
          <w:sz w:val="14"/>
          <w:szCs w:val="18"/>
        </w:rPr>
        <w:t>[ver tema 3.A.</w:t>
      </w:r>
      <w:r w:rsidR="003245D3">
        <w:rPr>
          <w:color w:val="767171" w:themeColor="background2" w:themeShade="80"/>
          <w:spacing w:val="-3"/>
          <w:sz w:val="14"/>
          <w:szCs w:val="18"/>
        </w:rPr>
        <w:t>10</w:t>
      </w:r>
      <w:r w:rsidRPr="00443A9B">
        <w:rPr>
          <w:color w:val="767171" w:themeColor="background2" w:themeShade="80"/>
          <w:spacing w:val="-3"/>
          <w:sz w:val="14"/>
          <w:szCs w:val="18"/>
        </w:rPr>
        <w:t>]</w:t>
      </w:r>
      <w:r w:rsidRPr="00443A9B">
        <w:rPr>
          <w:spacing w:val="-3"/>
        </w:rPr>
        <w:t>. Pueden existir sucesos a los que no somos capaces de asignar probabilidades objetivas (</w:t>
      </w:r>
      <w:proofErr w:type="spellStart"/>
      <w:r w:rsidR="00443A9B" w:rsidRPr="00443A9B">
        <w:rPr>
          <w:i/>
          <w:iCs/>
          <w:spacing w:val="-3"/>
        </w:rPr>
        <w:t>the</w:t>
      </w:r>
      <w:proofErr w:type="spellEnd"/>
      <w:r w:rsidR="00443A9B" w:rsidRPr="00443A9B">
        <w:rPr>
          <w:i/>
          <w:iCs/>
          <w:spacing w:val="-3"/>
        </w:rPr>
        <w:t xml:space="preserve"> </w:t>
      </w:r>
      <w:proofErr w:type="spellStart"/>
      <w:r w:rsidR="00443A9B" w:rsidRPr="00443A9B">
        <w:rPr>
          <w:i/>
          <w:iCs/>
          <w:spacing w:val="-3"/>
        </w:rPr>
        <w:t>unknown</w:t>
      </w:r>
      <w:proofErr w:type="spellEnd"/>
      <w:r w:rsidR="00443A9B" w:rsidRPr="00443A9B">
        <w:rPr>
          <w:i/>
          <w:iCs/>
          <w:spacing w:val="-3"/>
        </w:rPr>
        <w:t xml:space="preserve"> </w:t>
      </w:r>
      <w:proofErr w:type="spellStart"/>
      <w:r w:rsidR="00443A9B" w:rsidRPr="00443A9B">
        <w:rPr>
          <w:i/>
          <w:iCs/>
          <w:spacing w:val="-3"/>
        </w:rPr>
        <w:t>unknown</w:t>
      </w:r>
      <w:proofErr w:type="spellEnd"/>
      <w:r w:rsidR="00443A9B" w:rsidRPr="00443A9B">
        <w:rPr>
          <w:spacing w:val="-3"/>
        </w:rPr>
        <w:t xml:space="preserve">, </w:t>
      </w:r>
      <w:r w:rsidRPr="00443A9B">
        <w:rPr>
          <w:spacing w:val="-3"/>
        </w:rPr>
        <w:t>p.ej. una pandemia), aunque ello es discutible si nos basamos en un enfoque a posteriori o frecuentista de la probabilidad, esto es, calculándolo según su frecuencia relativa dada por la ocurrencia pasada de este tipo de fenómenos a lo largo de la historia.</w:t>
      </w:r>
    </w:p>
  </w:footnote>
  <w:footnote w:id="6">
    <w:p w14:paraId="2BB10D3C" w14:textId="7B61D353" w:rsidR="00210C90" w:rsidRDefault="00210C90">
      <w:pPr>
        <w:pStyle w:val="Textonotapie"/>
      </w:pPr>
      <w:r>
        <w:rPr>
          <w:rStyle w:val="Refdenotaalpie"/>
        </w:rPr>
        <w:footnoteRef/>
      </w:r>
      <w:r>
        <w:t xml:space="preserve"> Hay que diferenciar coste de capital del proyecto de coste de capital de la empresa (este último depende del riesgo conjunto de las inversiones de la empresa). Ambos conceptos serán iguales sólo si el nivel de riesgo del proyecto es igual que el de la empresa.</w:t>
      </w:r>
    </w:p>
  </w:footnote>
  <w:footnote w:id="7">
    <w:p w14:paraId="724CFC8C" w14:textId="77777777" w:rsidR="00C74256" w:rsidRDefault="00C74256" w:rsidP="00C74256">
      <w:pPr>
        <w:pStyle w:val="Textonotapie"/>
      </w:pPr>
      <w:r>
        <w:rPr>
          <w:rStyle w:val="Refdenotaalpie"/>
        </w:rPr>
        <w:footnoteRef/>
      </w:r>
      <w:r>
        <w:t xml:space="preserve"> Al igual que la beta de un título (</w:t>
      </w:r>
      <m:oMath>
        <m:sSub>
          <m:sSubPr>
            <m:ctrlPr>
              <w:rPr>
                <w:rFonts w:ascii="Cambria Math" w:hAnsi="Cambria Math"/>
                <w:i/>
                <w:iCs/>
              </w:rPr>
            </m:ctrlPr>
          </m:sSubPr>
          <m:e>
            <m:r>
              <m:rPr>
                <m:nor/>
              </m:rPr>
              <w:rPr>
                <w:i/>
                <w:iCs/>
              </w:rPr>
              <m:t>β</m:t>
            </m:r>
          </m:e>
          <m:sub>
            <m:r>
              <m:rPr>
                <m:nor/>
              </m:rPr>
              <w:rPr>
                <w:i/>
                <w:iCs/>
              </w:rPr>
              <m:t>E</m:t>
            </m:r>
          </m:sub>
        </m:sSub>
      </m:oMath>
      <w:r>
        <w:rPr>
          <w:rFonts w:eastAsiaTheme="minorEastAsia"/>
          <w:iCs/>
        </w:rPr>
        <w:t>, que es la beta que estima el modelo CAPM</w:t>
      </w:r>
      <w:r>
        <w:t>), la beta de los activos (</w:t>
      </w:r>
      <m:oMath>
        <m:sSub>
          <m:sSubPr>
            <m:ctrlPr>
              <w:rPr>
                <w:rFonts w:ascii="Cambria Math" w:hAnsi="Cambria Math"/>
                <w:i/>
                <w:iCs/>
              </w:rPr>
            </m:ctrlPr>
          </m:sSubPr>
          <m:e>
            <m:r>
              <m:rPr>
                <m:nor/>
              </m:rPr>
              <w:rPr>
                <w:i/>
                <w:iCs/>
              </w:rPr>
              <m:t>β</m:t>
            </m:r>
          </m:e>
          <m:sub>
            <m:r>
              <m:rPr>
                <m:nor/>
              </m:rPr>
              <w:rPr>
                <w:i/>
                <w:iCs/>
              </w:rPr>
              <m:t>A</m:t>
            </m:r>
          </m:sub>
        </m:sSub>
      </m:oMath>
      <w:r>
        <w:t>) mide la desviación entre su rendimiento y el de mercado, la beta de un activo mide la desviación entre sus flujos de caja futuros y los del m</w:t>
      </w:r>
      <w:r w:rsidRPr="002D1105">
        <w:t>ercado.</w:t>
      </w:r>
    </w:p>
    <w:p w14:paraId="6DA4DBB1" w14:textId="6B77EDA9" w:rsidR="00C74256" w:rsidRPr="0019408C" w:rsidRDefault="00C74256" w:rsidP="00C74256">
      <w:pPr>
        <w:pStyle w:val="Textonotapie"/>
        <w:rPr>
          <w:spacing w:val="-4"/>
        </w:rPr>
      </w:pPr>
      <w:r w:rsidRPr="0019408C">
        <w:rPr>
          <w:spacing w:val="-4"/>
        </w:rPr>
        <w:t xml:space="preserve">En cualquier caso, ambas betas no son independientes. Una empresa que invierte en proyectos con </w:t>
      </w:r>
      <m:oMath>
        <m:sSub>
          <m:sSubPr>
            <m:ctrlPr>
              <w:rPr>
                <w:rFonts w:ascii="Cambria Math" w:hAnsi="Cambria Math"/>
                <w:spacing w:val="-4"/>
              </w:rPr>
            </m:ctrlPr>
          </m:sSubPr>
          <m:e>
            <m:r>
              <m:rPr>
                <m:nor/>
              </m:rPr>
              <w:rPr>
                <w:i/>
                <w:spacing w:val="-4"/>
              </w:rPr>
              <m:t>β</m:t>
            </m:r>
          </m:e>
          <m:sub>
            <m:r>
              <m:rPr>
                <m:nor/>
              </m:rPr>
              <w:rPr>
                <w:i/>
                <w:spacing w:val="-4"/>
              </w:rPr>
              <m:t>A</m:t>
            </m:r>
          </m:sub>
        </m:sSub>
      </m:oMath>
      <w:r w:rsidRPr="0019408C">
        <w:rPr>
          <w:spacing w:val="-4"/>
        </w:rPr>
        <w:t xml:space="preserve"> elevada –en otras palabras, proyectos con más riesgo– tenderá a tener una </w:t>
      </w:r>
      <m:oMath>
        <m:sSub>
          <m:sSubPr>
            <m:ctrlPr>
              <w:rPr>
                <w:rFonts w:ascii="Cambria Math" w:hAnsi="Cambria Math"/>
                <w:spacing w:val="-4"/>
              </w:rPr>
            </m:ctrlPr>
          </m:sSubPr>
          <m:e>
            <m:r>
              <m:rPr>
                <m:nor/>
              </m:rPr>
              <w:rPr>
                <w:i/>
                <w:spacing w:val="-4"/>
              </w:rPr>
              <m:t>β</m:t>
            </m:r>
          </m:e>
          <m:sub>
            <m:r>
              <m:rPr>
                <m:nor/>
              </m:rPr>
              <w:rPr>
                <w:i/>
                <w:iCs/>
                <w:spacing w:val="-4"/>
              </w:rPr>
              <m:t>E</m:t>
            </m:r>
          </m:sub>
        </m:sSub>
      </m:oMath>
      <w:r w:rsidRPr="0019408C">
        <w:rPr>
          <w:spacing w:val="-4"/>
        </w:rPr>
        <w:t xml:space="preserve"> elevada en sus acciones ya que su rentabilidad fluctuará más (ver </w:t>
      </w:r>
      <w:proofErr w:type="spellStart"/>
      <w:r w:rsidRPr="0019408C">
        <w:rPr>
          <w:smallCaps/>
          <w:spacing w:val="-4"/>
        </w:rPr>
        <w:t>Vernimmen</w:t>
      </w:r>
      <w:proofErr w:type="spellEnd"/>
      <w:r w:rsidRPr="0019408C">
        <w:rPr>
          <w:spacing w:val="-4"/>
        </w:rPr>
        <w:t xml:space="preserve"> </w:t>
      </w:r>
      <w:r w:rsidR="00A40F71" w:rsidRPr="0019408C">
        <w:rPr>
          <w:spacing w:val="-4"/>
        </w:rPr>
        <w:t xml:space="preserve">et al. </w:t>
      </w:r>
      <w:r w:rsidRPr="0019408C">
        <w:rPr>
          <w:spacing w:val="-4"/>
        </w:rPr>
        <w:t>(2017), págs.</w:t>
      </w:r>
      <w:r w:rsidR="0071310A" w:rsidRPr="0019408C">
        <w:rPr>
          <w:spacing w:val="-4"/>
        </w:rPr>
        <w:t> </w:t>
      </w:r>
      <w:r w:rsidRPr="0019408C">
        <w:rPr>
          <w:spacing w:val="-4"/>
        </w:rPr>
        <w:t>528 y 529).</w:t>
      </w:r>
    </w:p>
  </w:footnote>
  <w:footnote w:id="8">
    <w:p w14:paraId="4F91DEED" w14:textId="53369D6D" w:rsidR="00C74256" w:rsidRDefault="00C74256" w:rsidP="00C74256">
      <w:pPr>
        <w:pStyle w:val="Textonotapie"/>
      </w:pPr>
      <w:r>
        <w:rPr>
          <w:rStyle w:val="Refdenotaalpie"/>
        </w:rPr>
        <w:footnoteRef/>
      </w:r>
      <w:r>
        <w:t xml:space="preserve"> Es decir, el coste de capital no es la media ponderada de dos costes separados. El riesgo total de la compañía está representado por el coste de capital, cuyos componentes principales son patrimonio neto y deuda. Los costes del patrimonio neto y de la deuda son una función del riesgo de los activos, el coste de capital total y el respectivo peso de cada uno.</w:t>
      </w:r>
    </w:p>
  </w:footnote>
  <w:footnote w:id="9">
    <w:p w14:paraId="6E7BA22F" w14:textId="49BC42AD" w:rsidR="003F44C7" w:rsidRPr="00F439E7" w:rsidRDefault="003F44C7" w:rsidP="003F44C7">
      <w:pPr>
        <w:pStyle w:val="Textonotapie"/>
      </w:pPr>
      <w:r>
        <w:rPr>
          <w:rStyle w:val="Refdenotaalpie"/>
        </w:rPr>
        <w:footnoteRef/>
      </w:r>
      <w:r>
        <w:t xml:space="preserve"> </w:t>
      </w:r>
      <w:r>
        <w:rPr>
          <w:smallCaps/>
        </w:rPr>
        <w:t>Franco Modigliani</w:t>
      </w:r>
      <w:r>
        <w:t xml:space="preserve"> </w:t>
      </w:r>
      <w:r w:rsidRPr="00F439E7">
        <w:t>obtuvo el Premio Nobel</w:t>
      </w:r>
      <w:r>
        <w:t xml:space="preserve"> de Economía en 1985 </w:t>
      </w:r>
      <w:r w:rsidRPr="00F439E7">
        <w:t>«Por sus análisis de los mercados de ahorro y de los mercados financieros».</w:t>
      </w:r>
      <w:r>
        <w:t xml:space="preserve"> Las contribuciones que le valen el Premio Nobel son la </w:t>
      </w:r>
      <w:proofErr w:type="spellStart"/>
      <w:r>
        <w:rPr>
          <w:i/>
          <w:iCs/>
        </w:rPr>
        <w:t>life</w:t>
      </w:r>
      <w:proofErr w:type="spellEnd"/>
      <w:r>
        <w:rPr>
          <w:i/>
          <w:iCs/>
        </w:rPr>
        <w:t xml:space="preserve">-cicle </w:t>
      </w:r>
      <w:proofErr w:type="spellStart"/>
      <w:r>
        <w:rPr>
          <w:i/>
          <w:iCs/>
        </w:rPr>
        <w:t>hypothesis</w:t>
      </w:r>
      <w:proofErr w:type="spellEnd"/>
      <w:r>
        <w:t xml:space="preserve"> y el teorema Modigliani-Miller.</w:t>
      </w:r>
    </w:p>
    <w:p w14:paraId="3A829180" w14:textId="1809CB47" w:rsidR="003F44C7" w:rsidRPr="0019408C" w:rsidRDefault="003F44C7" w:rsidP="003F44C7">
      <w:pPr>
        <w:pStyle w:val="Textonotapie"/>
        <w:rPr>
          <w:spacing w:val="-2"/>
        </w:rPr>
      </w:pPr>
      <w:r w:rsidRPr="0019408C">
        <w:rPr>
          <w:smallCaps/>
          <w:spacing w:val="-2"/>
        </w:rPr>
        <w:t>Merton Miller</w:t>
      </w:r>
      <w:r w:rsidRPr="0019408C">
        <w:rPr>
          <w:spacing w:val="-2"/>
        </w:rPr>
        <w:t xml:space="preserve"> obtuvo el Premio Nobel de Economía en 1990 «Por sus trabajos pioneros para establecer la teoría de la economía financiera».</w:t>
      </w:r>
    </w:p>
  </w:footnote>
  <w:footnote w:id="10">
    <w:p w14:paraId="0913161E" w14:textId="77777777" w:rsidR="003F114F" w:rsidRDefault="003F114F" w:rsidP="003F114F">
      <w:pPr>
        <w:pStyle w:val="Textonotapie"/>
      </w:pPr>
      <w:r>
        <w:rPr>
          <w:rStyle w:val="Refdenotaalpie"/>
        </w:rPr>
        <w:footnoteRef/>
      </w:r>
      <w:r>
        <w:t xml:space="preserve"> </w:t>
      </w:r>
      <w:r w:rsidRPr="003F44C7">
        <w:t xml:space="preserve">El objetivo de </w:t>
      </w:r>
      <w:r>
        <w:rPr>
          <w:smallCaps/>
        </w:rPr>
        <w:t>Modigliani</w:t>
      </w:r>
      <w:r w:rsidRPr="003F44C7">
        <w:t xml:space="preserve"> y </w:t>
      </w:r>
      <w:r>
        <w:rPr>
          <w:smallCaps/>
        </w:rPr>
        <w:t>Miller</w:t>
      </w:r>
      <w:r w:rsidRPr="003F44C7">
        <w:t xml:space="preserve"> no es afirmar que la estructura de capital es irrelevante, sino caracterizar los factores que la hacen relevante, es decir, como el incumplimiento de estos supuestos podría dar lugar a que la estructura de capital sea relevante.</w:t>
      </w:r>
    </w:p>
  </w:footnote>
  <w:footnote w:id="11">
    <w:p w14:paraId="1499FA32" w14:textId="488ECD85" w:rsidR="000C5CBD" w:rsidRDefault="000C5CBD" w:rsidP="000C5CBD">
      <w:pPr>
        <w:pStyle w:val="Textonotapie"/>
      </w:pPr>
      <w:r>
        <w:rPr>
          <w:rStyle w:val="Refdenotaalpie"/>
        </w:rPr>
        <w:footnoteRef/>
      </w:r>
      <w:r>
        <w:t xml:space="preserve"> Del estudio de las decisiones de inversión, que veremos más adelante, concluimos que toda empresa que quiera maximizar el valor para sus accionistas deberá realizar sólo aquellas inversiones cuya tasa de retorno (TIR) sea, al menos, igual a su coste de capital medio ponderado (WACC). Como el WACC es constante cualquiera que sea el tipo de recursos empleados en su financiación, esto implica que </w:t>
      </w:r>
      <w:r w:rsidRPr="00E22630">
        <w:rPr>
          <w:i/>
          <w:iCs/>
        </w:rPr>
        <w:t>las decisiones de inversión y de financiación son independientes</w:t>
      </w:r>
      <w:r>
        <w:t>.</w:t>
      </w:r>
    </w:p>
  </w:footnote>
  <w:footnote w:id="12">
    <w:p w14:paraId="698917D0" w14:textId="77777777" w:rsidR="00F47C0B" w:rsidRPr="00DE2505" w:rsidRDefault="00F47C0B" w:rsidP="00F47C0B">
      <w:pPr>
        <w:pStyle w:val="Textonotapie"/>
        <w:keepNext/>
        <w:spacing w:after="0"/>
      </w:pPr>
      <w:r>
        <w:rPr>
          <w:rStyle w:val="Refdenotaalpie"/>
        </w:rPr>
        <w:footnoteRef/>
      </w:r>
      <w:r>
        <w:t xml:space="preserve"> Artículo interesante del </w:t>
      </w:r>
      <w:proofErr w:type="spellStart"/>
      <w:r>
        <w:rPr>
          <w:i/>
          <w:iCs/>
        </w:rPr>
        <w:t>Financial</w:t>
      </w:r>
      <w:proofErr w:type="spellEnd"/>
      <w:r>
        <w:rPr>
          <w:i/>
          <w:iCs/>
        </w:rPr>
        <w:t xml:space="preserve"> Times</w:t>
      </w:r>
      <w:r>
        <w:t xml:space="preserve"> en el que se explica la teoría de </w:t>
      </w:r>
      <w:r>
        <w:rPr>
          <w:smallCaps/>
        </w:rPr>
        <w:t>Modigliani</w:t>
      </w:r>
      <w:r>
        <w:t xml:space="preserve"> y </w:t>
      </w:r>
      <w:r>
        <w:rPr>
          <w:smallCaps/>
        </w:rPr>
        <w:t>Miller</w:t>
      </w:r>
      <w:r>
        <w:t xml:space="preserve"> en el contexto de la pandemia.</w:t>
      </w:r>
    </w:p>
    <w:p w14:paraId="4B6362E0" w14:textId="77777777" w:rsidR="00F47C0B" w:rsidRDefault="00F47C0B" w:rsidP="00F47C0B">
      <w:pPr>
        <w:pStyle w:val="Textonotapie"/>
        <w:rPr>
          <w:rStyle w:val="Hipervnculo"/>
          <w:lang w:val="en-US"/>
        </w:rPr>
      </w:pPr>
      <w:r w:rsidRPr="00DE2505">
        <w:rPr>
          <w:lang w:val="en-US"/>
        </w:rPr>
        <w:t xml:space="preserve">Wigglesworth, R. (2020, </w:t>
      </w:r>
      <w:proofErr w:type="spellStart"/>
      <w:r w:rsidRPr="00DE2505">
        <w:rPr>
          <w:lang w:val="en-US"/>
        </w:rPr>
        <w:t>octubre</w:t>
      </w:r>
      <w:proofErr w:type="spellEnd"/>
      <w:r w:rsidRPr="00DE2505">
        <w:rPr>
          <w:lang w:val="en-US"/>
        </w:rPr>
        <w:t xml:space="preserve"> 19). The debt bubble legacy of economists Modigliani and Miller. </w:t>
      </w:r>
      <w:r w:rsidRPr="00DE2505">
        <w:rPr>
          <w:i/>
          <w:iCs/>
          <w:lang w:val="en-US"/>
        </w:rPr>
        <w:t>Financial Times</w:t>
      </w:r>
      <w:r w:rsidRPr="00DE2505">
        <w:rPr>
          <w:lang w:val="en-US"/>
        </w:rPr>
        <w:t xml:space="preserve">. </w:t>
      </w:r>
      <w:hyperlink r:id="rId1" w:history="1">
        <w:r w:rsidRPr="00633860">
          <w:rPr>
            <w:rStyle w:val="Hipervnculo"/>
            <w:lang w:val="en-US"/>
          </w:rPr>
          <w:t>https://www.ft.com/content/87efe5a9-4cb6-493b-a31a-f9efd5ddd242</w:t>
        </w:r>
      </w:hyperlink>
    </w:p>
    <w:p w14:paraId="3ED4FCD3" w14:textId="77777777" w:rsidR="00F47C0B" w:rsidRPr="00E06345" w:rsidRDefault="00F47C0B" w:rsidP="00F47C0B">
      <w:pPr>
        <w:pStyle w:val="Textonotapie"/>
        <w:ind w:left="284"/>
        <w:rPr>
          <w:spacing w:val="-2"/>
          <w:lang w:val="en-US"/>
        </w:rPr>
      </w:pPr>
      <w:r w:rsidRPr="00E06345">
        <w:rPr>
          <w:spacing w:val="-2"/>
          <w:lang w:val="en-US"/>
        </w:rPr>
        <w:t>Half a century ago, two starlets of economics argued that whether companies funded themselves with debt or equity was irrelevant. One legacy of that insight is becoming clearer in the wreckage of corporate failures mounting in the wake of the pandemic. Until then most companies had assumed that too much debt would affect the value of the firm, so their paper was a counterintuitive bombshell. […]</w:t>
      </w:r>
    </w:p>
    <w:p w14:paraId="0BF3EF24" w14:textId="77777777" w:rsidR="00F47C0B" w:rsidRPr="00E06345" w:rsidRDefault="00F47C0B" w:rsidP="00F47C0B">
      <w:pPr>
        <w:pStyle w:val="Textonotapie"/>
        <w:ind w:left="284"/>
        <w:rPr>
          <w:spacing w:val="-2"/>
          <w:lang w:val="en-US"/>
        </w:rPr>
      </w:pPr>
      <w:r w:rsidRPr="00E06345">
        <w:rPr>
          <w:spacing w:val="-2"/>
          <w:lang w:val="en-US"/>
        </w:rPr>
        <w:t xml:space="preserve">This gave rise to the idea of “efficient” balance sheets layered with </w:t>
      </w:r>
      <w:proofErr w:type="gramStart"/>
      <w:r w:rsidRPr="00E06345">
        <w:rPr>
          <w:spacing w:val="-2"/>
          <w:lang w:val="en-US"/>
        </w:rPr>
        <w:t>debt, and</w:t>
      </w:r>
      <w:proofErr w:type="gramEnd"/>
      <w:r w:rsidRPr="00E06345">
        <w:rPr>
          <w:spacing w:val="-2"/>
          <w:lang w:val="en-US"/>
        </w:rPr>
        <w:t xml:space="preserve"> </w:t>
      </w:r>
      <w:proofErr w:type="spellStart"/>
      <w:r w:rsidRPr="00E06345">
        <w:rPr>
          <w:spacing w:val="-2"/>
          <w:lang w:val="en-US"/>
        </w:rPr>
        <w:t>immortalised</w:t>
      </w:r>
      <w:proofErr w:type="spellEnd"/>
      <w:r w:rsidRPr="00E06345">
        <w:rPr>
          <w:spacing w:val="-2"/>
          <w:lang w:val="en-US"/>
        </w:rPr>
        <w:t xml:space="preserve"> by a memorable phrase written by 2 corporate finance specialists in 1988: </w:t>
      </w:r>
      <w:r w:rsidRPr="00E06345">
        <w:rPr>
          <w:i/>
          <w:iCs/>
          <w:spacing w:val="-2"/>
          <w:lang w:val="en-US"/>
        </w:rPr>
        <w:t>“Equity is soft, debt hard. Equity is forgiving, debt insistent. Equity is a pillow, debt a sword.”</w:t>
      </w:r>
    </w:p>
    <w:p w14:paraId="2829EC4E" w14:textId="77777777" w:rsidR="00F47C0B" w:rsidRPr="00E06345" w:rsidRDefault="00F47C0B" w:rsidP="00F47C0B">
      <w:pPr>
        <w:pStyle w:val="Textonotapie"/>
        <w:ind w:left="284"/>
        <w:rPr>
          <w:spacing w:val="-2"/>
          <w:lang w:val="en-US"/>
        </w:rPr>
      </w:pPr>
      <w:r w:rsidRPr="00E06345">
        <w:rPr>
          <w:spacing w:val="-2"/>
          <w:lang w:val="en-US"/>
        </w:rPr>
        <w:t>The result can be seen in the evolving distribution of corporate credit ratings. Four decades ago, Standard &amp; Poor’s had given 65</w:t>
      </w:r>
      <w:r>
        <w:rPr>
          <w:spacing w:val="-2"/>
          <w:lang w:val="en-US"/>
        </w:rPr>
        <w:t> </w:t>
      </w:r>
      <w:r w:rsidRPr="00E06345">
        <w:rPr>
          <w:spacing w:val="-2"/>
          <w:lang w:val="en-US"/>
        </w:rPr>
        <w:t>companies around the world a spotless triple</w:t>
      </w:r>
      <w:r>
        <w:rPr>
          <w:spacing w:val="-2"/>
          <w:lang w:val="en-US"/>
        </w:rPr>
        <w:t> </w:t>
      </w:r>
      <w:r w:rsidRPr="00E06345">
        <w:rPr>
          <w:spacing w:val="-2"/>
          <w:lang w:val="en-US"/>
        </w:rPr>
        <w:t>A rating, equal to almost 6 per cent of its total ratings. Another 679</w:t>
      </w:r>
      <w:r>
        <w:rPr>
          <w:spacing w:val="-2"/>
          <w:lang w:val="en-US"/>
        </w:rPr>
        <w:t> </w:t>
      </w:r>
      <w:r w:rsidRPr="00E06345">
        <w:rPr>
          <w:spacing w:val="-2"/>
          <w:lang w:val="en-US"/>
        </w:rPr>
        <w:t>companies enjoyed ratings in the A</w:t>
      </w:r>
      <w:r>
        <w:rPr>
          <w:spacing w:val="-2"/>
          <w:lang w:val="en-US"/>
        </w:rPr>
        <w:t> </w:t>
      </w:r>
      <w:r w:rsidRPr="00E06345">
        <w:rPr>
          <w:spacing w:val="-2"/>
          <w:lang w:val="en-US"/>
        </w:rPr>
        <w:t>range.</w:t>
      </w:r>
      <w:r>
        <w:rPr>
          <w:spacing w:val="-2"/>
          <w:lang w:val="en-US"/>
        </w:rPr>
        <w:t xml:space="preserve"> </w:t>
      </w:r>
      <w:r w:rsidRPr="00E06345">
        <w:rPr>
          <w:lang w:val="en-US"/>
        </w:rPr>
        <w:t xml:space="preserve">Today there are only </w:t>
      </w:r>
      <w:r>
        <w:rPr>
          <w:lang w:val="en-US"/>
        </w:rPr>
        <w:t>5 </w:t>
      </w:r>
      <w:r w:rsidRPr="00E06345">
        <w:rPr>
          <w:lang w:val="en-US"/>
        </w:rPr>
        <w:t>companies with triple</w:t>
      </w:r>
      <w:r>
        <w:rPr>
          <w:lang w:val="en-US"/>
        </w:rPr>
        <w:t> </w:t>
      </w:r>
      <w:r w:rsidRPr="00E06345">
        <w:rPr>
          <w:lang w:val="en-US"/>
        </w:rPr>
        <w:t>A</w:t>
      </w:r>
      <w:r>
        <w:rPr>
          <w:lang w:val="en-US"/>
        </w:rPr>
        <w:t> </w:t>
      </w:r>
      <w:r w:rsidRPr="00E06345">
        <w:rPr>
          <w:lang w:val="en-US"/>
        </w:rPr>
        <w:t>ratings, out of nearly 5,000</w:t>
      </w:r>
      <w:r>
        <w:rPr>
          <w:lang w:val="en-US"/>
        </w:rPr>
        <w:t> </w:t>
      </w:r>
      <w:r w:rsidRPr="00E06345">
        <w:rPr>
          <w:lang w:val="en-US"/>
        </w:rPr>
        <w:t>companies. And under 14</w:t>
      </w:r>
      <w:r>
        <w:rPr>
          <w:lang w:val="en-US"/>
        </w:rPr>
        <w:t> %</w:t>
      </w:r>
      <w:r w:rsidRPr="00E06345">
        <w:rPr>
          <w:lang w:val="en-US"/>
        </w:rPr>
        <w:t xml:space="preserve"> of all rated companies are in the A</w:t>
      </w:r>
      <w:r>
        <w:rPr>
          <w:lang w:val="en-US"/>
        </w:rPr>
        <w:t> </w:t>
      </w:r>
      <w:r w:rsidRPr="00E06345">
        <w:rPr>
          <w:lang w:val="en-US"/>
        </w:rPr>
        <w:t>range.</w:t>
      </w:r>
    </w:p>
    <w:p w14:paraId="6B5B36F6" w14:textId="77777777" w:rsidR="00F47C0B" w:rsidRPr="00E06345" w:rsidRDefault="00F47C0B" w:rsidP="00F47C0B">
      <w:pPr>
        <w:pStyle w:val="Textonotapie"/>
        <w:ind w:left="284"/>
        <w:jc w:val="center"/>
        <w:rPr>
          <w:spacing w:val="-2"/>
          <w:lang w:val="en-US"/>
        </w:rPr>
      </w:pPr>
      <w:r w:rsidRPr="00E06345">
        <w:rPr>
          <w:noProof/>
          <w:spacing w:val="-2"/>
        </w:rPr>
        <w:drawing>
          <wp:inline distT="0" distB="0" distL="0" distR="0" wp14:anchorId="0F4EEAA8" wp14:editId="618CF59D">
            <wp:extent cx="1806036" cy="1288473"/>
            <wp:effectExtent l="0" t="0" r="3810" b="6985"/>
            <wp:docPr id="1591973638" name="Imagen 1" descr="Column chart of Number of S&amp;P non-financial credit ratings, by grade showing Global creditworthiness has atrophied since the 199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n chart of Number of S&amp;P non-financial credit ratings, by grade showing Global creditworthiness has atrophied since the 1990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2052" cy="1299899"/>
                    </a:xfrm>
                    <a:prstGeom prst="rect">
                      <a:avLst/>
                    </a:prstGeom>
                    <a:noFill/>
                    <a:ln>
                      <a:noFill/>
                    </a:ln>
                  </pic:spPr>
                </pic:pic>
              </a:graphicData>
            </a:graphic>
          </wp:inline>
        </w:drawing>
      </w:r>
    </w:p>
    <w:p w14:paraId="25587846" w14:textId="77777777" w:rsidR="00F47C0B" w:rsidRPr="00E06345" w:rsidRDefault="00F47C0B" w:rsidP="00F47C0B">
      <w:pPr>
        <w:pStyle w:val="Textonotapie"/>
        <w:ind w:left="284"/>
        <w:rPr>
          <w:spacing w:val="-2"/>
          <w:lang w:val="en-US"/>
        </w:rPr>
      </w:pPr>
      <w:r w:rsidRPr="00E06345">
        <w:rPr>
          <w:spacing w:val="-2"/>
          <w:lang w:val="en-US"/>
        </w:rPr>
        <w:t xml:space="preserve">Once again, we can see the cost all around us with many corporate executives now </w:t>
      </w:r>
      <w:proofErr w:type="spellStart"/>
      <w:r w:rsidRPr="00E06345">
        <w:rPr>
          <w:spacing w:val="-2"/>
          <w:lang w:val="en-US"/>
        </w:rPr>
        <w:t>rueing</w:t>
      </w:r>
      <w:proofErr w:type="spellEnd"/>
      <w:r w:rsidRPr="00E06345">
        <w:rPr>
          <w:spacing w:val="-2"/>
          <w:lang w:val="en-US"/>
        </w:rPr>
        <w:t xml:space="preserve"> choosing the sword over the pillow. For sure, the Covid-19 pandemic was an extraordinary shock that could have threatened the solvency of even the sturdiest company. But the fact that </w:t>
      </w:r>
      <w:r w:rsidRPr="00E06345">
        <w:rPr>
          <w:spacing w:val="-2"/>
          <w:u w:val="single"/>
          <w:lang w:val="en-US"/>
        </w:rPr>
        <w:t>so many companies around the world are far from sturdy is a major reason why governments and central banks had to go to eye-popping lengths to moderate a tidal wave of corporate bankruptcies</w:t>
      </w:r>
      <w:r w:rsidRPr="00E06345">
        <w:rPr>
          <w:spacing w:val="-2"/>
          <w:lang w:val="en-US"/>
        </w:rPr>
        <w:t>.</w:t>
      </w:r>
    </w:p>
    <w:p w14:paraId="4E0AE77A" w14:textId="77777777" w:rsidR="00F47C0B" w:rsidRPr="00E06345" w:rsidRDefault="00F47C0B" w:rsidP="00F47C0B">
      <w:pPr>
        <w:pStyle w:val="Textonotapie"/>
        <w:ind w:left="284"/>
        <w:rPr>
          <w:spacing w:val="-2"/>
          <w:lang w:val="en-US"/>
        </w:rPr>
      </w:pPr>
      <w:r w:rsidRPr="00E06345">
        <w:rPr>
          <w:spacing w:val="-2"/>
          <w:lang w:val="en-US"/>
        </w:rPr>
        <w:t xml:space="preserve">Those efforts have largely been successful. Yet </w:t>
      </w:r>
      <w:r w:rsidRPr="00E06345">
        <w:rPr>
          <w:spacing w:val="-2"/>
          <w:u w:val="single"/>
          <w:lang w:val="en-US"/>
        </w:rPr>
        <w:t xml:space="preserve">the cost has been </w:t>
      </w:r>
      <w:proofErr w:type="gramStart"/>
      <w:r w:rsidRPr="00E06345">
        <w:rPr>
          <w:spacing w:val="-2"/>
          <w:u w:val="single"/>
          <w:lang w:val="en-US"/>
        </w:rPr>
        <w:t>gargantuan</w:t>
      </w:r>
      <w:proofErr w:type="gramEnd"/>
      <w:r w:rsidRPr="00E06345">
        <w:rPr>
          <w:spacing w:val="-2"/>
          <w:lang w:val="en-US"/>
        </w:rPr>
        <w:t xml:space="preserve"> and the pain will still be frightful. Standard &amp; Poor’s tallied 88 corporate bond defaults just in the second quarter of 2020, the highest since the peak of the financial crisis. Millions of smaller businesses have gone under.</w:t>
      </w:r>
      <w:r>
        <w:rPr>
          <w:spacing w:val="-2"/>
          <w:lang w:val="en-US"/>
        </w:rPr>
        <w:t xml:space="preserve"> </w:t>
      </w:r>
      <w:r w:rsidRPr="00E06345">
        <w:rPr>
          <w:spacing w:val="-2"/>
          <w:u w:val="single"/>
          <w:lang w:val="en-US"/>
        </w:rPr>
        <w:t>While the overall toll is likely to be more moderate than that caused by the global financial crisis, we will be living with the legacy for years to come</w:t>
      </w:r>
      <w:r w:rsidRPr="00E06345">
        <w:rPr>
          <w:spacing w:val="-2"/>
          <w:lang w:val="en-US"/>
        </w:rPr>
        <w:t>.</w:t>
      </w:r>
    </w:p>
    <w:p w14:paraId="135F0931" w14:textId="77777777" w:rsidR="00F47C0B" w:rsidRPr="0019408C" w:rsidRDefault="00F47C0B" w:rsidP="00F47C0B">
      <w:pPr>
        <w:pStyle w:val="Textonotapie"/>
        <w:ind w:left="284"/>
        <w:rPr>
          <w:spacing w:val="-5"/>
          <w:lang w:val="en-US"/>
        </w:rPr>
      </w:pPr>
      <w:r w:rsidRPr="0019408C">
        <w:rPr>
          <w:spacing w:val="-5"/>
          <w:lang w:val="en-US"/>
        </w:rPr>
        <w:t xml:space="preserve">After 2008, there was a reckoning with banks and how they fund themselves. After 2020, there should be a similar overhaul for companies. The aim can obviously not be to </w:t>
      </w:r>
      <w:proofErr w:type="spellStart"/>
      <w:r w:rsidRPr="0019408C">
        <w:rPr>
          <w:spacing w:val="-5"/>
          <w:lang w:val="en-US"/>
        </w:rPr>
        <w:t>immunise</w:t>
      </w:r>
      <w:proofErr w:type="spellEnd"/>
      <w:r w:rsidRPr="0019408C">
        <w:rPr>
          <w:spacing w:val="-5"/>
          <w:lang w:val="en-US"/>
        </w:rPr>
        <w:t xml:space="preserve"> every company completely from every crisis — let alone one as abrupt, broad and deep as Covid-19. But </w:t>
      </w:r>
      <w:r w:rsidRPr="0019408C">
        <w:rPr>
          <w:spacing w:val="-5"/>
          <w:u w:val="single"/>
          <w:lang w:val="en-US"/>
        </w:rPr>
        <w:t>a shift from efficient to resilient balance sheets would be a long-term boon to the health of the financial system and the global economy</w:t>
      </w:r>
      <w:r w:rsidRPr="0019408C">
        <w:rPr>
          <w:spacing w:val="-5"/>
          <w:lang w:val="en-US"/>
        </w:rPr>
        <w:t>.</w:t>
      </w:r>
    </w:p>
    <w:p w14:paraId="3FF0566C" w14:textId="77777777" w:rsidR="00F47C0B" w:rsidRPr="00E06345" w:rsidRDefault="00F47C0B" w:rsidP="00F47C0B">
      <w:pPr>
        <w:pStyle w:val="Textonotapie"/>
        <w:ind w:left="284"/>
        <w:rPr>
          <w:spacing w:val="-2"/>
          <w:lang w:val="en-US"/>
        </w:rPr>
      </w:pPr>
      <w:r w:rsidRPr="00E06345">
        <w:rPr>
          <w:spacing w:val="-2"/>
          <w:lang w:val="en-US"/>
        </w:rPr>
        <w:t>Ideally, this should happen in response to the signals already being sent by markets: The shares of companies with stronger balance sheets have this year massively outperformed those with weaker ones, according to Goldman Sachs data.</w:t>
      </w:r>
    </w:p>
    <w:p w14:paraId="02303ADD" w14:textId="77777777" w:rsidR="00F47C0B" w:rsidRPr="00E06345" w:rsidRDefault="00F47C0B" w:rsidP="00F47C0B">
      <w:pPr>
        <w:pStyle w:val="Textonotapie"/>
        <w:ind w:left="284"/>
        <w:rPr>
          <w:spacing w:val="-2"/>
          <w:lang w:val="en-US"/>
        </w:rPr>
      </w:pPr>
      <w:r w:rsidRPr="00E06345">
        <w:rPr>
          <w:spacing w:val="-2"/>
          <w:lang w:val="en-US"/>
        </w:rPr>
        <w:t>But if this proves a fleeting phenomenon —as is likely— then more countries should start taking a hard look at the tax advantages enjoyed by debt. Such a draconian move can only be done carefully, over a long period of time. But everyone would benefit from a world where companies once again aspire to be more creditworthy.</w:t>
      </w:r>
    </w:p>
  </w:footnote>
  <w:footnote w:id="13">
    <w:p w14:paraId="5647A5A7" w14:textId="77777777" w:rsidR="00BA5381" w:rsidRDefault="00BA5381" w:rsidP="00BA5381">
      <w:pPr>
        <w:pStyle w:val="Textonotapie"/>
        <w:spacing w:after="0"/>
      </w:pPr>
      <w:r>
        <w:rPr>
          <w:rStyle w:val="Refdenotaalpie"/>
        </w:rPr>
        <w:footnoteRef/>
      </w:r>
      <w:r>
        <w:t xml:space="preserve"> </w:t>
      </w:r>
      <w:r>
        <w:rPr>
          <w:smallCaps/>
        </w:rPr>
        <w:t xml:space="preserve">Jean </w:t>
      </w:r>
      <w:proofErr w:type="spellStart"/>
      <w:r>
        <w:rPr>
          <w:smallCaps/>
        </w:rPr>
        <w:t>Tirole</w:t>
      </w:r>
      <w:proofErr w:type="spellEnd"/>
      <w:r>
        <w:t xml:space="preserve"> obtuvo el Premio Nobel de Economía en 2014 </w:t>
      </w:r>
      <w:r w:rsidRPr="00A84110">
        <w:t>«Por sus análisis sobre el poder y las regulaciones del mercado»</w:t>
      </w:r>
      <w:r>
        <w:t>.</w:t>
      </w:r>
    </w:p>
    <w:p w14:paraId="15AACF7D" w14:textId="77777777" w:rsidR="00BA5381" w:rsidRPr="00A84110" w:rsidRDefault="00BA5381" w:rsidP="00BA5381">
      <w:pPr>
        <w:pStyle w:val="Textonotapie"/>
      </w:pPr>
      <w:r>
        <w:rPr>
          <w:smallCaps/>
        </w:rPr>
        <w:t xml:space="preserve">Bengt R. </w:t>
      </w:r>
      <w:proofErr w:type="spellStart"/>
      <w:r>
        <w:rPr>
          <w:smallCaps/>
        </w:rPr>
        <w:t>Holmström</w:t>
      </w:r>
      <w:proofErr w:type="spellEnd"/>
      <w:r>
        <w:t xml:space="preserve"> obtuvo el Premio Nobel de Economía en 2016 </w:t>
      </w:r>
      <w:r w:rsidRPr="00A84110">
        <w:t>«</w:t>
      </w:r>
      <w:r>
        <w:t>P</w:t>
      </w:r>
      <w:r w:rsidRPr="00A84110">
        <w:t>or sus contribuciones a la teoría de contratos»</w:t>
      </w:r>
      <w:r>
        <w:t>.</w:t>
      </w:r>
    </w:p>
  </w:footnote>
  <w:footnote w:id="14">
    <w:p w14:paraId="54E69D64" w14:textId="77777777" w:rsidR="00BA5381" w:rsidRDefault="00BA5381" w:rsidP="00BA5381">
      <w:pPr>
        <w:pStyle w:val="Textonotapie"/>
      </w:pPr>
      <w:r>
        <w:rPr>
          <w:rStyle w:val="Refdenotaalpie"/>
        </w:rPr>
        <w:footnoteRef/>
      </w:r>
      <w:r>
        <w:t xml:space="preserve"> </w:t>
      </w:r>
      <w:hyperlink r:id="rId3" w:history="1">
        <w:r w:rsidRPr="00633860">
          <w:rPr>
            <w:rStyle w:val="Hipervnculo"/>
          </w:rPr>
          <w:t>https://nadaesgratis.es/fernandez-villaverde/liquidez-interna-y-externa-i</w:t>
        </w:r>
      </w:hyperlink>
    </w:p>
  </w:footnote>
  <w:footnote w:id="15">
    <w:p w14:paraId="30E11FF8" w14:textId="676828C2" w:rsidR="00186B1E" w:rsidRDefault="00186B1E" w:rsidP="00186B1E">
      <w:pPr>
        <w:pStyle w:val="Textonotapie"/>
        <w:keepNext/>
        <w:spacing w:after="0"/>
      </w:pPr>
      <w:r>
        <w:rPr>
          <w:rStyle w:val="Refdenotaalpie"/>
        </w:rPr>
        <w:footnoteRef/>
      </w:r>
      <w:r>
        <w:t xml:space="preserve"> ¿Qué falla en los mercados financieros? ¿Cómo explicamos este comportamiento aparentemente contradictorio con lo que esperaríamos de los mercados financieros?:</w:t>
      </w:r>
    </w:p>
    <w:p w14:paraId="47943433" w14:textId="77777777" w:rsidR="00186B1E" w:rsidRDefault="00186B1E">
      <w:pPr>
        <w:pStyle w:val="Textonotapie"/>
        <w:numPr>
          <w:ilvl w:val="0"/>
          <w:numId w:val="12"/>
        </w:numPr>
        <w:spacing w:after="0"/>
        <w:ind w:left="113" w:hanging="113"/>
      </w:pPr>
      <w:r>
        <w:t>Una primera posibilidad, que tiene una importancia más que considerable, es la legislación fiscal. Las empresas pueden preferir “ahorrar” por sus accionistas. En vez de distribuir dividendos, pueden sentarse en ellos, incrementar el precio de la acción por los mismos y el accionista vender su participación (o un porcentaje de ella). Es común en muchos sistemas fiscales que las ganancias de capital a largo plazo, como las generadas por el incremento de precio de una acción en varios años, tributen a menor tipo que las rentas del capital provenientes de dividendos corrientes. Básicamente esto es lo que ocurría en Estados Unidos hasta la reforma fiscal de 2002 y por lo cual las empresas distribuían pocos dividendos. En cuanto cambio la legislación, empezó a cambiar el comportamiento de las empresas: incluso Microsoft dio dividendos en 2006. Hoy en día existe un problema similar con la repatriación de beneficios en filiales extranjeras. De igual manera, los intereses de la deuda de las empresas son deducibles del impuesto de sociedades, con lo cual liquidar la misma contra efectivo puede no compensar a muchas corporaciones. Los sistemas fiscales son lamentablemente muy complejos, pero la idea básica es sencilla: las distorsiones fiscales inducen comportamientos de inversión y decisiones de liquidez a primera vista extraños y probablemente ineficientes desde el punto de vista social. Mis propias inversiones en bolsa y las acciones que compro y vendo a menudo vienen dictadas, en buena medida, por motivos fiscales.</w:t>
      </w:r>
    </w:p>
    <w:p w14:paraId="1BA370D4" w14:textId="77777777" w:rsidR="00186B1E" w:rsidRDefault="00186B1E">
      <w:pPr>
        <w:pStyle w:val="Textonotapie"/>
        <w:numPr>
          <w:ilvl w:val="0"/>
          <w:numId w:val="12"/>
        </w:numPr>
        <w:ind w:left="113" w:hanging="113"/>
      </w:pPr>
      <w:r>
        <w:t>La segunda posibilidad parte de la observación de que los mercados financieros están plagados de problemas de información asimétrica. Si yo soy una empresa del sector tecnológico y necesito financiación para absorber a una “startup” con una nueva tecnología que me interesa, los bancos -o los mercados financieros más en general- que me podrían prestar los fondos para esta operación van a enfrentarse al dilema de cómo juzgar si la tecnología de esta “startup” merece realmente el dinero que voy a pagar por ella. Los bancos tendrían que conocer la calidad de la tecnología de la “startup” y cómo esta complementa mi propia tecnología. Verificar estas dos características puede ser extremadamente costoso, cuando no cercano a imposible (¿ha intentado, querido lector, alguna vez leer unos cuantas miles de líneas de código escrito por otra persona?). Y esta verificación es clave pues yo me puedo estar equivocando (con lo cual me arriesgo a que mi empresa no pueda devolver el préstamo) o puedo estar pagando un precio incorrecto por algún motivo adicional que no se alinea con el interés del banco (la “startup” es de un familiar/amigo, la “startup” es del hijo de un político que me va a otorgar en contraprestación un favor personal del que mi empresa no se va a beneficiar, etc.). Y sin verificación, no hay financiación (o financiación insuficiente) y se pierden beneficios potenciales. Antes estas dificultades, una empresa puede decidir mantener suficiente efectivo como para poder adquirir “startups” sin necesidad de ir al mercado cada vez que tal compra sea necesaria. Un vistazo rápido a las adquisiciones de Google a lo largo de los años nos confirma la importancia de este mecanismo: las empresas crecen muy a menudo a base de adquisiciones de terceras compañías.</w:t>
      </w:r>
    </w:p>
  </w:footnote>
  <w:footnote w:id="16">
    <w:p w14:paraId="3AE7034E" w14:textId="1B8B91FD" w:rsidR="00FB340B" w:rsidRDefault="00FB340B" w:rsidP="00FB340B">
      <w:pPr>
        <w:pStyle w:val="Textonotapie"/>
        <w:keepNext/>
        <w:spacing w:after="0"/>
      </w:pPr>
      <w:r>
        <w:rPr>
          <w:rStyle w:val="Refdenotaalpie"/>
        </w:rPr>
        <w:footnoteRef/>
      </w:r>
      <w:r>
        <w:t xml:space="preserve"> Todos los elementos están presentes en la fórmula del Valor Actual Neto (VAN) que veremos más adelante:</w:t>
      </w:r>
    </w:p>
    <w:p w14:paraId="762DC45D" w14:textId="165F3E4B" w:rsidR="00FB340B" w:rsidRPr="00FB340B" w:rsidRDefault="00FB340B">
      <w:pPr>
        <w:pStyle w:val="Textonotapie"/>
        <w:rPr>
          <w:lang w:val="fr-FR"/>
        </w:rPr>
      </w:pPr>
      <m:oMathPara>
        <m:oMath>
          <m:r>
            <w:rPr>
              <w:rFonts w:ascii="Cambria Math" w:eastAsiaTheme="minorEastAsia" w:hAnsi="Cambria Math"/>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 xml:space="preserve"> </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VAN</m:t>
          </m:r>
          <m:r>
            <w:rPr>
              <w:rFonts w:ascii="Cambria Math" w:hAnsi="Cambria Math"/>
              <w:lang w:val="fr-FR"/>
            </w:rPr>
            <m:t>=-</m:t>
          </m:r>
          <m:limUpp>
            <m:limUppPr>
              <m:ctrlPr>
                <w:rPr>
                  <w:rFonts w:ascii="Cambria Math" w:hAnsi="Cambria Math"/>
                  <w:i/>
                  <w:iCs/>
                  <w:color w:val="C00000"/>
                  <w:sz w:val="22"/>
                  <w:szCs w:val="22"/>
                  <w:lang w:val="fr-FR"/>
                </w:rPr>
              </m:ctrlPr>
            </m:limUppPr>
            <m:e>
              <m:r>
                <m:rPr>
                  <m:nor/>
                </m:rPr>
                <w:rPr>
                  <w:i/>
                  <w:iCs/>
                  <w:color w:val="C00000"/>
                  <w:lang w:val="fr-FR"/>
                </w:rPr>
                <m:t>A</m:t>
              </m:r>
            </m:e>
            <m:lim>
              <w:hyperlink r:id="rId4" w:tooltip="① (aún no redactado)" w:history="1">
                <m:r>
                  <m:rPr>
                    <m:nor/>
                  </m:rPr>
                  <w:rPr>
                    <w:rStyle w:val="Hipervnculo"/>
                    <w:rFonts w:ascii="Cambria Math" w:hAnsi="Cambria Math" w:cs="Cambria Math"/>
                    <w:color w:val="BA0000"/>
                    <w:sz w:val="21"/>
                    <w:szCs w:val="21"/>
                    <w:shd w:val="clear" w:color="auto" w:fill="F8F9FA"/>
                    <w:lang w:val="fr-FR"/>
                  </w:rPr>
                  <m:t>①</m:t>
                </m:r>
              </w:hyperlink>
            </m:lim>
          </m:limUpp>
          <m:r>
            <w:rPr>
              <w:rFonts w:ascii="Cambria Math" w:hAnsi="Cambria Math"/>
              <w:lang w:val="fr-FR"/>
            </w:rPr>
            <m:t>+</m:t>
          </m:r>
          <m:nary>
            <m:naryPr>
              <m:chr m:val="∑"/>
              <m:limLoc m:val="undOvr"/>
              <m:ctrlPr>
                <w:rPr>
                  <w:rFonts w:ascii="Cambria Math" w:hAnsi="Cambria Math"/>
                  <w:i/>
                  <w:iCs/>
                  <w:sz w:val="22"/>
                  <w:szCs w:val="22"/>
                </w:rPr>
              </m:ctrlPr>
            </m:naryPr>
            <m:sub>
              <m:r>
                <m:rPr>
                  <m:nor/>
                </m:rPr>
                <w:rPr>
                  <w:i/>
                  <w:iCs/>
                  <w:lang w:val="fr-FR"/>
                </w:rPr>
                <m:t>t</m:t>
              </m:r>
              <m:r>
                <w:rPr>
                  <w:rFonts w:ascii="Cambria Math" w:hAnsi="Cambria Math"/>
                  <w:lang w:val="fr-FR"/>
                </w:rPr>
                <m:t>=</m:t>
              </m:r>
              <m:r>
                <m:rPr>
                  <m:nor/>
                </m:rPr>
                <w:rPr>
                  <w:i/>
                  <w:iCs/>
                  <w:lang w:val="fr-FR"/>
                </w:rPr>
                <m:t>1</m:t>
              </m:r>
            </m:sub>
            <m:sup>
              <m:limUpp>
                <m:limUppPr>
                  <m:ctrlPr>
                    <w:rPr>
                      <w:rFonts w:ascii="Cambria Math" w:hAnsi="Cambria Math"/>
                      <w:i/>
                      <w:iCs/>
                      <w:color w:val="C00000"/>
                      <w:sz w:val="22"/>
                      <w:szCs w:val="22"/>
                      <w:lang w:val="fr-FR"/>
                    </w:rPr>
                  </m:ctrlPr>
                </m:limUppPr>
                <m:e>
                  <m:r>
                    <m:rPr>
                      <m:nor/>
                    </m:rPr>
                    <w:rPr>
                      <w:i/>
                      <w:iCs/>
                      <w:color w:val="3366FF"/>
                      <w:lang w:val="fr-FR"/>
                    </w:rPr>
                    <m:t>n</m:t>
                  </m:r>
                </m:e>
                <m:lim>
                  <m:r>
                    <m:rPr>
                      <m:nor/>
                    </m:rPr>
                    <w:rPr>
                      <w:rFonts w:ascii="Cambria Math" w:hAnsi="Cambria Math" w:cs="Cambria Math"/>
                      <w:color w:val="3366FF"/>
                      <w:lang w:val="fr-FR"/>
                    </w:rPr>
                    <m:t>②</m:t>
                  </m:r>
                </m:lim>
              </m:limUpp>
            </m:sup>
            <m:e>
              <m:f>
                <m:fPr>
                  <m:ctrlPr>
                    <w:rPr>
                      <w:rFonts w:ascii="Cambria Math" w:hAnsi="Cambria Math"/>
                      <w:i/>
                      <w:iCs/>
                      <w:sz w:val="22"/>
                      <w:szCs w:val="22"/>
                    </w:rPr>
                  </m:ctrlPr>
                </m:fPr>
                <m:num>
                  <m:limUpp>
                    <m:limUppPr>
                      <m:ctrlPr>
                        <w:rPr>
                          <w:rFonts w:ascii="Cambria Math" w:hAnsi="Cambria Math"/>
                          <w:i/>
                          <w:iCs/>
                          <w:color w:val="C00000"/>
                          <w:sz w:val="22"/>
                          <w:szCs w:val="22"/>
                          <w:lang w:val="fr-FR"/>
                        </w:rPr>
                      </m:ctrlPr>
                    </m:limUppPr>
                    <m:e>
                      <m:sSub>
                        <m:sSubPr>
                          <m:ctrlPr>
                            <w:rPr>
                              <w:rFonts w:ascii="Cambria Math" w:hAnsi="Cambria Math"/>
                              <w:i/>
                              <w:iCs/>
                              <w:color w:val="CC00CC"/>
                              <w:sz w:val="22"/>
                              <w:szCs w:val="22"/>
                            </w:rPr>
                          </m:ctrlPr>
                        </m:sSubPr>
                        <m:e>
                          <m:r>
                            <m:rPr>
                              <m:nor/>
                            </m:rPr>
                            <w:rPr>
                              <w:i/>
                              <w:iCs/>
                              <w:color w:val="CC00CC"/>
                              <w:lang w:val="fr-FR"/>
                            </w:rPr>
                            <m:t>Q</m:t>
                          </m:r>
                        </m:e>
                        <m:sub>
                          <m:r>
                            <m:rPr>
                              <m:nor/>
                            </m:rPr>
                            <w:rPr>
                              <w:i/>
                              <w:iCs/>
                              <w:color w:val="CC00CC"/>
                              <w:lang w:val="fr-FR"/>
                            </w:rPr>
                            <m:t>t</m:t>
                          </m:r>
                        </m:sub>
                      </m:sSub>
                    </m:e>
                    <m:lim>
                      <m:r>
                        <m:rPr>
                          <m:nor/>
                        </m:rPr>
                        <w:rPr>
                          <w:rFonts w:ascii="Cambria Math" w:hAnsi="Cambria Math" w:cs="Cambria Math"/>
                          <w:color w:val="CC00CC"/>
                          <w:lang w:val="fr-FR"/>
                        </w:rPr>
                        <m:t>③</m:t>
                      </m:r>
                    </m:lim>
                  </m:limUpp>
                </m:num>
                <m:den>
                  <m:sSup>
                    <m:sSupPr>
                      <m:ctrlPr>
                        <w:rPr>
                          <w:rFonts w:ascii="Cambria Math" w:hAnsi="Cambria Math"/>
                          <w:i/>
                          <w:iCs/>
                          <w:sz w:val="22"/>
                          <w:szCs w:val="22"/>
                        </w:rPr>
                      </m:ctrlPr>
                    </m:sSupPr>
                    <m:e>
                      <m:d>
                        <m:dPr>
                          <m:ctrlPr>
                            <w:rPr>
                              <w:rFonts w:ascii="Cambria Math" w:hAnsi="Cambria Math"/>
                              <w:i/>
                              <w:iCs/>
                              <w:sz w:val="22"/>
                              <w:szCs w:val="22"/>
                            </w:rPr>
                          </m:ctrlPr>
                        </m:dPr>
                        <m:e>
                          <m:r>
                            <m:rPr>
                              <m:nor/>
                            </m:rPr>
                            <w:rPr>
                              <w:i/>
                              <w:iCs/>
                              <w:lang w:val="fr-FR"/>
                            </w:rPr>
                            <m:t>1</m:t>
                          </m:r>
                          <m:r>
                            <w:rPr>
                              <w:rFonts w:ascii="Cambria Math" w:hAnsi="Cambria Math"/>
                              <w:lang w:val="fr-FR"/>
                            </w:rPr>
                            <m:t>+</m:t>
                          </m:r>
                          <m:limLow>
                            <m:limLowPr>
                              <m:ctrlPr>
                                <w:rPr>
                                  <w:rFonts w:ascii="Cambria Math" w:hAnsi="Cambria Math"/>
                                  <w:i/>
                                  <w:iCs/>
                                  <w:color w:val="92D050"/>
                                  <w:sz w:val="22"/>
                                  <w:szCs w:val="22"/>
                                  <w:lang w:val="fr-FR"/>
                                </w:rPr>
                              </m:ctrlPr>
                            </m:limLowPr>
                            <m:e>
                              <m:r>
                                <m:rPr>
                                  <m:nor/>
                                </m:rPr>
                                <w:rPr>
                                  <w:i/>
                                  <w:iCs/>
                                  <w:color w:val="92D050"/>
                                  <w:lang w:val="fr-FR"/>
                                </w:rPr>
                                <m:t>WACC</m:t>
                              </m:r>
                            </m:e>
                            <m:lim>
                              <m:r>
                                <m:rPr>
                                  <m:nor/>
                                </m:rPr>
                                <w:rPr>
                                  <w:rFonts w:ascii="Cambria Math" w:hAnsi="Cambria Math" w:cs="Cambria Math"/>
                                  <w:color w:val="92D050"/>
                                  <w:lang w:val="fr-FR"/>
                                </w:rPr>
                                <m:t>⑤</m:t>
                              </m:r>
                            </m:lim>
                          </m:limLow>
                        </m:e>
                      </m:d>
                    </m:e>
                    <m:sup>
                      <m:r>
                        <m:rPr>
                          <m:nor/>
                        </m:rPr>
                        <w:rPr>
                          <w:i/>
                          <w:iCs/>
                          <w:lang w:val="fr-FR"/>
                        </w:rPr>
                        <m:t>t</m:t>
                      </m:r>
                    </m:sup>
                  </m:sSup>
                </m:den>
              </m:f>
            </m:e>
          </m:nary>
          <m:r>
            <w:rPr>
              <w:rFonts w:ascii="Cambria Math" w:hAnsi="Cambria Math"/>
              <w:lang w:val="fr-FR"/>
            </w:rPr>
            <m:t>+</m:t>
          </m:r>
          <m:f>
            <m:fPr>
              <m:ctrlPr>
                <w:rPr>
                  <w:rFonts w:ascii="Cambria Math" w:hAnsi="Cambria Math"/>
                  <w:i/>
                  <w:iCs/>
                  <w:sz w:val="22"/>
                  <w:szCs w:val="22"/>
                </w:rPr>
              </m:ctrlPr>
            </m:fPr>
            <m:num>
              <m:limUpp>
                <m:limUppPr>
                  <m:ctrlPr>
                    <w:rPr>
                      <w:rFonts w:ascii="Cambria Math" w:hAnsi="Cambria Math"/>
                      <w:i/>
                      <w:iCs/>
                      <w:color w:val="C00000"/>
                      <w:sz w:val="22"/>
                      <w:szCs w:val="22"/>
                      <w:lang w:val="fr-FR"/>
                    </w:rPr>
                  </m:ctrlPr>
                </m:limUppPr>
                <m:e>
                  <m:r>
                    <m:rPr>
                      <m:nor/>
                    </m:rPr>
                    <w:rPr>
                      <w:i/>
                      <w:iCs/>
                      <w:color w:val="FF9900"/>
                      <w:lang w:val="fr-FR"/>
                    </w:rPr>
                    <m:t>VR</m:t>
                  </m:r>
                </m:e>
                <m:lim>
                  <m:r>
                    <m:rPr>
                      <m:nor/>
                    </m:rPr>
                    <w:rPr>
                      <w:rFonts w:ascii="Cambria Math" w:hAnsi="Cambria Math" w:cs="Cambria Math"/>
                      <w:color w:val="FF9900"/>
                      <w:lang w:val="fr-FR"/>
                    </w:rPr>
                    <m:t>④</m:t>
                  </m:r>
                </m:lim>
              </m:limUpp>
            </m:num>
            <m:den>
              <m:sSup>
                <m:sSupPr>
                  <m:ctrlPr>
                    <w:rPr>
                      <w:rFonts w:ascii="Cambria Math" w:hAnsi="Cambria Math"/>
                      <w:i/>
                      <w:iCs/>
                      <w:sz w:val="22"/>
                      <w:szCs w:val="22"/>
                    </w:rPr>
                  </m:ctrlPr>
                </m:sSupPr>
                <m:e>
                  <m:d>
                    <m:dPr>
                      <m:ctrlPr>
                        <w:rPr>
                          <w:rFonts w:ascii="Cambria Math" w:hAnsi="Cambria Math"/>
                          <w:i/>
                          <w:iCs/>
                          <w:sz w:val="22"/>
                          <w:szCs w:val="22"/>
                        </w:rPr>
                      </m:ctrlPr>
                    </m:dPr>
                    <m:e>
                      <m:r>
                        <m:rPr>
                          <m:nor/>
                        </m:rPr>
                        <w:rPr>
                          <w:i/>
                          <w:iCs/>
                          <w:lang w:val="fr-FR"/>
                        </w:rPr>
                        <m:t>1</m:t>
                      </m:r>
                      <m:r>
                        <w:rPr>
                          <w:rFonts w:ascii="Cambria Math" w:hAnsi="Cambria Math"/>
                          <w:lang w:val="fr-FR"/>
                        </w:rPr>
                        <m:t>+</m:t>
                      </m:r>
                      <m:limLow>
                        <m:limLowPr>
                          <m:ctrlPr>
                            <w:rPr>
                              <w:rFonts w:ascii="Cambria Math" w:hAnsi="Cambria Math"/>
                              <w:i/>
                              <w:iCs/>
                              <w:color w:val="92D050"/>
                              <w:sz w:val="22"/>
                              <w:szCs w:val="22"/>
                              <w:lang w:val="fr-FR"/>
                            </w:rPr>
                          </m:ctrlPr>
                        </m:limLowPr>
                        <m:e>
                          <m:r>
                            <m:rPr>
                              <m:nor/>
                            </m:rPr>
                            <w:rPr>
                              <w:i/>
                              <w:iCs/>
                              <w:color w:val="92D050"/>
                              <w:lang w:val="fr-FR"/>
                            </w:rPr>
                            <m:t>WACC</m:t>
                          </m:r>
                        </m:e>
                        <m:lim>
                          <m:r>
                            <m:rPr>
                              <m:nor/>
                            </m:rPr>
                            <w:rPr>
                              <w:rFonts w:ascii="Cambria Math" w:hAnsi="Cambria Math" w:cs="Cambria Math"/>
                              <w:color w:val="92D050"/>
                              <w:lang w:val="fr-FR"/>
                            </w:rPr>
                            <m:t>⑤</m:t>
                          </m:r>
                        </m:lim>
                      </m:limLow>
                    </m:e>
                  </m:d>
                </m:e>
                <m:sup>
                  <m:r>
                    <m:rPr>
                      <m:nor/>
                    </m:rPr>
                    <w:rPr>
                      <w:i/>
                      <w:iCs/>
                      <w:color w:val="3366FF"/>
                      <w:lang w:val="fr-FR"/>
                    </w:rPr>
                    <m:t>n</m:t>
                  </m:r>
                </m:sup>
              </m:sSup>
            </m:den>
          </m:f>
        </m:oMath>
      </m:oMathPara>
    </w:p>
  </w:footnote>
  <w:footnote w:id="17">
    <w:p w14:paraId="05351706" w14:textId="77777777" w:rsidR="005E5285" w:rsidRDefault="005E5285" w:rsidP="005E5285">
      <w:pPr>
        <w:pStyle w:val="Textonotapie"/>
      </w:pPr>
      <w:r>
        <w:rPr>
          <w:rStyle w:val="Refdenotaalpie"/>
        </w:rPr>
        <w:footnoteRef/>
      </w:r>
      <w:r>
        <w:t xml:space="preserve"> Si una empresa que hace teatros y cines está valorando construir un nuevo complejo y ya ha incurrido una serie de costes para su diseño, estos costes no deben ser incluidos en la decisión sobre si llevar a cabo la inversión, ya que estos costes ya han sido incurridos independientemente de la decisión que se tome. Esto son costes hundidos.</w:t>
      </w:r>
    </w:p>
  </w:footnote>
  <w:footnote w:id="18">
    <w:p w14:paraId="5016159D" w14:textId="6A38CA6B" w:rsidR="001B5145" w:rsidRPr="001B5145" w:rsidRDefault="001B5145">
      <w:pPr>
        <w:pStyle w:val="Textonotapie"/>
      </w:pPr>
      <w:r>
        <w:rPr>
          <w:rStyle w:val="Refdenotaalpie"/>
        </w:rPr>
        <w:footnoteRef/>
      </w:r>
      <w:r>
        <w:t xml:space="preserve"> También se llama </w:t>
      </w:r>
      <w:proofErr w:type="spellStart"/>
      <w:r>
        <w:rPr>
          <w:i/>
          <w:iCs/>
        </w:rPr>
        <w:t>yield-to-maturity</w:t>
      </w:r>
      <w:proofErr w:type="spellEnd"/>
      <w:r>
        <w:t xml:space="preserve"> desde el punto de vista del inversor en instrumentos financieros de renta fija </w:t>
      </w:r>
      <w:r w:rsidRPr="001B5145">
        <w:rPr>
          <w:color w:val="767171" w:themeColor="background2" w:themeShade="80"/>
          <w:sz w:val="14"/>
          <w:szCs w:val="14"/>
        </w:rPr>
        <w:t>[</w:t>
      </w:r>
      <w:r>
        <w:rPr>
          <w:color w:val="767171" w:themeColor="background2" w:themeShade="80"/>
          <w:sz w:val="14"/>
          <w:szCs w:val="14"/>
        </w:rPr>
        <w:t>ver tema 3.B.2</w:t>
      </w:r>
      <w:r w:rsidR="003245D3">
        <w:rPr>
          <w:color w:val="767171" w:themeColor="background2" w:themeShade="80"/>
          <w:sz w:val="14"/>
          <w:szCs w:val="14"/>
        </w:rPr>
        <w:t>4</w:t>
      </w:r>
      <w:r w:rsidRPr="001B5145">
        <w:rPr>
          <w:color w:val="767171" w:themeColor="background2" w:themeShade="80"/>
          <w:sz w:val="14"/>
          <w:szCs w:val="14"/>
        </w:rPr>
        <w:t>]</w:t>
      </w:r>
      <w:r>
        <w:t>.</w:t>
      </w:r>
    </w:p>
  </w:footnote>
  <w:footnote w:id="19">
    <w:p w14:paraId="0C97A8F1" w14:textId="75C34841" w:rsidR="007C3668" w:rsidRPr="007C3668" w:rsidRDefault="007C3668" w:rsidP="007C3668">
      <w:pPr>
        <w:pStyle w:val="Textonotapie"/>
        <w:keepNext/>
        <w:spacing w:after="0"/>
      </w:pPr>
      <w:r>
        <w:rPr>
          <w:rStyle w:val="Refdenotaalpie"/>
        </w:rPr>
        <w:footnoteRef/>
      </w:r>
      <w:r>
        <w:t xml:space="preserve"> Atendiendo a la regla de los signos de </w:t>
      </w:r>
      <w:r>
        <w:rPr>
          <w:smallCaps/>
        </w:rPr>
        <w:t>Descartes</w:t>
      </w:r>
      <w:r>
        <w:t xml:space="preserve"> para obtener las soluciones reales, hay más de un cambio de signo. Tanto las inversiones simples como las no simples puras tienen una única TIR.</w:t>
      </w:r>
    </w:p>
    <w:p w14:paraId="17CAEFD1" w14:textId="5ACD2F2D" w:rsidR="007C3668" w:rsidRPr="007C3668" w:rsidRDefault="007C3668" w:rsidP="007C3668">
      <w:pPr>
        <w:pStyle w:val="Textonotapie"/>
        <w:keepNext/>
        <w:spacing w:after="0"/>
        <w:rPr>
          <w:szCs w:val="16"/>
        </w:rPr>
      </w:pPr>
      <w:r>
        <w:t xml:space="preserve">Cabe destacar que para las </w:t>
      </w:r>
      <w:r w:rsidRPr="007C3668">
        <w:rPr>
          <w:szCs w:val="16"/>
        </w:rPr>
        <w:t xml:space="preserve">inversiones simples con flujos de caja constantes y duración ilimitada, la TIR es la inversa del </w:t>
      </w:r>
      <w:proofErr w:type="spellStart"/>
      <w:r w:rsidRPr="007C3668">
        <w:rPr>
          <w:szCs w:val="16"/>
        </w:rPr>
        <w:t>payback</w:t>
      </w:r>
      <w:proofErr w:type="spellEnd"/>
      <w:r w:rsidRPr="007C3668">
        <w:rPr>
          <w:szCs w:val="16"/>
        </w:rPr>
        <w:t>:</w:t>
      </w:r>
    </w:p>
    <w:p w14:paraId="05FDB2A8" w14:textId="446B10F9" w:rsidR="007C3668" w:rsidRPr="00856D29" w:rsidRDefault="007C3668" w:rsidP="007C3668">
      <w:proofErr w:type="spellStart"/>
      <m:oMathPara>
        <m:oMath>
          <m:r>
            <m:rPr>
              <m:nor/>
            </m:rPr>
            <w:rPr>
              <w:i/>
              <w:iCs/>
              <w:sz w:val="16"/>
              <w:szCs w:val="16"/>
            </w:rPr>
            <m:t>Payback</m:t>
          </m:r>
          <w:proofErr w:type="spellEnd"/>
          <m:r>
            <w:rPr>
              <w:rFonts w:ascii="Cambria Math" w:hAnsi="Cambria Math"/>
              <w:sz w:val="16"/>
              <w:szCs w:val="16"/>
            </w:rPr>
            <m:t>=</m:t>
          </m:r>
          <m:f>
            <m:fPr>
              <m:ctrlPr>
                <w:rPr>
                  <w:rFonts w:ascii="Cambria Math" w:hAnsi="Cambria Math"/>
                  <w:i/>
                  <w:iCs/>
                  <w:sz w:val="16"/>
                  <w:szCs w:val="16"/>
                </w:rPr>
              </m:ctrlPr>
            </m:fPr>
            <m:num>
              <m:r>
                <m:rPr>
                  <m:nor/>
                </m:rPr>
                <w:rPr>
                  <w:i/>
                  <w:iCs/>
                  <w:sz w:val="16"/>
                  <w:szCs w:val="16"/>
                </w:rPr>
                <m:t>A</m:t>
              </m:r>
            </m:num>
            <m:den>
              <m:r>
                <m:rPr>
                  <m:nor/>
                </m:rPr>
                <w:rPr>
                  <w:i/>
                  <w:iCs/>
                  <w:sz w:val="16"/>
                  <w:szCs w:val="16"/>
                </w:rPr>
                <m:t>Q</m:t>
              </m:r>
            </m:den>
          </m:f>
          <m:r>
            <w:rPr>
              <w:rFonts w:ascii="Cambria Math" w:hAnsi="Cambria Math"/>
              <w:sz w:val="16"/>
              <w:szCs w:val="16"/>
            </w:rPr>
            <m:t>=</m:t>
          </m:r>
          <m:f>
            <m:fPr>
              <m:ctrlPr>
                <w:rPr>
                  <w:rFonts w:ascii="Cambria Math" w:hAnsi="Cambria Math"/>
                  <w:i/>
                  <w:iCs/>
                  <w:sz w:val="16"/>
                  <w:szCs w:val="16"/>
                </w:rPr>
              </m:ctrlPr>
            </m:fPr>
            <m:num>
              <m:r>
                <m:rPr>
                  <m:nor/>
                </m:rPr>
                <w:rPr>
                  <w:i/>
                  <w:iCs/>
                  <w:sz w:val="16"/>
                  <w:szCs w:val="16"/>
                </w:rPr>
                <m:t>1</m:t>
              </m:r>
            </m:num>
            <m:den>
              <m:r>
                <m:rPr>
                  <m:nor/>
                </m:rPr>
                <w:rPr>
                  <w:i/>
                  <w:iCs/>
                  <w:sz w:val="16"/>
                  <w:szCs w:val="16"/>
                </w:rPr>
                <m:t>TIR</m:t>
              </m:r>
            </m:den>
          </m:f>
        </m:oMath>
      </m:oMathPara>
    </w:p>
  </w:footnote>
  <w:footnote w:id="20">
    <w:p w14:paraId="5EFB5B2B" w14:textId="566B34D2" w:rsidR="0069469E" w:rsidRDefault="0069469E" w:rsidP="009A3452">
      <w:pPr>
        <w:pStyle w:val="Textonotapie"/>
        <w:keepNext/>
        <w:spacing w:after="0"/>
      </w:pPr>
      <w:r>
        <w:rPr>
          <w:rStyle w:val="Refdenotaalpie"/>
        </w:rPr>
        <w:footnoteRef/>
      </w:r>
      <w:r>
        <w:t xml:space="preserve"> En caso de que no existan puntos de Fisher se daría la siguiente situación:</w:t>
      </w:r>
    </w:p>
    <w:p w14:paraId="69D64D0E" w14:textId="2F2A585A" w:rsidR="0069469E" w:rsidRDefault="0069469E" w:rsidP="009A3452">
      <w:pPr>
        <w:pStyle w:val="Textonotapie"/>
        <w:keepNext/>
        <w:spacing w:after="0"/>
        <w:jc w:val="center"/>
      </w:pPr>
      <w:r>
        <w:rPr>
          <w:noProof/>
        </w:rPr>
        <w:drawing>
          <wp:inline distT="0" distB="0" distL="0" distR="0" wp14:anchorId="6CC4FC53" wp14:editId="5FF85E75">
            <wp:extent cx="1318250" cy="850900"/>
            <wp:effectExtent l="0" t="0" r="0" b="6350"/>
            <wp:docPr id="3" name="Grá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áfico 3"/>
                    <pic:cNvPicPr/>
                  </pic:nvPicPr>
                  <pic:blipFill rotWithShape="1">
                    <a:blip r:embed="rId5">
                      <a:extLst>
                        <a:ext uri="{28A0092B-C50C-407E-A947-70E740481C1C}">
                          <a14:useLocalDpi xmlns:a14="http://schemas.microsoft.com/office/drawing/2010/main" val="0"/>
                        </a:ext>
                      </a:extLst>
                    </a:blip>
                    <a:srcRect l="3252" r="9603"/>
                    <a:stretch/>
                  </pic:blipFill>
                  <pic:spPr bwMode="auto">
                    <a:xfrm>
                      <a:off x="0" y="0"/>
                      <a:ext cx="1318867" cy="851298"/>
                    </a:xfrm>
                    <a:prstGeom prst="rect">
                      <a:avLst/>
                    </a:prstGeom>
                    <a:ln>
                      <a:noFill/>
                    </a:ln>
                    <a:extLst>
                      <a:ext uri="{53640926-AAD7-44D8-BBD7-CCE9431645EC}">
                        <a14:shadowObscured xmlns:a14="http://schemas.microsoft.com/office/drawing/2010/main"/>
                      </a:ext>
                    </a:extLst>
                  </pic:spPr>
                </pic:pic>
              </a:graphicData>
            </a:graphic>
          </wp:inline>
        </w:drawing>
      </w:r>
    </w:p>
    <w:p w14:paraId="068C465F" w14:textId="42214DB7" w:rsidR="0069469E" w:rsidRPr="0069469E" w:rsidRDefault="0069469E">
      <w:pPr>
        <w:pStyle w:val="Textonotapie"/>
        <w:keepNext/>
        <w:numPr>
          <w:ilvl w:val="0"/>
          <w:numId w:val="8"/>
        </w:numPr>
        <w:spacing w:after="0"/>
        <w:ind w:left="142" w:hanging="142"/>
      </w:pPr>
      <w:r>
        <w:t xml:space="preserve">En este caso, el VAN de </w:t>
      </w:r>
      <m:oMath>
        <m:sSub>
          <m:sSubPr>
            <m:ctrlPr>
              <w:rPr>
                <w:rFonts w:ascii="Cambria Math" w:hAnsi="Cambria Math"/>
                <w:i/>
              </w:rPr>
            </m:ctrlPr>
          </m:sSubPr>
          <m:e>
            <m:r>
              <m:rPr>
                <m:nor/>
              </m:rPr>
              <w:rPr>
                <w:i/>
              </w:rPr>
              <m:t>I</m:t>
            </m:r>
          </m:e>
          <m:sub>
            <m:r>
              <m:rPr>
                <m:nor/>
              </m:rPr>
              <w:rPr>
                <w:i/>
              </w:rPr>
              <m:t>A</m:t>
            </m:r>
          </m:sub>
        </m:sSub>
      </m:oMath>
      <w:r>
        <w:t xml:space="preserve"> sería siempre superior al VAN de la </w:t>
      </w:r>
      <m:oMath>
        <m:sSub>
          <m:sSubPr>
            <m:ctrlPr>
              <w:rPr>
                <w:rFonts w:ascii="Cambria Math" w:hAnsi="Cambria Math"/>
                <w:i/>
              </w:rPr>
            </m:ctrlPr>
          </m:sSubPr>
          <m:e>
            <m:r>
              <m:rPr>
                <m:nor/>
              </m:rPr>
              <w:rPr>
                <w:i/>
              </w:rPr>
              <m:t>I</m:t>
            </m:r>
          </m:e>
          <m:sub>
            <m:r>
              <m:rPr>
                <m:nor/>
              </m:rPr>
              <w:rPr>
                <w:i/>
              </w:rPr>
              <m:t>B</m:t>
            </m:r>
          </m:sub>
        </m:sSub>
      </m:oMath>
      <w:r>
        <w:t xml:space="preserve">, por lo que aplicando el criterio del VAN siempre elegiríamos </w:t>
      </w:r>
      <m:oMath>
        <m:sSub>
          <m:sSubPr>
            <m:ctrlPr>
              <w:rPr>
                <w:rFonts w:ascii="Cambria Math" w:hAnsi="Cambria Math"/>
                <w:i/>
              </w:rPr>
            </m:ctrlPr>
          </m:sSubPr>
          <m:e>
            <m:r>
              <m:rPr>
                <m:nor/>
              </m:rPr>
              <w:rPr>
                <w:i/>
              </w:rPr>
              <m:t>I</m:t>
            </m:r>
          </m:e>
          <m:sub>
            <m:r>
              <m:rPr>
                <m:nor/>
              </m:rPr>
              <w:rPr>
                <w:i/>
              </w:rPr>
              <m:t>A</m:t>
            </m:r>
          </m:sub>
        </m:sSub>
      </m:oMath>
      <w:r w:rsidRPr="0069469E">
        <w:t>.</w:t>
      </w:r>
    </w:p>
    <w:p w14:paraId="3E5A55DD" w14:textId="3713C857" w:rsidR="0069469E" w:rsidRPr="0069469E" w:rsidRDefault="0069469E">
      <w:pPr>
        <w:pStyle w:val="Textonotapie"/>
        <w:numPr>
          <w:ilvl w:val="0"/>
          <w:numId w:val="8"/>
        </w:numPr>
        <w:ind w:left="142" w:hanging="142"/>
      </w:pPr>
      <w:r w:rsidRPr="0069469E">
        <w:t xml:space="preserve">Además, </w:t>
      </w:r>
      <m:oMath>
        <m:sSub>
          <m:sSubPr>
            <m:ctrlPr>
              <w:rPr>
                <w:rFonts w:ascii="Cambria Math" w:hAnsi="Cambria Math"/>
                <w:i/>
              </w:rPr>
            </m:ctrlPr>
          </m:sSubPr>
          <m:e>
            <m:r>
              <m:rPr>
                <m:nor/>
              </m:rPr>
              <w:rPr>
                <w:i/>
              </w:rPr>
              <m:t>TIR</m:t>
            </m:r>
          </m:e>
          <m:sub>
            <m:r>
              <m:rPr>
                <m:nor/>
              </m:rPr>
              <w:rPr>
                <w:i/>
              </w:rPr>
              <m:t>A</m:t>
            </m:r>
          </m:sub>
        </m:sSub>
        <m:r>
          <w:rPr>
            <w:rFonts w:ascii="Cambria Math" w:hAnsi="Cambria Math"/>
          </w:rPr>
          <m:t>&gt;</m:t>
        </m:r>
        <m:sSub>
          <m:sSubPr>
            <m:ctrlPr>
              <w:rPr>
                <w:rFonts w:ascii="Cambria Math" w:hAnsi="Cambria Math"/>
                <w:i/>
              </w:rPr>
            </m:ctrlPr>
          </m:sSubPr>
          <m:e>
            <m:r>
              <m:rPr>
                <m:nor/>
              </m:rPr>
              <w:rPr>
                <w:i/>
              </w:rPr>
              <m:t>TIR</m:t>
            </m:r>
          </m:e>
          <m:sub>
            <m:r>
              <m:rPr>
                <m:nor/>
              </m:rPr>
              <w:rPr>
                <w:i/>
              </w:rPr>
              <m:t>B</m:t>
            </m:r>
          </m:sub>
        </m:sSub>
      </m:oMath>
      <w:r>
        <w:rPr>
          <w:rFonts w:eastAsiaTheme="minorEastAsia"/>
        </w:rPr>
        <w:t xml:space="preserve">, por lo que aplicando el criterio del TIR también elegiríamos </w:t>
      </w:r>
      <m:oMath>
        <m:sSub>
          <m:sSubPr>
            <m:ctrlPr>
              <w:rPr>
                <w:rFonts w:ascii="Cambria Math" w:hAnsi="Cambria Math"/>
                <w:i/>
              </w:rPr>
            </m:ctrlPr>
          </m:sSubPr>
          <m:e>
            <m:r>
              <m:rPr>
                <m:nor/>
              </m:rPr>
              <w:rPr>
                <w:i/>
              </w:rPr>
              <m:t>I</m:t>
            </m:r>
          </m:e>
          <m:sub>
            <m:r>
              <m:rPr>
                <m:nor/>
              </m:rPr>
              <w:rPr>
                <w:i/>
              </w:rPr>
              <m:t>A</m:t>
            </m:r>
          </m:sub>
        </m:sSub>
      </m:oMath>
      <w:r>
        <w:rPr>
          <w:rFonts w:eastAsiaTheme="minorEastAsia"/>
        </w:rPr>
        <w:t>.</w:t>
      </w:r>
    </w:p>
  </w:footnote>
  <w:footnote w:id="21">
    <w:p w14:paraId="2D7BB5FE" w14:textId="3504EB99" w:rsidR="002528EE" w:rsidRPr="00087018" w:rsidRDefault="002528EE">
      <w:pPr>
        <w:pStyle w:val="Textonotapie"/>
        <w:rPr>
          <w:spacing w:val="-4"/>
        </w:rPr>
      </w:pPr>
      <w:r w:rsidRPr="00087018">
        <w:rPr>
          <w:rStyle w:val="Refdenotaalpie"/>
          <w:spacing w:val="-4"/>
        </w:rPr>
        <w:footnoteRef/>
      </w:r>
      <w:r w:rsidRPr="00087018">
        <w:rPr>
          <w:spacing w:val="-4"/>
        </w:rPr>
        <w:t xml:space="preserve"> La Ley (2023) </w:t>
      </w:r>
      <w:r w:rsidRPr="00087018">
        <w:rPr>
          <w:i/>
          <w:iCs/>
          <w:spacing w:val="-4"/>
        </w:rPr>
        <w:t>Tasa Interna de Retorno Modificada (TIRM)</w:t>
      </w:r>
      <w:r w:rsidRPr="00087018">
        <w:rPr>
          <w:spacing w:val="-4"/>
        </w:rPr>
        <w:t xml:space="preserve">. Guías jurídicas. Wolters </w:t>
      </w:r>
      <w:proofErr w:type="spellStart"/>
      <w:r w:rsidRPr="00087018">
        <w:rPr>
          <w:spacing w:val="-4"/>
        </w:rPr>
        <w:t>Kluwer</w:t>
      </w:r>
      <w:proofErr w:type="spellEnd"/>
      <w:r w:rsidRPr="00087018">
        <w:rPr>
          <w:spacing w:val="-4"/>
        </w:rPr>
        <w:t xml:space="preserve">. </w:t>
      </w:r>
      <w:hyperlink r:id="rId6" w:history="1">
        <w:r w:rsidR="00087018" w:rsidRPr="00087018">
          <w:rPr>
            <w:rStyle w:val="Hipervnculo"/>
            <w:spacing w:val="-4"/>
            <w:sz w:val="14"/>
            <w:szCs w:val="14"/>
          </w:rPr>
          <w:t xml:space="preserve">https://guiasjuridicas.wolterskluwer.es/Content/ </w:t>
        </w:r>
        <w:r w:rsidR="00087018" w:rsidRPr="00087018">
          <w:rPr>
            <w:rStyle w:val="Hipervnculo"/>
            <w:spacing w:val="-5"/>
            <w:sz w:val="14"/>
            <w:szCs w:val="14"/>
          </w:rPr>
          <w:t>Documento.aspx?params=H4sIAAAAAAAEAMtMSbF1jTAAASNTMwsztbLUouLM_DxbIwMDS0NDQ3OQQGZapUt-ckhlQaptWmJOcSoAdr8VgzUAAAA=WKE</w:t>
        </w:r>
      </w:hyperlink>
    </w:p>
  </w:footnote>
  <w:footnote w:id="22">
    <w:p w14:paraId="18E93BDF" w14:textId="7E607DF1" w:rsidR="0052682A" w:rsidRDefault="0052682A">
      <w:pPr>
        <w:pStyle w:val="Textonotapie"/>
      </w:pPr>
      <w:r>
        <w:rPr>
          <w:rStyle w:val="Refdenotaalpie"/>
        </w:rPr>
        <w:footnoteRef/>
      </w:r>
      <w:r>
        <w:t xml:space="preserve"> </w:t>
      </w:r>
      <w:hyperlink r:id="rId7" w:history="1">
        <w:r w:rsidRPr="00C46074">
          <w:rPr>
            <w:rStyle w:val="Hipervnculo"/>
          </w:rPr>
          <w:t>https://www.youtube.com/watch?v=WJjDr67frtM</w:t>
        </w:r>
      </w:hyperlink>
    </w:p>
  </w:footnote>
  <w:footnote w:id="23">
    <w:p w14:paraId="6C3E8365" w14:textId="77777777" w:rsidR="00244789" w:rsidRPr="00CB0B02" w:rsidRDefault="00244789" w:rsidP="00244789">
      <w:pPr>
        <w:pStyle w:val="Textonotapie"/>
        <w:keepNext/>
        <w:spacing w:after="0"/>
        <w:rPr>
          <w:i/>
          <w:iCs/>
        </w:rPr>
      </w:pPr>
      <w:r>
        <w:rPr>
          <w:rStyle w:val="Refdenotaalpie"/>
        </w:rPr>
        <w:footnoteRef/>
      </w:r>
      <w:r>
        <w:t xml:space="preserve"> Otros métodos utilizados en la práctica incluyen:</w:t>
      </w:r>
    </w:p>
    <w:p w14:paraId="3543BBB1" w14:textId="77777777" w:rsidR="00244789" w:rsidRDefault="00244789" w:rsidP="00244789">
      <w:pPr>
        <w:pStyle w:val="Textonotapie"/>
        <w:numPr>
          <w:ilvl w:val="0"/>
          <w:numId w:val="18"/>
        </w:numPr>
        <w:spacing w:after="0"/>
        <w:ind w:left="283" w:hanging="113"/>
      </w:pPr>
      <w:r w:rsidRPr="00CB0B02">
        <w:rPr>
          <w:i/>
          <w:iCs/>
        </w:rPr>
        <w:t>Rentabilidad contable (ROE y ROA)</w:t>
      </w:r>
      <w:r>
        <w:t>: Aunque pueden existir sesgos por amortización y depreciación.</w:t>
      </w:r>
    </w:p>
    <w:p w14:paraId="028454D7" w14:textId="77777777" w:rsidR="00244789" w:rsidRDefault="00244789" w:rsidP="00244789">
      <w:pPr>
        <w:pStyle w:val="Textonotapie"/>
        <w:keepNext/>
        <w:numPr>
          <w:ilvl w:val="0"/>
          <w:numId w:val="18"/>
        </w:numPr>
        <w:spacing w:after="0"/>
        <w:ind w:left="283" w:hanging="113"/>
      </w:pPr>
      <w:r w:rsidRPr="00CB0B02">
        <w:rPr>
          <w:i/>
          <w:iCs/>
        </w:rPr>
        <w:t>Índice del valor actual neto</w:t>
      </w:r>
      <w:r>
        <w:t xml:space="preserve"> (IVAN): Útil cuando el horizonte temporal no es relevante y se tiene una restricción de capital y existen múltiples alternativas de inversión que requerirían un desembolso total más alto.</w:t>
      </w:r>
    </w:p>
    <w:p w14:paraId="29B75FEC" w14:textId="77777777" w:rsidR="00244789" w:rsidRPr="00CB0B02" w:rsidRDefault="00244789" w:rsidP="00244789">
      <w:pPr>
        <w:pStyle w:val="Textonotapie"/>
        <w:ind w:left="283"/>
        <w:rPr>
          <w:lang w:val="fr-FR"/>
        </w:rPr>
      </w:pPr>
      <m:oMathPara>
        <m:oMath>
          <m:r>
            <w:rPr>
              <w:rFonts w:ascii="Cambria Math" w:eastAsiaTheme="minorEastAsia" w:hAnsi="Cambria Math"/>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 xml:space="preserve"> </m:t>
          </m:r>
          <m:r>
            <m:rPr>
              <m:nor/>
            </m:rPr>
            <w:rPr>
              <w:i/>
              <w:iCs/>
              <w:color w:val="E2EFD9" w:themeColor="accent6" w:themeTint="33"/>
              <w:lang w:val="fr-FR"/>
              <w14:shadow w14:blurRad="50800" w14:dist="50800" w14:dir="5400000" w14:sx="2000" w14:sy="2000" w14:kx="0" w14:ky="0" w14:algn="ctr">
                <w14:srgbClr w14:val="000000">
                  <w14:alpha w14:val="56863"/>
                </w14:srgbClr>
              </w14:shadow>
              <w14:textOutline w14:w="6350" w14:cap="rnd" w14:cmpd="sng" w14:algn="ctr">
                <w14:solidFill>
                  <w14:srgbClr w14:val="5F2987"/>
                </w14:solidFill>
                <w14:prstDash w14:val="solid"/>
                <w14:bevel/>
              </w14:textOutline>
            </w:rPr>
            <m:t>IVAN</m:t>
          </m:r>
          <m:r>
            <w:rPr>
              <w:rFonts w:ascii="Cambria Math" w:hAnsi="Cambria Math"/>
              <w:lang w:val="fr-FR"/>
            </w:rPr>
            <m:t>=</m:t>
          </m:r>
          <m:f>
            <m:fPr>
              <m:ctrlPr>
                <w:rPr>
                  <w:rFonts w:ascii="Cambria Math" w:hAnsi="Cambria Math"/>
                  <w:i/>
                  <w:iCs/>
                  <w:lang w:val="fr-FR"/>
                </w:rPr>
              </m:ctrlPr>
            </m:fPr>
            <m:num>
              <m:r>
                <m:rPr>
                  <m:nor/>
                </m:rPr>
                <w:rPr>
                  <w:i/>
                  <w:iCs/>
                  <w:lang w:val="fr-FR"/>
                </w:rPr>
                <m:t>VAN</m:t>
              </m:r>
            </m:num>
            <m:den>
              <m:r>
                <m:rPr>
                  <m:nor/>
                </m:rPr>
                <w:rPr>
                  <w:i/>
                  <w:iCs/>
                  <w:lang w:val="fr-FR"/>
                </w:rPr>
                <m:t>A</m:t>
              </m:r>
            </m:den>
          </m:f>
          <m:r>
            <w:rPr>
              <w:rFonts w:ascii="Cambria Math" w:hAnsi="Cambria Math"/>
              <w:lang w:val="fr-FR"/>
            </w:rPr>
            <m:t>=</m:t>
          </m:r>
          <m:f>
            <m:fPr>
              <m:ctrlPr>
                <w:rPr>
                  <w:rFonts w:ascii="Cambria Math" w:hAnsi="Cambria Math"/>
                  <w:i/>
                  <w:iCs/>
                  <w:lang w:val="fr-FR"/>
                </w:rPr>
              </m:ctrlPr>
            </m:fPr>
            <m:num>
              <m:r>
                <w:rPr>
                  <w:rFonts w:ascii="Cambria Math" w:hAnsi="Cambria Math"/>
                  <w:lang w:val="fr-FR"/>
                </w:rPr>
                <m:t>-</m:t>
              </m:r>
              <m:r>
                <m:rPr>
                  <m:nor/>
                </m:rPr>
                <w:rPr>
                  <w:i/>
                  <w:iCs/>
                  <w:color w:val="C00000"/>
                  <w:lang w:val="fr-FR"/>
                </w:rPr>
                <m:t>A</m:t>
              </m:r>
              <m:r>
                <w:rPr>
                  <w:rFonts w:ascii="Cambria Math" w:hAnsi="Cambria Math"/>
                  <w:lang w:val="fr-FR"/>
                </w:rPr>
                <m:t>+</m:t>
              </m:r>
              <m:nary>
                <m:naryPr>
                  <m:chr m:val="∑"/>
                  <m:limLoc m:val="undOvr"/>
                  <m:ctrlPr>
                    <w:rPr>
                      <w:rFonts w:ascii="Cambria Math" w:hAnsi="Cambria Math"/>
                      <w:i/>
                      <w:iCs/>
                      <w:sz w:val="22"/>
                      <w:szCs w:val="22"/>
                    </w:rPr>
                  </m:ctrlPr>
                </m:naryPr>
                <m:sub>
                  <m:r>
                    <m:rPr>
                      <m:nor/>
                    </m:rPr>
                    <w:rPr>
                      <w:i/>
                      <w:iCs/>
                      <w:lang w:val="fr-FR"/>
                    </w:rPr>
                    <m:t>t</m:t>
                  </m:r>
                  <m:r>
                    <w:rPr>
                      <w:rFonts w:ascii="Cambria Math" w:hAnsi="Cambria Math"/>
                      <w:lang w:val="fr-FR"/>
                    </w:rPr>
                    <m:t>=</m:t>
                  </m:r>
                  <m:r>
                    <m:rPr>
                      <m:nor/>
                    </m:rPr>
                    <w:rPr>
                      <w:i/>
                      <w:iCs/>
                      <w:lang w:val="fr-FR"/>
                    </w:rPr>
                    <m:t>1</m:t>
                  </m:r>
                </m:sub>
                <m:sup>
                  <m:r>
                    <m:rPr>
                      <m:nor/>
                    </m:rPr>
                    <w:rPr>
                      <w:i/>
                      <w:iCs/>
                      <w:color w:val="3366FF"/>
                      <w:lang w:val="fr-FR"/>
                    </w:rPr>
                    <m:t>n</m:t>
                  </m:r>
                </m:sup>
                <m:e>
                  <m:f>
                    <m:fPr>
                      <m:ctrlPr>
                        <w:rPr>
                          <w:rFonts w:ascii="Cambria Math" w:hAnsi="Cambria Math"/>
                          <w:i/>
                          <w:iCs/>
                          <w:sz w:val="22"/>
                          <w:szCs w:val="22"/>
                        </w:rPr>
                      </m:ctrlPr>
                    </m:fPr>
                    <m:num>
                      <m:sSub>
                        <m:sSubPr>
                          <m:ctrlPr>
                            <w:rPr>
                              <w:rFonts w:ascii="Cambria Math" w:hAnsi="Cambria Math"/>
                              <w:i/>
                              <w:iCs/>
                              <w:color w:val="CC00CC"/>
                              <w:sz w:val="22"/>
                              <w:szCs w:val="22"/>
                            </w:rPr>
                          </m:ctrlPr>
                        </m:sSubPr>
                        <m:e>
                          <m:r>
                            <m:rPr>
                              <m:nor/>
                            </m:rPr>
                            <w:rPr>
                              <w:i/>
                              <w:iCs/>
                              <w:color w:val="CC00CC"/>
                              <w:lang w:val="fr-FR"/>
                            </w:rPr>
                            <m:t>Q</m:t>
                          </m:r>
                        </m:e>
                        <m:sub>
                          <m:r>
                            <m:rPr>
                              <m:nor/>
                            </m:rPr>
                            <w:rPr>
                              <w:i/>
                              <w:iCs/>
                              <w:color w:val="CC00CC"/>
                              <w:lang w:val="fr-FR"/>
                            </w:rPr>
                            <m:t>t</m:t>
                          </m:r>
                        </m:sub>
                      </m:sSub>
                    </m:num>
                    <m:den>
                      <m:sSup>
                        <m:sSupPr>
                          <m:ctrlPr>
                            <w:rPr>
                              <w:rFonts w:ascii="Cambria Math" w:hAnsi="Cambria Math"/>
                              <w:i/>
                              <w:iCs/>
                              <w:sz w:val="22"/>
                              <w:szCs w:val="22"/>
                            </w:rPr>
                          </m:ctrlPr>
                        </m:sSupPr>
                        <m:e>
                          <m:d>
                            <m:dPr>
                              <m:ctrlPr>
                                <w:rPr>
                                  <w:rFonts w:ascii="Cambria Math" w:hAnsi="Cambria Math"/>
                                  <w:i/>
                                  <w:iCs/>
                                  <w:sz w:val="22"/>
                                  <w:szCs w:val="22"/>
                                </w:rPr>
                              </m:ctrlPr>
                            </m:dPr>
                            <m:e>
                              <m:r>
                                <m:rPr>
                                  <m:nor/>
                                </m:rPr>
                                <w:rPr>
                                  <w:i/>
                                  <w:iCs/>
                                  <w:lang w:val="fr-FR"/>
                                </w:rPr>
                                <m:t>1</m:t>
                              </m:r>
                              <m:r>
                                <w:rPr>
                                  <w:rFonts w:ascii="Cambria Math" w:hAnsi="Cambria Math"/>
                                  <w:lang w:val="fr-FR"/>
                                </w:rPr>
                                <m:t>+</m:t>
                              </m:r>
                              <m:r>
                                <m:rPr>
                                  <m:nor/>
                                </m:rPr>
                                <w:rPr>
                                  <w:i/>
                                  <w:iCs/>
                                  <w:color w:val="92D050"/>
                                  <w:lang w:val="fr-FR"/>
                                </w:rPr>
                                <m:t>WACC</m:t>
                              </m:r>
                            </m:e>
                          </m:d>
                        </m:e>
                        <m:sup>
                          <m:r>
                            <m:rPr>
                              <m:nor/>
                            </m:rPr>
                            <w:rPr>
                              <w:i/>
                              <w:iCs/>
                              <w:lang w:val="fr-FR"/>
                            </w:rPr>
                            <m:t>t</m:t>
                          </m:r>
                        </m:sup>
                      </m:sSup>
                    </m:den>
                  </m:f>
                </m:e>
              </m:nary>
              <m:r>
                <w:rPr>
                  <w:rFonts w:ascii="Cambria Math" w:hAnsi="Cambria Math"/>
                  <w:lang w:val="fr-FR"/>
                </w:rPr>
                <m:t>+</m:t>
              </m:r>
              <m:f>
                <m:fPr>
                  <m:ctrlPr>
                    <w:rPr>
                      <w:rFonts w:ascii="Cambria Math" w:hAnsi="Cambria Math"/>
                      <w:i/>
                      <w:iCs/>
                      <w:sz w:val="22"/>
                      <w:szCs w:val="22"/>
                    </w:rPr>
                  </m:ctrlPr>
                </m:fPr>
                <m:num>
                  <m:r>
                    <m:rPr>
                      <m:nor/>
                    </m:rPr>
                    <w:rPr>
                      <w:i/>
                      <w:iCs/>
                      <w:color w:val="FF9900"/>
                      <w:lang w:val="fr-FR"/>
                    </w:rPr>
                    <m:t>VR</m:t>
                  </m:r>
                </m:num>
                <m:den>
                  <m:sSup>
                    <m:sSupPr>
                      <m:ctrlPr>
                        <w:rPr>
                          <w:rFonts w:ascii="Cambria Math" w:hAnsi="Cambria Math"/>
                          <w:i/>
                          <w:iCs/>
                          <w:sz w:val="22"/>
                          <w:szCs w:val="22"/>
                        </w:rPr>
                      </m:ctrlPr>
                    </m:sSupPr>
                    <m:e>
                      <m:d>
                        <m:dPr>
                          <m:ctrlPr>
                            <w:rPr>
                              <w:rFonts w:ascii="Cambria Math" w:hAnsi="Cambria Math"/>
                              <w:i/>
                              <w:iCs/>
                              <w:sz w:val="22"/>
                              <w:szCs w:val="22"/>
                            </w:rPr>
                          </m:ctrlPr>
                        </m:dPr>
                        <m:e>
                          <m:r>
                            <m:rPr>
                              <m:nor/>
                            </m:rPr>
                            <w:rPr>
                              <w:i/>
                              <w:iCs/>
                              <w:lang w:val="fr-FR"/>
                            </w:rPr>
                            <m:t>1</m:t>
                          </m:r>
                          <m:r>
                            <w:rPr>
                              <w:rFonts w:ascii="Cambria Math" w:hAnsi="Cambria Math"/>
                              <w:lang w:val="fr-FR"/>
                            </w:rPr>
                            <m:t>+</m:t>
                          </m:r>
                          <m:r>
                            <m:rPr>
                              <m:nor/>
                            </m:rPr>
                            <w:rPr>
                              <w:i/>
                              <w:iCs/>
                              <w:color w:val="92D050"/>
                              <w:lang w:val="fr-FR"/>
                            </w:rPr>
                            <m:t>WACC</m:t>
                          </m:r>
                        </m:e>
                      </m:d>
                    </m:e>
                    <m:sup>
                      <m:r>
                        <m:rPr>
                          <m:nor/>
                        </m:rPr>
                        <w:rPr>
                          <w:i/>
                          <w:iCs/>
                          <w:color w:val="3366FF"/>
                          <w:lang w:val="fr-FR"/>
                        </w:rPr>
                        <m:t>n</m:t>
                      </m:r>
                    </m:sup>
                  </m:sSup>
                </m:den>
              </m:f>
            </m:num>
            <m:den>
              <m:r>
                <m:rPr>
                  <m:nor/>
                </m:rPr>
                <w:rPr>
                  <w:i/>
                  <w:iCs/>
                  <w:color w:val="C00000"/>
                  <w:lang w:val="fr-FR"/>
                </w:rPr>
                <m:t>A</m:t>
              </m:r>
            </m:den>
          </m:f>
        </m:oMath>
      </m:oMathPara>
    </w:p>
  </w:footnote>
  <w:footnote w:id="24">
    <w:p w14:paraId="381FCDAA" w14:textId="7C9F84E8" w:rsidR="00BC63E3" w:rsidRDefault="00BC63E3">
      <w:pPr>
        <w:pStyle w:val="Textonotapie"/>
      </w:pPr>
      <w:r>
        <w:rPr>
          <w:rStyle w:val="Refdenotaalpie"/>
        </w:rPr>
        <w:footnoteRef/>
      </w:r>
      <w:r>
        <w:t xml:space="preserve"> Se trata de una inversión complementaria de la inversión en activo no corriente. Cuanto mayor sea la inversión en activo no corriente mayor deberá ser la inversión en activo corriente porque son complementarias. Por añadidura, la inversión en activo corriente también depende de la duración del ciclo de explotación ya que expresa la velocidad de rotación de la inversión en activo corriente.</w:t>
      </w:r>
    </w:p>
  </w:footnote>
  <w:footnote w:id="25">
    <w:p w14:paraId="5A0DF510" w14:textId="2D711234" w:rsidR="00B2093C" w:rsidRDefault="00B2093C" w:rsidP="00B2093C">
      <w:pPr>
        <w:pStyle w:val="Textonotapie"/>
      </w:pPr>
      <w:r w:rsidRPr="00BE13EB">
        <w:rPr>
          <w:rStyle w:val="Refdenotaalpie"/>
          <w:bCs/>
          <w:szCs w:val="14"/>
        </w:rPr>
        <w:footnoteRef/>
      </w:r>
      <w:r>
        <w:t xml:space="preserve"> Cada agente convierte otros activos en tesorería un promedio de </w:t>
      </w:r>
      <m:oMath>
        <m:f>
          <m:fPr>
            <m:type m:val="lin"/>
            <m:ctrlPr>
              <w:rPr>
                <w:rFonts w:ascii="Cambria Math" w:hAnsi="Cambria Math"/>
                <w:i/>
              </w:rPr>
            </m:ctrlPr>
          </m:fPr>
          <m:num>
            <m:r>
              <m:rPr>
                <m:nor/>
              </m:rPr>
              <w:rPr>
                <w:i/>
              </w:rPr>
              <m:t>Y</m:t>
            </m:r>
          </m:num>
          <m:den>
            <m:r>
              <m:rPr>
                <m:nor/>
              </m:rPr>
              <w:rPr>
                <w:i/>
              </w:rPr>
              <m:t>M</m:t>
            </m:r>
          </m:den>
        </m:f>
      </m:oMath>
      <w:r>
        <w:t xml:space="preserve"> veces, ya que </w:t>
      </w:r>
      <m:oMath>
        <m:r>
          <m:rPr>
            <m:nor/>
          </m:rPr>
          <w:rPr>
            <w:i/>
          </w:rPr>
          <m:t>Y</m:t>
        </m:r>
      </m:oMath>
      <w:r>
        <w:t xml:space="preserve"> es la renta del individuo que, tarde o temprano, tendrá que ser gastada, para lo que se necesita tesorería, y ésta se obtiene convirtiendo otros activos en tesorería, lo que se hace en cantidades fijas de </w:t>
      </w:r>
      <m:oMath>
        <m:r>
          <m:rPr>
            <m:nor/>
          </m:rPr>
          <w:rPr>
            <w:i/>
          </w:rPr>
          <m:t>M</m:t>
        </m:r>
      </m:oMath>
      <w:r>
        <w:t>.</w:t>
      </w:r>
    </w:p>
  </w:footnote>
  <w:footnote w:id="26">
    <w:p w14:paraId="2DFE12C9" w14:textId="5025C981" w:rsidR="00C051C7" w:rsidRDefault="00C051C7">
      <w:pPr>
        <w:pStyle w:val="Textonotapie"/>
      </w:pPr>
      <w:r>
        <w:rPr>
          <w:rStyle w:val="Refdenotaalpie"/>
        </w:rPr>
        <w:footnoteRef/>
      </w:r>
      <w:r>
        <w:t xml:space="preserve"> </w:t>
      </w:r>
      <w:r w:rsidRPr="00C051C7">
        <w:t>En contraposición a los activos reales se encuentran los activos financieros como los bonos o las acciones. Estos títulos no son más que trozos de papel o, más habitualmente, registros informáticos, y no contribuyen de manera directa a la capacidad productiva de la economía. En su lugar, estos activos son los medios por los que los individuos en las economías desarrolladas mantienen sus derechos sobre los activos reales. Los activos financieros son derechos sobre la renta generada por los activos reales (o sobre renta del gobierno). Si no podemos poseer una planta de producción de automóviles (activo real) tenemos la opción de comprar acciones de Ford o Toyota (activos financieros) y compartir la renta derivada de la producción de automóviles.</w:t>
      </w:r>
    </w:p>
    <w:p w14:paraId="5884500B" w14:textId="7ED696CF" w:rsidR="00C051C7" w:rsidRDefault="00C051C7">
      <w:pPr>
        <w:pStyle w:val="Textonotapie"/>
      </w:pPr>
      <w:r w:rsidRPr="00C051C7">
        <w:t>Mientras que los activos reales generan una renta neta a la economía, los activos financieros simplemente definen la distribución de la renta entre los inversores. Los individuos pueden elegir entre consumir hoy o invertir para el futuro. Si eligen invertir, pueden depositar su riqueza en activos financieros comprando títulos. Cuando los inversores compran estos títulos de las compañías, las empresas usan el dinero acumulado para comprar activos reales. Por lo tanto, la rentabilidad que obtienen los inversores de sus activos financieros proviene en última instancia de la renta generada por los activos reales que fueron financiados por la emisión de estos títulos.</w:t>
      </w:r>
    </w:p>
  </w:footnote>
  <w:footnote w:id="27">
    <w:p w14:paraId="7387FE3A" w14:textId="77777777" w:rsidR="006D7083" w:rsidRPr="002F4CCF" w:rsidRDefault="006D7083" w:rsidP="006D7083">
      <w:pPr>
        <w:pStyle w:val="Textonotapie"/>
      </w:pPr>
      <w:r>
        <w:rPr>
          <w:rStyle w:val="Refdenotaalpie"/>
        </w:rPr>
        <w:footnoteRef/>
      </w:r>
      <w:r>
        <w:t xml:space="preserve"> </w:t>
      </w:r>
      <w:r>
        <w:rPr>
          <w:smallCaps/>
        </w:rPr>
        <w:t>Gary Becker</w:t>
      </w:r>
      <w:r>
        <w:t xml:space="preserve"> fue galardonado con el Premio Nobel de Economía en 1992 </w:t>
      </w:r>
      <w:r w:rsidRPr="002F4CCF">
        <w:t>«Por extender el dominio del análisis microeconómico hacia nuevos dominios del comportamiento y de las relaciones humanas, incluso más allá de los límites del mercado».</w:t>
      </w:r>
    </w:p>
  </w:footnote>
  <w:footnote w:id="28">
    <w:p w14:paraId="4330E644" w14:textId="77777777" w:rsidR="006D7083" w:rsidRPr="00F01E2E" w:rsidRDefault="006D7083" w:rsidP="006D7083">
      <w:pPr>
        <w:pStyle w:val="Textonotapie"/>
      </w:pPr>
      <w:r>
        <w:rPr>
          <w:rStyle w:val="Refdenotaalpie"/>
        </w:rPr>
        <w:footnoteRef/>
      </w:r>
      <w:r>
        <w:t xml:space="preserve"> </w:t>
      </w:r>
      <w:r w:rsidRPr="00F01E2E">
        <w:rPr>
          <w:smallCaps/>
        </w:rPr>
        <w:t>Alfred</w:t>
      </w:r>
      <w:r>
        <w:t xml:space="preserve"> </w:t>
      </w:r>
      <w:r>
        <w:rPr>
          <w:smallCaps/>
        </w:rPr>
        <w:t>Marshall</w:t>
      </w:r>
      <w:r>
        <w:t xml:space="preserve"> (1890) ya afirmó que </w:t>
      </w:r>
      <w:r w:rsidRPr="003335FC">
        <w:rPr>
          <w:i/>
          <w:iCs/>
        </w:rPr>
        <w:t>“el</w:t>
      </w:r>
      <w:r>
        <w:rPr>
          <w:i/>
          <w:iCs/>
        </w:rPr>
        <w:t xml:space="preserve"> capital más valioso de todos es el que se ha invertido en seres humanos.</w:t>
      </w:r>
      <w:r w:rsidRPr="003335FC">
        <w:rPr>
          <w:i/>
          <w:iCs/>
        </w:rPr>
        <w:t>”</w:t>
      </w:r>
      <w:r>
        <w:t xml:space="preserve">. Sin embargo, este tema comenzó a suscitar interés a partir de la década de 1960. </w:t>
      </w:r>
      <w:r>
        <w:rPr>
          <w:smallCaps/>
        </w:rPr>
        <w:t>Becker</w:t>
      </w:r>
      <w:r>
        <w:t xml:space="preserve"> señala que </w:t>
      </w:r>
      <w:r w:rsidRPr="00F01E2E">
        <w:rPr>
          <w:i/>
          <w:iCs/>
        </w:rPr>
        <w:t>“</w:t>
      </w:r>
      <w:r>
        <w:rPr>
          <w:i/>
          <w:iCs/>
        </w:rPr>
        <w:t>la motivación fundamental ha sido probablemente el reconocimiento de que el capital físico, al menos tal y como se mide convencionalmente, explica sólo una parte relativamente pequeña del crecimiento de la renta de numerosos países. La búsqueda de explicaciones más satisfactorias […] ha fomentado el interés por fenómenos menos tangibles, tales como el cambio tecnológico y el capital humano</w:t>
      </w:r>
      <w:r w:rsidRPr="00F01E2E">
        <w:rPr>
          <w:i/>
          <w:iCs/>
        </w:rPr>
        <w:t>”</w:t>
      </w:r>
      <w:r>
        <w:t>.</w:t>
      </w:r>
    </w:p>
  </w:footnote>
  <w:footnote w:id="29">
    <w:p w14:paraId="494C35B4" w14:textId="0F7368A8" w:rsidR="0055694A" w:rsidRDefault="0055694A" w:rsidP="00862DE3">
      <w:pPr>
        <w:pStyle w:val="Textonotapie"/>
      </w:pPr>
      <w:r>
        <w:rPr>
          <w:rStyle w:val="Refdenotaalpie"/>
        </w:rPr>
        <w:footnoteRef/>
      </w:r>
      <w:r w:rsidR="00862DE3">
        <w:t xml:space="preserve"> </w:t>
      </w:r>
      <w:r>
        <w:t xml:space="preserve">Nótese </w:t>
      </w:r>
      <w:r w:rsidRPr="00862DE3">
        <w:t>que</w:t>
      </w:r>
      <w:r>
        <w:t xml:space="preserve"> el primer flujo</w:t>
      </w:r>
      <w:r w:rsidRPr="0055694A">
        <w:t xml:space="preserve"> de caja realmente pagado es </w:t>
      </w:r>
      <m:oMath>
        <m:sSub>
          <m:sSubPr>
            <m:ctrlPr>
              <w:rPr>
                <w:rFonts w:ascii="Cambria Math" w:hAnsi="Cambria Math"/>
              </w:rPr>
            </m:ctrlPr>
          </m:sSubPr>
          <m:e>
            <m:r>
              <m:rPr>
                <m:nor/>
              </m:rPr>
              <w:rPr>
                <w:i/>
                <w:iCs/>
              </w:rPr>
              <m:t>F</m:t>
            </m:r>
          </m:e>
          <m:sub>
            <m:r>
              <m:rPr>
                <m:nor/>
              </m:rPr>
              <w:rPr>
                <w:i/>
                <w:iCs/>
              </w:rPr>
              <m:t>1</m:t>
            </m:r>
          </m:sub>
        </m:sSub>
        <m:r>
          <w:rPr>
            <w:rFonts w:ascii="Cambria Math" w:hAnsi="Cambria Math"/>
          </w:rPr>
          <m:t>=</m:t>
        </m:r>
        <m:sSub>
          <m:sSubPr>
            <m:ctrlPr>
              <w:rPr>
                <w:rFonts w:ascii="Cambria Math" w:hAnsi="Cambria Math"/>
              </w:rPr>
            </m:ctrlPr>
          </m:sSubPr>
          <m:e>
            <m:r>
              <m:rPr>
                <m:nor/>
              </m:rPr>
              <w:rPr>
                <w:i/>
                <w:iCs/>
              </w:rPr>
              <m:t>F</m:t>
            </m:r>
          </m:e>
          <m:sub>
            <m:r>
              <m:rPr>
                <m:nor/>
              </m:rPr>
              <w:rPr>
                <w:i/>
                <w:iCs/>
              </w:rPr>
              <m:t>0</m:t>
            </m:r>
          </m:sub>
        </m:sSub>
        <m:r>
          <w:rPr>
            <w:rFonts w:ascii="Cambria Math" w:hAnsi="Cambria Math"/>
          </w:rPr>
          <m:t>∙</m:t>
        </m:r>
        <m:d>
          <m:dPr>
            <m:ctrlPr>
              <w:rPr>
                <w:rFonts w:ascii="Cambria Math" w:hAnsi="Cambria Math"/>
              </w:rPr>
            </m:ctrlPr>
          </m:dPr>
          <m:e>
            <m:r>
              <m:rPr>
                <m:nor/>
              </m:rPr>
              <w:rPr>
                <w:i/>
              </w:rPr>
              <m:t>1</m:t>
            </m:r>
            <m:r>
              <w:rPr>
                <w:rFonts w:ascii="Cambria Math" w:hAnsi="Cambria Math"/>
              </w:rPr>
              <m:t>+</m:t>
            </m:r>
            <m:r>
              <m:rPr>
                <m:nor/>
              </m:rPr>
              <w:rPr>
                <w:i/>
                <w:iCs/>
              </w:rPr>
              <m:t>g</m:t>
            </m:r>
          </m:e>
        </m:d>
      </m:oMath>
      <w:r w:rsidRPr="005569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2024" w:rsidRPr="00C44422" w14:paraId="737A295C" w14:textId="77777777" w:rsidTr="00D81010">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DF4DC8B" w14:textId="5BA952B4" w:rsidR="00382024" w:rsidRPr="00C44422" w:rsidRDefault="00382024" w:rsidP="00D8101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5BD959D" w14:textId="14B349F4" w:rsidR="00382024" w:rsidRPr="00C44422" w:rsidRDefault="00C04A4E" w:rsidP="00D81010">
              <w:pPr>
                <w:pStyle w:val="Encabezado"/>
                <w:spacing w:after="0"/>
                <w:ind w:right="-110"/>
                <w:contextualSpacing/>
                <w:jc w:val="center"/>
                <w:rPr>
                  <w:i/>
                  <w:iCs/>
                  <w:color w:val="5F2987"/>
                  <w:sz w:val="18"/>
                  <w:szCs w:val="18"/>
                </w:rPr>
              </w:pPr>
              <w:r>
                <w:rPr>
                  <w:i/>
                  <w:iCs/>
                  <w:color w:val="5F2987"/>
                  <w:sz w:val="18"/>
                  <w:szCs w:val="18"/>
                </w:rPr>
                <w:t>La empresa y las decisiones de inversión. Diferentes criterios de valoración de proyectos. Rentabilidad, riesgo y coste de capital.</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5218F11" w14:textId="77777777" w:rsidR="00382024" w:rsidRPr="00C44422" w:rsidRDefault="00382024" w:rsidP="00D8101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0E0C0DD"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82024" w:rsidRPr="00C44422" w14:paraId="4DDAB7FB" w14:textId="77777777" w:rsidTr="00D81010">
      <w:trPr>
        <w:trHeight w:val="136"/>
        <w:jc w:val="center"/>
      </w:trPr>
      <w:bookmarkStart w:id="88" w:name="_Hlk72149218" w:displacedByCustomXml="next"/>
      <w:sdt>
        <w:sdtPr>
          <w:rPr>
            <w:b/>
            <w:bCs/>
            <w:i/>
            <w:iCs/>
            <w:caps/>
            <w:color w:val="5F2987"/>
            <w:sz w:val="18"/>
            <w:szCs w:val="18"/>
          </w:rPr>
          <w:alias w:val="Title"/>
          <w:tag w:val=""/>
          <w:id w:val="-1319025712"/>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1A2378F" w14:textId="6735BA51" w:rsidR="00382024" w:rsidRPr="00C44422" w:rsidRDefault="00382024" w:rsidP="00680B1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w:t>
              </w:r>
            </w:p>
          </w:tc>
        </w:sdtContent>
      </w:sdt>
      <w:tc>
        <w:tcPr>
          <w:tcW w:w="7088" w:type="dxa"/>
          <w:vAlign w:val="center"/>
        </w:tcPr>
        <w:sdt>
          <w:sdtPr>
            <w:rPr>
              <w:i/>
              <w:iCs/>
              <w:color w:val="5F2987"/>
              <w:sz w:val="18"/>
              <w:szCs w:val="18"/>
            </w:rPr>
            <w:alias w:val="Subject"/>
            <w:tag w:val=""/>
            <w:id w:val="-548528567"/>
            <w:dataBinding w:prefixMappings="xmlns:ns0='http://purl.org/dc/elements/1.1/' xmlns:ns1='http://schemas.openxmlformats.org/package/2006/metadata/core-properties' " w:xpath="/ns1:coreProperties[1]/ns0:subject[1]" w:storeItemID="{6C3C8BC8-F283-45AE-878A-BAB7291924A1}"/>
            <w:text/>
          </w:sdtPr>
          <w:sdtContent>
            <w:p w14:paraId="373A2DE2" w14:textId="60F1D2FB" w:rsidR="00382024" w:rsidRPr="00C44422" w:rsidRDefault="00C04A4E" w:rsidP="00680B13">
              <w:pPr>
                <w:pStyle w:val="Encabezado"/>
                <w:spacing w:after="0"/>
                <w:ind w:right="-110"/>
                <w:contextualSpacing/>
                <w:jc w:val="center"/>
                <w:rPr>
                  <w:i/>
                  <w:iCs/>
                  <w:color w:val="5F2987"/>
                  <w:sz w:val="18"/>
                  <w:szCs w:val="18"/>
                </w:rPr>
              </w:pPr>
              <w:r>
                <w:rPr>
                  <w:i/>
                  <w:iCs/>
                  <w:color w:val="5F2987"/>
                  <w:sz w:val="18"/>
                  <w:szCs w:val="18"/>
                </w:rPr>
                <w:t>La empresa y las decisiones de inversión. Diferentes criterios de valoración de proyectos. Rentabilidad, riesgo y coste de capital.</w:t>
              </w:r>
            </w:p>
          </w:sdtContent>
        </w:sdt>
      </w:tc>
      <w:sdt>
        <w:sdtPr>
          <w:rPr>
            <w:b/>
            <w:bCs/>
            <w:i/>
            <w:iCs/>
            <w:color w:val="5F2987"/>
            <w:spacing w:val="-6"/>
            <w:sz w:val="18"/>
            <w:szCs w:val="18"/>
          </w:rPr>
          <w:alias w:val="Author"/>
          <w:tag w:val=""/>
          <w:id w:val="40635377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DFF1523" w14:textId="77777777" w:rsidR="00382024" w:rsidRPr="00C44422" w:rsidRDefault="00382024" w:rsidP="00680B1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88"/>
  </w:tbl>
  <w:p w14:paraId="6552BF97" w14:textId="77777777" w:rsidR="008274D7" w:rsidRPr="004C465C" w:rsidRDefault="008274D7" w:rsidP="00680B13">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82024" w:rsidRPr="00BE1B62" w14:paraId="436B013F" w14:textId="77777777" w:rsidTr="00432A75">
      <w:tc>
        <w:tcPr>
          <w:tcW w:w="3261" w:type="dxa"/>
          <w:tcBorders>
            <w:bottom w:val="thickThinSmallGap" w:sz="12" w:space="0" w:color="5F2987"/>
          </w:tcBorders>
        </w:tcPr>
        <w:p w14:paraId="07B9A9D9" w14:textId="6265AF64" w:rsidR="00382024" w:rsidRPr="00BE1B62" w:rsidRDefault="00382024" w:rsidP="00680B13">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E7C0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8B5AEFD" w14:textId="77777777" w:rsidR="00382024" w:rsidRPr="00BE1B62" w:rsidRDefault="00382024" w:rsidP="00680B13">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5A90287A0F5473A813CC0FE130F758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D0712D9" w14:textId="46D382BE" w:rsidR="00382024" w:rsidRPr="00BE1B62" w:rsidRDefault="00382024" w:rsidP="00680B13">
              <w:pPr>
                <w:pStyle w:val="Encabezado"/>
                <w:spacing w:after="0"/>
                <w:jc w:val="right"/>
                <w:rPr>
                  <w:i/>
                  <w:iCs/>
                  <w:color w:val="5F2987"/>
                  <w:spacing w:val="-6"/>
                  <w:sz w:val="18"/>
                  <w:szCs w:val="18"/>
                </w:rPr>
              </w:pPr>
              <w:r>
                <w:rPr>
                  <w:i/>
                  <w:iCs/>
                  <w:color w:val="5F2987"/>
                  <w:spacing w:val="-6"/>
                  <w:sz w:val="20"/>
                  <w:szCs w:val="20"/>
                </w:rPr>
                <w:t>3.B.2</w:t>
              </w:r>
            </w:p>
          </w:tc>
        </w:sdtContent>
      </w:sdt>
    </w:tr>
  </w:tbl>
  <w:p w14:paraId="7B1BB5CF" w14:textId="77777777" w:rsidR="00382024" w:rsidRPr="00C80BBD" w:rsidRDefault="00382024" w:rsidP="00680B13">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70767"/>
    <w:multiLevelType w:val="hybridMultilevel"/>
    <w:tmpl w:val="5D5035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EF86E81"/>
    <w:multiLevelType w:val="hybridMultilevel"/>
    <w:tmpl w:val="97AAF206"/>
    <w:lvl w:ilvl="0" w:tplc="57EA0FFC">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2A7D47F4"/>
    <w:multiLevelType w:val="hybridMultilevel"/>
    <w:tmpl w:val="BA54DE4C"/>
    <w:lvl w:ilvl="0" w:tplc="FFFFFFFF">
      <w:start w:val="1"/>
      <w:numFmt w:val="lowerRoman"/>
      <w:lvlText w:val="%1."/>
      <w:lvlJc w:val="right"/>
      <w:pPr>
        <w:ind w:left="1429" w:hanging="360"/>
      </w:pPr>
      <w:rPr>
        <w:i/>
        <w:iCs/>
      </w:rPr>
    </w:lvl>
    <w:lvl w:ilvl="1" w:tplc="FFFFFFFF">
      <w:start w:val="1"/>
      <w:numFmt w:val="lowerLetter"/>
      <w:lvlText w:val="%2."/>
      <w:lvlJc w:val="left"/>
      <w:pPr>
        <w:ind w:left="2149" w:hanging="360"/>
      </w:pPr>
    </w:lvl>
    <w:lvl w:ilvl="2" w:tplc="FFFFFFFF">
      <w:start w:val="1"/>
      <w:numFmt w:val="decimal"/>
      <w:lvlText w:val="%3)"/>
      <w:lvlJc w:val="left"/>
      <w:pPr>
        <w:ind w:left="3049" w:hanging="360"/>
      </w:pPr>
      <w:rPr>
        <w:rFonts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2CBB3612"/>
    <w:multiLevelType w:val="hybridMultilevel"/>
    <w:tmpl w:val="3F203AA8"/>
    <w:lvl w:ilvl="0" w:tplc="3ED2552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37D040A"/>
    <w:multiLevelType w:val="hybridMultilevel"/>
    <w:tmpl w:val="E3608416"/>
    <w:lvl w:ilvl="0" w:tplc="B32C47E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815DFF"/>
    <w:multiLevelType w:val="hybridMultilevel"/>
    <w:tmpl w:val="867A5A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0FB7C1A"/>
    <w:multiLevelType w:val="multilevel"/>
    <w:tmpl w:val="0809001D"/>
    <w:numStyleLink w:val="Lista1"/>
  </w:abstractNum>
  <w:abstractNum w:abstractNumId="2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D421C"/>
    <w:multiLevelType w:val="hybridMultilevel"/>
    <w:tmpl w:val="F35495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6BA2D23"/>
    <w:multiLevelType w:val="hybridMultilevel"/>
    <w:tmpl w:val="2F2AC96E"/>
    <w:lvl w:ilvl="0" w:tplc="E42ADE1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650A71"/>
    <w:multiLevelType w:val="hybridMultilevel"/>
    <w:tmpl w:val="2E828172"/>
    <w:lvl w:ilvl="0" w:tplc="0C0A0011">
      <w:start w:val="1"/>
      <w:numFmt w:val="decimal"/>
      <w:lvlText w:val="%1)"/>
      <w:lvlJc w:val="left"/>
      <w:pPr>
        <w:ind w:left="358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3E1334"/>
    <w:multiLevelType w:val="hybridMultilevel"/>
    <w:tmpl w:val="CF7C7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8" w15:restartNumberingAfterBreak="0">
    <w:nsid w:val="7D4E6167"/>
    <w:multiLevelType w:val="hybridMultilevel"/>
    <w:tmpl w:val="E7BCA8B4"/>
    <w:lvl w:ilvl="0" w:tplc="FFFFFFFF">
      <w:start w:val="1"/>
      <w:numFmt w:val="lowerRoman"/>
      <w:lvlText w:val="%1."/>
      <w:lvlJc w:val="right"/>
      <w:pPr>
        <w:ind w:left="1429" w:hanging="360"/>
      </w:pPr>
      <w:rPr>
        <w:i/>
        <w:iCs/>
      </w:rPr>
    </w:lvl>
    <w:lvl w:ilvl="1" w:tplc="FFFFFFFF">
      <w:start w:val="1"/>
      <w:numFmt w:val="lowerLetter"/>
      <w:lvlText w:val="%2."/>
      <w:lvlJc w:val="left"/>
      <w:pPr>
        <w:ind w:left="2149" w:hanging="360"/>
      </w:pPr>
    </w:lvl>
    <w:lvl w:ilvl="2" w:tplc="3EBE811C">
      <w:start w:val="1"/>
      <w:numFmt w:val="lowerRoman"/>
      <w:lvlText w:val="%3)"/>
      <w:lvlJc w:val="right"/>
      <w:pPr>
        <w:ind w:left="3409" w:hanging="720"/>
      </w:pPr>
      <w:rPr>
        <w:rFonts w:hint="default"/>
        <w:i/>
      </w:rPr>
    </w:lvl>
    <w:lvl w:ilvl="3" w:tplc="FFFFFFFF">
      <w:start w:val="1"/>
      <w:numFmt w:val="decimal"/>
      <w:lvlText w:val="%4."/>
      <w:lvlJc w:val="left"/>
      <w:pPr>
        <w:ind w:left="3589" w:hanging="360"/>
      </w:pPr>
    </w:lvl>
    <w:lvl w:ilvl="4" w:tplc="16E4A166">
      <w:start w:val="1"/>
      <w:numFmt w:val="decimal"/>
      <w:lvlText w:val="%5)"/>
      <w:lvlJc w:val="left"/>
      <w:pPr>
        <w:ind w:left="4309" w:hanging="360"/>
      </w:pPr>
      <w:rPr>
        <w:rFonts w:hint="default"/>
      </w:r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9" w15:restartNumberingAfterBreak="0">
    <w:nsid w:val="7F512CCE"/>
    <w:multiLevelType w:val="hybridMultilevel"/>
    <w:tmpl w:val="49444546"/>
    <w:lvl w:ilvl="0" w:tplc="A14A3A7C">
      <w:start w:val="1"/>
      <w:numFmt w:val="lowerLetter"/>
      <w:lvlText w:val="%1)"/>
      <w:lvlJc w:val="left"/>
      <w:pPr>
        <w:ind w:left="358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98369214">
    <w:abstractNumId w:val="12"/>
  </w:num>
  <w:num w:numId="2" w16cid:durableId="1154948727">
    <w:abstractNumId w:val="36"/>
  </w:num>
  <w:num w:numId="3" w16cid:durableId="1843163102">
    <w:abstractNumId w:val="16"/>
  </w:num>
  <w:num w:numId="4" w16cid:durableId="1163199132">
    <w:abstractNumId w:val="30"/>
  </w:num>
  <w:num w:numId="5" w16cid:durableId="1395737932">
    <w:abstractNumId w:val="17"/>
  </w:num>
  <w:num w:numId="6" w16cid:durableId="1117455209">
    <w:abstractNumId w:val="23"/>
  </w:num>
  <w:num w:numId="7" w16cid:durableId="1248423472">
    <w:abstractNumId w:val="11"/>
  </w:num>
  <w:num w:numId="8" w16cid:durableId="1568687475">
    <w:abstractNumId w:val="22"/>
  </w:num>
  <w:num w:numId="9" w16cid:durableId="125125411">
    <w:abstractNumId w:val="17"/>
    <w:lvlOverride w:ilvl="0">
      <w:startOverride w:val="1"/>
    </w:lvlOverride>
  </w:num>
  <w:num w:numId="10" w16cid:durableId="958683806">
    <w:abstractNumId w:val="14"/>
  </w:num>
  <w:num w:numId="11" w16cid:durableId="1919291383">
    <w:abstractNumId w:val="11"/>
  </w:num>
  <w:num w:numId="12" w16cid:durableId="1141195492">
    <w:abstractNumId w:val="34"/>
  </w:num>
  <w:num w:numId="13" w16cid:durableId="1000036757">
    <w:abstractNumId w:val="20"/>
  </w:num>
  <w:num w:numId="14" w16cid:durableId="1291790641">
    <w:abstractNumId w:val="29"/>
  </w:num>
  <w:num w:numId="15" w16cid:durableId="2036925846">
    <w:abstractNumId w:val="38"/>
  </w:num>
  <w:num w:numId="16" w16cid:durableId="152918235">
    <w:abstractNumId w:val="39"/>
  </w:num>
  <w:num w:numId="17" w16cid:durableId="923224000">
    <w:abstractNumId w:val="33"/>
  </w:num>
  <w:num w:numId="18" w16cid:durableId="327752130">
    <w:abstractNumId w:val="27"/>
  </w:num>
  <w:num w:numId="19" w16cid:durableId="1188065024">
    <w:abstractNumId w:val="13"/>
  </w:num>
  <w:num w:numId="20" w16cid:durableId="266010637">
    <w:abstractNumId w:val="10"/>
  </w:num>
  <w:num w:numId="21" w16cid:durableId="555972074">
    <w:abstractNumId w:val="28"/>
  </w:num>
  <w:num w:numId="22" w16cid:durableId="807476915">
    <w:abstractNumId w:val="18"/>
  </w:num>
  <w:num w:numId="23" w16cid:durableId="157037324">
    <w:abstractNumId w:val="19"/>
  </w:num>
  <w:num w:numId="24" w16cid:durableId="181676059">
    <w:abstractNumId w:val="31"/>
  </w:num>
  <w:num w:numId="25" w16cid:durableId="1281767471">
    <w:abstractNumId w:val="32"/>
  </w:num>
  <w:num w:numId="26" w16cid:durableId="259066400">
    <w:abstractNumId w:val="37"/>
  </w:num>
  <w:num w:numId="27" w16cid:durableId="373384582">
    <w:abstractNumId w:val="15"/>
  </w:num>
  <w:num w:numId="28" w16cid:durableId="829365101">
    <w:abstractNumId w:val="26"/>
  </w:num>
  <w:num w:numId="29" w16cid:durableId="25372873">
    <w:abstractNumId w:val="24"/>
  </w:num>
  <w:num w:numId="30" w16cid:durableId="159583792">
    <w:abstractNumId w:val="9"/>
  </w:num>
  <w:num w:numId="31" w16cid:durableId="1412461012">
    <w:abstractNumId w:val="7"/>
  </w:num>
  <w:num w:numId="32" w16cid:durableId="1049498149">
    <w:abstractNumId w:val="6"/>
  </w:num>
  <w:num w:numId="33" w16cid:durableId="480776684">
    <w:abstractNumId w:val="5"/>
  </w:num>
  <w:num w:numId="34" w16cid:durableId="1221096349">
    <w:abstractNumId w:val="4"/>
  </w:num>
  <w:num w:numId="35" w16cid:durableId="1127814330">
    <w:abstractNumId w:val="8"/>
  </w:num>
  <w:num w:numId="36" w16cid:durableId="953441926">
    <w:abstractNumId w:val="3"/>
  </w:num>
  <w:num w:numId="37" w16cid:durableId="1642999023">
    <w:abstractNumId w:val="2"/>
  </w:num>
  <w:num w:numId="38" w16cid:durableId="327173804">
    <w:abstractNumId w:val="1"/>
  </w:num>
  <w:num w:numId="39" w16cid:durableId="434401366">
    <w:abstractNumId w:val="0"/>
  </w:num>
  <w:num w:numId="40" w16cid:durableId="1051079801">
    <w:abstractNumId w:val="35"/>
  </w:num>
  <w:num w:numId="41" w16cid:durableId="623118318">
    <w:abstractNumId w:val="21"/>
  </w:num>
  <w:num w:numId="42" w16cid:durableId="7665390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9938890">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18A"/>
    <w:rsid w:val="000002B3"/>
    <w:rsid w:val="000015F9"/>
    <w:rsid w:val="00002579"/>
    <w:rsid w:val="0001149A"/>
    <w:rsid w:val="00017F40"/>
    <w:rsid w:val="0002549F"/>
    <w:rsid w:val="00026AD7"/>
    <w:rsid w:val="00027D48"/>
    <w:rsid w:val="00031196"/>
    <w:rsid w:val="00031D43"/>
    <w:rsid w:val="00037C5E"/>
    <w:rsid w:val="00040D52"/>
    <w:rsid w:val="000417FD"/>
    <w:rsid w:val="00044055"/>
    <w:rsid w:val="00044CA7"/>
    <w:rsid w:val="00046F87"/>
    <w:rsid w:val="00051BDE"/>
    <w:rsid w:val="00053DD5"/>
    <w:rsid w:val="00064EA3"/>
    <w:rsid w:val="0006593D"/>
    <w:rsid w:val="00071564"/>
    <w:rsid w:val="00074AEE"/>
    <w:rsid w:val="0007670D"/>
    <w:rsid w:val="00082B9E"/>
    <w:rsid w:val="00087018"/>
    <w:rsid w:val="00087AC3"/>
    <w:rsid w:val="00092823"/>
    <w:rsid w:val="00092C14"/>
    <w:rsid w:val="0009771D"/>
    <w:rsid w:val="000A07DB"/>
    <w:rsid w:val="000A3137"/>
    <w:rsid w:val="000B2971"/>
    <w:rsid w:val="000C3E63"/>
    <w:rsid w:val="000C5CBD"/>
    <w:rsid w:val="000D0F76"/>
    <w:rsid w:val="000E318A"/>
    <w:rsid w:val="000E3517"/>
    <w:rsid w:val="000E3654"/>
    <w:rsid w:val="000E7C0D"/>
    <w:rsid w:val="000F4E6D"/>
    <w:rsid w:val="000F51E9"/>
    <w:rsid w:val="000F5CD1"/>
    <w:rsid w:val="00101813"/>
    <w:rsid w:val="00103B5E"/>
    <w:rsid w:val="001146AB"/>
    <w:rsid w:val="001148B2"/>
    <w:rsid w:val="00115938"/>
    <w:rsid w:val="00116265"/>
    <w:rsid w:val="00116DC0"/>
    <w:rsid w:val="001177FA"/>
    <w:rsid w:val="001255B3"/>
    <w:rsid w:val="00126B5E"/>
    <w:rsid w:val="001313EC"/>
    <w:rsid w:val="00131FE1"/>
    <w:rsid w:val="00133E7E"/>
    <w:rsid w:val="001354A7"/>
    <w:rsid w:val="001369BF"/>
    <w:rsid w:val="00141FA2"/>
    <w:rsid w:val="00142CD1"/>
    <w:rsid w:val="00144F8A"/>
    <w:rsid w:val="00145C9F"/>
    <w:rsid w:val="0015013E"/>
    <w:rsid w:val="001512BB"/>
    <w:rsid w:val="00153283"/>
    <w:rsid w:val="00160C77"/>
    <w:rsid w:val="0016795D"/>
    <w:rsid w:val="00182E53"/>
    <w:rsid w:val="00185589"/>
    <w:rsid w:val="001869B6"/>
    <w:rsid w:val="00186B1E"/>
    <w:rsid w:val="00187037"/>
    <w:rsid w:val="0019380B"/>
    <w:rsid w:val="0019408C"/>
    <w:rsid w:val="001957CC"/>
    <w:rsid w:val="001969AA"/>
    <w:rsid w:val="001A3ECC"/>
    <w:rsid w:val="001B5145"/>
    <w:rsid w:val="001B59C6"/>
    <w:rsid w:val="001B6E05"/>
    <w:rsid w:val="001C51A6"/>
    <w:rsid w:val="001C5C67"/>
    <w:rsid w:val="001D0C82"/>
    <w:rsid w:val="001D16F0"/>
    <w:rsid w:val="001D5123"/>
    <w:rsid w:val="001D6853"/>
    <w:rsid w:val="001E5D65"/>
    <w:rsid w:val="001F1B3F"/>
    <w:rsid w:val="00207C2B"/>
    <w:rsid w:val="00210C90"/>
    <w:rsid w:val="00212F71"/>
    <w:rsid w:val="002130F0"/>
    <w:rsid w:val="00217123"/>
    <w:rsid w:val="002174C9"/>
    <w:rsid w:val="0021754E"/>
    <w:rsid w:val="0021774E"/>
    <w:rsid w:val="002211E0"/>
    <w:rsid w:val="00224C13"/>
    <w:rsid w:val="00226F84"/>
    <w:rsid w:val="0023580B"/>
    <w:rsid w:val="0023644B"/>
    <w:rsid w:val="00244789"/>
    <w:rsid w:val="002528EE"/>
    <w:rsid w:val="00254714"/>
    <w:rsid w:val="00262733"/>
    <w:rsid w:val="00265BA5"/>
    <w:rsid w:val="002704A1"/>
    <w:rsid w:val="00272B53"/>
    <w:rsid w:val="002756C0"/>
    <w:rsid w:val="00280E34"/>
    <w:rsid w:val="00283986"/>
    <w:rsid w:val="00285F4B"/>
    <w:rsid w:val="00291D63"/>
    <w:rsid w:val="0029255D"/>
    <w:rsid w:val="002933C6"/>
    <w:rsid w:val="00293D77"/>
    <w:rsid w:val="00294AD7"/>
    <w:rsid w:val="00295F0E"/>
    <w:rsid w:val="00295F46"/>
    <w:rsid w:val="002A1386"/>
    <w:rsid w:val="002A17D0"/>
    <w:rsid w:val="002A3679"/>
    <w:rsid w:val="002A7603"/>
    <w:rsid w:val="002B560E"/>
    <w:rsid w:val="002B67FE"/>
    <w:rsid w:val="002C5AC7"/>
    <w:rsid w:val="002C6439"/>
    <w:rsid w:val="002D2BFD"/>
    <w:rsid w:val="002D43A6"/>
    <w:rsid w:val="002E036A"/>
    <w:rsid w:val="002E0C48"/>
    <w:rsid w:val="002E2AAD"/>
    <w:rsid w:val="002E4C88"/>
    <w:rsid w:val="002E5F5F"/>
    <w:rsid w:val="002E7299"/>
    <w:rsid w:val="002F2181"/>
    <w:rsid w:val="002F5A81"/>
    <w:rsid w:val="002F62C9"/>
    <w:rsid w:val="002F7F50"/>
    <w:rsid w:val="002F7FA3"/>
    <w:rsid w:val="00302561"/>
    <w:rsid w:val="00302A0E"/>
    <w:rsid w:val="00303B57"/>
    <w:rsid w:val="00303EC1"/>
    <w:rsid w:val="0030502A"/>
    <w:rsid w:val="003060C2"/>
    <w:rsid w:val="00307C23"/>
    <w:rsid w:val="0031762E"/>
    <w:rsid w:val="003178AA"/>
    <w:rsid w:val="003245D3"/>
    <w:rsid w:val="00325E1E"/>
    <w:rsid w:val="00327371"/>
    <w:rsid w:val="003335FC"/>
    <w:rsid w:val="003343EA"/>
    <w:rsid w:val="0034073B"/>
    <w:rsid w:val="003422D9"/>
    <w:rsid w:val="00342648"/>
    <w:rsid w:val="0034698E"/>
    <w:rsid w:val="0035278A"/>
    <w:rsid w:val="00353C6A"/>
    <w:rsid w:val="00356DC4"/>
    <w:rsid w:val="00357781"/>
    <w:rsid w:val="0036495E"/>
    <w:rsid w:val="003657A5"/>
    <w:rsid w:val="00366BB1"/>
    <w:rsid w:val="00372E66"/>
    <w:rsid w:val="003739F7"/>
    <w:rsid w:val="0037643A"/>
    <w:rsid w:val="00376FEC"/>
    <w:rsid w:val="00381452"/>
    <w:rsid w:val="00382024"/>
    <w:rsid w:val="003847B1"/>
    <w:rsid w:val="003860B0"/>
    <w:rsid w:val="00391110"/>
    <w:rsid w:val="0039290E"/>
    <w:rsid w:val="003977EC"/>
    <w:rsid w:val="00397CC0"/>
    <w:rsid w:val="003A1BE3"/>
    <w:rsid w:val="003A361D"/>
    <w:rsid w:val="003B04F7"/>
    <w:rsid w:val="003B3819"/>
    <w:rsid w:val="003C7BCD"/>
    <w:rsid w:val="003D13EC"/>
    <w:rsid w:val="003D2C46"/>
    <w:rsid w:val="003D2E56"/>
    <w:rsid w:val="003D58E4"/>
    <w:rsid w:val="003D6FF6"/>
    <w:rsid w:val="003E3D92"/>
    <w:rsid w:val="003E77BB"/>
    <w:rsid w:val="003F114F"/>
    <w:rsid w:val="003F1668"/>
    <w:rsid w:val="003F44C7"/>
    <w:rsid w:val="003F529B"/>
    <w:rsid w:val="004005AD"/>
    <w:rsid w:val="00402536"/>
    <w:rsid w:val="004027F8"/>
    <w:rsid w:val="00417327"/>
    <w:rsid w:val="00421950"/>
    <w:rsid w:val="004235AF"/>
    <w:rsid w:val="004263AB"/>
    <w:rsid w:val="00426FDC"/>
    <w:rsid w:val="00431AE3"/>
    <w:rsid w:val="004324D5"/>
    <w:rsid w:val="00432A75"/>
    <w:rsid w:val="004401A2"/>
    <w:rsid w:val="00443A9B"/>
    <w:rsid w:val="004464AC"/>
    <w:rsid w:val="00446794"/>
    <w:rsid w:val="00447376"/>
    <w:rsid w:val="00447C0F"/>
    <w:rsid w:val="00451893"/>
    <w:rsid w:val="004567F5"/>
    <w:rsid w:val="00461F19"/>
    <w:rsid w:val="00466206"/>
    <w:rsid w:val="00471332"/>
    <w:rsid w:val="004747B4"/>
    <w:rsid w:val="004805CD"/>
    <w:rsid w:val="00481E21"/>
    <w:rsid w:val="0049239D"/>
    <w:rsid w:val="00493F2E"/>
    <w:rsid w:val="004A145E"/>
    <w:rsid w:val="004A373A"/>
    <w:rsid w:val="004A6BE1"/>
    <w:rsid w:val="004A79A6"/>
    <w:rsid w:val="004C0093"/>
    <w:rsid w:val="004C0C34"/>
    <w:rsid w:val="004C0D84"/>
    <w:rsid w:val="004C465C"/>
    <w:rsid w:val="004C49D3"/>
    <w:rsid w:val="004C53F3"/>
    <w:rsid w:val="004C5DE5"/>
    <w:rsid w:val="004D3399"/>
    <w:rsid w:val="004D3F08"/>
    <w:rsid w:val="004E0497"/>
    <w:rsid w:val="004E5AA8"/>
    <w:rsid w:val="004F23BD"/>
    <w:rsid w:val="004F2A81"/>
    <w:rsid w:val="004F4FD5"/>
    <w:rsid w:val="00502A72"/>
    <w:rsid w:val="0050719F"/>
    <w:rsid w:val="0051032F"/>
    <w:rsid w:val="00510FB5"/>
    <w:rsid w:val="005112E4"/>
    <w:rsid w:val="00515C53"/>
    <w:rsid w:val="0052146E"/>
    <w:rsid w:val="00521AA4"/>
    <w:rsid w:val="0052273D"/>
    <w:rsid w:val="0052682A"/>
    <w:rsid w:val="00535BDC"/>
    <w:rsid w:val="00536EFA"/>
    <w:rsid w:val="00541C64"/>
    <w:rsid w:val="005450CF"/>
    <w:rsid w:val="00550E4F"/>
    <w:rsid w:val="00553477"/>
    <w:rsid w:val="00553F46"/>
    <w:rsid w:val="00554E7A"/>
    <w:rsid w:val="0055694A"/>
    <w:rsid w:val="00556F6E"/>
    <w:rsid w:val="005625CE"/>
    <w:rsid w:val="00566721"/>
    <w:rsid w:val="00571C4E"/>
    <w:rsid w:val="00574189"/>
    <w:rsid w:val="00585853"/>
    <w:rsid w:val="00594683"/>
    <w:rsid w:val="005974B2"/>
    <w:rsid w:val="005A0192"/>
    <w:rsid w:val="005A4A1B"/>
    <w:rsid w:val="005A54D9"/>
    <w:rsid w:val="005B4FE2"/>
    <w:rsid w:val="005B6E8D"/>
    <w:rsid w:val="005C131B"/>
    <w:rsid w:val="005C16F1"/>
    <w:rsid w:val="005C4327"/>
    <w:rsid w:val="005C68E4"/>
    <w:rsid w:val="005C7E16"/>
    <w:rsid w:val="005D0697"/>
    <w:rsid w:val="005D07D1"/>
    <w:rsid w:val="005D72D2"/>
    <w:rsid w:val="005D7E1C"/>
    <w:rsid w:val="005E3B8B"/>
    <w:rsid w:val="005E5285"/>
    <w:rsid w:val="005E53B9"/>
    <w:rsid w:val="005E7105"/>
    <w:rsid w:val="005E7667"/>
    <w:rsid w:val="005F0C11"/>
    <w:rsid w:val="005F59D5"/>
    <w:rsid w:val="005F7581"/>
    <w:rsid w:val="005F76C1"/>
    <w:rsid w:val="00602888"/>
    <w:rsid w:val="00604E47"/>
    <w:rsid w:val="0060664A"/>
    <w:rsid w:val="00606E13"/>
    <w:rsid w:val="006105B1"/>
    <w:rsid w:val="0061144A"/>
    <w:rsid w:val="00615404"/>
    <w:rsid w:val="0062174E"/>
    <w:rsid w:val="006225DE"/>
    <w:rsid w:val="0062550E"/>
    <w:rsid w:val="0063046B"/>
    <w:rsid w:val="00630D0B"/>
    <w:rsid w:val="00636418"/>
    <w:rsid w:val="00636938"/>
    <w:rsid w:val="00636AC8"/>
    <w:rsid w:val="006463B9"/>
    <w:rsid w:val="006465FD"/>
    <w:rsid w:val="00651CB4"/>
    <w:rsid w:val="00652BC8"/>
    <w:rsid w:val="006540A3"/>
    <w:rsid w:val="0065657E"/>
    <w:rsid w:val="00662302"/>
    <w:rsid w:val="0066333F"/>
    <w:rsid w:val="00663B99"/>
    <w:rsid w:val="00680642"/>
    <w:rsid w:val="00680B13"/>
    <w:rsid w:val="00684229"/>
    <w:rsid w:val="0068426C"/>
    <w:rsid w:val="00687863"/>
    <w:rsid w:val="00693B21"/>
    <w:rsid w:val="00693E74"/>
    <w:rsid w:val="0069469E"/>
    <w:rsid w:val="00694CC4"/>
    <w:rsid w:val="006A3789"/>
    <w:rsid w:val="006A5334"/>
    <w:rsid w:val="006B13C3"/>
    <w:rsid w:val="006B3B4B"/>
    <w:rsid w:val="006C009F"/>
    <w:rsid w:val="006C1C34"/>
    <w:rsid w:val="006C69B3"/>
    <w:rsid w:val="006D67EB"/>
    <w:rsid w:val="006D7083"/>
    <w:rsid w:val="006E1CC7"/>
    <w:rsid w:val="006E35C3"/>
    <w:rsid w:val="006E48CA"/>
    <w:rsid w:val="007036EB"/>
    <w:rsid w:val="00705669"/>
    <w:rsid w:val="0071310A"/>
    <w:rsid w:val="00725230"/>
    <w:rsid w:val="00725336"/>
    <w:rsid w:val="00732660"/>
    <w:rsid w:val="00735A66"/>
    <w:rsid w:val="00741B8A"/>
    <w:rsid w:val="00741D0F"/>
    <w:rsid w:val="007420D2"/>
    <w:rsid w:val="00744115"/>
    <w:rsid w:val="00751184"/>
    <w:rsid w:val="00751924"/>
    <w:rsid w:val="00754C20"/>
    <w:rsid w:val="00755A7D"/>
    <w:rsid w:val="007571E8"/>
    <w:rsid w:val="007578B0"/>
    <w:rsid w:val="00764940"/>
    <w:rsid w:val="00771F07"/>
    <w:rsid w:val="007770BC"/>
    <w:rsid w:val="00780D41"/>
    <w:rsid w:val="007872E9"/>
    <w:rsid w:val="0079658F"/>
    <w:rsid w:val="007A52E1"/>
    <w:rsid w:val="007A6123"/>
    <w:rsid w:val="007A7565"/>
    <w:rsid w:val="007B6506"/>
    <w:rsid w:val="007C3668"/>
    <w:rsid w:val="007C7B3B"/>
    <w:rsid w:val="007D159A"/>
    <w:rsid w:val="007D31C6"/>
    <w:rsid w:val="007D47BF"/>
    <w:rsid w:val="007D7B56"/>
    <w:rsid w:val="007E4A7C"/>
    <w:rsid w:val="007F3D29"/>
    <w:rsid w:val="00803827"/>
    <w:rsid w:val="00805684"/>
    <w:rsid w:val="00805D20"/>
    <w:rsid w:val="00805E5F"/>
    <w:rsid w:val="00805F0D"/>
    <w:rsid w:val="008064E2"/>
    <w:rsid w:val="00807D31"/>
    <w:rsid w:val="00812700"/>
    <w:rsid w:val="008142B0"/>
    <w:rsid w:val="0081544B"/>
    <w:rsid w:val="00817CE5"/>
    <w:rsid w:val="008233F9"/>
    <w:rsid w:val="00823B92"/>
    <w:rsid w:val="008274D7"/>
    <w:rsid w:val="00827955"/>
    <w:rsid w:val="008308C8"/>
    <w:rsid w:val="0083184E"/>
    <w:rsid w:val="008321E2"/>
    <w:rsid w:val="00832BC1"/>
    <w:rsid w:val="008330D9"/>
    <w:rsid w:val="008338C9"/>
    <w:rsid w:val="008354A7"/>
    <w:rsid w:val="00837B5A"/>
    <w:rsid w:val="00843494"/>
    <w:rsid w:val="00850C65"/>
    <w:rsid w:val="00856C38"/>
    <w:rsid w:val="00856D29"/>
    <w:rsid w:val="00862DE3"/>
    <w:rsid w:val="008653F0"/>
    <w:rsid w:val="00874785"/>
    <w:rsid w:val="008762F1"/>
    <w:rsid w:val="008764F9"/>
    <w:rsid w:val="00880683"/>
    <w:rsid w:val="00883078"/>
    <w:rsid w:val="00887645"/>
    <w:rsid w:val="0089148D"/>
    <w:rsid w:val="008919F7"/>
    <w:rsid w:val="008937DA"/>
    <w:rsid w:val="00895734"/>
    <w:rsid w:val="00896D32"/>
    <w:rsid w:val="008A5505"/>
    <w:rsid w:val="008A75A3"/>
    <w:rsid w:val="008C30EB"/>
    <w:rsid w:val="008D435E"/>
    <w:rsid w:val="008D4890"/>
    <w:rsid w:val="008D7A3D"/>
    <w:rsid w:val="008E18E9"/>
    <w:rsid w:val="008E2DA4"/>
    <w:rsid w:val="008E5500"/>
    <w:rsid w:val="008E6DD6"/>
    <w:rsid w:val="008F04DC"/>
    <w:rsid w:val="008F13F0"/>
    <w:rsid w:val="008F3476"/>
    <w:rsid w:val="008F677F"/>
    <w:rsid w:val="00900D26"/>
    <w:rsid w:val="00910870"/>
    <w:rsid w:val="00913ACB"/>
    <w:rsid w:val="00916422"/>
    <w:rsid w:val="00930973"/>
    <w:rsid w:val="00930CD3"/>
    <w:rsid w:val="009341D2"/>
    <w:rsid w:val="0093633E"/>
    <w:rsid w:val="00947AA3"/>
    <w:rsid w:val="0096481D"/>
    <w:rsid w:val="00971031"/>
    <w:rsid w:val="0097417F"/>
    <w:rsid w:val="00976A1A"/>
    <w:rsid w:val="00977BEE"/>
    <w:rsid w:val="00980B9F"/>
    <w:rsid w:val="00981A85"/>
    <w:rsid w:val="00981F11"/>
    <w:rsid w:val="00982BFC"/>
    <w:rsid w:val="009A286F"/>
    <w:rsid w:val="009A3452"/>
    <w:rsid w:val="009A36DD"/>
    <w:rsid w:val="009B1175"/>
    <w:rsid w:val="009B1474"/>
    <w:rsid w:val="009B1CC3"/>
    <w:rsid w:val="009B7CCA"/>
    <w:rsid w:val="009C61AF"/>
    <w:rsid w:val="009C69E8"/>
    <w:rsid w:val="009E25C7"/>
    <w:rsid w:val="009E489B"/>
    <w:rsid w:val="009E71EC"/>
    <w:rsid w:val="009F6531"/>
    <w:rsid w:val="00A04349"/>
    <w:rsid w:val="00A06374"/>
    <w:rsid w:val="00A07064"/>
    <w:rsid w:val="00A116B6"/>
    <w:rsid w:val="00A20BF3"/>
    <w:rsid w:val="00A21CF0"/>
    <w:rsid w:val="00A22067"/>
    <w:rsid w:val="00A22C27"/>
    <w:rsid w:val="00A234D9"/>
    <w:rsid w:val="00A26C5E"/>
    <w:rsid w:val="00A31543"/>
    <w:rsid w:val="00A400A7"/>
    <w:rsid w:val="00A40F71"/>
    <w:rsid w:val="00A42628"/>
    <w:rsid w:val="00A42B58"/>
    <w:rsid w:val="00A443E0"/>
    <w:rsid w:val="00A45651"/>
    <w:rsid w:val="00A50172"/>
    <w:rsid w:val="00A51A45"/>
    <w:rsid w:val="00A51B24"/>
    <w:rsid w:val="00A54398"/>
    <w:rsid w:val="00A56719"/>
    <w:rsid w:val="00A57290"/>
    <w:rsid w:val="00A57D4D"/>
    <w:rsid w:val="00A6505E"/>
    <w:rsid w:val="00A6738C"/>
    <w:rsid w:val="00A679A2"/>
    <w:rsid w:val="00A729D5"/>
    <w:rsid w:val="00A73A52"/>
    <w:rsid w:val="00A84110"/>
    <w:rsid w:val="00AA0073"/>
    <w:rsid w:val="00AA3566"/>
    <w:rsid w:val="00AA7950"/>
    <w:rsid w:val="00AB72F0"/>
    <w:rsid w:val="00AC09F9"/>
    <w:rsid w:val="00AC16AC"/>
    <w:rsid w:val="00AC3F00"/>
    <w:rsid w:val="00AC5EDF"/>
    <w:rsid w:val="00AC6798"/>
    <w:rsid w:val="00AC6BA6"/>
    <w:rsid w:val="00AC7A80"/>
    <w:rsid w:val="00AD0577"/>
    <w:rsid w:val="00AD11C3"/>
    <w:rsid w:val="00AD426F"/>
    <w:rsid w:val="00AD472E"/>
    <w:rsid w:val="00AD4844"/>
    <w:rsid w:val="00AD5A8C"/>
    <w:rsid w:val="00AD60B0"/>
    <w:rsid w:val="00AD72A9"/>
    <w:rsid w:val="00AD7A04"/>
    <w:rsid w:val="00AE0D68"/>
    <w:rsid w:val="00AE1415"/>
    <w:rsid w:val="00AE1B42"/>
    <w:rsid w:val="00AE2817"/>
    <w:rsid w:val="00AF1314"/>
    <w:rsid w:val="00AF2B6D"/>
    <w:rsid w:val="00AF4F1E"/>
    <w:rsid w:val="00B00520"/>
    <w:rsid w:val="00B0080A"/>
    <w:rsid w:val="00B01DFC"/>
    <w:rsid w:val="00B06C49"/>
    <w:rsid w:val="00B07C0C"/>
    <w:rsid w:val="00B07C94"/>
    <w:rsid w:val="00B100B2"/>
    <w:rsid w:val="00B108BE"/>
    <w:rsid w:val="00B11BE5"/>
    <w:rsid w:val="00B1354B"/>
    <w:rsid w:val="00B152E3"/>
    <w:rsid w:val="00B206CA"/>
    <w:rsid w:val="00B2093C"/>
    <w:rsid w:val="00B21CE4"/>
    <w:rsid w:val="00B22C86"/>
    <w:rsid w:val="00B2323E"/>
    <w:rsid w:val="00B248BB"/>
    <w:rsid w:val="00B268CF"/>
    <w:rsid w:val="00B352BF"/>
    <w:rsid w:val="00B35E75"/>
    <w:rsid w:val="00B40ABE"/>
    <w:rsid w:val="00B44034"/>
    <w:rsid w:val="00B44122"/>
    <w:rsid w:val="00B4475E"/>
    <w:rsid w:val="00B478F4"/>
    <w:rsid w:val="00B50D06"/>
    <w:rsid w:val="00B51A2F"/>
    <w:rsid w:val="00B52052"/>
    <w:rsid w:val="00B5349E"/>
    <w:rsid w:val="00B5476C"/>
    <w:rsid w:val="00B56B89"/>
    <w:rsid w:val="00B57D34"/>
    <w:rsid w:val="00B629EC"/>
    <w:rsid w:val="00B636F5"/>
    <w:rsid w:val="00B70943"/>
    <w:rsid w:val="00B75046"/>
    <w:rsid w:val="00B77C0F"/>
    <w:rsid w:val="00B82339"/>
    <w:rsid w:val="00B8621F"/>
    <w:rsid w:val="00B87140"/>
    <w:rsid w:val="00B87C68"/>
    <w:rsid w:val="00B9022F"/>
    <w:rsid w:val="00B939A3"/>
    <w:rsid w:val="00B949A4"/>
    <w:rsid w:val="00B96E6E"/>
    <w:rsid w:val="00B97E90"/>
    <w:rsid w:val="00BA08CD"/>
    <w:rsid w:val="00BA3E00"/>
    <w:rsid w:val="00BA4D2A"/>
    <w:rsid w:val="00BA5381"/>
    <w:rsid w:val="00BA54DC"/>
    <w:rsid w:val="00BA5C08"/>
    <w:rsid w:val="00BA659B"/>
    <w:rsid w:val="00BB095A"/>
    <w:rsid w:val="00BB76C8"/>
    <w:rsid w:val="00BC0780"/>
    <w:rsid w:val="00BC0CA1"/>
    <w:rsid w:val="00BC2041"/>
    <w:rsid w:val="00BC63E3"/>
    <w:rsid w:val="00BD25D6"/>
    <w:rsid w:val="00BD3030"/>
    <w:rsid w:val="00BE10B5"/>
    <w:rsid w:val="00BE1B62"/>
    <w:rsid w:val="00BE2EA4"/>
    <w:rsid w:val="00BE5689"/>
    <w:rsid w:val="00BF2191"/>
    <w:rsid w:val="00BF5FFA"/>
    <w:rsid w:val="00BF7D69"/>
    <w:rsid w:val="00C04A4E"/>
    <w:rsid w:val="00C04C62"/>
    <w:rsid w:val="00C04CF8"/>
    <w:rsid w:val="00C051C7"/>
    <w:rsid w:val="00C11454"/>
    <w:rsid w:val="00C21816"/>
    <w:rsid w:val="00C325BE"/>
    <w:rsid w:val="00C401C2"/>
    <w:rsid w:val="00C40AAD"/>
    <w:rsid w:val="00C41E84"/>
    <w:rsid w:val="00C4210F"/>
    <w:rsid w:val="00C44F98"/>
    <w:rsid w:val="00C63E06"/>
    <w:rsid w:val="00C64266"/>
    <w:rsid w:val="00C66727"/>
    <w:rsid w:val="00C67A7E"/>
    <w:rsid w:val="00C73466"/>
    <w:rsid w:val="00C74256"/>
    <w:rsid w:val="00C81078"/>
    <w:rsid w:val="00C83C60"/>
    <w:rsid w:val="00C851DA"/>
    <w:rsid w:val="00C860A7"/>
    <w:rsid w:val="00C87863"/>
    <w:rsid w:val="00C95D3D"/>
    <w:rsid w:val="00CA319A"/>
    <w:rsid w:val="00CA6A8D"/>
    <w:rsid w:val="00CA6BEA"/>
    <w:rsid w:val="00CB03C0"/>
    <w:rsid w:val="00CB0B02"/>
    <w:rsid w:val="00CB4E5C"/>
    <w:rsid w:val="00CC4B69"/>
    <w:rsid w:val="00CC6BA6"/>
    <w:rsid w:val="00CD1237"/>
    <w:rsid w:val="00CD3173"/>
    <w:rsid w:val="00CD6EDF"/>
    <w:rsid w:val="00CD7736"/>
    <w:rsid w:val="00CE01DE"/>
    <w:rsid w:val="00CE09DD"/>
    <w:rsid w:val="00CE0A9F"/>
    <w:rsid w:val="00CE2557"/>
    <w:rsid w:val="00CE3923"/>
    <w:rsid w:val="00CE655D"/>
    <w:rsid w:val="00CE7571"/>
    <w:rsid w:val="00CE7955"/>
    <w:rsid w:val="00CF3F9E"/>
    <w:rsid w:val="00CF6BBD"/>
    <w:rsid w:val="00CF6FE1"/>
    <w:rsid w:val="00CF7CA4"/>
    <w:rsid w:val="00D05D2C"/>
    <w:rsid w:val="00D17411"/>
    <w:rsid w:val="00D30B1F"/>
    <w:rsid w:val="00D336DA"/>
    <w:rsid w:val="00D34916"/>
    <w:rsid w:val="00D34C9E"/>
    <w:rsid w:val="00D355AB"/>
    <w:rsid w:val="00D35ACD"/>
    <w:rsid w:val="00D36558"/>
    <w:rsid w:val="00D36A37"/>
    <w:rsid w:val="00D36F50"/>
    <w:rsid w:val="00D40F17"/>
    <w:rsid w:val="00D41F2A"/>
    <w:rsid w:val="00D41F6D"/>
    <w:rsid w:val="00D461E2"/>
    <w:rsid w:val="00D52BA4"/>
    <w:rsid w:val="00D53570"/>
    <w:rsid w:val="00D564BC"/>
    <w:rsid w:val="00D5754E"/>
    <w:rsid w:val="00D57EFD"/>
    <w:rsid w:val="00D8006E"/>
    <w:rsid w:val="00D81010"/>
    <w:rsid w:val="00D852AF"/>
    <w:rsid w:val="00D877E8"/>
    <w:rsid w:val="00DA5E29"/>
    <w:rsid w:val="00DA723A"/>
    <w:rsid w:val="00DB33A2"/>
    <w:rsid w:val="00DB3942"/>
    <w:rsid w:val="00DB4060"/>
    <w:rsid w:val="00DB4466"/>
    <w:rsid w:val="00DB5A3E"/>
    <w:rsid w:val="00DC117D"/>
    <w:rsid w:val="00DC5A9A"/>
    <w:rsid w:val="00DC6F40"/>
    <w:rsid w:val="00DD75F1"/>
    <w:rsid w:val="00DE086E"/>
    <w:rsid w:val="00DE1A7B"/>
    <w:rsid w:val="00DE664B"/>
    <w:rsid w:val="00DF0C7F"/>
    <w:rsid w:val="00DF4162"/>
    <w:rsid w:val="00DF4B79"/>
    <w:rsid w:val="00DF5ECD"/>
    <w:rsid w:val="00E05E84"/>
    <w:rsid w:val="00E06345"/>
    <w:rsid w:val="00E14EF3"/>
    <w:rsid w:val="00E25415"/>
    <w:rsid w:val="00E25CB6"/>
    <w:rsid w:val="00E3040F"/>
    <w:rsid w:val="00E32DE5"/>
    <w:rsid w:val="00E37A0C"/>
    <w:rsid w:val="00E500EC"/>
    <w:rsid w:val="00E5034D"/>
    <w:rsid w:val="00E61398"/>
    <w:rsid w:val="00E6544F"/>
    <w:rsid w:val="00E72EBD"/>
    <w:rsid w:val="00E7378F"/>
    <w:rsid w:val="00E7487F"/>
    <w:rsid w:val="00E76C3C"/>
    <w:rsid w:val="00E8392A"/>
    <w:rsid w:val="00E863CA"/>
    <w:rsid w:val="00E940DC"/>
    <w:rsid w:val="00EA49DB"/>
    <w:rsid w:val="00EB35D3"/>
    <w:rsid w:val="00EB707E"/>
    <w:rsid w:val="00EC4C55"/>
    <w:rsid w:val="00ED3E91"/>
    <w:rsid w:val="00ED6216"/>
    <w:rsid w:val="00ED646B"/>
    <w:rsid w:val="00ED7809"/>
    <w:rsid w:val="00EE34EF"/>
    <w:rsid w:val="00EE4B01"/>
    <w:rsid w:val="00EE50FD"/>
    <w:rsid w:val="00EE7596"/>
    <w:rsid w:val="00EF1A96"/>
    <w:rsid w:val="00F00315"/>
    <w:rsid w:val="00F018F3"/>
    <w:rsid w:val="00F06FD5"/>
    <w:rsid w:val="00F17F8F"/>
    <w:rsid w:val="00F20221"/>
    <w:rsid w:val="00F203BF"/>
    <w:rsid w:val="00F244E9"/>
    <w:rsid w:val="00F244EF"/>
    <w:rsid w:val="00F2467B"/>
    <w:rsid w:val="00F31E37"/>
    <w:rsid w:val="00F328E2"/>
    <w:rsid w:val="00F32E8F"/>
    <w:rsid w:val="00F47C0B"/>
    <w:rsid w:val="00F511EB"/>
    <w:rsid w:val="00F64054"/>
    <w:rsid w:val="00F65A6F"/>
    <w:rsid w:val="00F667C5"/>
    <w:rsid w:val="00F70DCF"/>
    <w:rsid w:val="00F73262"/>
    <w:rsid w:val="00F80933"/>
    <w:rsid w:val="00F810B2"/>
    <w:rsid w:val="00F81513"/>
    <w:rsid w:val="00F818BD"/>
    <w:rsid w:val="00F81B3F"/>
    <w:rsid w:val="00F827B9"/>
    <w:rsid w:val="00F87AD1"/>
    <w:rsid w:val="00F913A7"/>
    <w:rsid w:val="00F919B8"/>
    <w:rsid w:val="00FA4DF2"/>
    <w:rsid w:val="00FB305C"/>
    <w:rsid w:val="00FB340B"/>
    <w:rsid w:val="00FB379F"/>
    <w:rsid w:val="00FB4C67"/>
    <w:rsid w:val="00FB57B5"/>
    <w:rsid w:val="00FC6E46"/>
    <w:rsid w:val="00FD05C8"/>
    <w:rsid w:val="00FD095D"/>
    <w:rsid w:val="00FD30D0"/>
    <w:rsid w:val="00FD7152"/>
    <w:rsid w:val="00FE0280"/>
    <w:rsid w:val="00FE0542"/>
    <w:rsid w:val="00FE233E"/>
    <w:rsid w:val="00FE6F1A"/>
    <w:rsid w:val="00FE71AA"/>
    <w:rsid w:val="00FF0353"/>
    <w:rsid w:val="00FF4F8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69260F"/>
  <w15:docId w15:val="{3A192307-DA88-408D-BAB1-1888B717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1D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9341D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9341D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9341D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9341D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9341D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9341D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9341D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9341D2"/>
    <w:pPr>
      <w:ind w:left="993"/>
      <w:outlineLvl w:val="7"/>
    </w:pPr>
    <w:rPr>
      <w:color w:val="321547"/>
      <w:szCs w:val="22"/>
      <w:u w:val="dotDotDash"/>
    </w:rPr>
  </w:style>
  <w:style w:type="paragraph" w:styleId="Ttulo9">
    <w:name w:val="heading 9"/>
    <w:basedOn w:val="Ttulo8"/>
    <w:next w:val="Normal"/>
    <w:link w:val="Ttulo9Car"/>
    <w:uiPriority w:val="9"/>
    <w:unhideWhenUsed/>
    <w:qFormat/>
    <w:rsid w:val="009341D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9341D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9341D2"/>
  </w:style>
  <w:style w:type="paragraph" w:styleId="Encabezado">
    <w:name w:val="header"/>
    <w:basedOn w:val="Normal"/>
    <w:link w:val="EncabezadoCar"/>
    <w:uiPriority w:val="99"/>
    <w:unhideWhenUsed/>
    <w:rsid w:val="009341D2"/>
    <w:pPr>
      <w:tabs>
        <w:tab w:val="center" w:pos="4252"/>
        <w:tab w:val="right" w:pos="8504"/>
      </w:tabs>
    </w:pPr>
  </w:style>
  <w:style w:type="character" w:customStyle="1" w:styleId="HeaderChar">
    <w:name w:val="Header Char"/>
    <w:basedOn w:val="Fuentedeprrafopredeter"/>
    <w:uiPriority w:val="99"/>
    <w:rsid w:val="009341D2"/>
    <w:rPr>
      <w:rFonts w:ascii="Garamond" w:hAnsi="Garamond"/>
      <w:lang w:val="es-ES"/>
    </w:rPr>
  </w:style>
  <w:style w:type="character" w:customStyle="1" w:styleId="FooterChar">
    <w:name w:val="Footer Char"/>
    <w:basedOn w:val="Fuentedeprrafopredeter"/>
    <w:uiPriority w:val="99"/>
    <w:rsid w:val="009341D2"/>
    <w:rPr>
      <w:rFonts w:ascii="Garamond" w:hAnsi="Garamond"/>
      <w:lang w:val="es-ES"/>
    </w:rPr>
  </w:style>
  <w:style w:type="table" w:styleId="Tablaconcuadrcula">
    <w:name w:val="Table Grid"/>
    <w:basedOn w:val="Tablanormal"/>
    <w:uiPriority w:val="39"/>
    <w:rsid w:val="00934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341D2"/>
    <w:rPr>
      <w:color w:val="808080"/>
    </w:rPr>
  </w:style>
  <w:style w:type="paragraph" w:styleId="Ttulo">
    <w:name w:val="Title"/>
    <w:basedOn w:val="Normal"/>
    <w:next w:val="Normal"/>
    <w:link w:val="TtuloCar"/>
    <w:uiPriority w:val="10"/>
    <w:qFormat/>
    <w:rsid w:val="009341D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9341D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9341D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9341D2"/>
    <w:pPr>
      <w:numPr>
        <w:ilvl w:val="1"/>
        <w:numId w:val="1"/>
      </w:numPr>
      <w:spacing w:after="100"/>
      <w:ind w:left="1049" w:hanging="198"/>
      <w:contextualSpacing/>
    </w:pPr>
  </w:style>
  <w:style w:type="character" w:customStyle="1" w:styleId="Heading2Char">
    <w:name w:val="Heading 2 Char"/>
    <w:basedOn w:val="Fuentedeprrafopredeter"/>
    <w:uiPriority w:val="9"/>
    <w:rsid w:val="009341D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9341D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9341D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9341D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9341D2"/>
    <w:rPr>
      <w:color w:val="0563C1" w:themeColor="hyperlink"/>
      <w:u w:val="single"/>
    </w:rPr>
  </w:style>
  <w:style w:type="character" w:customStyle="1" w:styleId="Heading3Char">
    <w:name w:val="Heading 3 Char"/>
    <w:basedOn w:val="Fuentedeprrafopredeter"/>
    <w:uiPriority w:val="9"/>
    <w:rsid w:val="009341D2"/>
    <w:rPr>
      <w:rFonts w:ascii="Garamond" w:hAnsi="Garamond"/>
      <w:i/>
      <w:iCs/>
      <w:color w:val="5F2987"/>
      <w:u w:val="single"/>
      <w:lang w:val="es-ES"/>
    </w:rPr>
  </w:style>
  <w:style w:type="paragraph" w:styleId="TDC3">
    <w:name w:val="toc 3"/>
    <w:basedOn w:val="Normal"/>
    <w:next w:val="FinTDC"/>
    <w:autoRedefine/>
    <w:uiPriority w:val="39"/>
    <w:unhideWhenUsed/>
    <w:rsid w:val="009341D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9341D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9341D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9341D2"/>
    <w:rPr>
      <w:color w:val="FFFFFF" w:themeColor="text1" w:themeTint="80"/>
      <w:sz w:val="16"/>
    </w:rPr>
  </w:style>
  <w:style w:type="character" w:customStyle="1" w:styleId="NocantarChar">
    <w:name w:val="No cantar Char"/>
    <w:basedOn w:val="Fuentedeprrafopredeter"/>
    <w:link w:val="Nocantar"/>
    <w:rsid w:val="009341D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9341D2"/>
    <w:pPr>
      <w:numPr>
        <w:numId w:val="0"/>
      </w:numPr>
      <w:ind w:firstLine="142"/>
    </w:pPr>
  </w:style>
  <w:style w:type="character" w:customStyle="1" w:styleId="IntroduccinyconclusinChar">
    <w:name w:val="Introducción y conclusión Char"/>
    <w:basedOn w:val="Ttulo1Car"/>
    <w:link w:val="Introduccinyconclusin"/>
    <w:rsid w:val="009341D2"/>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9341D2"/>
    <w:pPr>
      <w:numPr>
        <w:numId w:val="3"/>
      </w:numPr>
    </w:pPr>
  </w:style>
  <w:style w:type="paragraph" w:customStyle="1" w:styleId="Nivel1">
    <w:name w:val="Nivel 1"/>
    <w:basedOn w:val="Normal"/>
    <w:qFormat/>
    <w:rsid w:val="009341D2"/>
    <w:pPr>
      <w:numPr>
        <w:numId w:val="1"/>
      </w:numPr>
      <w:spacing w:before="100" w:after="100"/>
      <w:ind w:left="623" w:hanging="198"/>
    </w:pPr>
  </w:style>
  <w:style w:type="paragraph" w:customStyle="1" w:styleId="Nivel3">
    <w:name w:val="Nivel 3"/>
    <w:basedOn w:val="Nivel2"/>
    <w:link w:val="Nivel3Car"/>
    <w:qFormat/>
    <w:rsid w:val="009341D2"/>
    <w:pPr>
      <w:numPr>
        <w:ilvl w:val="2"/>
      </w:numPr>
      <w:spacing w:after="0"/>
      <w:ind w:left="1474" w:hanging="198"/>
    </w:pPr>
  </w:style>
  <w:style w:type="paragraph" w:customStyle="1" w:styleId="Letra">
    <w:name w:val="Letra"/>
    <w:basedOn w:val="Nivel1"/>
    <w:qFormat/>
    <w:rsid w:val="009341D2"/>
    <w:pPr>
      <w:numPr>
        <w:numId w:val="4"/>
      </w:numPr>
      <w:spacing w:before="0" w:after="40"/>
      <w:ind w:left="936" w:hanging="227"/>
    </w:pPr>
  </w:style>
  <w:style w:type="paragraph" w:customStyle="1" w:styleId="Nmero">
    <w:name w:val="Número"/>
    <w:basedOn w:val="Normal"/>
    <w:qFormat/>
    <w:rsid w:val="009341D2"/>
    <w:pPr>
      <w:numPr>
        <w:numId w:val="5"/>
      </w:numPr>
      <w:spacing w:after="40"/>
      <w:ind w:left="936" w:hanging="227"/>
    </w:pPr>
  </w:style>
  <w:style w:type="paragraph" w:styleId="Textodeglobo">
    <w:name w:val="Balloon Text"/>
    <w:basedOn w:val="Normal"/>
    <w:link w:val="TextodegloboCar"/>
    <w:uiPriority w:val="99"/>
    <w:semiHidden/>
    <w:unhideWhenUsed/>
    <w:rsid w:val="009341D2"/>
    <w:rPr>
      <w:rFonts w:ascii="Segoe UI" w:hAnsi="Segoe UI" w:cs="Segoe UI"/>
      <w:sz w:val="18"/>
      <w:szCs w:val="18"/>
    </w:rPr>
  </w:style>
  <w:style w:type="character" w:customStyle="1" w:styleId="BalloonTextChar">
    <w:name w:val="Balloon Text Char"/>
    <w:basedOn w:val="Fuentedeprrafopredeter"/>
    <w:uiPriority w:val="99"/>
    <w:semiHidden/>
    <w:rsid w:val="009341D2"/>
    <w:rPr>
      <w:rFonts w:ascii="Segoe UI" w:hAnsi="Segoe UI" w:cs="Segoe UI"/>
      <w:sz w:val="18"/>
      <w:szCs w:val="18"/>
      <w:lang w:val="es-ES"/>
    </w:rPr>
  </w:style>
  <w:style w:type="paragraph" w:customStyle="1" w:styleId="Notaalopositor">
    <w:name w:val="Nota al opositor"/>
    <w:basedOn w:val="Normal"/>
    <w:link w:val="NotaalopositorChar"/>
    <w:qFormat/>
    <w:rsid w:val="009341D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9341D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9341D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9341D2"/>
    <w:rPr>
      <w:rFonts w:ascii="Garamond" w:hAnsi="Garamond"/>
      <w:sz w:val="16"/>
      <w:szCs w:val="20"/>
      <w:lang w:val="es-ES"/>
    </w:rPr>
  </w:style>
  <w:style w:type="character" w:styleId="Refdenotaalpie">
    <w:name w:val="footnote reference"/>
    <w:basedOn w:val="Fuentedeprrafopredeter"/>
    <w:uiPriority w:val="99"/>
    <w:unhideWhenUsed/>
    <w:rsid w:val="009341D2"/>
    <w:rPr>
      <w:vertAlign w:val="superscript"/>
    </w:rPr>
  </w:style>
  <w:style w:type="character" w:customStyle="1" w:styleId="Heading6Char">
    <w:name w:val="Heading 6 Char"/>
    <w:basedOn w:val="Fuentedeprrafopredeter"/>
    <w:uiPriority w:val="9"/>
    <w:semiHidden/>
    <w:rsid w:val="009341D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9341D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9341D2"/>
    <w:rPr>
      <w:rFonts w:ascii="Garamond" w:eastAsiaTheme="minorEastAsia" w:hAnsi="Garamond"/>
      <w:smallCaps/>
      <w:color w:val="FFFFFF" w:themeColor="text1" w:themeTint="A5"/>
      <w:lang w:val="es-ES"/>
    </w:rPr>
  </w:style>
  <w:style w:type="paragraph" w:customStyle="1" w:styleId="Nivel1SM">
    <w:name w:val="Nivel 1 SM"/>
    <w:basedOn w:val="Nivel1"/>
    <w:qFormat/>
    <w:rsid w:val="009341D2"/>
    <w:pPr>
      <w:ind w:left="0"/>
    </w:pPr>
  </w:style>
  <w:style w:type="paragraph" w:customStyle="1" w:styleId="Nivel2SM">
    <w:name w:val="Nivel 2 SM"/>
    <w:basedOn w:val="Nivel2"/>
    <w:qFormat/>
    <w:rsid w:val="009341D2"/>
    <w:pPr>
      <w:ind w:left="567"/>
    </w:pPr>
  </w:style>
  <w:style w:type="paragraph" w:customStyle="1" w:styleId="Nivel3SM">
    <w:name w:val="Nivel 3 SM"/>
    <w:basedOn w:val="Nivel3"/>
    <w:qFormat/>
    <w:rsid w:val="009341D2"/>
    <w:pPr>
      <w:ind w:left="963"/>
    </w:pPr>
  </w:style>
  <w:style w:type="paragraph" w:styleId="Encabezadodelista">
    <w:name w:val="toa heading"/>
    <w:basedOn w:val="Normal"/>
    <w:next w:val="Normal"/>
    <w:uiPriority w:val="99"/>
    <w:semiHidden/>
    <w:unhideWhenUsed/>
    <w:rsid w:val="009341D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9341D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9341D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9341D2"/>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9341D2"/>
    <w:rPr>
      <w:rFonts w:ascii="Palatino Linotype" w:hAnsi="Palatino Linotype"/>
      <w:lang w:val="es-ES"/>
    </w:rPr>
  </w:style>
  <w:style w:type="character" w:customStyle="1" w:styleId="TtuloCar">
    <w:name w:val="Título Car"/>
    <w:basedOn w:val="Fuentedeprrafopredeter"/>
    <w:link w:val="Ttulo"/>
    <w:uiPriority w:val="10"/>
    <w:rsid w:val="009341D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9341D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9341D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9341D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9341D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9341D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9341D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9341D2"/>
    <w:rPr>
      <w:rFonts w:ascii="Palatino Linotype" w:hAnsi="Palatino Linotype"/>
      <w:sz w:val="16"/>
      <w:szCs w:val="20"/>
      <w:lang w:val="es-ES"/>
    </w:rPr>
  </w:style>
  <w:style w:type="character" w:customStyle="1" w:styleId="Ttulo6Car">
    <w:name w:val="Título 6 Car"/>
    <w:basedOn w:val="Fuentedeprrafopredeter"/>
    <w:link w:val="Ttulo6"/>
    <w:uiPriority w:val="9"/>
    <w:rsid w:val="009341D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9341D2"/>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9341D2"/>
    <w:rPr>
      <w:color w:val="605E5C"/>
      <w:shd w:val="clear" w:color="auto" w:fill="E1DFDD"/>
    </w:rPr>
  </w:style>
  <w:style w:type="character" w:customStyle="1" w:styleId="Ttulo7Car">
    <w:name w:val="Título 7 Car"/>
    <w:basedOn w:val="Fuentedeprrafopredeter"/>
    <w:link w:val="Ttulo7"/>
    <w:uiPriority w:val="9"/>
    <w:rsid w:val="009341D2"/>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9341D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9341D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9341D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9341D2"/>
    <w:rPr>
      <w:rFonts w:ascii="Palatino Linotype" w:hAnsi="Palatino Linotype"/>
      <w:iCs/>
      <w:noProof/>
      <w:color w:val="171717" w:themeColor="background2" w:themeShade="1A"/>
      <w:sz w:val="20"/>
      <w:szCs w:val="20"/>
      <w:lang w:val="es-ES"/>
    </w:rPr>
  </w:style>
  <w:style w:type="character" w:styleId="Hipervnculovisitado">
    <w:name w:val="FollowedHyperlink"/>
    <w:basedOn w:val="Fuentedeprrafopredeter"/>
    <w:uiPriority w:val="99"/>
    <w:semiHidden/>
    <w:unhideWhenUsed/>
    <w:rsid w:val="00B22C86"/>
    <w:rPr>
      <w:color w:val="954F72" w:themeColor="followedHyperlink"/>
      <w:u w:val="single"/>
    </w:rPr>
  </w:style>
  <w:style w:type="character" w:customStyle="1" w:styleId="Ttulo8Car">
    <w:name w:val="Título 8 Car"/>
    <w:basedOn w:val="Fuentedeprrafopredeter"/>
    <w:link w:val="Ttulo8"/>
    <w:uiPriority w:val="9"/>
    <w:rsid w:val="009341D2"/>
    <w:rPr>
      <w:rFonts w:ascii="Palatino Linotype" w:eastAsiaTheme="majorEastAsia" w:hAnsi="Palatino Linotype" w:cstheme="majorBidi"/>
      <w:i/>
      <w:iCs/>
      <w:color w:val="321547"/>
      <w:spacing w:val="-4"/>
      <w:u w:val="dotDotDash"/>
      <w:lang w:val="es-ES"/>
    </w:rPr>
  </w:style>
  <w:style w:type="paragraph" w:styleId="Bibliografa">
    <w:name w:val="Bibliography"/>
    <w:basedOn w:val="Normal"/>
    <w:next w:val="Normal"/>
    <w:uiPriority w:val="37"/>
    <w:unhideWhenUsed/>
    <w:rsid w:val="009341D2"/>
    <w:pPr>
      <w:spacing w:line="240" w:lineRule="auto"/>
      <w:ind w:left="567" w:hanging="567"/>
    </w:pPr>
  </w:style>
  <w:style w:type="paragraph" w:customStyle="1" w:styleId="Ttuloimagen">
    <w:name w:val="Título imagen"/>
    <w:basedOn w:val="PiedeImagen"/>
    <w:next w:val="Imagen"/>
    <w:link w:val="TtuloimagenCar"/>
    <w:qFormat/>
    <w:rsid w:val="009341D2"/>
    <w:pPr>
      <w:keepNext/>
      <w:spacing w:after="0"/>
    </w:pPr>
    <w:rPr>
      <w:i w:val="0"/>
      <w:smallCaps/>
      <w:sz w:val="20"/>
    </w:rPr>
  </w:style>
  <w:style w:type="character" w:customStyle="1" w:styleId="TtuloimagenCar">
    <w:name w:val="Título imagen Car"/>
    <w:basedOn w:val="ImagenCar"/>
    <w:link w:val="Ttuloimagen"/>
    <w:rsid w:val="009341D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9341D2"/>
    <w:pPr>
      <w:ind w:left="1100"/>
    </w:pPr>
  </w:style>
  <w:style w:type="paragraph" w:styleId="Sinespaciado">
    <w:name w:val="No Spacing"/>
    <w:link w:val="SinespaciadoCar"/>
    <w:uiPriority w:val="1"/>
    <w:qFormat/>
    <w:rsid w:val="009341D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9341D2"/>
    <w:rPr>
      <w:rFonts w:eastAsiaTheme="minorEastAsia"/>
      <w:lang w:val="es-ES" w:eastAsia="es-ES"/>
    </w:rPr>
  </w:style>
  <w:style w:type="paragraph" w:styleId="Prrafodelista">
    <w:name w:val="List Paragraph"/>
    <w:basedOn w:val="Normal"/>
    <w:uiPriority w:val="34"/>
    <w:rsid w:val="009341D2"/>
    <w:pPr>
      <w:ind w:left="720"/>
      <w:contextualSpacing/>
    </w:pPr>
  </w:style>
  <w:style w:type="paragraph" w:customStyle="1" w:styleId="Nmeroromano">
    <w:name w:val="Número romano"/>
    <w:basedOn w:val="Prrafodelista"/>
    <w:qFormat/>
    <w:rsid w:val="009341D2"/>
    <w:pPr>
      <w:numPr>
        <w:numId w:val="21"/>
      </w:numPr>
      <w:spacing w:after="100"/>
      <w:ind w:left="567" w:hanging="113"/>
    </w:pPr>
  </w:style>
  <w:style w:type="paragraph" w:customStyle="1" w:styleId="Saltodettulos">
    <w:name w:val="Salto de títulos"/>
    <w:basedOn w:val="Normal"/>
    <w:rsid w:val="009341D2"/>
    <w:pPr>
      <w:spacing w:after="0" w:line="240" w:lineRule="auto"/>
    </w:pPr>
    <w:rPr>
      <w:color w:val="FFFFFF"/>
      <w:sz w:val="2"/>
    </w:rPr>
  </w:style>
  <w:style w:type="paragraph" w:styleId="TDC7">
    <w:name w:val="toc 7"/>
    <w:basedOn w:val="Normal"/>
    <w:next w:val="FinTDC"/>
    <w:autoRedefine/>
    <w:uiPriority w:val="39"/>
    <w:unhideWhenUsed/>
    <w:rsid w:val="009341D2"/>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9341D2"/>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9341D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9341D2"/>
    <w:pPr>
      <w:spacing w:after="0" w:line="240" w:lineRule="auto"/>
      <w:jc w:val="left"/>
    </w:pPr>
    <w:rPr>
      <w:sz w:val="15"/>
    </w:rPr>
  </w:style>
  <w:style w:type="paragraph" w:styleId="TDC9">
    <w:name w:val="toc 9"/>
    <w:basedOn w:val="TDC8"/>
    <w:next w:val="FinTDC"/>
    <w:autoRedefine/>
    <w:uiPriority w:val="39"/>
    <w:semiHidden/>
    <w:unhideWhenUsed/>
    <w:rsid w:val="009341D2"/>
    <w:pPr>
      <w:ind w:left="1760"/>
    </w:pPr>
  </w:style>
  <w:style w:type="paragraph" w:customStyle="1" w:styleId="Apartado0">
    <w:name w:val="Apartado 0"/>
    <w:basedOn w:val="Ttulo1"/>
    <w:next w:val="Normal"/>
    <w:link w:val="Apartado0Car"/>
    <w:qFormat/>
    <w:rsid w:val="009341D2"/>
    <w:pPr>
      <w:numPr>
        <w:numId w:val="10"/>
      </w:numPr>
      <w:ind w:left="357" w:hanging="357"/>
    </w:pPr>
  </w:style>
  <w:style w:type="character" w:customStyle="1" w:styleId="Apartado0Car">
    <w:name w:val="Apartado 0 Car"/>
    <w:basedOn w:val="Ttulo1Car"/>
    <w:link w:val="Apartado0"/>
    <w:rsid w:val="009341D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9341D2"/>
    <w:pPr>
      <w:numPr>
        <w:ilvl w:val="3"/>
      </w:numPr>
      <w:ind w:left="1899" w:hanging="198"/>
    </w:pPr>
  </w:style>
  <w:style w:type="paragraph" w:customStyle="1" w:styleId="Nivel5">
    <w:name w:val="Nivel 5"/>
    <w:basedOn w:val="Nivel4"/>
    <w:link w:val="Nivel5Car"/>
    <w:qFormat/>
    <w:rsid w:val="009341D2"/>
    <w:pPr>
      <w:numPr>
        <w:ilvl w:val="4"/>
      </w:numPr>
      <w:ind w:left="2155" w:hanging="170"/>
    </w:pPr>
  </w:style>
  <w:style w:type="character" w:customStyle="1" w:styleId="Nivel2Car">
    <w:name w:val="Nivel 2 Car"/>
    <w:basedOn w:val="Fuentedeprrafopredeter"/>
    <w:link w:val="Nivel2"/>
    <w:rsid w:val="009341D2"/>
    <w:rPr>
      <w:rFonts w:ascii="Palatino Linotype" w:hAnsi="Palatino Linotype"/>
      <w:lang w:val="es-ES"/>
    </w:rPr>
  </w:style>
  <w:style w:type="character" w:customStyle="1" w:styleId="Nivel3Car">
    <w:name w:val="Nivel 3 Car"/>
    <w:basedOn w:val="Nivel2Car"/>
    <w:link w:val="Nivel3"/>
    <w:rsid w:val="009341D2"/>
    <w:rPr>
      <w:rFonts w:ascii="Palatino Linotype" w:hAnsi="Palatino Linotype"/>
      <w:lang w:val="es-ES"/>
    </w:rPr>
  </w:style>
  <w:style w:type="character" w:customStyle="1" w:styleId="Nivel4Car">
    <w:name w:val="Nivel 4 Car"/>
    <w:basedOn w:val="Nivel3Car"/>
    <w:link w:val="Nivel4"/>
    <w:rsid w:val="009341D2"/>
    <w:rPr>
      <w:rFonts w:ascii="Palatino Linotype" w:hAnsi="Palatino Linotype"/>
      <w:lang w:val="es-ES"/>
    </w:rPr>
  </w:style>
  <w:style w:type="paragraph" w:customStyle="1" w:styleId="Nivel6">
    <w:name w:val="Nivel 6"/>
    <w:basedOn w:val="Nivel5"/>
    <w:link w:val="Nivel6Car"/>
    <w:qFormat/>
    <w:rsid w:val="009341D2"/>
    <w:pPr>
      <w:numPr>
        <w:ilvl w:val="5"/>
      </w:numPr>
      <w:ind w:left="2438" w:hanging="227"/>
    </w:pPr>
  </w:style>
  <w:style w:type="character" w:customStyle="1" w:styleId="Nivel5Car">
    <w:name w:val="Nivel 5 Car"/>
    <w:basedOn w:val="Nivel4Car"/>
    <w:link w:val="Nivel5"/>
    <w:rsid w:val="009341D2"/>
    <w:rPr>
      <w:rFonts w:ascii="Palatino Linotype" w:hAnsi="Palatino Linotype"/>
      <w:lang w:val="es-ES"/>
    </w:rPr>
  </w:style>
  <w:style w:type="paragraph" w:customStyle="1" w:styleId="Nivel7">
    <w:name w:val="Nivel 7"/>
    <w:basedOn w:val="Nivel5"/>
    <w:link w:val="Nivel7Car"/>
    <w:qFormat/>
    <w:rsid w:val="009341D2"/>
    <w:pPr>
      <w:numPr>
        <w:ilvl w:val="6"/>
      </w:numPr>
      <w:ind w:left="2722" w:hanging="170"/>
    </w:pPr>
  </w:style>
  <w:style w:type="character" w:customStyle="1" w:styleId="Nivel6Car">
    <w:name w:val="Nivel 6 Car"/>
    <w:basedOn w:val="Nivel5Car"/>
    <w:link w:val="Nivel6"/>
    <w:rsid w:val="009341D2"/>
    <w:rPr>
      <w:rFonts w:ascii="Palatino Linotype" w:hAnsi="Palatino Linotype"/>
      <w:lang w:val="es-ES"/>
    </w:rPr>
  </w:style>
  <w:style w:type="character" w:customStyle="1" w:styleId="Nivel7Car">
    <w:name w:val="Nivel 7 Car"/>
    <w:basedOn w:val="Nivel5Car"/>
    <w:link w:val="Nivel7"/>
    <w:rsid w:val="009341D2"/>
    <w:rPr>
      <w:rFonts w:ascii="Palatino Linotype" w:hAnsi="Palatino Linotype"/>
      <w:lang w:val="es-ES"/>
    </w:rPr>
  </w:style>
  <w:style w:type="paragraph" w:styleId="Descripcin">
    <w:name w:val="caption"/>
    <w:basedOn w:val="Normal"/>
    <w:next w:val="Normal"/>
    <w:uiPriority w:val="35"/>
    <w:unhideWhenUsed/>
    <w:qFormat/>
    <w:rsid w:val="009341D2"/>
    <w:pPr>
      <w:spacing w:after="200" w:line="240" w:lineRule="auto"/>
    </w:pPr>
    <w:rPr>
      <w:i/>
      <w:iCs/>
      <w:color w:val="44546A" w:themeColor="text2"/>
      <w:sz w:val="18"/>
      <w:szCs w:val="18"/>
    </w:rPr>
  </w:style>
  <w:style w:type="paragraph" w:customStyle="1" w:styleId="Ttulo10">
    <w:name w:val="Título 10"/>
    <w:basedOn w:val="Ttulo9"/>
    <w:link w:val="Ttulo10Car"/>
    <w:qFormat/>
    <w:rsid w:val="009341D2"/>
    <w:pPr>
      <w:ind w:left="1276"/>
    </w:pPr>
    <w:rPr>
      <w:w w:val="97"/>
      <w:sz w:val="20"/>
    </w:rPr>
  </w:style>
  <w:style w:type="character" w:customStyle="1" w:styleId="Ttulo10Car">
    <w:name w:val="Título 10 Car"/>
    <w:basedOn w:val="Ttulo9Car"/>
    <w:link w:val="Ttulo10"/>
    <w:rsid w:val="009341D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9341D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9341D2"/>
    <w:pPr>
      <w:numPr>
        <w:ilvl w:val="7"/>
      </w:numPr>
      <w:ind w:left="3005" w:hanging="170"/>
    </w:pPr>
  </w:style>
  <w:style w:type="character" w:customStyle="1" w:styleId="Nivel8Car">
    <w:name w:val="Nivel 8 Car"/>
    <w:basedOn w:val="Nivel7Car"/>
    <w:link w:val="Nivel8"/>
    <w:rsid w:val="009341D2"/>
    <w:rPr>
      <w:rFonts w:ascii="Palatino Linotype" w:hAnsi="Palatino Linotype"/>
      <w:lang w:val="es-ES"/>
    </w:rPr>
  </w:style>
  <w:style w:type="paragraph" w:customStyle="1" w:styleId="Advertencia">
    <w:name w:val="Advertencia"/>
    <w:basedOn w:val="Normal"/>
    <w:next w:val="Normal"/>
    <w:link w:val="AdvertenciaCar"/>
    <w:qFormat/>
    <w:rsid w:val="009341D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9341D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9341D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341D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9341D2"/>
    <w:rPr>
      <w:vertAlign w:val="superscript"/>
    </w:rPr>
  </w:style>
  <w:style w:type="paragraph" w:styleId="Piedepgina">
    <w:name w:val="footer"/>
    <w:basedOn w:val="Normal"/>
    <w:link w:val="PiedepginaCar"/>
    <w:uiPriority w:val="99"/>
    <w:unhideWhenUsed/>
    <w:qFormat/>
    <w:rsid w:val="00295F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95F0E"/>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61057">
      <w:bodyDiv w:val="1"/>
      <w:marLeft w:val="0"/>
      <w:marRight w:val="0"/>
      <w:marTop w:val="0"/>
      <w:marBottom w:val="0"/>
      <w:divBdr>
        <w:top w:val="none" w:sz="0" w:space="0" w:color="auto"/>
        <w:left w:val="none" w:sz="0" w:space="0" w:color="auto"/>
        <w:bottom w:val="none" w:sz="0" w:space="0" w:color="auto"/>
        <w:right w:val="none" w:sz="0" w:space="0" w:color="auto"/>
      </w:divBdr>
      <w:divsChild>
        <w:div w:id="938179639">
          <w:marLeft w:val="480"/>
          <w:marRight w:val="0"/>
          <w:marTop w:val="0"/>
          <w:marBottom w:val="0"/>
          <w:divBdr>
            <w:top w:val="none" w:sz="0" w:space="0" w:color="auto"/>
            <w:left w:val="none" w:sz="0" w:space="0" w:color="auto"/>
            <w:bottom w:val="none" w:sz="0" w:space="0" w:color="auto"/>
            <w:right w:val="none" w:sz="0" w:space="0" w:color="auto"/>
          </w:divBdr>
          <w:divsChild>
            <w:div w:id="100088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31312">
      <w:bodyDiv w:val="1"/>
      <w:marLeft w:val="0"/>
      <w:marRight w:val="0"/>
      <w:marTop w:val="0"/>
      <w:marBottom w:val="0"/>
      <w:divBdr>
        <w:top w:val="none" w:sz="0" w:space="0" w:color="auto"/>
        <w:left w:val="none" w:sz="0" w:space="0" w:color="auto"/>
        <w:bottom w:val="none" w:sz="0" w:space="0" w:color="auto"/>
        <w:right w:val="none" w:sz="0" w:space="0" w:color="auto"/>
      </w:divBdr>
    </w:div>
    <w:div w:id="414204392">
      <w:bodyDiv w:val="1"/>
      <w:marLeft w:val="0"/>
      <w:marRight w:val="0"/>
      <w:marTop w:val="0"/>
      <w:marBottom w:val="0"/>
      <w:divBdr>
        <w:top w:val="none" w:sz="0" w:space="0" w:color="auto"/>
        <w:left w:val="none" w:sz="0" w:space="0" w:color="auto"/>
        <w:bottom w:val="none" w:sz="0" w:space="0" w:color="auto"/>
        <w:right w:val="none" w:sz="0" w:space="0" w:color="auto"/>
      </w:divBdr>
    </w:div>
    <w:div w:id="480538037">
      <w:bodyDiv w:val="1"/>
      <w:marLeft w:val="0"/>
      <w:marRight w:val="0"/>
      <w:marTop w:val="0"/>
      <w:marBottom w:val="0"/>
      <w:divBdr>
        <w:top w:val="none" w:sz="0" w:space="0" w:color="auto"/>
        <w:left w:val="none" w:sz="0" w:space="0" w:color="auto"/>
        <w:bottom w:val="none" w:sz="0" w:space="0" w:color="auto"/>
        <w:right w:val="none" w:sz="0" w:space="0" w:color="auto"/>
      </w:divBdr>
    </w:div>
    <w:div w:id="884563685">
      <w:bodyDiv w:val="1"/>
      <w:marLeft w:val="0"/>
      <w:marRight w:val="0"/>
      <w:marTop w:val="0"/>
      <w:marBottom w:val="0"/>
      <w:divBdr>
        <w:top w:val="none" w:sz="0" w:space="0" w:color="auto"/>
        <w:left w:val="none" w:sz="0" w:space="0" w:color="auto"/>
        <w:bottom w:val="none" w:sz="0" w:space="0" w:color="auto"/>
        <w:right w:val="none" w:sz="0" w:space="0" w:color="auto"/>
      </w:divBdr>
      <w:divsChild>
        <w:div w:id="506677448">
          <w:marLeft w:val="480"/>
          <w:marRight w:val="0"/>
          <w:marTop w:val="0"/>
          <w:marBottom w:val="0"/>
          <w:divBdr>
            <w:top w:val="none" w:sz="0" w:space="0" w:color="auto"/>
            <w:left w:val="none" w:sz="0" w:space="0" w:color="auto"/>
            <w:bottom w:val="none" w:sz="0" w:space="0" w:color="auto"/>
            <w:right w:val="none" w:sz="0" w:space="0" w:color="auto"/>
          </w:divBdr>
          <w:divsChild>
            <w:div w:id="14885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4919">
      <w:bodyDiv w:val="1"/>
      <w:marLeft w:val="0"/>
      <w:marRight w:val="0"/>
      <w:marTop w:val="0"/>
      <w:marBottom w:val="0"/>
      <w:divBdr>
        <w:top w:val="none" w:sz="0" w:space="0" w:color="auto"/>
        <w:left w:val="none" w:sz="0" w:space="0" w:color="auto"/>
        <w:bottom w:val="none" w:sz="0" w:space="0" w:color="auto"/>
        <w:right w:val="none" w:sz="0" w:space="0" w:color="auto"/>
      </w:divBdr>
      <w:divsChild>
        <w:div w:id="90207638">
          <w:marLeft w:val="480"/>
          <w:marRight w:val="0"/>
          <w:marTop w:val="0"/>
          <w:marBottom w:val="0"/>
          <w:divBdr>
            <w:top w:val="none" w:sz="0" w:space="0" w:color="auto"/>
            <w:left w:val="none" w:sz="0" w:space="0" w:color="auto"/>
            <w:bottom w:val="none" w:sz="0" w:space="0" w:color="auto"/>
            <w:right w:val="none" w:sz="0" w:space="0" w:color="auto"/>
          </w:divBdr>
          <w:divsChild>
            <w:div w:id="81811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96873">
      <w:bodyDiv w:val="1"/>
      <w:marLeft w:val="0"/>
      <w:marRight w:val="0"/>
      <w:marTop w:val="0"/>
      <w:marBottom w:val="0"/>
      <w:divBdr>
        <w:top w:val="none" w:sz="0" w:space="0" w:color="auto"/>
        <w:left w:val="none" w:sz="0" w:space="0" w:color="auto"/>
        <w:bottom w:val="none" w:sz="0" w:space="0" w:color="auto"/>
        <w:right w:val="none" w:sz="0" w:space="0" w:color="auto"/>
      </w:divBdr>
    </w:div>
    <w:div w:id="1103259171">
      <w:bodyDiv w:val="1"/>
      <w:marLeft w:val="0"/>
      <w:marRight w:val="0"/>
      <w:marTop w:val="0"/>
      <w:marBottom w:val="0"/>
      <w:divBdr>
        <w:top w:val="none" w:sz="0" w:space="0" w:color="auto"/>
        <w:left w:val="none" w:sz="0" w:space="0" w:color="auto"/>
        <w:bottom w:val="none" w:sz="0" w:space="0" w:color="auto"/>
        <w:right w:val="none" w:sz="0" w:space="0" w:color="auto"/>
      </w:divBdr>
    </w:div>
    <w:div w:id="1463768965">
      <w:bodyDiv w:val="1"/>
      <w:marLeft w:val="0"/>
      <w:marRight w:val="0"/>
      <w:marTop w:val="0"/>
      <w:marBottom w:val="0"/>
      <w:divBdr>
        <w:top w:val="none" w:sz="0" w:space="0" w:color="auto"/>
        <w:left w:val="none" w:sz="0" w:space="0" w:color="auto"/>
        <w:bottom w:val="none" w:sz="0" w:space="0" w:color="auto"/>
        <w:right w:val="none" w:sz="0" w:space="0" w:color="auto"/>
      </w:divBdr>
      <w:divsChild>
        <w:div w:id="663632175">
          <w:marLeft w:val="480"/>
          <w:marRight w:val="0"/>
          <w:marTop w:val="0"/>
          <w:marBottom w:val="0"/>
          <w:divBdr>
            <w:top w:val="none" w:sz="0" w:space="0" w:color="auto"/>
            <w:left w:val="none" w:sz="0" w:space="0" w:color="auto"/>
            <w:bottom w:val="none" w:sz="0" w:space="0" w:color="auto"/>
            <w:right w:val="none" w:sz="0" w:space="0" w:color="auto"/>
          </w:divBdr>
          <w:divsChild>
            <w:div w:id="182053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15">
      <w:bodyDiv w:val="1"/>
      <w:marLeft w:val="0"/>
      <w:marRight w:val="0"/>
      <w:marTop w:val="0"/>
      <w:marBottom w:val="0"/>
      <w:divBdr>
        <w:top w:val="none" w:sz="0" w:space="0" w:color="auto"/>
        <w:left w:val="none" w:sz="0" w:space="0" w:color="auto"/>
        <w:bottom w:val="none" w:sz="0" w:space="0" w:color="auto"/>
        <w:right w:val="none" w:sz="0" w:space="0" w:color="auto"/>
      </w:divBdr>
      <w:divsChild>
        <w:div w:id="1445688294">
          <w:marLeft w:val="480"/>
          <w:marRight w:val="0"/>
          <w:marTop w:val="0"/>
          <w:marBottom w:val="0"/>
          <w:divBdr>
            <w:top w:val="none" w:sz="0" w:space="0" w:color="auto"/>
            <w:left w:val="none" w:sz="0" w:space="0" w:color="auto"/>
            <w:bottom w:val="none" w:sz="0" w:space="0" w:color="auto"/>
            <w:right w:val="none" w:sz="0" w:space="0" w:color="auto"/>
          </w:divBdr>
          <w:divsChild>
            <w:div w:id="58669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77514">
      <w:bodyDiv w:val="1"/>
      <w:marLeft w:val="0"/>
      <w:marRight w:val="0"/>
      <w:marTop w:val="0"/>
      <w:marBottom w:val="0"/>
      <w:divBdr>
        <w:top w:val="none" w:sz="0" w:space="0" w:color="auto"/>
        <w:left w:val="none" w:sz="0" w:space="0" w:color="auto"/>
        <w:bottom w:val="none" w:sz="0" w:space="0" w:color="auto"/>
        <w:right w:val="none" w:sz="0" w:space="0" w:color="auto"/>
      </w:divBdr>
    </w:div>
    <w:div w:id="1926646746">
      <w:bodyDiv w:val="1"/>
      <w:marLeft w:val="0"/>
      <w:marRight w:val="0"/>
      <w:marTop w:val="0"/>
      <w:marBottom w:val="0"/>
      <w:divBdr>
        <w:top w:val="none" w:sz="0" w:space="0" w:color="auto"/>
        <w:left w:val="none" w:sz="0" w:space="0" w:color="auto"/>
        <w:bottom w:val="none" w:sz="0" w:space="0" w:color="auto"/>
        <w:right w:val="none" w:sz="0" w:space="0" w:color="auto"/>
      </w:divBdr>
      <w:divsChild>
        <w:div w:id="1893880841">
          <w:marLeft w:val="480"/>
          <w:marRight w:val="0"/>
          <w:marTop w:val="0"/>
          <w:marBottom w:val="0"/>
          <w:divBdr>
            <w:top w:val="none" w:sz="0" w:space="0" w:color="auto"/>
            <w:left w:val="none" w:sz="0" w:space="0" w:color="auto"/>
            <w:bottom w:val="none" w:sz="0" w:space="0" w:color="auto"/>
            <w:right w:val="none" w:sz="0" w:space="0" w:color="auto"/>
          </w:divBdr>
          <w:divsChild>
            <w:div w:id="74299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hyperlink" Target="https://www.quia.com/quiz/6562938.html"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10.jpeg"/><Relationship Id="rId20" Type="http://schemas.microsoft.com/office/2007/relationships/hdphoto" Target="media/hdphoto2.wdp"/><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file:///C:\Users\UX533FD\Documents\DOCUME~1\OPOSIC~1\Temario\3B374~1.TER\MATERI~1\PARTEB~1\TEMA3B~1.2\CORPOR~1.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5.emf"/><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png"/><Relationship Id="rId22" Type="http://schemas.microsoft.com/office/2007/relationships/hdphoto" Target="media/hdphoto3.wdp"/><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nadaesgratis.es/fernandez-villaverde/liquidez-interna-y-externa-i" TargetMode="External"/><Relationship Id="rId7" Type="http://schemas.openxmlformats.org/officeDocument/2006/relationships/hyperlink" Target="https://www.youtube.com/watch?v=WJjDr67frtM" TargetMode="External"/><Relationship Id="rId2" Type="http://schemas.openxmlformats.org/officeDocument/2006/relationships/image" Target="media/image2.png"/><Relationship Id="rId1" Type="http://schemas.openxmlformats.org/officeDocument/2006/relationships/hyperlink" Target="https://www.ft.com/content/87efe5a9-4cb6-493b-a31a-f9efd5ddd242" TargetMode="External"/><Relationship Id="rId6" Type="http://schemas.openxmlformats.org/officeDocument/2006/relationships/hyperlink" Target="https://guiasjuridicas.wolterskluwer.es/Content/Documento.aspx?params=H4sIAAAAAAAEAMtMSbF1jTAAASNTMwsztbLUouLM_DxbIwMDS0NDQ3OQQGZapUt-ckhlQaptWmJOcSoAdr8VgzUAAAA=WKE" TargetMode="External"/><Relationship Id="rId5" Type="http://schemas.openxmlformats.org/officeDocument/2006/relationships/image" Target="media/image5.jpg"/><Relationship Id="rId4" Type="http://schemas.openxmlformats.org/officeDocument/2006/relationships/hyperlink" Target="https://es.wikipedia.org/w/index.php?title=%E2%91%A0&amp;action=edit&amp;redlink=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19EBCB7ED9F4DD69CA6451FBF7B50F7"/>
        <w:category>
          <w:name w:val="General"/>
          <w:gallery w:val="placeholder"/>
        </w:category>
        <w:types>
          <w:type w:val="bbPlcHdr"/>
        </w:types>
        <w:behaviors>
          <w:behavior w:val="content"/>
        </w:behaviors>
        <w:guid w:val="{582722C6-C9D5-4C0B-B976-255009144581}"/>
      </w:docPartPr>
      <w:docPartBody>
        <w:p w:rsidR="00D17148" w:rsidRDefault="00D61031">
          <w:pPr>
            <w:pStyle w:val="E19EBCB7ED9F4DD69CA6451FBF7B50F7"/>
          </w:pPr>
          <w:r w:rsidRPr="001B5103">
            <w:rPr>
              <w:rStyle w:val="Textodelmarcadordeposicin"/>
            </w:rPr>
            <w:t>[Title]</w:t>
          </w:r>
        </w:p>
      </w:docPartBody>
    </w:docPart>
    <w:docPart>
      <w:docPartPr>
        <w:name w:val="24C7739CF7824F95B7745963B0C7A57E"/>
        <w:category>
          <w:name w:val="General"/>
          <w:gallery w:val="placeholder"/>
        </w:category>
        <w:types>
          <w:type w:val="bbPlcHdr"/>
        </w:types>
        <w:behaviors>
          <w:behavior w:val="content"/>
        </w:behaviors>
        <w:guid w:val="{04760005-E9AE-4C95-B7C1-A00E64C4DF9C}"/>
      </w:docPartPr>
      <w:docPartBody>
        <w:p w:rsidR="00D17148" w:rsidRDefault="00D61031">
          <w:pPr>
            <w:pStyle w:val="24C7739CF7824F95B7745963B0C7A57E"/>
          </w:pPr>
          <w:r w:rsidRPr="001B5103">
            <w:rPr>
              <w:rStyle w:val="Textodelmarcadordeposicin"/>
            </w:rPr>
            <w:t>[Subject]</w:t>
          </w:r>
        </w:p>
      </w:docPartBody>
    </w:docPart>
    <w:docPart>
      <w:docPartPr>
        <w:name w:val="55A90287A0F5473A813CC0FE130F7586"/>
        <w:category>
          <w:name w:val="General"/>
          <w:gallery w:val="placeholder"/>
        </w:category>
        <w:types>
          <w:type w:val="bbPlcHdr"/>
        </w:types>
        <w:behaviors>
          <w:behavior w:val="content"/>
        </w:behaviors>
        <w:guid w:val="{CCEB1BEA-EF76-4FDA-86A6-B682C865B971}"/>
      </w:docPartPr>
      <w:docPartBody>
        <w:p w:rsidR="0098695F" w:rsidRDefault="003959E6" w:rsidP="003959E6">
          <w:pPr>
            <w:pStyle w:val="55A90287A0F5473A813CC0FE130F758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31"/>
    <w:rsid w:val="00064EA3"/>
    <w:rsid w:val="000E4712"/>
    <w:rsid w:val="001068C0"/>
    <w:rsid w:val="001101E6"/>
    <w:rsid w:val="001C52C4"/>
    <w:rsid w:val="001C6397"/>
    <w:rsid w:val="001C70FC"/>
    <w:rsid w:val="002005D2"/>
    <w:rsid w:val="00283986"/>
    <w:rsid w:val="002A288E"/>
    <w:rsid w:val="0030024F"/>
    <w:rsid w:val="003350F4"/>
    <w:rsid w:val="00380663"/>
    <w:rsid w:val="003959E6"/>
    <w:rsid w:val="003C6488"/>
    <w:rsid w:val="003F0661"/>
    <w:rsid w:val="00505F23"/>
    <w:rsid w:val="00611A05"/>
    <w:rsid w:val="00624B0C"/>
    <w:rsid w:val="00695F0B"/>
    <w:rsid w:val="006D1AAA"/>
    <w:rsid w:val="0073018C"/>
    <w:rsid w:val="0074097E"/>
    <w:rsid w:val="007570C7"/>
    <w:rsid w:val="007A7565"/>
    <w:rsid w:val="007F7FFE"/>
    <w:rsid w:val="00835CFF"/>
    <w:rsid w:val="00842338"/>
    <w:rsid w:val="008457B0"/>
    <w:rsid w:val="00867D5D"/>
    <w:rsid w:val="00911F52"/>
    <w:rsid w:val="00980837"/>
    <w:rsid w:val="0098695F"/>
    <w:rsid w:val="009A6192"/>
    <w:rsid w:val="009B1790"/>
    <w:rsid w:val="009B1938"/>
    <w:rsid w:val="00B15777"/>
    <w:rsid w:val="00B473A2"/>
    <w:rsid w:val="00BB2EC1"/>
    <w:rsid w:val="00BC71FA"/>
    <w:rsid w:val="00D17148"/>
    <w:rsid w:val="00D22CBC"/>
    <w:rsid w:val="00D34EF1"/>
    <w:rsid w:val="00D478DC"/>
    <w:rsid w:val="00D61031"/>
    <w:rsid w:val="00DF4BAA"/>
    <w:rsid w:val="00E808EC"/>
    <w:rsid w:val="00EC5A28"/>
    <w:rsid w:val="00F16994"/>
    <w:rsid w:val="00F827B9"/>
    <w:rsid w:val="00FF25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80837"/>
    <w:rPr>
      <w:color w:val="808080"/>
    </w:rPr>
  </w:style>
  <w:style w:type="paragraph" w:customStyle="1" w:styleId="E19EBCB7ED9F4DD69CA6451FBF7B50F7">
    <w:name w:val="E19EBCB7ED9F4DD69CA6451FBF7B50F7"/>
  </w:style>
  <w:style w:type="paragraph" w:customStyle="1" w:styleId="24C7739CF7824F95B7745963B0C7A57E">
    <w:name w:val="24C7739CF7824F95B7745963B0C7A57E"/>
  </w:style>
  <w:style w:type="paragraph" w:customStyle="1" w:styleId="55A90287A0F5473A813CC0FE130F7586">
    <w:name w:val="55A90287A0F5473A813CC0FE130F7586"/>
    <w:rsid w:val="003959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57</TotalTime>
  <Pages>1</Pages>
  <Words>12387</Words>
  <Characters>68131</Characters>
  <Application>Microsoft Office Word</Application>
  <DocSecurity>0</DocSecurity>
  <Lines>567</Lines>
  <Paragraphs>160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vt:lpstr>
      <vt:lpstr>TEMA E.P.NN</vt:lpstr>
    </vt:vector>
  </TitlesOfParts>
  <Company/>
  <LinksUpToDate>false</LinksUpToDate>
  <CharactersWithSpaces>80358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dc:title>
  <dc:subject>La empresa y las decisiones de inversión. Diferentes criterios de valoración de proyectos. Rentabilidad, riesgo y coste de capital.</dc:subject>
  <dc:creator>Víctor Gutiérrez Marcos</dc:creator>
  <cp:keywords/>
  <dc:description/>
  <cp:lastModifiedBy>Víctor Gutiérrez Marcos</cp:lastModifiedBy>
  <dcterms:created xsi:type="dcterms:W3CDTF">2024-07-15T15:49:00Z</dcterms:created>
  <dcterms:modified xsi:type="dcterms:W3CDTF">2024-08-10T17:50:00Z</dcterms:modified>
</cp:coreProperties>
</file>